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6"/>
        <w:gridCol w:w="4674"/>
      </w:tblGrid>
      <w:tr w:rsidR="00B709A9" w14:paraId="6F54EC83" w14:textId="77777777" w:rsidTr="00B709A9">
        <w:tc>
          <w:tcPr>
            <w:tcW w:w="4788" w:type="dxa"/>
            <w:hideMark/>
          </w:tcPr>
          <w:p w14:paraId="3D006B5C" w14:textId="77777777" w:rsidR="00B709A9" w:rsidRDefault="00B709A9">
            <w:pPr>
              <w:pStyle w:val="CABEZA"/>
              <w:spacing w:line="276" w:lineRule="auto"/>
              <w:rPr>
                <w:rFonts w:ascii="Verdana" w:hAnsi="Verdana" w:cs="Times New Roman"/>
                <w:sz w:val="16"/>
                <w:szCs w:val="16"/>
              </w:rPr>
            </w:pPr>
            <w:r>
              <w:rPr>
                <w:rFonts w:ascii="Verdana" w:hAnsi="Verdana" w:cs="Times New Roman"/>
                <w:sz w:val="16"/>
                <w:szCs w:val="16"/>
              </w:rPr>
              <w:t>SECRETARIA DE COMUNICACIONES Y TRANSPORTES</w:t>
            </w:r>
          </w:p>
        </w:tc>
        <w:tc>
          <w:tcPr>
            <w:tcW w:w="4788" w:type="dxa"/>
            <w:hideMark/>
          </w:tcPr>
          <w:p w14:paraId="54237539" w14:textId="77777777" w:rsidR="00B709A9" w:rsidRDefault="00B709A9">
            <w:pPr>
              <w:pStyle w:val="CABEZA"/>
              <w:spacing w:line="276" w:lineRule="auto"/>
              <w:rPr>
                <w:rFonts w:ascii="Verdana" w:hAnsi="Verdana" w:cs="Times New Roman"/>
                <w:sz w:val="16"/>
                <w:szCs w:val="16"/>
                <w:lang w:val="en-US"/>
              </w:rPr>
            </w:pPr>
            <w:r>
              <w:rPr>
                <w:rFonts w:ascii="Verdana" w:hAnsi="Verdana" w:cs="Times New Roman"/>
                <w:sz w:val="16"/>
                <w:szCs w:val="16"/>
                <w:lang w:val="en-US"/>
              </w:rPr>
              <w:t>SECRETARY OF COMMUNICATIONS AND TRANSPORTATION</w:t>
            </w:r>
          </w:p>
        </w:tc>
      </w:tr>
      <w:tr w:rsidR="00B709A9" w14:paraId="4B4B1A10" w14:textId="77777777" w:rsidTr="00B709A9">
        <w:trPr>
          <w:trHeight w:val="1593"/>
        </w:trPr>
        <w:tc>
          <w:tcPr>
            <w:tcW w:w="4788" w:type="dxa"/>
            <w:hideMark/>
          </w:tcPr>
          <w:p w14:paraId="28025181" w14:textId="77777777" w:rsidR="00B709A9" w:rsidRDefault="00B709A9">
            <w:pPr>
              <w:pStyle w:val="Titulo1"/>
              <w:pBdr>
                <w:bottom w:val="none" w:sz="0" w:space="0" w:color="auto"/>
              </w:pBdr>
              <w:spacing w:line="276" w:lineRule="auto"/>
              <w:rPr>
                <w:rFonts w:ascii="Verdana" w:hAnsi="Verdana" w:cs="Times New Roman"/>
                <w:sz w:val="16"/>
                <w:szCs w:val="16"/>
              </w:rPr>
            </w:pPr>
            <w:r>
              <w:rPr>
                <w:rFonts w:ascii="Verdana" w:hAnsi="Verdana" w:cs="Times New Roman"/>
                <w:sz w:val="16"/>
                <w:szCs w:val="16"/>
              </w:rPr>
              <w:t>NORMA Oficial Mexicana NOM-051-SCT2-2011, Especificaciones para la clasificación de las substancias infecciosas y especificaciones especiales y adicionales para la construcción y ensayo (prueba) de los envases y/o embalajes que transporten substancias infecciosas de la división 6.2, Categoría A.</w:t>
            </w:r>
          </w:p>
        </w:tc>
        <w:tc>
          <w:tcPr>
            <w:tcW w:w="4788" w:type="dxa"/>
            <w:hideMark/>
          </w:tcPr>
          <w:p w14:paraId="7BFD9BB3" w14:textId="77777777" w:rsidR="00B709A9" w:rsidRDefault="00B709A9">
            <w:pPr>
              <w:pStyle w:val="Titulo1"/>
              <w:pBdr>
                <w:bottom w:val="none" w:sz="0" w:space="0" w:color="auto"/>
              </w:pBdr>
              <w:spacing w:line="276" w:lineRule="auto"/>
              <w:rPr>
                <w:rFonts w:ascii="Verdana" w:hAnsi="Verdana" w:cs="Times New Roman"/>
                <w:sz w:val="16"/>
                <w:szCs w:val="16"/>
                <w:lang w:val="en-US"/>
              </w:rPr>
            </w:pPr>
            <w:r>
              <w:rPr>
                <w:rFonts w:ascii="Verdana" w:hAnsi="Verdana" w:cs="Times New Roman"/>
                <w:sz w:val="16"/>
                <w:szCs w:val="16"/>
                <w:lang w:val="en-US"/>
              </w:rPr>
              <w:t>Official Mexican Standard NOM-051-SCT2-2011, Specifications for the classification of infectious substances and special and additional specifications for the construction and examination (test) of containers and/or packaging that transport infectious substances of division 6.2, Category A.</w:t>
            </w:r>
          </w:p>
        </w:tc>
      </w:tr>
      <w:tr w:rsidR="00B709A9" w14:paraId="7112AC6E" w14:textId="77777777" w:rsidTr="00B709A9">
        <w:tc>
          <w:tcPr>
            <w:tcW w:w="4788" w:type="dxa"/>
            <w:hideMark/>
          </w:tcPr>
          <w:p w14:paraId="1B33B15B" w14:textId="77777777" w:rsidR="00B709A9" w:rsidRDefault="00B709A9">
            <w:pPr>
              <w:pStyle w:val="Titulo2"/>
              <w:pBdr>
                <w:top w:val="none" w:sz="0" w:space="0" w:color="auto"/>
              </w:pBdr>
              <w:spacing w:line="276" w:lineRule="auto"/>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Secretaría de Comunicaciones y Transportes.- 4.004/DGAF/NOM-051-SCT2-2011.</w:t>
            </w:r>
          </w:p>
        </w:tc>
        <w:tc>
          <w:tcPr>
            <w:tcW w:w="4788" w:type="dxa"/>
            <w:hideMark/>
          </w:tcPr>
          <w:p w14:paraId="2927A5DC" w14:textId="77777777" w:rsidR="00B709A9" w:rsidRDefault="00B709A9">
            <w:pPr>
              <w:pStyle w:val="Titulo2"/>
              <w:pBdr>
                <w:top w:val="none" w:sz="0" w:space="0" w:color="auto"/>
              </w:pBdr>
              <w:spacing w:line="276" w:lineRule="auto"/>
              <w:rPr>
                <w:rFonts w:ascii="Verdana" w:hAnsi="Verdana"/>
                <w:sz w:val="16"/>
                <w:szCs w:val="16"/>
                <w:lang w:val="en-US"/>
              </w:rPr>
            </w:pPr>
            <w:r>
              <w:rPr>
                <w:rFonts w:ascii="Verdana" w:hAnsi="Verdana"/>
                <w:sz w:val="16"/>
                <w:szCs w:val="16"/>
                <w:lang w:val="en-US"/>
              </w:rPr>
              <w:t xml:space="preserve">In the margin a stamp with the National Seal, that says: United Mexican States.  Secretary of Communications and </w:t>
            </w:r>
            <w:proofErr w:type="gramStart"/>
            <w:r>
              <w:rPr>
                <w:rFonts w:ascii="Verdana" w:hAnsi="Verdana"/>
                <w:sz w:val="16"/>
                <w:szCs w:val="16"/>
                <w:lang w:val="en-US"/>
              </w:rPr>
              <w:t>Transportation.-</w:t>
            </w:r>
            <w:proofErr w:type="gramEnd"/>
            <w:r>
              <w:rPr>
                <w:rFonts w:ascii="Verdana" w:hAnsi="Verdana"/>
                <w:sz w:val="16"/>
                <w:szCs w:val="16"/>
                <w:lang w:val="en-US"/>
              </w:rPr>
              <w:t xml:space="preserve"> 4.004/DGAF/NOM-051-SCT2-2011.</w:t>
            </w:r>
          </w:p>
        </w:tc>
      </w:tr>
      <w:tr w:rsidR="00B709A9" w14:paraId="07970510" w14:textId="77777777" w:rsidTr="00B709A9">
        <w:tc>
          <w:tcPr>
            <w:tcW w:w="4788" w:type="dxa"/>
            <w:hideMark/>
          </w:tcPr>
          <w:p w14:paraId="746DEB0C" w14:textId="77777777" w:rsidR="00B709A9" w:rsidRDefault="00B709A9">
            <w:pPr>
              <w:pStyle w:val="Texto"/>
              <w:spacing w:after="50" w:line="276" w:lineRule="auto"/>
              <w:ind w:firstLine="0"/>
              <w:rPr>
                <w:rFonts w:ascii="Verdana" w:hAnsi="Verdana"/>
                <w:sz w:val="16"/>
                <w:szCs w:val="16"/>
              </w:rPr>
            </w:pPr>
            <w:r>
              <w:rPr>
                <w:rFonts w:ascii="Verdana" w:hAnsi="Verdana"/>
                <w:b/>
                <w:bCs/>
                <w:sz w:val="16"/>
                <w:szCs w:val="16"/>
              </w:rPr>
              <w:t>FELIPE DUARTE OLVERA</w:t>
            </w:r>
            <w:r>
              <w:rPr>
                <w:rFonts w:ascii="Verdana" w:hAnsi="Verdana"/>
                <w:sz w:val="16"/>
                <w:szCs w:val="16"/>
              </w:rPr>
              <w:t>, Subsecretario de Transporte y Presidente del Comité Consultivo Nacional de Normalización de Transporte Terrestre, con fundamento en los artículos 36 fracciones</w:t>
            </w:r>
            <w:r>
              <w:rPr>
                <w:rFonts w:ascii="Verdana" w:hAnsi="Verdana"/>
                <w:sz w:val="16"/>
                <w:szCs w:val="16"/>
                <w:lang w:val="es-MX"/>
              </w:rPr>
              <w:t xml:space="preserve"> I, IX y XII</w:t>
            </w:r>
            <w:r>
              <w:rPr>
                <w:rFonts w:ascii="Verdana" w:hAnsi="Verdana"/>
                <w:sz w:val="16"/>
                <w:szCs w:val="16"/>
              </w:rPr>
              <w:t xml:space="preserve"> de la Ley Orgánica de la Administración Pública Federal; 1o., 38 fracción II, 40 fracciones XVI y XVII, 41, 43, 47 fracción IV y 51 de la Ley Federal sobre Metrología y Normalización; 4o. de la Ley Federal de Procedimiento Administrativo; 5o. fracción VI de la Ley de Caminos, Puentes y Autotransporte Federal; 28 y 34 del Reglamento de la Ley Federal sobre Metrología y Normalización; 18, 19, 20, 29 y 30 del Reglamento para el Transporte Terrestre de Materiales y Residuos Peligrosos; 6o., fracción XIII del Reglamento Interior de la Secretaría de Comunicaciones y Transportes; y demás ordenamientos jurídicos que resulten aplicables; y</w:t>
            </w:r>
          </w:p>
        </w:tc>
        <w:tc>
          <w:tcPr>
            <w:tcW w:w="4788" w:type="dxa"/>
            <w:hideMark/>
          </w:tcPr>
          <w:p w14:paraId="37DF2B90" w14:textId="77777777" w:rsidR="00B709A9" w:rsidRDefault="00B709A9">
            <w:pPr>
              <w:pStyle w:val="Texto"/>
              <w:spacing w:after="50" w:line="276" w:lineRule="auto"/>
              <w:ind w:firstLine="0"/>
              <w:rPr>
                <w:rFonts w:ascii="Verdana" w:hAnsi="Verdana"/>
                <w:sz w:val="16"/>
                <w:szCs w:val="16"/>
                <w:lang w:val="en-US"/>
              </w:rPr>
            </w:pPr>
            <w:r>
              <w:rPr>
                <w:rFonts w:ascii="Verdana" w:hAnsi="Verdana"/>
                <w:b/>
                <w:bCs/>
                <w:sz w:val="16"/>
                <w:szCs w:val="16"/>
                <w:lang w:val="en-US"/>
              </w:rPr>
              <w:t>FELIPE DUARTE OLVERA</w:t>
            </w:r>
            <w:r>
              <w:rPr>
                <w:rFonts w:ascii="Verdana" w:hAnsi="Verdana"/>
                <w:sz w:val="16"/>
                <w:szCs w:val="16"/>
                <w:lang w:val="en-US"/>
              </w:rPr>
              <w:t>, Undersecretary of Transportation and President of the National Consultative Committee for The Standardization of Land Transport, based on articles 36 sections I, IX and XII of the Organic Law of the Federal Public Administration; 1, 38 section II, 40 sections XVI and XVII, 41, 43, 47 section IV and 51 of the Federal Law on Metrology and Standardization; 4 of the Federal Law of Administrative Procedure; 5 section VI of the Law of Roads, Bridges and Federal Motor Transport; 28 and 34 of the Regulation of the Federal Law  on Metrology and Standardization; 18, 19, 20, 29 and 30 of the Regulation for Land Transportation of Hazardous Materials and Wastes; 6, section XIII of the Internal Regulation of the Secretary of Communications and Transportation; and other legal ordinances that are applicable; and</w:t>
            </w:r>
          </w:p>
        </w:tc>
      </w:tr>
      <w:tr w:rsidR="00B709A9" w14:paraId="455A1F77" w14:textId="77777777" w:rsidTr="00B709A9">
        <w:tc>
          <w:tcPr>
            <w:tcW w:w="4788" w:type="dxa"/>
            <w:hideMark/>
          </w:tcPr>
          <w:p w14:paraId="47A9F0CF" w14:textId="77777777" w:rsidR="00B709A9" w:rsidRDefault="00B709A9">
            <w:pPr>
              <w:pStyle w:val="ANOTACION"/>
              <w:spacing w:after="50" w:line="276" w:lineRule="auto"/>
              <w:rPr>
                <w:rFonts w:ascii="Verdana" w:hAnsi="Verdana"/>
                <w:sz w:val="16"/>
                <w:szCs w:val="16"/>
              </w:rPr>
            </w:pPr>
            <w:r>
              <w:rPr>
                <w:rFonts w:ascii="Verdana" w:hAnsi="Verdana"/>
                <w:sz w:val="16"/>
                <w:szCs w:val="16"/>
              </w:rPr>
              <w:t>CONSIDERANDO</w:t>
            </w:r>
          </w:p>
        </w:tc>
        <w:tc>
          <w:tcPr>
            <w:tcW w:w="4788" w:type="dxa"/>
            <w:hideMark/>
          </w:tcPr>
          <w:p w14:paraId="5D87FF4D" w14:textId="77777777" w:rsidR="00B709A9" w:rsidRDefault="00B709A9">
            <w:pPr>
              <w:pStyle w:val="ANOTACION"/>
              <w:spacing w:after="50" w:line="276" w:lineRule="auto"/>
              <w:rPr>
                <w:rFonts w:ascii="Verdana" w:hAnsi="Verdana"/>
                <w:sz w:val="16"/>
                <w:szCs w:val="16"/>
                <w:lang w:val="en-US"/>
              </w:rPr>
            </w:pPr>
            <w:r>
              <w:rPr>
                <w:rFonts w:ascii="Verdana" w:hAnsi="Verdana"/>
                <w:sz w:val="16"/>
                <w:szCs w:val="16"/>
                <w:lang w:val="en-US"/>
              </w:rPr>
              <w:t>CONSIDERING</w:t>
            </w:r>
          </w:p>
        </w:tc>
      </w:tr>
      <w:tr w:rsidR="00B709A9" w14:paraId="20C4F060" w14:textId="77777777" w:rsidTr="00B709A9">
        <w:tc>
          <w:tcPr>
            <w:tcW w:w="4788" w:type="dxa"/>
            <w:hideMark/>
          </w:tcPr>
          <w:p w14:paraId="2D75E0B0"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Que es necesario establecer las disposiciones generales que se deben cumplir para el transporte de los envases y embalajes de las substancias peligrosas de la división 6.2 agentes infecciosos.</w:t>
            </w:r>
          </w:p>
        </w:tc>
        <w:tc>
          <w:tcPr>
            <w:tcW w:w="4788" w:type="dxa"/>
            <w:hideMark/>
          </w:tcPr>
          <w:p w14:paraId="1E398C38"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That it is necessary to establish the general provisions that must be met for the transport of containers and packaging of hazardous substances from division 6.2 infectious agents.</w:t>
            </w:r>
          </w:p>
        </w:tc>
      </w:tr>
      <w:tr w:rsidR="00B709A9" w14:paraId="0EE1A561" w14:textId="77777777" w:rsidTr="00B709A9">
        <w:tc>
          <w:tcPr>
            <w:tcW w:w="4788" w:type="dxa"/>
            <w:hideMark/>
          </w:tcPr>
          <w:p w14:paraId="3E4656E9"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Que dada la importancia de la utilización de envases y embalajes de las substancias peligrosas de la división 6.2, es menester que se realice bajo condiciones que garanticen la seguridad en la prestación de los servicios de transporte, y que esto no represente un riesgo para la población y el medio ambiente.</w:t>
            </w:r>
          </w:p>
        </w:tc>
        <w:tc>
          <w:tcPr>
            <w:tcW w:w="4788" w:type="dxa"/>
            <w:hideMark/>
          </w:tcPr>
          <w:p w14:paraId="2B80FFCA"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That given the importance of the use of containers and packaging of hazardous substances from division 6.2, it is necessary that it be carried out under conditions that guarantee safety in the provision of transport services, and that this does not represent a risk to the population. and the environment.</w:t>
            </w:r>
          </w:p>
        </w:tc>
      </w:tr>
      <w:tr w:rsidR="00B709A9" w14:paraId="4B88F0A6" w14:textId="77777777" w:rsidTr="00B709A9">
        <w:tc>
          <w:tcPr>
            <w:tcW w:w="4788" w:type="dxa"/>
            <w:hideMark/>
          </w:tcPr>
          <w:p w14:paraId="0192282C"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 xml:space="preserve">Que como resultado de los trabajos para la implementación del Tratado de Libre Comercio de América del Norte (TLCAN),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de la Organización de las Naciones Unidas para el Transporte de Substancias </w:t>
            </w:r>
            <w:r>
              <w:rPr>
                <w:rFonts w:ascii="Verdana" w:hAnsi="Verdana"/>
                <w:sz w:val="16"/>
                <w:szCs w:val="16"/>
              </w:rPr>
              <w:lastRenderedPageBreak/>
              <w:t>Peligrosas (Regulación Modelo) u otras que las partes acuerden.</w:t>
            </w:r>
          </w:p>
        </w:tc>
        <w:tc>
          <w:tcPr>
            <w:tcW w:w="4788" w:type="dxa"/>
            <w:hideMark/>
          </w:tcPr>
          <w:p w14:paraId="5F1BE0B9"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lastRenderedPageBreak/>
              <w:t xml:space="preserve">That </w:t>
            </w:r>
            <w:proofErr w:type="gramStart"/>
            <w:r>
              <w:rPr>
                <w:rFonts w:ascii="Verdana" w:hAnsi="Verdana"/>
                <w:sz w:val="16"/>
                <w:szCs w:val="16"/>
                <w:lang w:val="en-US"/>
              </w:rPr>
              <w:t>as a result of</w:t>
            </w:r>
            <w:proofErr w:type="gramEnd"/>
            <w:r>
              <w:rPr>
                <w:rFonts w:ascii="Verdana" w:hAnsi="Verdana"/>
                <w:sz w:val="16"/>
                <w:szCs w:val="16"/>
                <w:lang w:val="en-US"/>
              </w:rPr>
              <w:t xml:space="preserve"> the work for the implementation of the North American Free Trade Agreement (NAFTA), in chapter IX, "Measures related to Standardization," article 905 "Use of International Standards" it is stated that each of the parties will use as a basis for their own standardization measures, the relevant international standards or those of imminent adoption. As far as the transport of hazardous materials is concerned, the Recommendations of the United Nations Organization for the Transport of Dangerous Goods (Model Regulation) or others agreed upon by the parties will be taken as a legal basis.</w:t>
            </w:r>
          </w:p>
        </w:tc>
      </w:tr>
      <w:tr w:rsidR="00B709A9" w14:paraId="2F2A9D9E" w14:textId="77777777" w:rsidTr="00B709A9">
        <w:tc>
          <w:tcPr>
            <w:tcW w:w="4788" w:type="dxa"/>
            <w:hideMark/>
          </w:tcPr>
          <w:p w14:paraId="5F84F4A2"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Que la Ley Federal sobre Metrología y Normalización en el artículo 51 cuarto párrafo establece que las normas oficiales mexicanas deberán ser revisadas en forma quinquenal, a efecto de su modificación o cancelación. En este sentido una vez efectuada la revisión correspondiente, se determinó conveniente la actualización de las especificaciones establecidas en la Norma Oficial Mexicana NOM-051-SCT2-2003 “Especificaciones especiales y adicionales para los envases y embalajes de las substancias peligrosas de la división 6.2 agentes infecciosos”, con el fin de actualizarlas a la 16va. Edición de la Reglamentación Modelo para el Transporte de Mercancías Peligrosas de la Organización de las Naciones Unidas.</w:t>
            </w:r>
          </w:p>
        </w:tc>
        <w:tc>
          <w:tcPr>
            <w:tcW w:w="4788" w:type="dxa"/>
            <w:hideMark/>
          </w:tcPr>
          <w:p w14:paraId="0AA9CD03"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 xml:space="preserve">That the Federal Law on Metrology and Standardization in article 51, fourth paragraph, establishes that the Official Mexican Standards must be reviewed every five years, for the purpose of their modification or cancellation. In this sense, once the corresponding review was carried out, it was determined convenient to update the specifications established in the Official Mexican Standard NOM-051-SCT2-2003 "Special and additional specifications for the containers and packaging of hazardous substances of division 6.2 infectious agents,” </w:t>
            </w:r>
            <w:proofErr w:type="gramStart"/>
            <w:r>
              <w:rPr>
                <w:rFonts w:ascii="Verdana" w:hAnsi="Verdana"/>
                <w:sz w:val="16"/>
                <w:szCs w:val="16"/>
                <w:lang w:val="en-US"/>
              </w:rPr>
              <w:t>in order to</w:t>
            </w:r>
            <w:proofErr w:type="gramEnd"/>
            <w:r>
              <w:rPr>
                <w:rFonts w:ascii="Verdana" w:hAnsi="Verdana"/>
                <w:sz w:val="16"/>
                <w:szCs w:val="16"/>
                <w:lang w:val="en-US"/>
              </w:rPr>
              <w:t xml:space="preserve"> update them to the 16th. Edition of the Model Regulation for the Transport of Dangerous Goods of the United Nations Organization.</w:t>
            </w:r>
          </w:p>
        </w:tc>
      </w:tr>
      <w:tr w:rsidR="00B709A9" w14:paraId="096E7C2A" w14:textId="77777777" w:rsidTr="00B709A9">
        <w:tc>
          <w:tcPr>
            <w:tcW w:w="4788" w:type="dxa"/>
            <w:hideMark/>
          </w:tcPr>
          <w:p w14:paraId="10ED92B7"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Que de conformidad con lo establecido en el artículo 47 fracción I de Ley Federal sobre Metrología y Normalización, se publicó el 13 de junio de 2011 en el Diario Oficial de la Federación el Proyecto de Norma Oficial Mexicana PROY-NOM-051-SCT2-2011, Especificaciones para la clasificación de las substancias infecciosas y especificaciones especiales y adicionales para la construcción y ensayo (prueba) de los envases y/o embalajes que transporten substancias infecciosas de la división 6.2 Categoría “A”, para que en un plazo de 60 días naturales contados a partir de su fecha de publicación, los interesados presentaran comentarios ante el Comité Consultivo Nacional de Normalización de Transporte Terrestre.</w:t>
            </w:r>
          </w:p>
        </w:tc>
        <w:tc>
          <w:tcPr>
            <w:tcW w:w="4788" w:type="dxa"/>
            <w:hideMark/>
          </w:tcPr>
          <w:p w14:paraId="05222191"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That in accordance with the provisions of article 47 section I of the Federal Law on Metrology and Standardization, the Project of Official Mexican Standard PROY-NOM-051-SCT2-2011, Specifications for the classification of infectious substances and special and additional specifications for the construction and trial (test) of containers and/or packaging that transport infectious substances of division 6.2 Category "A," was published in the Official Daily of the Federation on June 13, 2011, so that within a period of 60 calendar days counted from the date of publication, the interested parties might submit comments to the National Consultative Committee for the Standardization of Land Transport.</w:t>
            </w:r>
          </w:p>
        </w:tc>
      </w:tr>
      <w:tr w:rsidR="00B709A9" w14:paraId="5ADBE963" w14:textId="77777777" w:rsidTr="00B709A9">
        <w:tc>
          <w:tcPr>
            <w:tcW w:w="4788" w:type="dxa"/>
            <w:hideMark/>
          </w:tcPr>
          <w:p w14:paraId="6E9E0B7B"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Que no habiéndose recibido comentarios durante el plazo de consulta pública del Proyecto de Norma Oficial Mexicana PROY-NOM-051-SCT2-2011, Especificaciones para la clasificación de las substancias infecciosas y especificaciones especiales y adicionales para la construcción y ensayo (prueba) de los envases y/o embalajes que transporten substancias infecciosas de la división 6.2, Categoría “A”, el Comité Consultivo Nacional de Normalización de Transporte Terrestre, en su Tercera Sesión Ordinaria celebrada el 20 de septiembre de 2011, tuvo a bien aprobar la Norma Oficial Mexicana NOM-051-SCT2-2011, Especificaciones para la clasificación de las substancias infecciosas y especificaciones especiales y adicionales para la construcción y ensayo (prueba) de los envases y/o embalajes que transporten substancias infecciosas de la división 6.2, Categoría “A”.</w:t>
            </w:r>
          </w:p>
        </w:tc>
        <w:tc>
          <w:tcPr>
            <w:tcW w:w="4788" w:type="dxa"/>
            <w:hideMark/>
          </w:tcPr>
          <w:p w14:paraId="402B5EAD"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 xml:space="preserve">That after not having received comments during the period of public consultation of the Project of Official Mexican Standard PROY-NOM-051-SCT2-2011, Specifications for the classification of infectious substances and special and additional specifications for the construction and trial (test) of containers and/or packaging that transport infectious substances of division 6.2, Category "A," the National Consultative Committee for Standardization of Land Transport, in its Third Ordinary Session held on September 20, 2011, approved the Official Mexican Standard NOM-051-SCT2-2011, Specifications for the classification of infectious substances and special and additional specifications for the construction and trial (test) of containers and/or packaging that transport infectious substances of division 6.2, Category "A." </w:t>
            </w:r>
          </w:p>
        </w:tc>
      </w:tr>
      <w:tr w:rsidR="00B709A9" w14:paraId="3154921E" w14:textId="77777777" w:rsidTr="00B709A9">
        <w:tc>
          <w:tcPr>
            <w:tcW w:w="4788" w:type="dxa"/>
            <w:hideMark/>
          </w:tcPr>
          <w:p w14:paraId="4195734D"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rPr>
              <w:t>En virtud de lo anterior, he tenido a bien ordenar la publicación de la Norma Oficial Mexicana:</w:t>
            </w:r>
          </w:p>
        </w:tc>
        <w:tc>
          <w:tcPr>
            <w:tcW w:w="4788" w:type="dxa"/>
            <w:hideMark/>
          </w:tcPr>
          <w:p w14:paraId="1D751FE0"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By virtue of the foregoing, I have deemed it appropriate to order the publication of the Official Mexican Standard:</w:t>
            </w:r>
          </w:p>
        </w:tc>
      </w:tr>
      <w:tr w:rsidR="00B709A9" w14:paraId="4B7B1EA3" w14:textId="77777777" w:rsidTr="00B709A9">
        <w:tc>
          <w:tcPr>
            <w:tcW w:w="4788" w:type="dxa"/>
            <w:hideMark/>
          </w:tcPr>
          <w:p w14:paraId="14765627" w14:textId="77777777" w:rsidR="00B709A9" w:rsidRDefault="00B709A9">
            <w:pPr>
              <w:pStyle w:val="ANOTACION"/>
              <w:spacing w:after="50" w:line="276" w:lineRule="auto"/>
              <w:rPr>
                <w:rFonts w:ascii="Verdana" w:hAnsi="Verdana"/>
                <w:sz w:val="16"/>
                <w:szCs w:val="16"/>
              </w:rPr>
            </w:pPr>
            <w:r>
              <w:rPr>
                <w:rFonts w:ascii="Verdana" w:hAnsi="Verdana"/>
                <w:sz w:val="16"/>
                <w:szCs w:val="16"/>
              </w:rPr>
              <w:t xml:space="preserve">NOM-051-SCT2-2011, ESPECIFICACIONES PARA LA CLASIFICACION DE LAS SUBSTANCIAS INFECCIOSAS Y ESPECIFICACIONES ESPECIALES Y ADICIONALES PARA LA CONSTRUCCION Y </w:t>
            </w:r>
            <w:r>
              <w:rPr>
                <w:rFonts w:ascii="Verdana" w:hAnsi="Verdana"/>
                <w:sz w:val="16"/>
                <w:szCs w:val="16"/>
              </w:rPr>
              <w:lastRenderedPageBreak/>
              <w:t>ENSAYO (PRUEBA) DE LOS ENVASES Y/O EMBALAJES QUE TRANSPORTEN SUBSTANCIAS INFECCIOSAS DE LA DIVISION 6.2, CATEGORIA “A”</w:t>
            </w:r>
          </w:p>
        </w:tc>
        <w:tc>
          <w:tcPr>
            <w:tcW w:w="4788" w:type="dxa"/>
            <w:hideMark/>
          </w:tcPr>
          <w:p w14:paraId="1AD3D410" w14:textId="77777777" w:rsidR="00B709A9" w:rsidRDefault="00B709A9">
            <w:pPr>
              <w:pStyle w:val="ANOTACION"/>
              <w:spacing w:after="50" w:line="276" w:lineRule="auto"/>
              <w:rPr>
                <w:rFonts w:ascii="Verdana" w:hAnsi="Verdana"/>
                <w:sz w:val="16"/>
                <w:szCs w:val="16"/>
                <w:lang w:val="en-US"/>
              </w:rPr>
            </w:pPr>
            <w:r>
              <w:rPr>
                <w:rFonts w:ascii="Verdana" w:hAnsi="Verdana"/>
                <w:sz w:val="16"/>
                <w:szCs w:val="16"/>
                <w:lang w:val="en-US"/>
              </w:rPr>
              <w:lastRenderedPageBreak/>
              <w:t xml:space="preserve">NOM-051-SCT2-2011, SPECIFICATIONS FOR THE CLASSIFICATION OF INFECTIOUS SUBSTANCES AND SPECIAL AND ADDITIONAL SPECIFICATIONS FOR THE CONSTRUCTION AND </w:t>
            </w:r>
            <w:r>
              <w:rPr>
                <w:rFonts w:ascii="Verdana" w:hAnsi="Verdana"/>
                <w:sz w:val="16"/>
                <w:szCs w:val="16"/>
                <w:lang w:val="en-US"/>
              </w:rPr>
              <w:lastRenderedPageBreak/>
              <w:t>TRIAL (TEST) OF CONTAINERS AND/OR PACKAGING THAT TRANSPORT INFECTIOUS SUBSTANCES OF DIVISION 6.2, CATEGORY "A"</w:t>
            </w:r>
          </w:p>
        </w:tc>
      </w:tr>
      <w:tr w:rsidR="00B709A9" w14:paraId="55D241B2" w14:textId="77777777" w:rsidTr="00B709A9">
        <w:tc>
          <w:tcPr>
            <w:tcW w:w="4788" w:type="dxa"/>
            <w:hideMark/>
          </w:tcPr>
          <w:p w14:paraId="4D532F3A" w14:textId="77777777" w:rsidR="00B709A9" w:rsidRDefault="00B709A9">
            <w:pPr>
              <w:pStyle w:val="Texto"/>
              <w:spacing w:after="50" w:line="276" w:lineRule="auto"/>
              <w:ind w:firstLine="0"/>
              <w:rPr>
                <w:rFonts w:ascii="Verdana" w:hAnsi="Verdana"/>
                <w:b/>
                <w:bCs/>
                <w:sz w:val="16"/>
                <w:szCs w:val="16"/>
                <w:lang w:val="pt-BR"/>
              </w:rPr>
            </w:pPr>
            <w:r>
              <w:rPr>
                <w:rFonts w:ascii="Verdana" w:hAnsi="Verdana"/>
                <w:b/>
                <w:bCs/>
                <w:sz w:val="16"/>
                <w:szCs w:val="16"/>
                <w:lang w:val="pt-BR"/>
              </w:rPr>
              <w:lastRenderedPageBreak/>
              <w:t>Atentamente</w:t>
            </w:r>
          </w:p>
        </w:tc>
        <w:tc>
          <w:tcPr>
            <w:tcW w:w="4788" w:type="dxa"/>
            <w:hideMark/>
          </w:tcPr>
          <w:p w14:paraId="0B47A003" w14:textId="77777777" w:rsidR="00B709A9" w:rsidRDefault="00B709A9">
            <w:pPr>
              <w:pStyle w:val="Texto"/>
              <w:spacing w:after="50" w:line="276" w:lineRule="auto"/>
              <w:ind w:firstLine="0"/>
              <w:rPr>
                <w:rFonts w:ascii="Verdana" w:hAnsi="Verdana"/>
                <w:b/>
                <w:bCs/>
                <w:sz w:val="16"/>
                <w:szCs w:val="16"/>
                <w:lang w:val="en-US"/>
              </w:rPr>
            </w:pPr>
            <w:r>
              <w:rPr>
                <w:rFonts w:ascii="Verdana" w:hAnsi="Verdana"/>
                <w:b/>
                <w:bCs/>
                <w:sz w:val="16"/>
                <w:szCs w:val="16"/>
                <w:lang w:val="en-US"/>
              </w:rPr>
              <w:t>Attentively</w:t>
            </w:r>
          </w:p>
        </w:tc>
      </w:tr>
      <w:tr w:rsidR="00B709A9" w14:paraId="698C8740" w14:textId="77777777" w:rsidTr="00B709A9">
        <w:tc>
          <w:tcPr>
            <w:tcW w:w="4788" w:type="dxa"/>
            <w:hideMark/>
          </w:tcPr>
          <w:p w14:paraId="7E2F22C0" w14:textId="77777777" w:rsidR="00B709A9" w:rsidRDefault="00B709A9">
            <w:pPr>
              <w:pStyle w:val="Texto"/>
              <w:spacing w:after="50" w:line="276" w:lineRule="auto"/>
              <w:ind w:firstLine="0"/>
              <w:rPr>
                <w:rFonts w:ascii="Verdana" w:hAnsi="Verdana"/>
                <w:sz w:val="16"/>
                <w:szCs w:val="16"/>
              </w:rPr>
            </w:pPr>
            <w:r>
              <w:rPr>
                <w:rFonts w:ascii="Verdana" w:hAnsi="Verdana"/>
                <w:sz w:val="16"/>
                <w:szCs w:val="16"/>
                <w:lang w:val="it-IT"/>
              </w:rPr>
              <w:t xml:space="preserve">México, D.F., a 23 de noviembre de 2011.- </w:t>
            </w:r>
            <w:r>
              <w:rPr>
                <w:rFonts w:ascii="Verdana" w:hAnsi="Verdana"/>
                <w:sz w:val="16"/>
                <w:szCs w:val="16"/>
              </w:rPr>
              <w:t xml:space="preserve">El Subsecretario de Transporte y Presidente del Comité Consultivo Nacional de Normalización de Transporte Terrestre, </w:t>
            </w:r>
            <w:r>
              <w:rPr>
                <w:rFonts w:ascii="Verdana" w:hAnsi="Verdana"/>
                <w:b/>
                <w:bCs/>
                <w:sz w:val="16"/>
                <w:szCs w:val="16"/>
              </w:rPr>
              <w:t xml:space="preserve">FELIPE DUARTE </w:t>
            </w:r>
            <w:proofErr w:type="gramStart"/>
            <w:r>
              <w:rPr>
                <w:rFonts w:ascii="Verdana" w:hAnsi="Verdana"/>
                <w:b/>
                <w:bCs/>
                <w:sz w:val="16"/>
                <w:szCs w:val="16"/>
              </w:rPr>
              <w:t>OLVERA</w:t>
            </w:r>
            <w:r>
              <w:rPr>
                <w:rFonts w:ascii="Verdana" w:hAnsi="Verdana"/>
                <w:sz w:val="16"/>
                <w:szCs w:val="16"/>
              </w:rPr>
              <w:t>.-</w:t>
            </w:r>
            <w:proofErr w:type="gramEnd"/>
            <w:r>
              <w:rPr>
                <w:rFonts w:ascii="Verdana" w:hAnsi="Verdana"/>
                <w:sz w:val="16"/>
                <w:szCs w:val="16"/>
              </w:rPr>
              <w:t xml:space="preserve"> Rúbrica.</w:t>
            </w:r>
          </w:p>
        </w:tc>
        <w:tc>
          <w:tcPr>
            <w:tcW w:w="4788" w:type="dxa"/>
            <w:hideMark/>
          </w:tcPr>
          <w:p w14:paraId="71551ED3" w14:textId="77777777" w:rsidR="00B709A9" w:rsidRDefault="00B709A9">
            <w:pPr>
              <w:pStyle w:val="Texto"/>
              <w:spacing w:after="50" w:line="276" w:lineRule="auto"/>
              <w:ind w:firstLine="0"/>
              <w:rPr>
                <w:rFonts w:ascii="Verdana" w:hAnsi="Verdana"/>
                <w:sz w:val="16"/>
                <w:szCs w:val="16"/>
                <w:lang w:val="en-US"/>
              </w:rPr>
            </w:pPr>
            <w:r>
              <w:rPr>
                <w:rFonts w:ascii="Verdana" w:hAnsi="Verdana"/>
                <w:sz w:val="16"/>
                <w:szCs w:val="16"/>
                <w:lang w:val="en-US"/>
              </w:rPr>
              <w:t xml:space="preserve">Mexico City, November 23, 2011.- The Undersecretary of Transport and President of the National Consultative Committee for the Standardization of Land Transport, </w:t>
            </w:r>
            <w:r>
              <w:rPr>
                <w:rFonts w:ascii="Verdana" w:hAnsi="Verdana"/>
                <w:b/>
                <w:bCs/>
                <w:sz w:val="16"/>
                <w:szCs w:val="16"/>
                <w:lang w:val="en-US"/>
              </w:rPr>
              <w:t xml:space="preserve">FELIPE DUARTE </w:t>
            </w:r>
            <w:proofErr w:type="gramStart"/>
            <w:r>
              <w:rPr>
                <w:rFonts w:ascii="Verdana" w:hAnsi="Verdana"/>
                <w:b/>
                <w:bCs/>
                <w:sz w:val="16"/>
                <w:szCs w:val="16"/>
                <w:lang w:val="en-US"/>
              </w:rPr>
              <w:t>OLVERA</w:t>
            </w:r>
            <w:r>
              <w:rPr>
                <w:rFonts w:ascii="Verdana" w:hAnsi="Verdana"/>
                <w:b/>
                <w:sz w:val="16"/>
                <w:szCs w:val="16"/>
                <w:lang w:val="en-US"/>
              </w:rPr>
              <w:t>.-</w:t>
            </w:r>
            <w:proofErr w:type="gramEnd"/>
            <w:r>
              <w:rPr>
                <w:rFonts w:ascii="Verdana" w:hAnsi="Verdana"/>
                <w:b/>
                <w:sz w:val="16"/>
                <w:szCs w:val="16"/>
                <w:lang w:val="en-US"/>
              </w:rPr>
              <w:t xml:space="preserve"> </w:t>
            </w:r>
            <w:r>
              <w:rPr>
                <w:rFonts w:ascii="Verdana" w:hAnsi="Verdana"/>
                <w:sz w:val="16"/>
                <w:szCs w:val="16"/>
                <w:lang w:val="en-US"/>
              </w:rPr>
              <w:t>Signed.</w:t>
            </w:r>
          </w:p>
        </w:tc>
      </w:tr>
      <w:tr w:rsidR="00B709A9" w14:paraId="4A085C42" w14:textId="77777777" w:rsidTr="00B709A9">
        <w:tc>
          <w:tcPr>
            <w:tcW w:w="4788" w:type="dxa"/>
            <w:hideMark/>
          </w:tcPr>
          <w:p w14:paraId="4F2D932B" w14:textId="77777777" w:rsidR="00B709A9" w:rsidRDefault="00B709A9">
            <w:pPr>
              <w:pStyle w:val="ANOTACION"/>
              <w:spacing w:line="276" w:lineRule="auto"/>
              <w:rPr>
                <w:rFonts w:ascii="Verdana" w:hAnsi="Verdana"/>
                <w:sz w:val="16"/>
                <w:szCs w:val="16"/>
              </w:rPr>
            </w:pPr>
            <w:r>
              <w:rPr>
                <w:rFonts w:ascii="Verdana" w:hAnsi="Verdana"/>
                <w:sz w:val="16"/>
                <w:szCs w:val="16"/>
              </w:rPr>
              <w:t>NORMA OFICIAL MEXICANA NOM-051-SCT2-2011 PARA EL TRANSPORTE TERRESTRE DE MATERIALES Y RESIDUOS PELIGROSOS ESPECIFICACIONES PARA LA CLASIFICACION DE LAS SUBSTANCIAS INFECCIOSAS Y ESPECIFICACIONES ESPECIALES Y ADICIONALES PARA LA CONSTRUCCION Y ENSAYO (PRUEBA) DE LOS ENVASES Y/O EMBALAJES QUE TRANSPORTEN SUBSTANCIAS INFECCIOSAS DE LA DIVISION 6.2, CATEGORIA “A”</w:t>
            </w:r>
          </w:p>
        </w:tc>
        <w:tc>
          <w:tcPr>
            <w:tcW w:w="4788" w:type="dxa"/>
            <w:hideMark/>
          </w:tcPr>
          <w:p w14:paraId="2273A832" w14:textId="77777777" w:rsidR="00B709A9" w:rsidRDefault="00B709A9">
            <w:pPr>
              <w:pStyle w:val="ANOTACION"/>
              <w:spacing w:line="276" w:lineRule="auto"/>
              <w:rPr>
                <w:rFonts w:ascii="Verdana" w:hAnsi="Verdana"/>
                <w:sz w:val="16"/>
                <w:szCs w:val="16"/>
                <w:lang w:val="en-US"/>
              </w:rPr>
            </w:pPr>
            <w:r>
              <w:rPr>
                <w:rFonts w:ascii="Verdana" w:hAnsi="Verdana"/>
                <w:sz w:val="16"/>
                <w:szCs w:val="16"/>
                <w:lang w:val="en-US"/>
              </w:rPr>
              <w:t>OFFICIAL MEXICAN STANDARD NOM-051-SCT2-2011 FOR THE LAND TRANSPORTATION OF HAZARDOUS MATERIALS AND WASTES SPECIFICATIONS FOR THE CLASSIFICATION OF INFECTIOUS SUBSTANCES AND SPECIAL AND ADDITIONAL SPECIFICATIONS FOR THE CONSTRUCTION AND TRIAL (TEST) OF CONTAINERS AND/OR PACKAGING THAT TRANSPORT SUBSTANCES INFECTIOUS DIVISION 6.2, CATEGORY “A”</w:t>
            </w:r>
          </w:p>
        </w:tc>
      </w:tr>
      <w:tr w:rsidR="00B709A9" w14:paraId="5B43397B" w14:textId="77777777" w:rsidTr="00B709A9">
        <w:tc>
          <w:tcPr>
            <w:tcW w:w="4788" w:type="dxa"/>
            <w:hideMark/>
          </w:tcPr>
          <w:p w14:paraId="3DC81E80" w14:textId="77777777" w:rsidR="00B709A9" w:rsidRDefault="00B709A9">
            <w:pPr>
              <w:pStyle w:val="ANOTACION"/>
              <w:spacing w:line="276" w:lineRule="auto"/>
              <w:rPr>
                <w:rFonts w:ascii="Verdana" w:hAnsi="Verdana"/>
                <w:sz w:val="16"/>
                <w:szCs w:val="16"/>
              </w:rPr>
            </w:pPr>
            <w:r>
              <w:rPr>
                <w:rFonts w:ascii="Verdana" w:hAnsi="Verdana"/>
                <w:sz w:val="16"/>
                <w:szCs w:val="16"/>
              </w:rPr>
              <w:t>PREFACIO</w:t>
            </w:r>
          </w:p>
        </w:tc>
        <w:tc>
          <w:tcPr>
            <w:tcW w:w="4788" w:type="dxa"/>
            <w:hideMark/>
          </w:tcPr>
          <w:p w14:paraId="4146FC20" w14:textId="77777777" w:rsidR="00B709A9" w:rsidRDefault="00B709A9">
            <w:pPr>
              <w:pStyle w:val="ANOTACION"/>
              <w:spacing w:line="276" w:lineRule="auto"/>
              <w:rPr>
                <w:rFonts w:ascii="Verdana" w:hAnsi="Verdana"/>
                <w:sz w:val="16"/>
                <w:szCs w:val="16"/>
                <w:lang w:val="en-US"/>
              </w:rPr>
            </w:pPr>
            <w:r>
              <w:rPr>
                <w:rFonts w:ascii="Verdana" w:hAnsi="Verdana"/>
                <w:sz w:val="16"/>
                <w:szCs w:val="16"/>
                <w:lang w:val="en-US"/>
              </w:rPr>
              <w:t>PREFACE</w:t>
            </w:r>
          </w:p>
        </w:tc>
      </w:tr>
      <w:tr w:rsidR="00B709A9" w14:paraId="571CB09F" w14:textId="77777777" w:rsidTr="00B709A9">
        <w:tc>
          <w:tcPr>
            <w:tcW w:w="4788" w:type="dxa"/>
            <w:hideMark/>
          </w:tcPr>
          <w:p w14:paraId="3D010611" w14:textId="77777777" w:rsidR="00B709A9" w:rsidRDefault="00B709A9">
            <w:pPr>
              <w:pStyle w:val="Texto"/>
              <w:spacing w:line="276" w:lineRule="auto"/>
              <w:ind w:firstLine="0"/>
              <w:rPr>
                <w:rFonts w:ascii="Verdana" w:hAnsi="Verdana"/>
                <w:sz w:val="16"/>
                <w:szCs w:val="16"/>
              </w:rPr>
            </w:pPr>
            <w:r>
              <w:rPr>
                <w:rFonts w:ascii="Verdana" w:hAnsi="Verdana"/>
                <w:sz w:val="16"/>
                <w:szCs w:val="16"/>
              </w:rPr>
              <w:t>En la elaboración de esta Norma Oficial Mexicana participaron:</w:t>
            </w:r>
          </w:p>
        </w:tc>
        <w:tc>
          <w:tcPr>
            <w:tcW w:w="4788" w:type="dxa"/>
            <w:hideMark/>
          </w:tcPr>
          <w:p w14:paraId="6B52809B"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In the preparation of this Official Mexican Standard the following participated:</w:t>
            </w:r>
          </w:p>
        </w:tc>
      </w:tr>
      <w:tr w:rsidR="00B709A9" w14:paraId="1459474A" w14:textId="77777777" w:rsidTr="00B709A9">
        <w:tc>
          <w:tcPr>
            <w:tcW w:w="4788" w:type="dxa"/>
            <w:hideMark/>
          </w:tcPr>
          <w:p w14:paraId="02B09669" w14:textId="77777777" w:rsidR="00B709A9" w:rsidRDefault="00B709A9">
            <w:pPr>
              <w:pStyle w:val="Texto"/>
              <w:spacing w:line="276" w:lineRule="auto"/>
              <w:ind w:firstLine="0"/>
              <w:rPr>
                <w:rFonts w:ascii="Verdana" w:hAnsi="Verdana"/>
                <w:sz w:val="16"/>
                <w:szCs w:val="16"/>
              </w:rPr>
            </w:pPr>
            <w:r>
              <w:rPr>
                <w:rFonts w:ascii="Verdana" w:hAnsi="Verdana"/>
                <w:sz w:val="16"/>
                <w:szCs w:val="16"/>
              </w:rPr>
              <w:t>SECRETARIA DE COMUNICACIONES Y TRANSPORTES.</w:t>
            </w:r>
          </w:p>
        </w:tc>
        <w:tc>
          <w:tcPr>
            <w:tcW w:w="4788" w:type="dxa"/>
            <w:hideMark/>
          </w:tcPr>
          <w:p w14:paraId="4B86FB08"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SECRETARY OF COMMUNICATIONS AND TRANSPORTATION.</w:t>
            </w:r>
          </w:p>
        </w:tc>
      </w:tr>
      <w:tr w:rsidR="00B709A9" w14:paraId="5F5ED9FD" w14:textId="77777777" w:rsidTr="00B709A9">
        <w:tc>
          <w:tcPr>
            <w:tcW w:w="4788" w:type="dxa"/>
            <w:hideMark/>
          </w:tcPr>
          <w:p w14:paraId="4010A325"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DIRECCION GENERAL DE AUTOTRANSPORTE FEDERAL.</w:t>
            </w:r>
          </w:p>
        </w:tc>
        <w:tc>
          <w:tcPr>
            <w:tcW w:w="4788" w:type="dxa"/>
            <w:hideMark/>
          </w:tcPr>
          <w:p w14:paraId="594FA44C"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GENERAL DIRECTORATE OF FEDERAL MOTOR TRANSPORT.</w:t>
            </w:r>
          </w:p>
        </w:tc>
      </w:tr>
      <w:tr w:rsidR="00B709A9" w14:paraId="446DE1F6" w14:textId="77777777" w:rsidTr="00B709A9">
        <w:tc>
          <w:tcPr>
            <w:tcW w:w="4788" w:type="dxa"/>
            <w:hideMark/>
          </w:tcPr>
          <w:p w14:paraId="54DDABB5"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DIRECCION GENERAL DE TRANSPORTE FERROVIARIO Y MULTIMODAL.</w:t>
            </w:r>
          </w:p>
        </w:tc>
        <w:tc>
          <w:tcPr>
            <w:tcW w:w="4788" w:type="dxa"/>
            <w:hideMark/>
          </w:tcPr>
          <w:p w14:paraId="57110EB4"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GENERAL DIRECTORATE OF RAILWAY AND MULTIMODAL TRANSPORT.</w:t>
            </w:r>
          </w:p>
        </w:tc>
      </w:tr>
      <w:tr w:rsidR="00B709A9" w14:paraId="4A3F7E15" w14:textId="77777777" w:rsidTr="00B709A9">
        <w:tc>
          <w:tcPr>
            <w:tcW w:w="4788" w:type="dxa"/>
            <w:hideMark/>
          </w:tcPr>
          <w:p w14:paraId="46827AA6"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INSTITUTO MEXICANO DEL TRANSPORTE.</w:t>
            </w:r>
          </w:p>
        </w:tc>
        <w:tc>
          <w:tcPr>
            <w:tcW w:w="4788" w:type="dxa"/>
            <w:hideMark/>
          </w:tcPr>
          <w:p w14:paraId="16A81BCE"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MEXICAN INSTITUTE OF TRANSPORTATION.</w:t>
            </w:r>
          </w:p>
        </w:tc>
      </w:tr>
      <w:tr w:rsidR="00B709A9" w14:paraId="34D8F007" w14:textId="77777777" w:rsidTr="00B709A9">
        <w:tc>
          <w:tcPr>
            <w:tcW w:w="4788" w:type="dxa"/>
            <w:hideMark/>
          </w:tcPr>
          <w:p w14:paraId="00D4DA14" w14:textId="77777777" w:rsidR="00B709A9" w:rsidRDefault="00B709A9">
            <w:pPr>
              <w:pStyle w:val="Texto"/>
              <w:spacing w:line="276" w:lineRule="auto"/>
              <w:ind w:firstLine="0"/>
              <w:rPr>
                <w:rFonts w:ascii="Verdana" w:hAnsi="Verdana"/>
                <w:sz w:val="16"/>
                <w:szCs w:val="16"/>
              </w:rPr>
            </w:pPr>
            <w:r>
              <w:rPr>
                <w:rFonts w:ascii="Verdana" w:hAnsi="Verdana"/>
                <w:sz w:val="16"/>
                <w:szCs w:val="16"/>
              </w:rPr>
              <w:t>FIDEICOMISO DE FORMACION Y CAPACITACION PARA EL PERSONAL DE LA MARINA MERCANTE NACIONAL (FIDENA).</w:t>
            </w:r>
          </w:p>
        </w:tc>
        <w:tc>
          <w:tcPr>
            <w:tcW w:w="4788" w:type="dxa"/>
            <w:hideMark/>
          </w:tcPr>
          <w:p w14:paraId="00BEDAB5"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 xml:space="preserve">TRUST FOR THE FORMATION AND QUALIFICATION </w:t>
            </w:r>
            <w:proofErr w:type="gramStart"/>
            <w:r>
              <w:rPr>
                <w:rFonts w:ascii="Verdana" w:hAnsi="Verdana"/>
                <w:sz w:val="16"/>
                <w:szCs w:val="16"/>
                <w:lang w:val="en-US"/>
              </w:rPr>
              <w:t>FOR  NATIONAL</w:t>
            </w:r>
            <w:proofErr w:type="gramEnd"/>
            <w:r>
              <w:rPr>
                <w:rFonts w:ascii="Verdana" w:hAnsi="Verdana"/>
                <w:sz w:val="16"/>
                <w:szCs w:val="16"/>
                <w:lang w:val="en-US"/>
              </w:rPr>
              <w:t xml:space="preserve"> MERCHANT MARINE PERSONNEL (FIDENA).</w:t>
            </w:r>
          </w:p>
        </w:tc>
      </w:tr>
      <w:tr w:rsidR="00B709A9" w14:paraId="748ACA4A" w14:textId="77777777" w:rsidTr="00B709A9">
        <w:tc>
          <w:tcPr>
            <w:tcW w:w="4788" w:type="dxa"/>
            <w:hideMark/>
          </w:tcPr>
          <w:p w14:paraId="017D0A35" w14:textId="77777777" w:rsidR="00B709A9" w:rsidRDefault="00B709A9">
            <w:pPr>
              <w:pStyle w:val="Texto"/>
              <w:spacing w:line="276" w:lineRule="auto"/>
              <w:ind w:firstLine="0"/>
              <w:rPr>
                <w:rFonts w:ascii="Verdana" w:hAnsi="Verdana"/>
                <w:sz w:val="16"/>
                <w:szCs w:val="16"/>
              </w:rPr>
            </w:pPr>
            <w:r>
              <w:rPr>
                <w:rFonts w:ascii="Verdana" w:hAnsi="Verdana"/>
                <w:sz w:val="16"/>
                <w:szCs w:val="16"/>
              </w:rPr>
              <w:t>SECRETARIA DE GOBERNACION.</w:t>
            </w:r>
          </w:p>
        </w:tc>
        <w:tc>
          <w:tcPr>
            <w:tcW w:w="4788" w:type="dxa"/>
            <w:hideMark/>
          </w:tcPr>
          <w:p w14:paraId="34FD4D49"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SECRETARY OF GOVERNMENT.</w:t>
            </w:r>
          </w:p>
        </w:tc>
      </w:tr>
      <w:tr w:rsidR="00B709A9" w14:paraId="6AA8251C" w14:textId="77777777" w:rsidTr="00B709A9">
        <w:tc>
          <w:tcPr>
            <w:tcW w:w="4788" w:type="dxa"/>
            <w:hideMark/>
          </w:tcPr>
          <w:p w14:paraId="0B7F61A3"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DIRECCION GENERAL DE PROTECCION CIVIL.</w:t>
            </w:r>
          </w:p>
        </w:tc>
        <w:tc>
          <w:tcPr>
            <w:tcW w:w="4788" w:type="dxa"/>
            <w:hideMark/>
          </w:tcPr>
          <w:p w14:paraId="30D15B4B"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GENERAL DIRECTORATE OF CIVIL PROTECTION.</w:t>
            </w:r>
          </w:p>
        </w:tc>
      </w:tr>
      <w:tr w:rsidR="00B709A9" w14:paraId="0A791766" w14:textId="77777777" w:rsidTr="00B709A9">
        <w:tc>
          <w:tcPr>
            <w:tcW w:w="4788" w:type="dxa"/>
            <w:hideMark/>
          </w:tcPr>
          <w:p w14:paraId="4FA48D58"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CENTRO NACIONAL DE PREVENCION DE DESASTRES.</w:t>
            </w:r>
          </w:p>
        </w:tc>
        <w:tc>
          <w:tcPr>
            <w:tcW w:w="4788" w:type="dxa"/>
            <w:hideMark/>
          </w:tcPr>
          <w:p w14:paraId="76CF5191"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NATIONAL CENTER FOR DISASTER PREVENTION.</w:t>
            </w:r>
          </w:p>
        </w:tc>
      </w:tr>
      <w:tr w:rsidR="00B709A9" w14:paraId="34D74847" w14:textId="77777777" w:rsidTr="00B709A9">
        <w:tc>
          <w:tcPr>
            <w:tcW w:w="4788" w:type="dxa"/>
            <w:hideMark/>
          </w:tcPr>
          <w:p w14:paraId="628350EF" w14:textId="77777777" w:rsidR="00B709A9" w:rsidRDefault="00B709A9">
            <w:pPr>
              <w:pStyle w:val="Texto"/>
              <w:spacing w:line="276" w:lineRule="auto"/>
              <w:ind w:firstLine="0"/>
              <w:rPr>
                <w:rFonts w:ascii="Verdana" w:hAnsi="Verdana"/>
                <w:sz w:val="16"/>
                <w:szCs w:val="16"/>
              </w:rPr>
            </w:pPr>
            <w:r>
              <w:rPr>
                <w:rFonts w:ascii="Verdana" w:hAnsi="Verdana"/>
                <w:sz w:val="16"/>
                <w:szCs w:val="16"/>
              </w:rPr>
              <w:t>CENTRO DE INVESTIGACION Y SEGURIDAD NACIONAL (CISEN).</w:t>
            </w:r>
          </w:p>
        </w:tc>
        <w:tc>
          <w:tcPr>
            <w:tcW w:w="4788" w:type="dxa"/>
            <w:hideMark/>
          </w:tcPr>
          <w:p w14:paraId="62C4D975"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CENTER FOR INVESTIGATION AND NATIONAL SECURITY (CISEN).</w:t>
            </w:r>
          </w:p>
        </w:tc>
      </w:tr>
      <w:tr w:rsidR="00B709A9" w14:paraId="2884DE25" w14:textId="77777777" w:rsidTr="00B709A9">
        <w:tc>
          <w:tcPr>
            <w:tcW w:w="4788" w:type="dxa"/>
            <w:hideMark/>
          </w:tcPr>
          <w:p w14:paraId="41FC9F6A" w14:textId="77777777" w:rsidR="00B709A9" w:rsidRDefault="00B709A9">
            <w:pPr>
              <w:pStyle w:val="Texto"/>
              <w:spacing w:line="276" w:lineRule="auto"/>
              <w:ind w:firstLine="0"/>
              <w:rPr>
                <w:rFonts w:ascii="Verdana" w:hAnsi="Verdana"/>
                <w:sz w:val="16"/>
                <w:szCs w:val="16"/>
              </w:rPr>
            </w:pPr>
            <w:r>
              <w:rPr>
                <w:rFonts w:ascii="Verdana" w:hAnsi="Verdana"/>
                <w:sz w:val="16"/>
                <w:szCs w:val="16"/>
              </w:rPr>
              <w:t>SECRETARIA DE SEGURIDAD PUBLICA.</w:t>
            </w:r>
          </w:p>
        </w:tc>
        <w:tc>
          <w:tcPr>
            <w:tcW w:w="4788" w:type="dxa"/>
            <w:hideMark/>
          </w:tcPr>
          <w:p w14:paraId="137C7443"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DEPARTMENT OF PUBLIC SECURITY.</w:t>
            </w:r>
          </w:p>
        </w:tc>
      </w:tr>
      <w:tr w:rsidR="00B709A9" w14:paraId="3AD892BF" w14:textId="77777777" w:rsidTr="00B709A9">
        <w:tc>
          <w:tcPr>
            <w:tcW w:w="4788" w:type="dxa"/>
            <w:hideMark/>
          </w:tcPr>
          <w:p w14:paraId="0C4B06F0" w14:textId="77777777" w:rsidR="00B709A9" w:rsidRDefault="00B709A9">
            <w:pPr>
              <w:pStyle w:val="Texto"/>
              <w:spacing w:line="276" w:lineRule="auto"/>
              <w:ind w:firstLine="0"/>
              <w:rPr>
                <w:rFonts w:ascii="Verdana" w:hAnsi="Verdana"/>
                <w:sz w:val="16"/>
                <w:szCs w:val="16"/>
              </w:rPr>
            </w:pPr>
            <w:r>
              <w:rPr>
                <w:rFonts w:ascii="Verdana" w:hAnsi="Verdana"/>
                <w:sz w:val="16"/>
                <w:szCs w:val="16"/>
              </w:rPr>
              <w:t>POLICIA FEDERAL.</w:t>
            </w:r>
          </w:p>
        </w:tc>
        <w:tc>
          <w:tcPr>
            <w:tcW w:w="4788" w:type="dxa"/>
            <w:hideMark/>
          </w:tcPr>
          <w:p w14:paraId="3555E254"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FEDERAL POLICE.</w:t>
            </w:r>
          </w:p>
        </w:tc>
      </w:tr>
      <w:tr w:rsidR="00B709A9" w14:paraId="66E31E16" w14:textId="77777777" w:rsidTr="00B709A9">
        <w:tc>
          <w:tcPr>
            <w:tcW w:w="4788" w:type="dxa"/>
            <w:hideMark/>
          </w:tcPr>
          <w:p w14:paraId="21828840" w14:textId="77777777" w:rsidR="00B709A9" w:rsidRDefault="00B709A9">
            <w:pPr>
              <w:pStyle w:val="Texto"/>
              <w:spacing w:line="276" w:lineRule="auto"/>
              <w:ind w:firstLine="0"/>
              <w:rPr>
                <w:rFonts w:ascii="Verdana" w:hAnsi="Verdana"/>
                <w:sz w:val="16"/>
                <w:szCs w:val="16"/>
              </w:rPr>
            </w:pPr>
            <w:r>
              <w:rPr>
                <w:rFonts w:ascii="Verdana" w:hAnsi="Verdana"/>
                <w:sz w:val="16"/>
                <w:szCs w:val="16"/>
              </w:rPr>
              <w:t>SECRETARIA DE MEDIO AMBIENTE Y RECURSOS NATURALES.</w:t>
            </w:r>
          </w:p>
        </w:tc>
        <w:tc>
          <w:tcPr>
            <w:tcW w:w="4788" w:type="dxa"/>
            <w:hideMark/>
          </w:tcPr>
          <w:p w14:paraId="27B1B114"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SECRETARY OF THE ENVIRONMENT AND NATURAL RESOURCES.</w:t>
            </w:r>
          </w:p>
        </w:tc>
      </w:tr>
      <w:tr w:rsidR="00B709A9" w14:paraId="19BD8C6F" w14:textId="77777777" w:rsidTr="00B709A9">
        <w:tc>
          <w:tcPr>
            <w:tcW w:w="4788" w:type="dxa"/>
            <w:hideMark/>
          </w:tcPr>
          <w:p w14:paraId="32061952"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DIRECCION GENERAL DE GESTION INTEGRAL DE MATERIALES Y ACTIVIDADES RIESGOSAS.</w:t>
            </w:r>
          </w:p>
        </w:tc>
        <w:tc>
          <w:tcPr>
            <w:tcW w:w="4788" w:type="dxa"/>
            <w:hideMark/>
          </w:tcPr>
          <w:p w14:paraId="2F0624C6"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GENERAL DIRECTORATE OF INTEGRAL MANAGEMENT OF MATERIALS AND RISKY ACTIVITIES.</w:t>
            </w:r>
          </w:p>
        </w:tc>
      </w:tr>
      <w:tr w:rsidR="00B709A9" w14:paraId="2552605B" w14:textId="77777777" w:rsidTr="00B709A9">
        <w:tc>
          <w:tcPr>
            <w:tcW w:w="4788" w:type="dxa"/>
            <w:hideMark/>
          </w:tcPr>
          <w:p w14:paraId="17C14343" w14:textId="77777777" w:rsidR="00B709A9" w:rsidRDefault="00B709A9">
            <w:pPr>
              <w:pStyle w:val="Texto"/>
              <w:spacing w:line="276" w:lineRule="auto"/>
              <w:ind w:firstLine="0"/>
              <w:rPr>
                <w:rFonts w:ascii="Verdana" w:hAnsi="Verdana"/>
                <w:sz w:val="16"/>
                <w:szCs w:val="16"/>
              </w:rPr>
            </w:pPr>
            <w:r>
              <w:rPr>
                <w:rFonts w:ascii="Verdana" w:hAnsi="Verdana"/>
                <w:sz w:val="16"/>
                <w:szCs w:val="16"/>
              </w:rPr>
              <w:t>DIRECCION GENERAL DE INDUSTRIA.</w:t>
            </w:r>
          </w:p>
        </w:tc>
        <w:tc>
          <w:tcPr>
            <w:tcW w:w="4788" w:type="dxa"/>
            <w:hideMark/>
          </w:tcPr>
          <w:p w14:paraId="6C3E1902"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GENERAL DIRECTORATE OF INDUSTRY.</w:t>
            </w:r>
          </w:p>
        </w:tc>
      </w:tr>
      <w:tr w:rsidR="00B709A9" w14:paraId="63BF54C5" w14:textId="77777777" w:rsidTr="00B709A9">
        <w:tc>
          <w:tcPr>
            <w:tcW w:w="4788" w:type="dxa"/>
            <w:hideMark/>
          </w:tcPr>
          <w:p w14:paraId="64475BFF" w14:textId="77777777" w:rsidR="00B709A9" w:rsidRDefault="00B709A9">
            <w:pPr>
              <w:pStyle w:val="Texto"/>
              <w:spacing w:line="276" w:lineRule="auto"/>
              <w:ind w:firstLine="0"/>
              <w:rPr>
                <w:rFonts w:ascii="Verdana" w:hAnsi="Verdana"/>
                <w:sz w:val="16"/>
                <w:szCs w:val="16"/>
              </w:rPr>
            </w:pPr>
            <w:r>
              <w:rPr>
                <w:rFonts w:ascii="Verdana" w:hAnsi="Verdana"/>
                <w:sz w:val="16"/>
                <w:szCs w:val="16"/>
              </w:rPr>
              <w:t>SECRETARIA DE LA DEFENSA NACIONAL.</w:t>
            </w:r>
          </w:p>
        </w:tc>
        <w:tc>
          <w:tcPr>
            <w:tcW w:w="4788" w:type="dxa"/>
            <w:hideMark/>
          </w:tcPr>
          <w:p w14:paraId="20A136C8"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SECRETARY OF NATIONAL DEFENSE.</w:t>
            </w:r>
          </w:p>
        </w:tc>
      </w:tr>
      <w:tr w:rsidR="00B709A9" w14:paraId="412EBB0F" w14:textId="77777777" w:rsidTr="00B709A9">
        <w:tc>
          <w:tcPr>
            <w:tcW w:w="4788" w:type="dxa"/>
            <w:hideMark/>
          </w:tcPr>
          <w:p w14:paraId="3E23F9A9"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DIRECCION GENERAL DEL REGISTRO FEDERAL DE ARMAS DE FUEGO Y CONTROL DE EXPLOSIVOS.</w:t>
            </w:r>
          </w:p>
        </w:tc>
        <w:tc>
          <w:tcPr>
            <w:tcW w:w="4788" w:type="dxa"/>
            <w:hideMark/>
          </w:tcPr>
          <w:p w14:paraId="052D980C"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GENERAL DIRECTORATE OF THE FEDERAL REGISTRY OF FIREARMS AND EXPLOSIVES CONTROL.</w:t>
            </w:r>
          </w:p>
        </w:tc>
      </w:tr>
      <w:tr w:rsidR="00B709A9" w14:paraId="36E97B80" w14:textId="77777777" w:rsidTr="00B709A9">
        <w:tc>
          <w:tcPr>
            <w:tcW w:w="4788" w:type="dxa"/>
            <w:hideMark/>
          </w:tcPr>
          <w:p w14:paraId="38CAF8DB"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DIRECCION GENERAL DE INDUSTRIA MILITAR.</w:t>
            </w:r>
          </w:p>
        </w:tc>
        <w:tc>
          <w:tcPr>
            <w:tcW w:w="4788" w:type="dxa"/>
            <w:hideMark/>
          </w:tcPr>
          <w:p w14:paraId="5DB9AB32"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GENERAL DIRECTORATE OF MILITARY INDUSTRY.</w:t>
            </w:r>
          </w:p>
        </w:tc>
      </w:tr>
      <w:tr w:rsidR="00B709A9" w14:paraId="356B22C9" w14:textId="77777777" w:rsidTr="00B709A9">
        <w:tc>
          <w:tcPr>
            <w:tcW w:w="4788" w:type="dxa"/>
            <w:hideMark/>
          </w:tcPr>
          <w:p w14:paraId="3633AB47" w14:textId="77777777" w:rsidR="00B709A9" w:rsidRDefault="00B709A9">
            <w:pPr>
              <w:pStyle w:val="Texto"/>
              <w:spacing w:line="276" w:lineRule="auto"/>
              <w:ind w:firstLine="0"/>
              <w:rPr>
                <w:rFonts w:ascii="Verdana" w:hAnsi="Verdana"/>
                <w:sz w:val="16"/>
                <w:szCs w:val="16"/>
              </w:rPr>
            </w:pPr>
            <w:r>
              <w:rPr>
                <w:rFonts w:ascii="Verdana" w:hAnsi="Verdana"/>
                <w:sz w:val="16"/>
                <w:szCs w:val="16"/>
              </w:rPr>
              <w:t>DIRECCION GENERAL DE MATERIALES DE GUERRA.</w:t>
            </w:r>
          </w:p>
        </w:tc>
        <w:tc>
          <w:tcPr>
            <w:tcW w:w="4788" w:type="dxa"/>
            <w:hideMark/>
          </w:tcPr>
          <w:p w14:paraId="773E8B19"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GENERAL DIRECTORATE OF WAR MATERIALS.</w:t>
            </w:r>
          </w:p>
        </w:tc>
      </w:tr>
      <w:tr w:rsidR="00B709A9" w14:paraId="31B2809D" w14:textId="77777777" w:rsidTr="00B709A9">
        <w:tc>
          <w:tcPr>
            <w:tcW w:w="4788" w:type="dxa"/>
            <w:hideMark/>
          </w:tcPr>
          <w:p w14:paraId="6A2257A7" w14:textId="77777777" w:rsidR="00B709A9" w:rsidRDefault="00B709A9">
            <w:pPr>
              <w:pStyle w:val="Texto"/>
              <w:spacing w:line="276" w:lineRule="auto"/>
              <w:ind w:firstLine="0"/>
              <w:rPr>
                <w:rFonts w:ascii="Verdana" w:hAnsi="Verdana"/>
                <w:sz w:val="16"/>
                <w:szCs w:val="16"/>
              </w:rPr>
            </w:pPr>
            <w:r>
              <w:rPr>
                <w:rFonts w:ascii="Verdana" w:hAnsi="Verdana"/>
                <w:sz w:val="16"/>
                <w:szCs w:val="16"/>
              </w:rPr>
              <w:lastRenderedPageBreak/>
              <w:t>SECRETARIA DE ENERGIA.</w:t>
            </w:r>
          </w:p>
        </w:tc>
        <w:tc>
          <w:tcPr>
            <w:tcW w:w="4788" w:type="dxa"/>
            <w:hideMark/>
          </w:tcPr>
          <w:p w14:paraId="42898B51"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SECRETARY OF ENERGY.</w:t>
            </w:r>
          </w:p>
        </w:tc>
      </w:tr>
      <w:tr w:rsidR="00B709A9" w14:paraId="1B14F4B1" w14:textId="77777777" w:rsidTr="00B709A9">
        <w:tc>
          <w:tcPr>
            <w:tcW w:w="4788" w:type="dxa"/>
            <w:hideMark/>
          </w:tcPr>
          <w:p w14:paraId="27FCC6E0"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COMISION NACIONAL DE SEGURIDAD NUCLEAR Y SALVAGUARDIAS.</w:t>
            </w:r>
          </w:p>
        </w:tc>
        <w:tc>
          <w:tcPr>
            <w:tcW w:w="4788" w:type="dxa"/>
            <w:hideMark/>
          </w:tcPr>
          <w:p w14:paraId="27664FED"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NATIONAL COMMISSION ON NUCLEAR SAFETY AND SAFEGUARDS.</w:t>
            </w:r>
          </w:p>
        </w:tc>
      </w:tr>
      <w:tr w:rsidR="00B709A9" w14:paraId="2D3FF3D9" w14:textId="77777777" w:rsidTr="00B709A9">
        <w:tc>
          <w:tcPr>
            <w:tcW w:w="4788" w:type="dxa"/>
            <w:hideMark/>
          </w:tcPr>
          <w:p w14:paraId="0DFBE99E" w14:textId="77777777" w:rsidR="00B709A9" w:rsidRDefault="00B709A9">
            <w:pPr>
              <w:pStyle w:val="Texto"/>
              <w:spacing w:line="276" w:lineRule="auto"/>
              <w:ind w:firstLine="0"/>
              <w:rPr>
                <w:rFonts w:ascii="Verdana" w:hAnsi="Verdana"/>
                <w:sz w:val="16"/>
                <w:szCs w:val="16"/>
              </w:rPr>
            </w:pPr>
            <w:r>
              <w:rPr>
                <w:rFonts w:ascii="Verdana" w:hAnsi="Verdana"/>
                <w:sz w:val="16"/>
                <w:szCs w:val="16"/>
              </w:rPr>
              <w:t>DIRECCION GENERAL DE GAS L.P.</w:t>
            </w:r>
          </w:p>
        </w:tc>
        <w:tc>
          <w:tcPr>
            <w:tcW w:w="4788" w:type="dxa"/>
            <w:hideMark/>
          </w:tcPr>
          <w:p w14:paraId="143E1889"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GENERAL DIRECTORATE OF LP GAS</w:t>
            </w:r>
          </w:p>
        </w:tc>
      </w:tr>
      <w:tr w:rsidR="00B709A9" w14:paraId="39C5B574" w14:textId="77777777" w:rsidTr="00B709A9">
        <w:tc>
          <w:tcPr>
            <w:tcW w:w="4788" w:type="dxa"/>
            <w:hideMark/>
          </w:tcPr>
          <w:p w14:paraId="097A8887" w14:textId="77777777" w:rsidR="00B709A9" w:rsidRDefault="00B709A9">
            <w:pPr>
              <w:pStyle w:val="Texto"/>
              <w:spacing w:line="276" w:lineRule="auto"/>
              <w:ind w:firstLine="0"/>
              <w:rPr>
                <w:rFonts w:ascii="Verdana" w:hAnsi="Verdana"/>
                <w:sz w:val="16"/>
                <w:szCs w:val="16"/>
              </w:rPr>
            </w:pPr>
            <w:r>
              <w:rPr>
                <w:rFonts w:ascii="Verdana" w:hAnsi="Verdana"/>
                <w:sz w:val="16"/>
                <w:szCs w:val="16"/>
              </w:rPr>
              <w:t>SECRETARIA DE SALUD.</w:t>
            </w:r>
          </w:p>
        </w:tc>
        <w:tc>
          <w:tcPr>
            <w:tcW w:w="4788" w:type="dxa"/>
            <w:hideMark/>
          </w:tcPr>
          <w:p w14:paraId="3CD45B77"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SECRETARY OF HEALTH.</w:t>
            </w:r>
          </w:p>
        </w:tc>
      </w:tr>
      <w:tr w:rsidR="00B709A9" w14:paraId="7915FAC8" w14:textId="77777777" w:rsidTr="00B709A9">
        <w:tc>
          <w:tcPr>
            <w:tcW w:w="4788" w:type="dxa"/>
            <w:hideMark/>
          </w:tcPr>
          <w:p w14:paraId="70CEF915"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COMISION FEDERAL PARA LA PROTECCION CONTRA RIESGOS SANITARIOS.</w:t>
            </w:r>
          </w:p>
        </w:tc>
        <w:tc>
          <w:tcPr>
            <w:tcW w:w="4788" w:type="dxa"/>
            <w:hideMark/>
          </w:tcPr>
          <w:p w14:paraId="4F368194"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FEDERAL COMMISSION FOR PROTECTION AGAINST SANITARY RISKS.</w:t>
            </w:r>
          </w:p>
        </w:tc>
      </w:tr>
      <w:tr w:rsidR="00B709A9" w14:paraId="4E374663" w14:textId="77777777" w:rsidTr="00B709A9">
        <w:tc>
          <w:tcPr>
            <w:tcW w:w="4788" w:type="dxa"/>
            <w:hideMark/>
          </w:tcPr>
          <w:p w14:paraId="5B42B9B3" w14:textId="77777777" w:rsidR="00B709A9" w:rsidRDefault="00B709A9">
            <w:pPr>
              <w:pStyle w:val="Texto"/>
              <w:spacing w:line="276" w:lineRule="auto"/>
              <w:ind w:firstLine="0"/>
              <w:rPr>
                <w:rFonts w:ascii="Verdana" w:hAnsi="Verdana"/>
                <w:sz w:val="16"/>
                <w:szCs w:val="16"/>
              </w:rPr>
            </w:pPr>
            <w:r>
              <w:rPr>
                <w:rFonts w:ascii="Verdana" w:hAnsi="Verdana"/>
                <w:sz w:val="16"/>
                <w:szCs w:val="16"/>
              </w:rPr>
              <w:t>COMISION DE EVIDENCIA Y MANEJO DE RIESGOS.</w:t>
            </w:r>
          </w:p>
        </w:tc>
        <w:tc>
          <w:tcPr>
            <w:tcW w:w="4788" w:type="dxa"/>
            <w:hideMark/>
          </w:tcPr>
          <w:p w14:paraId="29DAE95C"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EVIDENCE AND RISK MANAGEMENT COMMISSION.</w:t>
            </w:r>
          </w:p>
        </w:tc>
      </w:tr>
      <w:tr w:rsidR="00B709A9" w14:paraId="6E7B27D6" w14:textId="77777777" w:rsidTr="00B709A9">
        <w:tc>
          <w:tcPr>
            <w:tcW w:w="4788" w:type="dxa"/>
            <w:hideMark/>
          </w:tcPr>
          <w:p w14:paraId="3994273F" w14:textId="77777777" w:rsidR="00B709A9" w:rsidRDefault="00B709A9">
            <w:pPr>
              <w:pStyle w:val="Texto"/>
              <w:spacing w:line="276" w:lineRule="auto"/>
              <w:ind w:firstLine="0"/>
              <w:rPr>
                <w:rFonts w:ascii="Verdana" w:hAnsi="Verdana"/>
                <w:sz w:val="16"/>
                <w:szCs w:val="16"/>
              </w:rPr>
            </w:pPr>
            <w:r>
              <w:rPr>
                <w:rFonts w:ascii="Verdana" w:hAnsi="Verdana"/>
                <w:sz w:val="16"/>
                <w:szCs w:val="16"/>
              </w:rPr>
              <w:t>PETROLEOS MEXICANOS.</w:t>
            </w:r>
          </w:p>
        </w:tc>
        <w:tc>
          <w:tcPr>
            <w:tcW w:w="4788" w:type="dxa"/>
            <w:hideMark/>
          </w:tcPr>
          <w:p w14:paraId="03B26937"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PEMEX</w:t>
            </w:r>
          </w:p>
        </w:tc>
      </w:tr>
      <w:tr w:rsidR="00B709A9" w14:paraId="23BD82AC" w14:textId="77777777" w:rsidTr="00B709A9">
        <w:tc>
          <w:tcPr>
            <w:tcW w:w="4788" w:type="dxa"/>
            <w:hideMark/>
          </w:tcPr>
          <w:p w14:paraId="05B43A2D" w14:textId="77777777" w:rsidR="00B709A9" w:rsidRDefault="00B709A9">
            <w:pPr>
              <w:pStyle w:val="Texto"/>
              <w:spacing w:line="276" w:lineRule="auto"/>
              <w:ind w:firstLine="0"/>
              <w:rPr>
                <w:rFonts w:ascii="Verdana" w:hAnsi="Verdana"/>
                <w:sz w:val="16"/>
                <w:szCs w:val="16"/>
              </w:rPr>
            </w:pPr>
            <w:r>
              <w:rPr>
                <w:rFonts w:ascii="Verdana" w:hAnsi="Verdana"/>
                <w:sz w:val="16"/>
                <w:szCs w:val="16"/>
              </w:rPr>
              <w:t>PEMEX-REFINACION.</w:t>
            </w:r>
          </w:p>
        </w:tc>
        <w:tc>
          <w:tcPr>
            <w:tcW w:w="4788" w:type="dxa"/>
            <w:hideMark/>
          </w:tcPr>
          <w:p w14:paraId="6E288685"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PEMEX-REFINING.</w:t>
            </w:r>
          </w:p>
        </w:tc>
      </w:tr>
      <w:tr w:rsidR="00B709A9" w14:paraId="537CF006" w14:textId="77777777" w:rsidTr="00B709A9">
        <w:tc>
          <w:tcPr>
            <w:tcW w:w="4788" w:type="dxa"/>
            <w:hideMark/>
          </w:tcPr>
          <w:p w14:paraId="384AB8C2" w14:textId="77777777" w:rsidR="00B709A9" w:rsidRDefault="00B709A9">
            <w:pPr>
              <w:pStyle w:val="Texto"/>
              <w:spacing w:line="276" w:lineRule="auto"/>
              <w:ind w:firstLine="0"/>
              <w:rPr>
                <w:rFonts w:ascii="Verdana" w:hAnsi="Verdana"/>
                <w:sz w:val="16"/>
                <w:szCs w:val="16"/>
              </w:rPr>
            </w:pPr>
            <w:r>
              <w:rPr>
                <w:rFonts w:ascii="Verdana" w:hAnsi="Verdana"/>
                <w:sz w:val="16"/>
                <w:szCs w:val="16"/>
              </w:rPr>
              <w:t>UNIVERSIDAD NACIONAL AUTONOMA DE MEXICO.</w:t>
            </w:r>
          </w:p>
        </w:tc>
        <w:tc>
          <w:tcPr>
            <w:tcW w:w="4788" w:type="dxa"/>
            <w:hideMark/>
          </w:tcPr>
          <w:p w14:paraId="259EADC4"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AUTONOMOUS UNIVERSITY OF MEXICO.</w:t>
            </w:r>
          </w:p>
        </w:tc>
      </w:tr>
      <w:tr w:rsidR="00B709A9" w14:paraId="3771F1D6" w14:textId="77777777" w:rsidTr="00B709A9">
        <w:tc>
          <w:tcPr>
            <w:tcW w:w="4788" w:type="dxa"/>
            <w:hideMark/>
          </w:tcPr>
          <w:p w14:paraId="7B10FC61" w14:textId="77777777" w:rsidR="00B709A9" w:rsidRDefault="00B709A9">
            <w:pPr>
              <w:pStyle w:val="Texto"/>
              <w:spacing w:after="0" w:line="276" w:lineRule="auto"/>
              <w:ind w:firstLine="0"/>
              <w:rPr>
                <w:rFonts w:ascii="Verdana" w:hAnsi="Verdana"/>
                <w:sz w:val="16"/>
                <w:szCs w:val="16"/>
              </w:rPr>
            </w:pPr>
            <w:r>
              <w:rPr>
                <w:rFonts w:ascii="Verdana" w:hAnsi="Verdana"/>
                <w:sz w:val="16"/>
                <w:szCs w:val="16"/>
              </w:rPr>
              <w:t>FACULTAD DE INGENIERIA, DIVISION DE INGENIERIA CIVIL Y GEOMATICA.</w:t>
            </w:r>
          </w:p>
        </w:tc>
        <w:tc>
          <w:tcPr>
            <w:tcW w:w="4788" w:type="dxa"/>
            <w:hideMark/>
          </w:tcPr>
          <w:p w14:paraId="55AF0C26" w14:textId="77777777" w:rsidR="00B709A9" w:rsidRDefault="00B709A9">
            <w:pPr>
              <w:pStyle w:val="Texto"/>
              <w:spacing w:after="0" w:line="276" w:lineRule="auto"/>
              <w:ind w:firstLine="0"/>
              <w:rPr>
                <w:rFonts w:ascii="Verdana" w:hAnsi="Verdana"/>
                <w:sz w:val="16"/>
                <w:szCs w:val="16"/>
                <w:lang w:val="en-US"/>
              </w:rPr>
            </w:pPr>
            <w:r>
              <w:rPr>
                <w:rFonts w:ascii="Verdana" w:hAnsi="Verdana"/>
                <w:sz w:val="16"/>
                <w:szCs w:val="16"/>
                <w:lang w:val="en-US"/>
              </w:rPr>
              <w:t>FACULTY OF ENGINEERING, DIVISION OF CIVIL AND GEOMATIC ENGINEERING.</w:t>
            </w:r>
          </w:p>
        </w:tc>
      </w:tr>
      <w:tr w:rsidR="00B709A9" w14:paraId="51E94566" w14:textId="77777777" w:rsidTr="00B709A9">
        <w:tc>
          <w:tcPr>
            <w:tcW w:w="4788" w:type="dxa"/>
            <w:hideMark/>
          </w:tcPr>
          <w:p w14:paraId="29576507" w14:textId="77777777" w:rsidR="00B709A9" w:rsidRDefault="00B709A9">
            <w:pPr>
              <w:pStyle w:val="Texto"/>
              <w:spacing w:line="276" w:lineRule="auto"/>
              <w:ind w:firstLine="0"/>
              <w:rPr>
                <w:rFonts w:ascii="Verdana" w:hAnsi="Verdana"/>
                <w:sz w:val="16"/>
                <w:szCs w:val="16"/>
              </w:rPr>
            </w:pPr>
            <w:r>
              <w:rPr>
                <w:rFonts w:ascii="Verdana" w:hAnsi="Verdana"/>
                <w:sz w:val="16"/>
                <w:szCs w:val="16"/>
              </w:rPr>
              <w:t>FACULTAD DE QUIMICA, COORDINACION DE EDUCACION CONTINUA.</w:t>
            </w:r>
          </w:p>
        </w:tc>
        <w:tc>
          <w:tcPr>
            <w:tcW w:w="4788" w:type="dxa"/>
            <w:hideMark/>
          </w:tcPr>
          <w:p w14:paraId="18CB7F8F"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FACULTY OF CHEMISTRY, COORDINATION OF CONTINUING EDUCATION.</w:t>
            </w:r>
          </w:p>
        </w:tc>
      </w:tr>
      <w:tr w:rsidR="00B709A9" w14:paraId="59E7CC83" w14:textId="77777777" w:rsidTr="00B709A9">
        <w:tc>
          <w:tcPr>
            <w:tcW w:w="4788" w:type="dxa"/>
            <w:hideMark/>
          </w:tcPr>
          <w:p w14:paraId="7D183996" w14:textId="77777777" w:rsidR="00B709A9" w:rsidRDefault="00B709A9">
            <w:pPr>
              <w:pStyle w:val="Texto"/>
              <w:spacing w:line="276" w:lineRule="auto"/>
              <w:ind w:firstLine="0"/>
              <w:rPr>
                <w:rFonts w:ascii="Verdana" w:hAnsi="Verdana"/>
                <w:sz w:val="16"/>
                <w:szCs w:val="16"/>
              </w:rPr>
            </w:pPr>
            <w:r>
              <w:rPr>
                <w:rFonts w:ascii="Verdana" w:hAnsi="Verdana"/>
                <w:sz w:val="16"/>
                <w:szCs w:val="16"/>
              </w:rPr>
              <w:t>INSTITUTO TECNOLOGICO DE TLALNEPANTLA.</w:t>
            </w:r>
          </w:p>
        </w:tc>
        <w:tc>
          <w:tcPr>
            <w:tcW w:w="4788" w:type="dxa"/>
            <w:hideMark/>
          </w:tcPr>
          <w:p w14:paraId="25662009"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TECHNOLOGICAL INSTITUTE OF TLALNEPANTLA.</w:t>
            </w:r>
          </w:p>
        </w:tc>
      </w:tr>
      <w:tr w:rsidR="00B709A9" w14:paraId="627AA94D" w14:textId="77777777" w:rsidTr="00B709A9">
        <w:tc>
          <w:tcPr>
            <w:tcW w:w="4788" w:type="dxa"/>
            <w:hideMark/>
          </w:tcPr>
          <w:p w14:paraId="2C9DB63A" w14:textId="77777777" w:rsidR="00B709A9" w:rsidRDefault="00B709A9">
            <w:pPr>
              <w:pStyle w:val="Texto"/>
              <w:spacing w:line="276" w:lineRule="auto"/>
              <w:ind w:firstLine="0"/>
              <w:rPr>
                <w:rFonts w:ascii="Verdana" w:hAnsi="Verdana"/>
                <w:sz w:val="16"/>
                <w:szCs w:val="16"/>
              </w:rPr>
            </w:pPr>
            <w:r>
              <w:rPr>
                <w:rFonts w:ascii="Verdana" w:hAnsi="Verdana"/>
                <w:sz w:val="16"/>
                <w:szCs w:val="16"/>
              </w:rPr>
              <w:t>CAMARA NACIONAL DE LA INDUSTRIA DE TRANSFORMACION.</w:t>
            </w:r>
          </w:p>
        </w:tc>
        <w:tc>
          <w:tcPr>
            <w:tcW w:w="4788" w:type="dxa"/>
            <w:hideMark/>
          </w:tcPr>
          <w:p w14:paraId="3964937B"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CHAMBER OF THE TRANSFORMATION INDUSTRY.</w:t>
            </w:r>
          </w:p>
        </w:tc>
      </w:tr>
      <w:tr w:rsidR="00B709A9" w14:paraId="7D675862" w14:textId="77777777" w:rsidTr="00B709A9">
        <w:tc>
          <w:tcPr>
            <w:tcW w:w="4788" w:type="dxa"/>
            <w:hideMark/>
          </w:tcPr>
          <w:p w14:paraId="16BDE417" w14:textId="77777777" w:rsidR="00B709A9" w:rsidRDefault="00B709A9">
            <w:pPr>
              <w:pStyle w:val="Texto"/>
              <w:spacing w:line="276" w:lineRule="auto"/>
              <w:ind w:firstLine="0"/>
              <w:rPr>
                <w:rFonts w:ascii="Verdana" w:hAnsi="Verdana"/>
                <w:sz w:val="16"/>
                <w:szCs w:val="16"/>
              </w:rPr>
            </w:pPr>
            <w:r>
              <w:rPr>
                <w:rFonts w:ascii="Verdana" w:hAnsi="Verdana"/>
                <w:sz w:val="16"/>
                <w:szCs w:val="16"/>
              </w:rPr>
              <w:t>CAMARA NACIONAL DEL AUTOTRANSPORTE DE CARGA.</w:t>
            </w:r>
          </w:p>
        </w:tc>
        <w:tc>
          <w:tcPr>
            <w:tcW w:w="4788" w:type="dxa"/>
            <w:hideMark/>
          </w:tcPr>
          <w:p w14:paraId="0DE3F62A"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CHAMBER OF CARGO TRANSPORTATION.</w:t>
            </w:r>
          </w:p>
        </w:tc>
      </w:tr>
      <w:tr w:rsidR="00B709A9" w14:paraId="094EBF84" w14:textId="77777777" w:rsidTr="00B709A9">
        <w:tc>
          <w:tcPr>
            <w:tcW w:w="4788" w:type="dxa"/>
            <w:hideMark/>
          </w:tcPr>
          <w:p w14:paraId="00B6B179" w14:textId="77777777" w:rsidR="00B709A9" w:rsidRDefault="00B709A9">
            <w:pPr>
              <w:pStyle w:val="Texto"/>
              <w:spacing w:line="276" w:lineRule="auto"/>
              <w:ind w:firstLine="0"/>
              <w:rPr>
                <w:rFonts w:ascii="Verdana" w:hAnsi="Verdana"/>
                <w:sz w:val="16"/>
                <w:szCs w:val="16"/>
              </w:rPr>
            </w:pPr>
            <w:r>
              <w:rPr>
                <w:rFonts w:ascii="Verdana" w:hAnsi="Verdana"/>
                <w:sz w:val="16"/>
                <w:szCs w:val="16"/>
              </w:rPr>
              <w:t>CONFEDERACION NACIONAL DE TRANSPORTISTAS MEXICANOS.</w:t>
            </w:r>
          </w:p>
        </w:tc>
        <w:tc>
          <w:tcPr>
            <w:tcW w:w="4788" w:type="dxa"/>
            <w:hideMark/>
          </w:tcPr>
          <w:p w14:paraId="7BC32AD2"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CONFEDERATION OF MEXICAN TRANSPORTERS.</w:t>
            </w:r>
          </w:p>
        </w:tc>
      </w:tr>
      <w:tr w:rsidR="00B709A9" w14:paraId="579800CF" w14:textId="77777777" w:rsidTr="00B709A9">
        <w:tc>
          <w:tcPr>
            <w:tcW w:w="4788" w:type="dxa"/>
            <w:hideMark/>
          </w:tcPr>
          <w:p w14:paraId="2D15E852" w14:textId="77777777" w:rsidR="00B709A9" w:rsidRDefault="00B709A9">
            <w:pPr>
              <w:pStyle w:val="Texto"/>
              <w:spacing w:line="276" w:lineRule="auto"/>
              <w:ind w:firstLine="0"/>
              <w:rPr>
                <w:rFonts w:ascii="Verdana" w:hAnsi="Verdana"/>
                <w:sz w:val="16"/>
                <w:szCs w:val="16"/>
              </w:rPr>
            </w:pPr>
            <w:r>
              <w:rPr>
                <w:rFonts w:ascii="Verdana" w:hAnsi="Verdana"/>
                <w:sz w:val="16"/>
                <w:szCs w:val="16"/>
              </w:rPr>
              <w:t>CONFEDERACION DE ASOCIACIONES DE AGENTES ADUANALES DE LA REPUBLICA MEXICANA.</w:t>
            </w:r>
          </w:p>
        </w:tc>
        <w:tc>
          <w:tcPr>
            <w:tcW w:w="4788" w:type="dxa"/>
            <w:hideMark/>
          </w:tcPr>
          <w:p w14:paraId="3C7E6290"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CONFEDERATION OF ASSOCIATIONS OF CUSTOMS AGENTS OF THE MEXICAN REPUBLIC.</w:t>
            </w:r>
          </w:p>
        </w:tc>
      </w:tr>
      <w:tr w:rsidR="00B709A9" w14:paraId="1B722891" w14:textId="77777777" w:rsidTr="00B709A9">
        <w:tc>
          <w:tcPr>
            <w:tcW w:w="4788" w:type="dxa"/>
            <w:hideMark/>
          </w:tcPr>
          <w:p w14:paraId="7D63DE83"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NACIONAL DE LA INDUSTRIA QUIMICA, A.C.</w:t>
            </w:r>
          </w:p>
        </w:tc>
        <w:tc>
          <w:tcPr>
            <w:tcW w:w="4788" w:type="dxa"/>
            <w:hideMark/>
          </w:tcPr>
          <w:p w14:paraId="7B5C3535"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ASSOCIATION OF THE CHEMICAL INDUSTRY, AC</w:t>
            </w:r>
          </w:p>
        </w:tc>
      </w:tr>
      <w:tr w:rsidR="00B709A9" w14:paraId="642FAF02" w14:textId="77777777" w:rsidTr="00B709A9">
        <w:tc>
          <w:tcPr>
            <w:tcW w:w="4788" w:type="dxa"/>
            <w:hideMark/>
          </w:tcPr>
          <w:p w14:paraId="058B1553"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MEXICANA DE LA INDUSTRIA FITOSANITARIA, A.C.</w:t>
            </w:r>
          </w:p>
        </w:tc>
        <w:tc>
          <w:tcPr>
            <w:tcW w:w="4788" w:type="dxa"/>
            <w:hideMark/>
          </w:tcPr>
          <w:p w14:paraId="43BDD20A"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MEXICAN ASSOCIATION OF THE PHYTOSANITARY INDUSTRY, AC</w:t>
            </w:r>
          </w:p>
        </w:tc>
      </w:tr>
      <w:tr w:rsidR="00B709A9" w14:paraId="67753430" w14:textId="77777777" w:rsidTr="00B709A9">
        <w:tc>
          <w:tcPr>
            <w:tcW w:w="4788" w:type="dxa"/>
            <w:hideMark/>
          </w:tcPr>
          <w:p w14:paraId="1459D6B7"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NACIONAL DE FABRICANTES DE PRODUCTOS AROMATICOS, A.C.</w:t>
            </w:r>
          </w:p>
        </w:tc>
        <w:tc>
          <w:tcPr>
            <w:tcW w:w="4788" w:type="dxa"/>
            <w:hideMark/>
          </w:tcPr>
          <w:p w14:paraId="558EEF0A"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ASSOCIATION OF MANUFACTURERS OF AROMATIC PRODUCTS, AC</w:t>
            </w:r>
          </w:p>
        </w:tc>
      </w:tr>
      <w:tr w:rsidR="00B709A9" w14:paraId="0DA4E6DA" w14:textId="77777777" w:rsidTr="00B709A9">
        <w:tc>
          <w:tcPr>
            <w:tcW w:w="4788" w:type="dxa"/>
            <w:hideMark/>
          </w:tcPr>
          <w:p w14:paraId="16600250"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MEXICANA DE EMPRESAS DE PRUEBAS NO DESTRUCTIVAS, A.C.</w:t>
            </w:r>
          </w:p>
        </w:tc>
        <w:tc>
          <w:tcPr>
            <w:tcW w:w="4788" w:type="dxa"/>
            <w:hideMark/>
          </w:tcPr>
          <w:p w14:paraId="7C45679D"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MEXICAN ASSOCIATION OF NON-DESTRUCTIVE TESTING COMPANIES, AC</w:t>
            </w:r>
          </w:p>
        </w:tc>
      </w:tr>
      <w:tr w:rsidR="00B709A9" w14:paraId="74E369DC" w14:textId="77777777" w:rsidTr="00B709A9">
        <w:tc>
          <w:tcPr>
            <w:tcW w:w="4788" w:type="dxa"/>
            <w:hideMark/>
          </w:tcPr>
          <w:p w14:paraId="0A38F391"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NACIONAL DE FABRICANTES DE PINTURAS Y TINTAS, A.C.</w:t>
            </w:r>
          </w:p>
        </w:tc>
        <w:tc>
          <w:tcPr>
            <w:tcW w:w="4788" w:type="dxa"/>
            <w:hideMark/>
          </w:tcPr>
          <w:p w14:paraId="45E4C842"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ASSOCIATION OF MANUFACTURERS OF PAINTS AND INKS, AC</w:t>
            </w:r>
          </w:p>
        </w:tc>
      </w:tr>
      <w:tr w:rsidR="00B709A9" w14:paraId="2F856BA2" w14:textId="77777777" w:rsidTr="00B709A9">
        <w:tc>
          <w:tcPr>
            <w:tcW w:w="4788" w:type="dxa"/>
            <w:hideMark/>
          </w:tcPr>
          <w:p w14:paraId="53610D9D"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DE TRANSPORTISTAS DE CARGA DE LA ZONA CENTRO DEL ESTADO DE VERACRUZ, A.C.</w:t>
            </w:r>
          </w:p>
        </w:tc>
        <w:tc>
          <w:tcPr>
            <w:tcW w:w="4788" w:type="dxa"/>
            <w:hideMark/>
          </w:tcPr>
          <w:p w14:paraId="4D542111"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ASSOCIATION OF FREIGHT TRANSPORTERS OF THE CENTRAL AREA OF THE STATE OF VERACRUZ, AC</w:t>
            </w:r>
          </w:p>
        </w:tc>
      </w:tr>
      <w:tr w:rsidR="00B709A9" w14:paraId="40B751FF" w14:textId="77777777" w:rsidTr="00B709A9">
        <w:tc>
          <w:tcPr>
            <w:tcW w:w="4788" w:type="dxa"/>
            <w:hideMark/>
          </w:tcPr>
          <w:p w14:paraId="2C7EF341" w14:textId="77777777" w:rsidR="00B709A9" w:rsidRDefault="00B709A9">
            <w:pPr>
              <w:pStyle w:val="Texto"/>
              <w:spacing w:line="276" w:lineRule="auto"/>
              <w:ind w:firstLine="0"/>
              <w:rPr>
                <w:rFonts w:ascii="Verdana" w:hAnsi="Verdana"/>
                <w:sz w:val="16"/>
                <w:szCs w:val="16"/>
              </w:rPr>
            </w:pPr>
            <w:r>
              <w:rPr>
                <w:rFonts w:ascii="Verdana" w:hAnsi="Verdana"/>
                <w:sz w:val="16"/>
                <w:szCs w:val="16"/>
              </w:rPr>
              <w:t>ASOCIACION NACIONAL DE TRANSPORTE PRIVADO, A.C.</w:t>
            </w:r>
          </w:p>
        </w:tc>
        <w:tc>
          <w:tcPr>
            <w:tcW w:w="4788" w:type="dxa"/>
            <w:hideMark/>
          </w:tcPr>
          <w:p w14:paraId="1D46D071"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NATIONAL ASSOCIATION OF PRIVATE TRANSPORTATION, AC</w:t>
            </w:r>
          </w:p>
        </w:tc>
      </w:tr>
      <w:tr w:rsidR="00B709A9" w14:paraId="1BB34567" w14:textId="77777777" w:rsidTr="00B709A9">
        <w:tc>
          <w:tcPr>
            <w:tcW w:w="4788" w:type="dxa"/>
            <w:hideMark/>
          </w:tcPr>
          <w:p w14:paraId="53D18066" w14:textId="77777777" w:rsidR="00B709A9" w:rsidRDefault="00B709A9">
            <w:pPr>
              <w:pStyle w:val="Texto"/>
              <w:spacing w:line="276" w:lineRule="auto"/>
              <w:ind w:firstLine="0"/>
              <w:rPr>
                <w:rFonts w:ascii="Verdana" w:hAnsi="Verdana"/>
                <w:sz w:val="16"/>
                <w:szCs w:val="16"/>
              </w:rPr>
            </w:pPr>
            <w:r>
              <w:rPr>
                <w:rFonts w:ascii="Verdana" w:hAnsi="Verdana"/>
                <w:sz w:val="16"/>
                <w:szCs w:val="16"/>
              </w:rPr>
              <w:t>UNION MEXICANA DE FABRICANTES Y FORMULADORES DE AGROQUIMICOS, A.C.</w:t>
            </w:r>
          </w:p>
        </w:tc>
        <w:tc>
          <w:tcPr>
            <w:tcW w:w="4788" w:type="dxa"/>
            <w:hideMark/>
          </w:tcPr>
          <w:p w14:paraId="27379DF3"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MEXICAN UNION OF AGROCHEMICAL MANUFACTURERS AND FORMULATORS, AC</w:t>
            </w:r>
          </w:p>
        </w:tc>
      </w:tr>
      <w:tr w:rsidR="00B709A9" w14:paraId="18F2E84E" w14:textId="77777777" w:rsidTr="00B709A9">
        <w:tc>
          <w:tcPr>
            <w:tcW w:w="4788" w:type="dxa"/>
            <w:hideMark/>
          </w:tcPr>
          <w:p w14:paraId="477A36E4" w14:textId="77777777" w:rsidR="00B709A9" w:rsidRDefault="00B709A9">
            <w:pPr>
              <w:pStyle w:val="Texto"/>
              <w:spacing w:line="276" w:lineRule="auto"/>
              <w:ind w:firstLine="0"/>
              <w:rPr>
                <w:rFonts w:ascii="Verdana" w:hAnsi="Verdana"/>
                <w:sz w:val="16"/>
                <w:szCs w:val="16"/>
              </w:rPr>
            </w:pPr>
            <w:r>
              <w:rPr>
                <w:rFonts w:ascii="Verdana" w:hAnsi="Verdana"/>
                <w:sz w:val="16"/>
                <w:szCs w:val="16"/>
              </w:rPr>
              <w:t>SOCIEDAD MEXICANA DE NORMALIZACION Y CERTIFICACION, S.C.</w:t>
            </w:r>
          </w:p>
        </w:tc>
        <w:tc>
          <w:tcPr>
            <w:tcW w:w="4788" w:type="dxa"/>
            <w:hideMark/>
          </w:tcPr>
          <w:p w14:paraId="3698A4B1"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MEXICAN SOCIETY OF STANDARDIZATION AND CERTIFICATION, SC</w:t>
            </w:r>
          </w:p>
        </w:tc>
      </w:tr>
      <w:tr w:rsidR="00B709A9" w:rsidRPr="00B709A9" w14:paraId="023AA045" w14:textId="77777777" w:rsidTr="00B709A9">
        <w:tc>
          <w:tcPr>
            <w:tcW w:w="4788" w:type="dxa"/>
            <w:hideMark/>
          </w:tcPr>
          <w:p w14:paraId="39C6AF2F" w14:textId="77777777" w:rsidR="00B709A9" w:rsidRDefault="00B709A9">
            <w:pPr>
              <w:pStyle w:val="Texto"/>
              <w:spacing w:line="276" w:lineRule="auto"/>
              <w:ind w:firstLine="0"/>
              <w:rPr>
                <w:rFonts w:ascii="Verdana" w:hAnsi="Verdana"/>
                <w:sz w:val="16"/>
                <w:szCs w:val="16"/>
              </w:rPr>
            </w:pPr>
            <w:r>
              <w:rPr>
                <w:rFonts w:ascii="Verdana" w:hAnsi="Verdana"/>
                <w:sz w:val="16"/>
                <w:szCs w:val="16"/>
              </w:rPr>
              <w:t>NACIONAL DE CARROCERIAS, S.A. DE C.V.</w:t>
            </w:r>
          </w:p>
        </w:tc>
        <w:tc>
          <w:tcPr>
            <w:tcW w:w="4788" w:type="dxa"/>
            <w:hideMark/>
          </w:tcPr>
          <w:p w14:paraId="163B766B"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rPr>
              <w:t>NACIONAL DE CARROCERIAS, S.A. DE C.V.</w:t>
            </w:r>
          </w:p>
        </w:tc>
      </w:tr>
      <w:tr w:rsidR="00B709A9" w:rsidRPr="00B709A9" w14:paraId="11CF9E5D" w14:textId="77777777" w:rsidTr="00B709A9">
        <w:tc>
          <w:tcPr>
            <w:tcW w:w="4788" w:type="dxa"/>
            <w:hideMark/>
          </w:tcPr>
          <w:p w14:paraId="1E232FCA" w14:textId="77777777" w:rsidR="00B709A9" w:rsidRDefault="00B709A9">
            <w:pPr>
              <w:pStyle w:val="Texto"/>
              <w:spacing w:line="276" w:lineRule="auto"/>
              <w:ind w:firstLine="0"/>
              <w:rPr>
                <w:rFonts w:ascii="Verdana" w:hAnsi="Verdana"/>
                <w:sz w:val="16"/>
                <w:szCs w:val="16"/>
              </w:rPr>
            </w:pPr>
            <w:r>
              <w:rPr>
                <w:rFonts w:ascii="Verdana" w:hAnsi="Verdana"/>
                <w:sz w:val="16"/>
                <w:szCs w:val="16"/>
              </w:rPr>
              <w:t>GRUPO INTERMEX, S.A. DE C.V.</w:t>
            </w:r>
          </w:p>
        </w:tc>
        <w:tc>
          <w:tcPr>
            <w:tcW w:w="4788" w:type="dxa"/>
            <w:hideMark/>
          </w:tcPr>
          <w:p w14:paraId="46ED1F1E"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rPr>
              <w:t>GRUPO INTERMEX, S.A. DE C.V.</w:t>
            </w:r>
          </w:p>
        </w:tc>
      </w:tr>
      <w:tr w:rsidR="00B709A9" w:rsidRPr="00B709A9" w14:paraId="0D1CE564" w14:textId="77777777" w:rsidTr="00B709A9">
        <w:tc>
          <w:tcPr>
            <w:tcW w:w="4788" w:type="dxa"/>
            <w:hideMark/>
          </w:tcPr>
          <w:p w14:paraId="64FB0ECE" w14:textId="77777777" w:rsidR="00B709A9" w:rsidRDefault="00B709A9">
            <w:pPr>
              <w:pStyle w:val="Texto"/>
              <w:spacing w:line="276" w:lineRule="auto"/>
              <w:ind w:firstLine="0"/>
              <w:rPr>
                <w:rFonts w:ascii="Verdana" w:hAnsi="Verdana"/>
                <w:sz w:val="16"/>
                <w:szCs w:val="16"/>
              </w:rPr>
            </w:pPr>
            <w:r>
              <w:rPr>
                <w:rFonts w:ascii="Verdana" w:hAnsi="Verdana"/>
                <w:sz w:val="16"/>
                <w:szCs w:val="16"/>
              </w:rPr>
              <w:t>BAYER DE MEXICO, S.A. DE C.V.</w:t>
            </w:r>
          </w:p>
        </w:tc>
        <w:tc>
          <w:tcPr>
            <w:tcW w:w="4788" w:type="dxa"/>
            <w:hideMark/>
          </w:tcPr>
          <w:p w14:paraId="0E73D772"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lang w:val="es-MX"/>
              </w:rPr>
              <w:t>BAYER DE MEXICO, SA DE CV</w:t>
            </w:r>
          </w:p>
        </w:tc>
      </w:tr>
      <w:tr w:rsidR="00B709A9" w:rsidRPr="00B709A9" w14:paraId="70AA131B" w14:textId="77777777" w:rsidTr="00B709A9">
        <w:tc>
          <w:tcPr>
            <w:tcW w:w="4788" w:type="dxa"/>
            <w:hideMark/>
          </w:tcPr>
          <w:p w14:paraId="2898F0EA" w14:textId="77777777" w:rsidR="00B709A9" w:rsidRDefault="00B709A9">
            <w:pPr>
              <w:pStyle w:val="Texto"/>
              <w:spacing w:line="276" w:lineRule="auto"/>
              <w:ind w:firstLine="0"/>
              <w:rPr>
                <w:rFonts w:ascii="Verdana" w:hAnsi="Verdana"/>
                <w:sz w:val="16"/>
                <w:szCs w:val="16"/>
              </w:rPr>
            </w:pPr>
            <w:r>
              <w:rPr>
                <w:rFonts w:ascii="Verdana" w:hAnsi="Verdana"/>
                <w:sz w:val="16"/>
                <w:szCs w:val="16"/>
              </w:rPr>
              <w:lastRenderedPageBreak/>
              <w:t>ENVASES Y LAMINADOS, S.A. DE C.V.</w:t>
            </w:r>
          </w:p>
        </w:tc>
        <w:tc>
          <w:tcPr>
            <w:tcW w:w="4788" w:type="dxa"/>
            <w:hideMark/>
          </w:tcPr>
          <w:p w14:paraId="0E5F14B5"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rPr>
              <w:t>ENVASES Y LAMINADOS, S.A. DE C.V.</w:t>
            </w:r>
          </w:p>
        </w:tc>
      </w:tr>
      <w:tr w:rsidR="00B709A9" w:rsidRPr="00B709A9" w14:paraId="1FE46C79" w14:textId="77777777" w:rsidTr="00B709A9">
        <w:tc>
          <w:tcPr>
            <w:tcW w:w="4788" w:type="dxa"/>
            <w:hideMark/>
          </w:tcPr>
          <w:p w14:paraId="47ABEB38" w14:textId="77777777" w:rsidR="00B709A9" w:rsidRDefault="00B709A9">
            <w:pPr>
              <w:pStyle w:val="Texto"/>
              <w:spacing w:line="276" w:lineRule="auto"/>
              <w:ind w:firstLine="0"/>
              <w:rPr>
                <w:rFonts w:ascii="Verdana" w:hAnsi="Verdana"/>
                <w:sz w:val="16"/>
                <w:szCs w:val="16"/>
              </w:rPr>
            </w:pPr>
            <w:r>
              <w:rPr>
                <w:rFonts w:ascii="Verdana" w:hAnsi="Verdana"/>
                <w:sz w:val="16"/>
                <w:szCs w:val="16"/>
              </w:rPr>
              <w:t>LIDERAZGO AVANZADO EN TRANSPORTACION, S.A. DE C.V.</w:t>
            </w:r>
          </w:p>
        </w:tc>
        <w:tc>
          <w:tcPr>
            <w:tcW w:w="4788" w:type="dxa"/>
            <w:hideMark/>
          </w:tcPr>
          <w:p w14:paraId="296B994A"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rPr>
              <w:t>LIDERAZGO AVANZADO EN TRANSPORTACION, S.A. DE C.V.</w:t>
            </w:r>
          </w:p>
        </w:tc>
      </w:tr>
      <w:tr w:rsidR="00B709A9" w:rsidRPr="00B709A9" w14:paraId="0A21CBE2" w14:textId="77777777" w:rsidTr="00B709A9">
        <w:tc>
          <w:tcPr>
            <w:tcW w:w="4788" w:type="dxa"/>
            <w:hideMark/>
          </w:tcPr>
          <w:p w14:paraId="19222777" w14:textId="77777777" w:rsidR="00B709A9" w:rsidRDefault="00B709A9">
            <w:pPr>
              <w:pStyle w:val="Texto"/>
              <w:spacing w:line="276" w:lineRule="auto"/>
              <w:ind w:firstLine="0"/>
              <w:rPr>
                <w:rFonts w:ascii="Verdana" w:hAnsi="Verdana"/>
                <w:sz w:val="16"/>
                <w:szCs w:val="16"/>
              </w:rPr>
            </w:pPr>
            <w:r>
              <w:rPr>
                <w:rFonts w:ascii="Verdana" w:hAnsi="Verdana"/>
                <w:sz w:val="16"/>
                <w:szCs w:val="16"/>
              </w:rPr>
              <w:t>FERROCARRIL MEXICANO, S.A. DE C.V.</w:t>
            </w:r>
          </w:p>
        </w:tc>
        <w:tc>
          <w:tcPr>
            <w:tcW w:w="4788" w:type="dxa"/>
            <w:hideMark/>
          </w:tcPr>
          <w:p w14:paraId="4E50BAF9"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rPr>
              <w:t>FERROCARRIL MEXICANO, S.A. DE C.V.</w:t>
            </w:r>
          </w:p>
        </w:tc>
      </w:tr>
      <w:tr w:rsidR="00B709A9" w14:paraId="54967342" w14:textId="77777777" w:rsidTr="00B709A9">
        <w:tc>
          <w:tcPr>
            <w:tcW w:w="4788" w:type="dxa"/>
            <w:hideMark/>
          </w:tcPr>
          <w:p w14:paraId="4D976662" w14:textId="77777777" w:rsidR="00B709A9" w:rsidRDefault="00B709A9">
            <w:pPr>
              <w:pStyle w:val="Texto"/>
              <w:spacing w:line="276" w:lineRule="auto"/>
              <w:ind w:firstLine="0"/>
              <w:rPr>
                <w:rFonts w:ascii="Verdana" w:hAnsi="Verdana"/>
                <w:sz w:val="16"/>
                <w:szCs w:val="16"/>
              </w:rPr>
            </w:pPr>
            <w:r>
              <w:rPr>
                <w:rFonts w:ascii="Verdana" w:hAnsi="Verdana"/>
                <w:sz w:val="16"/>
                <w:szCs w:val="16"/>
              </w:rPr>
              <w:t>FERROSUR, S.A. DE C.V.</w:t>
            </w:r>
          </w:p>
        </w:tc>
        <w:tc>
          <w:tcPr>
            <w:tcW w:w="4788" w:type="dxa"/>
            <w:hideMark/>
          </w:tcPr>
          <w:p w14:paraId="443F89CE"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FERROSUR, SA DE CV</w:t>
            </w:r>
          </w:p>
        </w:tc>
      </w:tr>
      <w:tr w:rsidR="00B709A9" w:rsidRPr="00B709A9" w14:paraId="76744BCB" w14:textId="77777777" w:rsidTr="00B709A9">
        <w:tc>
          <w:tcPr>
            <w:tcW w:w="4788" w:type="dxa"/>
            <w:hideMark/>
          </w:tcPr>
          <w:p w14:paraId="2AD0997F" w14:textId="77777777" w:rsidR="00B709A9" w:rsidRDefault="00B709A9">
            <w:pPr>
              <w:pStyle w:val="Texto"/>
              <w:spacing w:line="276" w:lineRule="auto"/>
              <w:ind w:firstLine="0"/>
              <w:rPr>
                <w:rFonts w:ascii="Verdana" w:hAnsi="Verdana"/>
                <w:sz w:val="16"/>
                <w:szCs w:val="16"/>
              </w:rPr>
            </w:pPr>
            <w:r>
              <w:rPr>
                <w:rFonts w:ascii="Verdana" w:hAnsi="Verdana"/>
                <w:sz w:val="16"/>
                <w:szCs w:val="16"/>
              </w:rPr>
              <w:t>AUTOTRANSPORTES CABALLERO E HIJOS, S.A. DE C.V.</w:t>
            </w:r>
          </w:p>
        </w:tc>
        <w:tc>
          <w:tcPr>
            <w:tcW w:w="4788" w:type="dxa"/>
            <w:hideMark/>
          </w:tcPr>
          <w:p w14:paraId="1F9D73E8" w14:textId="77777777" w:rsidR="00B709A9" w:rsidRDefault="00B709A9">
            <w:pPr>
              <w:pStyle w:val="Texto"/>
              <w:spacing w:line="276" w:lineRule="auto"/>
              <w:ind w:firstLine="0"/>
              <w:rPr>
                <w:rFonts w:ascii="Verdana" w:hAnsi="Verdana"/>
                <w:sz w:val="16"/>
                <w:szCs w:val="16"/>
                <w:lang w:val="es-MX"/>
              </w:rPr>
            </w:pPr>
            <w:r>
              <w:rPr>
                <w:rFonts w:ascii="Verdana" w:hAnsi="Verdana"/>
                <w:sz w:val="16"/>
                <w:szCs w:val="16"/>
                <w:lang w:val="es-MX"/>
              </w:rPr>
              <w:t>AUTOTRANSPORTES CABALLERO E HIJOS, SA DE CV</w:t>
            </w:r>
          </w:p>
        </w:tc>
      </w:tr>
      <w:tr w:rsidR="00B709A9" w14:paraId="073E88AD" w14:textId="77777777" w:rsidTr="00B709A9">
        <w:tc>
          <w:tcPr>
            <w:tcW w:w="4788" w:type="dxa"/>
            <w:hideMark/>
          </w:tcPr>
          <w:p w14:paraId="668C93A5" w14:textId="77777777" w:rsidR="00B709A9" w:rsidRDefault="00B709A9">
            <w:pPr>
              <w:pStyle w:val="Texto"/>
              <w:spacing w:line="276" w:lineRule="auto"/>
              <w:ind w:firstLine="0"/>
              <w:rPr>
                <w:rFonts w:ascii="Verdana" w:hAnsi="Verdana"/>
                <w:sz w:val="16"/>
                <w:szCs w:val="16"/>
              </w:rPr>
            </w:pPr>
            <w:r>
              <w:rPr>
                <w:rFonts w:ascii="Verdana" w:hAnsi="Verdana"/>
                <w:sz w:val="16"/>
                <w:szCs w:val="16"/>
              </w:rPr>
              <w:t>GRUPO KUO, S.A. DE C.V.</w:t>
            </w:r>
          </w:p>
        </w:tc>
        <w:tc>
          <w:tcPr>
            <w:tcW w:w="4788" w:type="dxa"/>
            <w:hideMark/>
          </w:tcPr>
          <w:p w14:paraId="3A09062C"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KUO GROUP, SA DE CV</w:t>
            </w:r>
          </w:p>
        </w:tc>
      </w:tr>
      <w:tr w:rsidR="00B709A9" w14:paraId="0B0F6412" w14:textId="77777777" w:rsidTr="00B709A9">
        <w:tc>
          <w:tcPr>
            <w:tcW w:w="4788" w:type="dxa"/>
          </w:tcPr>
          <w:p w14:paraId="050DFB4A" w14:textId="77777777" w:rsidR="00B709A9" w:rsidRDefault="00B709A9">
            <w:pPr>
              <w:pStyle w:val="ANOTACION"/>
              <w:spacing w:line="276" w:lineRule="auto"/>
              <w:rPr>
                <w:rFonts w:ascii="Verdana" w:hAnsi="Verdana"/>
                <w:sz w:val="16"/>
                <w:szCs w:val="16"/>
              </w:rPr>
            </w:pPr>
          </w:p>
        </w:tc>
        <w:tc>
          <w:tcPr>
            <w:tcW w:w="4788" w:type="dxa"/>
          </w:tcPr>
          <w:p w14:paraId="046E0055" w14:textId="77777777" w:rsidR="00B709A9" w:rsidRDefault="00B709A9">
            <w:pPr>
              <w:pStyle w:val="ANOTACION"/>
              <w:spacing w:line="276" w:lineRule="auto"/>
              <w:rPr>
                <w:rFonts w:ascii="Verdana" w:hAnsi="Verdana"/>
                <w:sz w:val="16"/>
                <w:szCs w:val="16"/>
                <w:lang w:val="en-US"/>
              </w:rPr>
            </w:pPr>
          </w:p>
        </w:tc>
      </w:tr>
      <w:tr w:rsidR="00B709A9" w14:paraId="5F5F241F" w14:textId="77777777" w:rsidTr="00B709A9">
        <w:tc>
          <w:tcPr>
            <w:tcW w:w="4788" w:type="dxa"/>
            <w:hideMark/>
          </w:tcPr>
          <w:p w14:paraId="687EB9F0" w14:textId="77777777" w:rsidR="00B709A9" w:rsidRDefault="00B709A9">
            <w:pPr>
              <w:pStyle w:val="ANOTACION"/>
              <w:spacing w:line="276" w:lineRule="auto"/>
              <w:rPr>
                <w:rFonts w:ascii="Verdana" w:hAnsi="Verdana"/>
                <w:sz w:val="16"/>
                <w:szCs w:val="16"/>
              </w:rPr>
            </w:pPr>
            <w:r>
              <w:rPr>
                <w:rFonts w:ascii="Verdana" w:hAnsi="Verdana"/>
                <w:sz w:val="16"/>
                <w:szCs w:val="16"/>
              </w:rPr>
              <w:t>NORMA OFICIAL MEXICANA NOM-051-SCT2-2011 PARA EL TRANSPORTE TERRESTRE DE MATERIALES Y RESIDUOS PELIGROSOS ESPECIFICACIONES PARA LA CLASIFICACION DE LAS SUBSTANCIAS INFECCIOSAS Y ESPECIFICACIONES ESPECIALES Y ADICIONALES PARA LA CONSTRUCCION Y ENSAYO (PRUEBA) DE LOS ENVASES Y/O EMBALAJES QUE TRANSPORTEN SUBSTANCIAS INFECCIOSAS DE LA DIVISION 6.2, CATEGORIA “A”</w:t>
            </w:r>
          </w:p>
        </w:tc>
        <w:tc>
          <w:tcPr>
            <w:tcW w:w="4788" w:type="dxa"/>
            <w:hideMark/>
          </w:tcPr>
          <w:p w14:paraId="60B01D41" w14:textId="77777777" w:rsidR="00B709A9" w:rsidRDefault="00B709A9">
            <w:pPr>
              <w:pStyle w:val="ANOTACION"/>
              <w:spacing w:line="276" w:lineRule="auto"/>
              <w:rPr>
                <w:rFonts w:ascii="Verdana" w:hAnsi="Verdana"/>
                <w:sz w:val="16"/>
                <w:szCs w:val="16"/>
                <w:lang w:val="en-US"/>
              </w:rPr>
            </w:pPr>
            <w:r>
              <w:rPr>
                <w:rFonts w:ascii="Verdana" w:hAnsi="Verdana"/>
                <w:sz w:val="16"/>
                <w:szCs w:val="16"/>
                <w:lang w:val="en-US"/>
              </w:rPr>
              <w:t>OFFICIAL MEXICAN STANDARD NOM-051-SCT2-2011 FOR THE LAND TRANSPORTATION OF HAZARDOUS MATERIALS AND WASTES SPECIFICATIONS FOR THE CLASSIFICATION OF INFECTIOUS SUBSTANCES AND SPECIAL AND ADDITIONAL SPECIFICATIONS FOR THE CONSTRUCTION AND TRIAL (TEST) OF CONTAINERS AND/OR PACKAGING THAT TRANSPORT SUBSTANCES INFECTIOUS DIVISION 6.2, CATEGORY “A”</w:t>
            </w:r>
          </w:p>
        </w:tc>
      </w:tr>
      <w:tr w:rsidR="00B709A9" w14:paraId="559AD7CD" w14:textId="77777777" w:rsidTr="00B709A9">
        <w:tc>
          <w:tcPr>
            <w:tcW w:w="4788" w:type="dxa"/>
            <w:hideMark/>
          </w:tcPr>
          <w:p w14:paraId="5FF9AD79" w14:textId="77777777" w:rsidR="00B709A9" w:rsidRDefault="00B709A9">
            <w:pPr>
              <w:pStyle w:val="ANOTACION"/>
              <w:spacing w:line="276" w:lineRule="auto"/>
              <w:rPr>
                <w:rFonts w:ascii="Verdana" w:hAnsi="Verdana"/>
                <w:sz w:val="16"/>
                <w:szCs w:val="16"/>
              </w:rPr>
            </w:pPr>
            <w:r>
              <w:rPr>
                <w:rFonts w:ascii="Verdana" w:hAnsi="Verdana"/>
                <w:sz w:val="16"/>
                <w:szCs w:val="16"/>
              </w:rPr>
              <w:t>INDICE</w:t>
            </w:r>
          </w:p>
        </w:tc>
        <w:tc>
          <w:tcPr>
            <w:tcW w:w="4788" w:type="dxa"/>
            <w:hideMark/>
          </w:tcPr>
          <w:p w14:paraId="0880F099" w14:textId="77777777" w:rsidR="00B709A9" w:rsidRDefault="00B709A9">
            <w:pPr>
              <w:pStyle w:val="ANOTACION"/>
              <w:spacing w:line="276" w:lineRule="auto"/>
              <w:rPr>
                <w:rFonts w:ascii="Verdana" w:hAnsi="Verdana"/>
                <w:sz w:val="16"/>
                <w:szCs w:val="16"/>
                <w:lang w:val="en-US"/>
              </w:rPr>
            </w:pPr>
            <w:r>
              <w:rPr>
                <w:rFonts w:ascii="Verdana" w:hAnsi="Verdana"/>
                <w:sz w:val="16"/>
                <w:szCs w:val="16"/>
                <w:lang w:val="en-US"/>
              </w:rPr>
              <w:t>INDEX</w:t>
            </w:r>
          </w:p>
        </w:tc>
      </w:tr>
      <w:tr w:rsidR="00B709A9" w14:paraId="21B83B25" w14:textId="77777777" w:rsidTr="00B709A9">
        <w:tc>
          <w:tcPr>
            <w:tcW w:w="4788" w:type="dxa"/>
            <w:hideMark/>
          </w:tcPr>
          <w:p w14:paraId="3055B27C"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1.</w:t>
            </w:r>
            <w:r>
              <w:rPr>
                <w:rFonts w:ascii="Verdana" w:hAnsi="Verdana"/>
                <w:b/>
                <w:sz w:val="16"/>
                <w:szCs w:val="16"/>
              </w:rPr>
              <w:tab/>
            </w:r>
            <w:r>
              <w:rPr>
                <w:rFonts w:ascii="Verdana" w:hAnsi="Verdana"/>
                <w:sz w:val="16"/>
                <w:szCs w:val="16"/>
              </w:rPr>
              <w:t>OBJETIVO.</w:t>
            </w:r>
          </w:p>
        </w:tc>
        <w:tc>
          <w:tcPr>
            <w:tcW w:w="4788" w:type="dxa"/>
            <w:hideMark/>
          </w:tcPr>
          <w:p w14:paraId="62ACFECF"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1. </w:t>
            </w:r>
            <w:r>
              <w:rPr>
                <w:rFonts w:ascii="Verdana" w:hAnsi="Verdana"/>
                <w:b/>
                <w:sz w:val="16"/>
                <w:szCs w:val="16"/>
                <w:lang w:val="en-US"/>
              </w:rPr>
              <w:tab/>
            </w:r>
            <w:r>
              <w:rPr>
                <w:rFonts w:ascii="Verdana" w:hAnsi="Verdana"/>
                <w:sz w:val="16"/>
                <w:szCs w:val="16"/>
                <w:lang w:val="en-US"/>
              </w:rPr>
              <w:t>OBJECTIVE.</w:t>
            </w:r>
          </w:p>
        </w:tc>
      </w:tr>
      <w:tr w:rsidR="00B709A9" w14:paraId="27E4309D" w14:textId="77777777" w:rsidTr="00B709A9">
        <w:tc>
          <w:tcPr>
            <w:tcW w:w="4788" w:type="dxa"/>
            <w:hideMark/>
          </w:tcPr>
          <w:p w14:paraId="33C1BC28"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2.</w:t>
            </w:r>
            <w:r>
              <w:rPr>
                <w:rFonts w:ascii="Verdana" w:hAnsi="Verdana"/>
                <w:b/>
                <w:sz w:val="16"/>
                <w:szCs w:val="16"/>
              </w:rPr>
              <w:tab/>
            </w:r>
            <w:r>
              <w:rPr>
                <w:rFonts w:ascii="Verdana" w:hAnsi="Verdana"/>
                <w:sz w:val="16"/>
                <w:szCs w:val="16"/>
              </w:rPr>
              <w:t>CAMPO DE APLICACION.</w:t>
            </w:r>
          </w:p>
        </w:tc>
        <w:tc>
          <w:tcPr>
            <w:tcW w:w="4788" w:type="dxa"/>
            <w:hideMark/>
          </w:tcPr>
          <w:p w14:paraId="2A5C0979"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2. </w:t>
            </w:r>
            <w:r>
              <w:rPr>
                <w:rFonts w:ascii="Verdana" w:hAnsi="Verdana"/>
                <w:b/>
                <w:sz w:val="16"/>
                <w:szCs w:val="16"/>
                <w:lang w:val="en-US"/>
              </w:rPr>
              <w:tab/>
            </w:r>
            <w:r>
              <w:rPr>
                <w:rFonts w:ascii="Verdana" w:hAnsi="Verdana"/>
                <w:sz w:val="16"/>
                <w:szCs w:val="16"/>
                <w:lang w:val="en-US"/>
              </w:rPr>
              <w:t>FIELD OF APPLICATION.</w:t>
            </w:r>
          </w:p>
        </w:tc>
      </w:tr>
      <w:tr w:rsidR="00B709A9" w14:paraId="200233DD" w14:textId="77777777" w:rsidTr="00B709A9">
        <w:tc>
          <w:tcPr>
            <w:tcW w:w="4788" w:type="dxa"/>
            <w:hideMark/>
          </w:tcPr>
          <w:p w14:paraId="7829BFB6"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3.</w:t>
            </w:r>
            <w:r>
              <w:rPr>
                <w:rFonts w:ascii="Verdana" w:hAnsi="Verdana"/>
                <w:b/>
                <w:sz w:val="16"/>
                <w:szCs w:val="16"/>
              </w:rPr>
              <w:tab/>
            </w:r>
            <w:r>
              <w:rPr>
                <w:rFonts w:ascii="Verdana" w:hAnsi="Verdana"/>
                <w:sz w:val="16"/>
                <w:szCs w:val="16"/>
              </w:rPr>
              <w:t>REFERENCIAS.</w:t>
            </w:r>
          </w:p>
        </w:tc>
        <w:tc>
          <w:tcPr>
            <w:tcW w:w="4788" w:type="dxa"/>
            <w:hideMark/>
          </w:tcPr>
          <w:p w14:paraId="74ACB0A9"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3. </w:t>
            </w:r>
            <w:r>
              <w:rPr>
                <w:rFonts w:ascii="Verdana" w:hAnsi="Verdana"/>
                <w:b/>
                <w:sz w:val="16"/>
                <w:szCs w:val="16"/>
                <w:lang w:val="en-US"/>
              </w:rPr>
              <w:tab/>
            </w:r>
            <w:r>
              <w:rPr>
                <w:rFonts w:ascii="Verdana" w:hAnsi="Verdana"/>
                <w:sz w:val="16"/>
                <w:szCs w:val="16"/>
                <w:lang w:val="en-US"/>
              </w:rPr>
              <w:t>REFERENCES.</w:t>
            </w:r>
          </w:p>
        </w:tc>
      </w:tr>
      <w:tr w:rsidR="00B709A9" w14:paraId="57CFB4E6" w14:textId="77777777" w:rsidTr="00B709A9">
        <w:tc>
          <w:tcPr>
            <w:tcW w:w="4788" w:type="dxa"/>
            <w:hideMark/>
          </w:tcPr>
          <w:p w14:paraId="0F8C717E"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4.</w:t>
            </w:r>
            <w:r>
              <w:rPr>
                <w:rFonts w:ascii="Verdana" w:hAnsi="Verdana"/>
                <w:b/>
                <w:sz w:val="16"/>
                <w:szCs w:val="16"/>
              </w:rPr>
              <w:tab/>
            </w:r>
            <w:r>
              <w:rPr>
                <w:rFonts w:ascii="Verdana" w:hAnsi="Verdana"/>
                <w:sz w:val="16"/>
                <w:szCs w:val="16"/>
              </w:rPr>
              <w:t>DEFINICIONES.</w:t>
            </w:r>
          </w:p>
        </w:tc>
        <w:tc>
          <w:tcPr>
            <w:tcW w:w="4788" w:type="dxa"/>
            <w:hideMark/>
          </w:tcPr>
          <w:p w14:paraId="19EA97D6"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4. </w:t>
            </w:r>
            <w:r>
              <w:rPr>
                <w:rFonts w:ascii="Verdana" w:hAnsi="Verdana"/>
                <w:b/>
                <w:sz w:val="16"/>
                <w:szCs w:val="16"/>
                <w:lang w:val="en-US"/>
              </w:rPr>
              <w:tab/>
            </w:r>
            <w:r>
              <w:rPr>
                <w:rFonts w:ascii="Verdana" w:hAnsi="Verdana"/>
                <w:sz w:val="16"/>
                <w:szCs w:val="16"/>
                <w:lang w:val="en-US"/>
              </w:rPr>
              <w:t>DEFINITIONS.</w:t>
            </w:r>
          </w:p>
        </w:tc>
      </w:tr>
      <w:tr w:rsidR="00B709A9" w14:paraId="7ED594A7" w14:textId="77777777" w:rsidTr="00B709A9">
        <w:tc>
          <w:tcPr>
            <w:tcW w:w="4788" w:type="dxa"/>
            <w:hideMark/>
          </w:tcPr>
          <w:p w14:paraId="565BB252"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5.</w:t>
            </w:r>
            <w:r>
              <w:rPr>
                <w:rFonts w:ascii="Verdana" w:hAnsi="Verdana"/>
                <w:b/>
                <w:sz w:val="16"/>
                <w:szCs w:val="16"/>
              </w:rPr>
              <w:tab/>
            </w:r>
            <w:r>
              <w:rPr>
                <w:rFonts w:ascii="Verdana" w:hAnsi="Verdana"/>
                <w:sz w:val="16"/>
                <w:szCs w:val="16"/>
              </w:rPr>
              <w:t>ESPECIFICACIONES PARA LA CLASIFICACION DE LAS SUBSTANCIAS INFECCIOSAS.</w:t>
            </w:r>
          </w:p>
        </w:tc>
        <w:tc>
          <w:tcPr>
            <w:tcW w:w="4788" w:type="dxa"/>
            <w:hideMark/>
          </w:tcPr>
          <w:p w14:paraId="16D4DAAB"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5. </w:t>
            </w:r>
            <w:r>
              <w:rPr>
                <w:rFonts w:ascii="Verdana" w:hAnsi="Verdana"/>
                <w:b/>
                <w:sz w:val="16"/>
                <w:szCs w:val="16"/>
                <w:lang w:val="en-US"/>
              </w:rPr>
              <w:tab/>
            </w:r>
            <w:r>
              <w:rPr>
                <w:rFonts w:ascii="Verdana" w:hAnsi="Verdana"/>
                <w:sz w:val="16"/>
                <w:szCs w:val="16"/>
                <w:lang w:val="en-US"/>
              </w:rPr>
              <w:t>SPECIFICATIONS FOR THE CLASSIFICATION OF INFECTIOUS SUBSTANCES.</w:t>
            </w:r>
          </w:p>
        </w:tc>
      </w:tr>
      <w:tr w:rsidR="00B709A9" w14:paraId="00C13838" w14:textId="77777777" w:rsidTr="00B709A9">
        <w:tc>
          <w:tcPr>
            <w:tcW w:w="4788" w:type="dxa"/>
            <w:hideMark/>
          </w:tcPr>
          <w:p w14:paraId="62B4D642"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6.</w:t>
            </w:r>
            <w:r>
              <w:rPr>
                <w:rFonts w:ascii="Verdana" w:hAnsi="Verdana"/>
                <w:b/>
                <w:sz w:val="16"/>
                <w:szCs w:val="16"/>
              </w:rPr>
              <w:tab/>
            </w:r>
            <w:r>
              <w:rPr>
                <w:rFonts w:ascii="Verdana" w:hAnsi="Verdana"/>
                <w:sz w:val="16"/>
                <w:szCs w:val="16"/>
              </w:rPr>
              <w:t>ESPECIFICACIONES ESPECIALES Y ADICIONALES PARA LA CONSTRUCCION Y ENSAYO (PRUEBA) DE LOS ENVASES Y/O EMBALAJES QUE TRANSPORTEN SUBSTANCIAS INFECCIOSAS DE LA DIVISION 6.2, CATEGORIA “A”.</w:t>
            </w:r>
          </w:p>
        </w:tc>
        <w:tc>
          <w:tcPr>
            <w:tcW w:w="4788" w:type="dxa"/>
            <w:hideMark/>
          </w:tcPr>
          <w:p w14:paraId="4E8C8B1A"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6. </w:t>
            </w:r>
            <w:r>
              <w:rPr>
                <w:rFonts w:ascii="Verdana" w:hAnsi="Verdana"/>
                <w:b/>
                <w:sz w:val="16"/>
                <w:szCs w:val="16"/>
                <w:lang w:val="en-US"/>
              </w:rPr>
              <w:tab/>
            </w:r>
            <w:r>
              <w:rPr>
                <w:rFonts w:ascii="Verdana" w:hAnsi="Verdana"/>
                <w:sz w:val="16"/>
                <w:szCs w:val="16"/>
                <w:lang w:val="en-US"/>
              </w:rPr>
              <w:t>SPECIAL AND ADDITIONAL SPECIFICATIONS FOR THE CONSTRUCTION AND TRIAL (TEST) OF CONTAINERS AND/OR PACKAGING THAT TRANSPORT INFECTIOUS SUBSTANCES OF DIVISION 6.2, CATEGORY “A.”</w:t>
            </w:r>
          </w:p>
        </w:tc>
      </w:tr>
      <w:tr w:rsidR="00B709A9" w14:paraId="09A2261B" w14:textId="77777777" w:rsidTr="00B709A9">
        <w:tc>
          <w:tcPr>
            <w:tcW w:w="4788" w:type="dxa"/>
            <w:hideMark/>
          </w:tcPr>
          <w:p w14:paraId="0F9672AC"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7.</w:t>
            </w:r>
            <w:r>
              <w:rPr>
                <w:rFonts w:ascii="Verdana" w:hAnsi="Verdana"/>
                <w:sz w:val="16"/>
                <w:szCs w:val="16"/>
              </w:rPr>
              <w:tab/>
              <w:t>EVALUACION DE LA CONFORMIDAD.</w:t>
            </w:r>
          </w:p>
        </w:tc>
        <w:tc>
          <w:tcPr>
            <w:tcW w:w="4788" w:type="dxa"/>
            <w:hideMark/>
          </w:tcPr>
          <w:p w14:paraId="19B9D80D"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7. </w:t>
            </w:r>
            <w:r>
              <w:rPr>
                <w:rFonts w:ascii="Verdana" w:hAnsi="Verdana"/>
                <w:sz w:val="16"/>
                <w:szCs w:val="16"/>
                <w:lang w:val="en-US"/>
              </w:rPr>
              <w:tab/>
              <w:t>EVALUATION OF CONFORMITY.</w:t>
            </w:r>
          </w:p>
        </w:tc>
      </w:tr>
      <w:tr w:rsidR="00B709A9" w14:paraId="11EBB7FE" w14:textId="77777777" w:rsidTr="00B709A9">
        <w:tc>
          <w:tcPr>
            <w:tcW w:w="4788" w:type="dxa"/>
            <w:hideMark/>
          </w:tcPr>
          <w:p w14:paraId="2C9C9E8F"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8.</w:t>
            </w:r>
            <w:r>
              <w:rPr>
                <w:rFonts w:ascii="Verdana" w:hAnsi="Verdana"/>
                <w:b/>
                <w:sz w:val="16"/>
                <w:szCs w:val="16"/>
              </w:rPr>
              <w:tab/>
            </w:r>
            <w:r>
              <w:rPr>
                <w:rFonts w:ascii="Verdana" w:hAnsi="Verdana"/>
                <w:sz w:val="16"/>
                <w:szCs w:val="16"/>
              </w:rPr>
              <w:t>BIBLIOGRAFIA.</w:t>
            </w:r>
          </w:p>
        </w:tc>
        <w:tc>
          <w:tcPr>
            <w:tcW w:w="4788" w:type="dxa"/>
            <w:hideMark/>
          </w:tcPr>
          <w:p w14:paraId="0F7B8D63"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8. </w:t>
            </w:r>
            <w:r>
              <w:rPr>
                <w:rFonts w:ascii="Verdana" w:hAnsi="Verdana"/>
                <w:b/>
                <w:sz w:val="16"/>
                <w:szCs w:val="16"/>
                <w:lang w:val="en-US"/>
              </w:rPr>
              <w:tab/>
            </w:r>
            <w:r>
              <w:rPr>
                <w:rFonts w:ascii="Verdana" w:hAnsi="Verdana"/>
                <w:sz w:val="16"/>
                <w:szCs w:val="16"/>
                <w:lang w:val="en-US"/>
              </w:rPr>
              <w:t>BIBLIOGRAPHY.</w:t>
            </w:r>
          </w:p>
        </w:tc>
      </w:tr>
      <w:tr w:rsidR="00B709A9" w14:paraId="62BD9B85" w14:textId="77777777" w:rsidTr="00B709A9">
        <w:tc>
          <w:tcPr>
            <w:tcW w:w="4788" w:type="dxa"/>
            <w:hideMark/>
          </w:tcPr>
          <w:p w14:paraId="1AFE3CC4"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9.</w:t>
            </w:r>
            <w:r>
              <w:rPr>
                <w:rFonts w:ascii="Verdana" w:hAnsi="Verdana"/>
                <w:b/>
                <w:sz w:val="16"/>
                <w:szCs w:val="16"/>
              </w:rPr>
              <w:tab/>
            </w:r>
            <w:r>
              <w:rPr>
                <w:rFonts w:ascii="Verdana" w:hAnsi="Verdana"/>
                <w:sz w:val="16"/>
                <w:szCs w:val="16"/>
              </w:rPr>
              <w:t>CONCORDANCIA CON NORMAS INTERNACIONALES.</w:t>
            </w:r>
          </w:p>
        </w:tc>
        <w:tc>
          <w:tcPr>
            <w:tcW w:w="4788" w:type="dxa"/>
            <w:hideMark/>
          </w:tcPr>
          <w:p w14:paraId="266DF0DA"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9. </w:t>
            </w:r>
            <w:r>
              <w:rPr>
                <w:rFonts w:ascii="Verdana" w:hAnsi="Verdana"/>
                <w:b/>
                <w:sz w:val="16"/>
                <w:szCs w:val="16"/>
                <w:lang w:val="en-US"/>
              </w:rPr>
              <w:tab/>
            </w:r>
            <w:r>
              <w:rPr>
                <w:rFonts w:ascii="Verdana" w:hAnsi="Verdana"/>
                <w:sz w:val="16"/>
                <w:szCs w:val="16"/>
                <w:lang w:val="en-US"/>
              </w:rPr>
              <w:t>CONCORDANCE WITH INTERNATIONAL STANDARDS.</w:t>
            </w:r>
          </w:p>
        </w:tc>
      </w:tr>
      <w:tr w:rsidR="00B709A9" w14:paraId="78B9AFCC" w14:textId="77777777" w:rsidTr="00B709A9">
        <w:tc>
          <w:tcPr>
            <w:tcW w:w="4788" w:type="dxa"/>
            <w:hideMark/>
          </w:tcPr>
          <w:p w14:paraId="1F0427FB"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10.</w:t>
            </w:r>
            <w:r>
              <w:rPr>
                <w:rFonts w:ascii="Verdana" w:hAnsi="Verdana"/>
                <w:b/>
                <w:sz w:val="16"/>
                <w:szCs w:val="16"/>
              </w:rPr>
              <w:tab/>
            </w:r>
            <w:r>
              <w:rPr>
                <w:rFonts w:ascii="Verdana" w:hAnsi="Verdana"/>
                <w:sz w:val="16"/>
                <w:szCs w:val="16"/>
              </w:rPr>
              <w:t>OBSERVANCIA.</w:t>
            </w:r>
          </w:p>
        </w:tc>
        <w:tc>
          <w:tcPr>
            <w:tcW w:w="4788" w:type="dxa"/>
            <w:hideMark/>
          </w:tcPr>
          <w:p w14:paraId="7D7E7E21"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10. </w:t>
            </w:r>
            <w:r>
              <w:rPr>
                <w:rFonts w:ascii="Verdana" w:hAnsi="Verdana"/>
                <w:b/>
                <w:sz w:val="16"/>
                <w:szCs w:val="16"/>
                <w:lang w:val="en-US"/>
              </w:rPr>
              <w:tab/>
            </w:r>
            <w:r>
              <w:rPr>
                <w:rFonts w:ascii="Verdana" w:hAnsi="Verdana"/>
                <w:sz w:val="16"/>
                <w:szCs w:val="16"/>
                <w:lang w:val="en-US"/>
              </w:rPr>
              <w:t>OBSERVANCE.</w:t>
            </w:r>
          </w:p>
        </w:tc>
      </w:tr>
      <w:tr w:rsidR="00B709A9" w14:paraId="62FD4F9B" w14:textId="77777777" w:rsidTr="00B709A9">
        <w:tc>
          <w:tcPr>
            <w:tcW w:w="4788" w:type="dxa"/>
            <w:hideMark/>
          </w:tcPr>
          <w:p w14:paraId="069A1009"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11.</w:t>
            </w:r>
            <w:r>
              <w:rPr>
                <w:rFonts w:ascii="Verdana" w:hAnsi="Verdana"/>
                <w:b/>
                <w:sz w:val="16"/>
                <w:szCs w:val="16"/>
              </w:rPr>
              <w:tab/>
            </w:r>
            <w:r>
              <w:rPr>
                <w:rFonts w:ascii="Verdana" w:hAnsi="Verdana"/>
                <w:sz w:val="16"/>
                <w:szCs w:val="16"/>
              </w:rPr>
              <w:t>VIGILANCIA.</w:t>
            </w:r>
          </w:p>
        </w:tc>
        <w:tc>
          <w:tcPr>
            <w:tcW w:w="4788" w:type="dxa"/>
            <w:hideMark/>
          </w:tcPr>
          <w:p w14:paraId="5F65E489"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11. </w:t>
            </w:r>
            <w:r>
              <w:rPr>
                <w:rFonts w:ascii="Verdana" w:hAnsi="Verdana"/>
                <w:b/>
                <w:sz w:val="16"/>
                <w:szCs w:val="16"/>
                <w:lang w:val="en-US"/>
              </w:rPr>
              <w:tab/>
            </w:r>
            <w:r>
              <w:rPr>
                <w:rFonts w:ascii="Verdana" w:hAnsi="Verdana"/>
                <w:sz w:val="16"/>
                <w:szCs w:val="16"/>
                <w:lang w:val="en-US"/>
              </w:rPr>
              <w:t>OVERSIGHT.</w:t>
            </w:r>
          </w:p>
        </w:tc>
      </w:tr>
      <w:tr w:rsidR="00B709A9" w14:paraId="0F05DE03" w14:textId="77777777" w:rsidTr="00B709A9">
        <w:tc>
          <w:tcPr>
            <w:tcW w:w="4788" w:type="dxa"/>
            <w:hideMark/>
          </w:tcPr>
          <w:p w14:paraId="2AE3E678"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12.</w:t>
            </w:r>
            <w:r>
              <w:rPr>
                <w:rFonts w:ascii="Verdana" w:hAnsi="Verdana"/>
                <w:sz w:val="16"/>
                <w:szCs w:val="16"/>
              </w:rPr>
              <w:tab/>
              <w:t>VIGENCIA.</w:t>
            </w:r>
          </w:p>
        </w:tc>
        <w:tc>
          <w:tcPr>
            <w:tcW w:w="4788" w:type="dxa"/>
            <w:hideMark/>
          </w:tcPr>
          <w:p w14:paraId="040D586C"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12. </w:t>
            </w:r>
            <w:r>
              <w:rPr>
                <w:rFonts w:ascii="Verdana" w:hAnsi="Verdana"/>
                <w:sz w:val="16"/>
                <w:szCs w:val="16"/>
                <w:lang w:val="en-US"/>
              </w:rPr>
              <w:tab/>
              <w:t>VALIDITY.</w:t>
            </w:r>
          </w:p>
        </w:tc>
      </w:tr>
      <w:tr w:rsidR="00B709A9" w14:paraId="11487A28" w14:textId="77777777" w:rsidTr="00B709A9">
        <w:tc>
          <w:tcPr>
            <w:tcW w:w="4788" w:type="dxa"/>
            <w:hideMark/>
          </w:tcPr>
          <w:p w14:paraId="6F22C419" w14:textId="77777777" w:rsidR="00B709A9" w:rsidRDefault="00B709A9">
            <w:pPr>
              <w:pStyle w:val="ROMANOS"/>
              <w:spacing w:line="276" w:lineRule="auto"/>
              <w:ind w:left="0" w:firstLine="0"/>
              <w:rPr>
                <w:rFonts w:ascii="Verdana" w:hAnsi="Verdana"/>
                <w:sz w:val="16"/>
                <w:szCs w:val="16"/>
              </w:rPr>
            </w:pPr>
            <w:r>
              <w:rPr>
                <w:rFonts w:ascii="Verdana" w:hAnsi="Verdana"/>
                <w:b/>
                <w:sz w:val="16"/>
                <w:szCs w:val="16"/>
              </w:rPr>
              <w:t>13.</w:t>
            </w:r>
            <w:r>
              <w:rPr>
                <w:rFonts w:ascii="Verdana" w:hAnsi="Verdana"/>
                <w:b/>
                <w:sz w:val="16"/>
                <w:szCs w:val="16"/>
              </w:rPr>
              <w:tab/>
            </w:r>
            <w:r>
              <w:rPr>
                <w:rFonts w:ascii="Verdana" w:hAnsi="Verdana"/>
                <w:sz w:val="16"/>
                <w:szCs w:val="16"/>
              </w:rPr>
              <w:t>TRANSITORIO.</w:t>
            </w:r>
          </w:p>
        </w:tc>
        <w:tc>
          <w:tcPr>
            <w:tcW w:w="4788" w:type="dxa"/>
            <w:hideMark/>
          </w:tcPr>
          <w:p w14:paraId="23C9D6F7" w14:textId="77777777" w:rsidR="00B709A9" w:rsidRDefault="00B709A9">
            <w:pPr>
              <w:pStyle w:val="ROMANOS"/>
              <w:spacing w:line="276" w:lineRule="auto"/>
              <w:ind w:left="0" w:firstLine="0"/>
              <w:rPr>
                <w:rFonts w:ascii="Verdana" w:hAnsi="Verdana"/>
                <w:b/>
                <w:sz w:val="16"/>
                <w:szCs w:val="16"/>
                <w:lang w:val="en-US"/>
              </w:rPr>
            </w:pPr>
            <w:r>
              <w:rPr>
                <w:rFonts w:ascii="Verdana" w:hAnsi="Verdana"/>
                <w:b/>
                <w:sz w:val="16"/>
                <w:szCs w:val="16"/>
                <w:lang w:val="en-US"/>
              </w:rPr>
              <w:t xml:space="preserve">13. </w:t>
            </w:r>
            <w:r>
              <w:rPr>
                <w:rFonts w:ascii="Verdana" w:hAnsi="Verdana"/>
                <w:b/>
                <w:sz w:val="16"/>
                <w:szCs w:val="16"/>
                <w:lang w:val="en-US"/>
              </w:rPr>
              <w:tab/>
            </w:r>
            <w:r>
              <w:rPr>
                <w:rFonts w:ascii="Verdana" w:hAnsi="Verdana"/>
                <w:sz w:val="16"/>
                <w:szCs w:val="16"/>
                <w:lang w:val="en-US"/>
              </w:rPr>
              <w:t>TRANSITIONAL.</w:t>
            </w:r>
          </w:p>
        </w:tc>
      </w:tr>
      <w:tr w:rsidR="00B709A9" w14:paraId="38849B05" w14:textId="77777777" w:rsidTr="00B709A9">
        <w:tc>
          <w:tcPr>
            <w:tcW w:w="4788" w:type="dxa"/>
            <w:hideMark/>
          </w:tcPr>
          <w:p w14:paraId="2482FB64" w14:textId="77777777" w:rsidR="00B709A9" w:rsidRDefault="00B709A9">
            <w:pPr>
              <w:pStyle w:val="ANOTACION"/>
              <w:spacing w:line="276" w:lineRule="auto"/>
              <w:rPr>
                <w:rFonts w:ascii="Verdana" w:hAnsi="Verdana"/>
                <w:sz w:val="16"/>
                <w:szCs w:val="16"/>
              </w:rPr>
            </w:pPr>
            <w:r>
              <w:rPr>
                <w:rFonts w:ascii="Verdana" w:hAnsi="Verdana"/>
                <w:sz w:val="16"/>
                <w:szCs w:val="16"/>
              </w:rPr>
              <w:t xml:space="preserve">NORMA OFICIAL MEXICANA NOM-051-SCT2-2011 PARA EL TRANSPORTE TERRESTRE DE MATERIALES Y RESIDUOS PELIGROSOS ESPECIFICACIONES PARA LA CLASIFICACION DE LAS SUBSTANCIAS INFECCIOSAS Y ESPECIFICACIONES ESPECIALES Y ADICIONALES </w:t>
            </w:r>
            <w:r>
              <w:rPr>
                <w:rFonts w:ascii="Verdana" w:hAnsi="Verdana"/>
                <w:sz w:val="16"/>
                <w:szCs w:val="16"/>
              </w:rPr>
              <w:lastRenderedPageBreak/>
              <w:t>PARA LA CONSTRUCCION Y ENSAYO (PRUEBA) DE LOS ENVASES Y/O EMBALAJES QUE TRANSPORTEN SUBSTANCIAS INFECCIOSAS DE LA DIVISION 6.2, CATEGORIA “A”</w:t>
            </w:r>
          </w:p>
        </w:tc>
        <w:tc>
          <w:tcPr>
            <w:tcW w:w="4788" w:type="dxa"/>
            <w:hideMark/>
          </w:tcPr>
          <w:p w14:paraId="4FF30145" w14:textId="77777777" w:rsidR="00B709A9" w:rsidRDefault="00B709A9">
            <w:pPr>
              <w:pStyle w:val="ANOTACION"/>
              <w:spacing w:line="276" w:lineRule="auto"/>
              <w:rPr>
                <w:rFonts w:ascii="Verdana" w:hAnsi="Verdana"/>
                <w:sz w:val="16"/>
                <w:szCs w:val="16"/>
                <w:lang w:val="en-US"/>
              </w:rPr>
            </w:pPr>
            <w:r>
              <w:rPr>
                <w:rFonts w:ascii="Verdana" w:hAnsi="Verdana"/>
                <w:sz w:val="16"/>
                <w:szCs w:val="16"/>
                <w:lang w:val="en-US"/>
              </w:rPr>
              <w:lastRenderedPageBreak/>
              <w:t xml:space="preserve">OFFICIAL MEXICAN STANDARD NOM-051-SCT2-2011 FOR THE LAND TRANSPORTATION OF HAZARDOUS MATERIALS AND WASTES SPECIFICATIONS FOR THE CLASSIFICATION OF INFECTIOUS SUBSTANCES AND SPECIAL AND ADDITIONAL SPECIFICATIONS FOR THE </w:t>
            </w:r>
            <w:r>
              <w:rPr>
                <w:rFonts w:ascii="Verdana" w:hAnsi="Verdana"/>
                <w:sz w:val="16"/>
                <w:szCs w:val="16"/>
                <w:lang w:val="en-US"/>
              </w:rPr>
              <w:lastRenderedPageBreak/>
              <w:t>CONSTRUCTION AND TRIAL (TEST) OF CONTAINERS AND/OR PACKAGING THAT TRANSPORT SUBSTANCES INFECTIOUS DIVISION 6.2, CATEGORY “A”</w:t>
            </w:r>
          </w:p>
        </w:tc>
      </w:tr>
      <w:tr w:rsidR="00B709A9" w14:paraId="1704149E" w14:textId="77777777" w:rsidTr="00B709A9">
        <w:tc>
          <w:tcPr>
            <w:tcW w:w="4788" w:type="dxa"/>
            <w:hideMark/>
          </w:tcPr>
          <w:p w14:paraId="523BD852" w14:textId="77777777" w:rsidR="00B709A9" w:rsidRDefault="00B709A9">
            <w:pPr>
              <w:pStyle w:val="Texto"/>
              <w:spacing w:line="276" w:lineRule="auto"/>
              <w:ind w:firstLine="0"/>
              <w:rPr>
                <w:rFonts w:ascii="Verdana" w:hAnsi="Verdana"/>
                <w:b/>
                <w:sz w:val="16"/>
                <w:szCs w:val="16"/>
              </w:rPr>
            </w:pPr>
            <w:r>
              <w:rPr>
                <w:rFonts w:ascii="Verdana" w:hAnsi="Verdana"/>
                <w:b/>
                <w:sz w:val="16"/>
                <w:szCs w:val="16"/>
              </w:rPr>
              <w:lastRenderedPageBreak/>
              <w:t>1.- Objetivo</w:t>
            </w:r>
          </w:p>
        </w:tc>
        <w:tc>
          <w:tcPr>
            <w:tcW w:w="4788" w:type="dxa"/>
            <w:hideMark/>
          </w:tcPr>
          <w:p w14:paraId="5CE6A2E5" w14:textId="77777777" w:rsidR="00B709A9" w:rsidRDefault="00B709A9">
            <w:pPr>
              <w:pStyle w:val="Texto"/>
              <w:spacing w:line="276" w:lineRule="auto"/>
              <w:ind w:firstLine="0"/>
              <w:rPr>
                <w:rFonts w:ascii="Verdana" w:hAnsi="Verdana"/>
                <w:b/>
                <w:sz w:val="16"/>
                <w:szCs w:val="16"/>
                <w:lang w:val="en-US"/>
              </w:rPr>
            </w:pPr>
            <w:r>
              <w:rPr>
                <w:rFonts w:ascii="Verdana" w:hAnsi="Verdana"/>
                <w:b/>
                <w:sz w:val="16"/>
                <w:szCs w:val="16"/>
                <w:lang w:val="en-US"/>
              </w:rPr>
              <w:t>1. Objective</w:t>
            </w:r>
          </w:p>
        </w:tc>
      </w:tr>
      <w:tr w:rsidR="00B709A9" w14:paraId="20C8BEEF" w14:textId="77777777" w:rsidTr="00B709A9">
        <w:tc>
          <w:tcPr>
            <w:tcW w:w="4788" w:type="dxa"/>
            <w:hideMark/>
          </w:tcPr>
          <w:p w14:paraId="1297BAAE" w14:textId="77777777" w:rsidR="00B709A9" w:rsidRDefault="00B709A9">
            <w:pPr>
              <w:pStyle w:val="Texto"/>
              <w:spacing w:line="276" w:lineRule="auto"/>
              <w:ind w:firstLine="0"/>
              <w:rPr>
                <w:rFonts w:ascii="Verdana" w:hAnsi="Verdana"/>
                <w:b/>
                <w:sz w:val="16"/>
                <w:szCs w:val="16"/>
                <w:lang w:val="es-MX"/>
              </w:rPr>
            </w:pPr>
            <w:r>
              <w:rPr>
                <w:rFonts w:ascii="Verdana" w:hAnsi="Verdana"/>
                <w:sz w:val="16"/>
                <w:szCs w:val="16"/>
              </w:rPr>
              <w:t xml:space="preserve">La presente Norma Oficial Mexicana tiene como objetivo establecer las especificaciones para la clasificación de las substancias infecciosas, así como las especificaciones especiales y adicionales para la construcción, ensayo (prueba) y marcado de los envases y/o embalajes que transporten substancias peligrosas de la división 6.2 substancias infecciosas, Categoría “A”, </w:t>
            </w:r>
            <w:r>
              <w:rPr>
                <w:rFonts w:ascii="Verdana" w:hAnsi="Verdana"/>
                <w:sz w:val="16"/>
                <w:szCs w:val="16"/>
                <w:lang w:val="es-MX"/>
              </w:rPr>
              <w:t>con el propósito de proteger las vías generales de comunicación, la seguridad de sus usuarios, la salud de las personas y el medio ambiente.</w:t>
            </w:r>
          </w:p>
        </w:tc>
        <w:tc>
          <w:tcPr>
            <w:tcW w:w="4788" w:type="dxa"/>
            <w:hideMark/>
          </w:tcPr>
          <w:p w14:paraId="61E17169"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The objective of this Official Mexican Standard is to establish the specifications for the classification of infectious substances, as well as the special and additional specifications for the construction, trial (test) and marking of the containers and/or packaging that transport hazardous substances of the division 6.2 Infectious substances, Category "A," for the purpose of protecting general communication routes, the safety of its users, the health of people and the environment.</w:t>
            </w:r>
          </w:p>
        </w:tc>
      </w:tr>
      <w:tr w:rsidR="00B709A9" w14:paraId="2D522628" w14:textId="77777777" w:rsidTr="00B709A9">
        <w:tc>
          <w:tcPr>
            <w:tcW w:w="4788" w:type="dxa"/>
            <w:hideMark/>
          </w:tcPr>
          <w:p w14:paraId="50519EFB" w14:textId="77777777" w:rsidR="00B709A9" w:rsidRDefault="00B709A9">
            <w:pPr>
              <w:pStyle w:val="Texto"/>
              <w:spacing w:line="276" w:lineRule="auto"/>
              <w:ind w:firstLine="0"/>
              <w:rPr>
                <w:rFonts w:ascii="Verdana" w:hAnsi="Verdana"/>
                <w:sz w:val="16"/>
                <w:szCs w:val="16"/>
              </w:rPr>
            </w:pPr>
            <w:r>
              <w:rPr>
                <w:rFonts w:ascii="Verdana" w:hAnsi="Verdana"/>
                <w:b/>
                <w:sz w:val="16"/>
                <w:szCs w:val="16"/>
              </w:rPr>
              <w:t>2.- Campo de aplicación</w:t>
            </w:r>
          </w:p>
        </w:tc>
        <w:tc>
          <w:tcPr>
            <w:tcW w:w="4788" w:type="dxa"/>
            <w:hideMark/>
          </w:tcPr>
          <w:p w14:paraId="664CD9F3" w14:textId="77777777" w:rsidR="00B709A9" w:rsidRDefault="00B709A9">
            <w:pPr>
              <w:pStyle w:val="Texto"/>
              <w:spacing w:line="276" w:lineRule="auto"/>
              <w:ind w:firstLine="0"/>
              <w:rPr>
                <w:rFonts w:ascii="Verdana" w:hAnsi="Verdana"/>
                <w:b/>
                <w:sz w:val="16"/>
                <w:szCs w:val="16"/>
                <w:lang w:val="en-US"/>
              </w:rPr>
            </w:pPr>
            <w:r>
              <w:rPr>
                <w:rFonts w:ascii="Verdana" w:hAnsi="Verdana"/>
                <w:b/>
                <w:sz w:val="16"/>
                <w:szCs w:val="16"/>
                <w:lang w:val="en-US"/>
              </w:rPr>
              <w:t>2.- Field of application</w:t>
            </w:r>
          </w:p>
        </w:tc>
      </w:tr>
      <w:tr w:rsidR="00B709A9" w14:paraId="35FFAC78" w14:textId="77777777" w:rsidTr="00B709A9">
        <w:tc>
          <w:tcPr>
            <w:tcW w:w="4788" w:type="dxa"/>
            <w:hideMark/>
          </w:tcPr>
          <w:p w14:paraId="438E8F11" w14:textId="77777777" w:rsidR="00B709A9" w:rsidRDefault="00B709A9">
            <w:pPr>
              <w:pStyle w:val="Texto"/>
              <w:spacing w:line="276" w:lineRule="auto"/>
              <w:ind w:firstLine="0"/>
              <w:rPr>
                <w:rFonts w:ascii="Verdana" w:hAnsi="Verdana"/>
                <w:sz w:val="16"/>
                <w:szCs w:val="16"/>
              </w:rPr>
            </w:pPr>
            <w:r>
              <w:rPr>
                <w:rFonts w:ascii="Verdana" w:hAnsi="Verdana"/>
                <w:sz w:val="16"/>
                <w:szCs w:val="16"/>
              </w:rPr>
              <w:t>Esta Norma Oficial Mexicana es de observancia obligatoria para los expedidores, generadores y destinatarios, que presentan para su transporte las substancias infecciosas de la división 6.2 Categoría “A”.</w:t>
            </w:r>
          </w:p>
        </w:tc>
        <w:tc>
          <w:tcPr>
            <w:tcW w:w="4788" w:type="dxa"/>
            <w:hideMark/>
          </w:tcPr>
          <w:p w14:paraId="4F136467"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This Official Mexican Standard is mandatory for shippers, generators, and recipients, who present for their transport the infectious substances of division 6.2 Category "A."</w:t>
            </w:r>
          </w:p>
        </w:tc>
      </w:tr>
      <w:tr w:rsidR="00B709A9" w14:paraId="69F0770C" w14:textId="77777777" w:rsidTr="00B709A9">
        <w:tc>
          <w:tcPr>
            <w:tcW w:w="4788" w:type="dxa"/>
            <w:hideMark/>
          </w:tcPr>
          <w:p w14:paraId="2C884466" w14:textId="77777777" w:rsidR="00B709A9" w:rsidRDefault="00B709A9">
            <w:pPr>
              <w:pStyle w:val="Texto"/>
              <w:spacing w:line="276" w:lineRule="auto"/>
              <w:ind w:firstLine="0"/>
              <w:rPr>
                <w:rFonts w:ascii="Verdana" w:hAnsi="Verdana"/>
                <w:sz w:val="16"/>
                <w:szCs w:val="16"/>
              </w:rPr>
            </w:pPr>
            <w:r>
              <w:rPr>
                <w:rFonts w:ascii="Verdana" w:hAnsi="Verdana"/>
                <w:sz w:val="16"/>
                <w:szCs w:val="16"/>
              </w:rPr>
              <w:t xml:space="preserve">Los transportistas de substancias </w:t>
            </w:r>
            <w:proofErr w:type="gramStart"/>
            <w:r>
              <w:rPr>
                <w:rFonts w:ascii="Verdana" w:hAnsi="Verdana"/>
                <w:sz w:val="16"/>
                <w:szCs w:val="16"/>
              </w:rPr>
              <w:t>infecciosas,</w:t>
            </w:r>
            <w:proofErr w:type="gramEnd"/>
            <w:r>
              <w:rPr>
                <w:rFonts w:ascii="Verdana" w:hAnsi="Verdana"/>
                <w:sz w:val="16"/>
                <w:szCs w:val="16"/>
              </w:rPr>
              <w:t xml:space="preserve"> sólo aceptarán para su transporte las substancias de la división 6.2, Categoría “A”, que cumplan con las especificaciones de la presente Norma Oficial Mexicana.</w:t>
            </w:r>
          </w:p>
        </w:tc>
        <w:tc>
          <w:tcPr>
            <w:tcW w:w="4788" w:type="dxa"/>
            <w:hideMark/>
          </w:tcPr>
          <w:p w14:paraId="02B4B781" w14:textId="77777777" w:rsidR="00B709A9" w:rsidRDefault="00B709A9">
            <w:pPr>
              <w:pStyle w:val="Texto"/>
              <w:spacing w:line="276" w:lineRule="auto"/>
              <w:ind w:firstLine="0"/>
              <w:rPr>
                <w:rFonts w:ascii="Verdana" w:hAnsi="Verdana"/>
                <w:sz w:val="16"/>
                <w:szCs w:val="16"/>
                <w:lang w:val="en-US"/>
              </w:rPr>
            </w:pPr>
            <w:r>
              <w:rPr>
                <w:rFonts w:ascii="Verdana" w:hAnsi="Verdana"/>
                <w:sz w:val="16"/>
                <w:szCs w:val="16"/>
                <w:lang w:val="en-US"/>
              </w:rPr>
              <w:t xml:space="preserve">Infectious substances carriers will only </w:t>
            </w:r>
            <w:proofErr w:type="gramStart"/>
            <w:r>
              <w:rPr>
                <w:rFonts w:ascii="Verdana" w:hAnsi="Verdana"/>
                <w:sz w:val="16"/>
                <w:szCs w:val="16"/>
                <w:lang w:val="en-US"/>
              </w:rPr>
              <w:t>accept</w:t>
            </w:r>
            <w:proofErr w:type="gramEnd"/>
            <w:r>
              <w:rPr>
                <w:rFonts w:ascii="Verdana" w:hAnsi="Verdana"/>
                <w:sz w:val="16"/>
                <w:szCs w:val="16"/>
                <w:lang w:val="en-US"/>
              </w:rPr>
              <w:t xml:space="preserve"> for transport substances from division 6.2, Category “A,” that meet the specifications of this Official Mexican Standard.</w:t>
            </w:r>
          </w:p>
        </w:tc>
      </w:tr>
      <w:tr w:rsidR="00B709A9" w14:paraId="09BFDB59" w14:textId="77777777" w:rsidTr="00B709A9">
        <w:tc>
          <w:tcPr>
            <w:tcW w:w="4788" w:type="dxa"/>
            <w:hideMark/>
          </w:tcPr>
          <w:p w14:paraId="4914077D" w14:textId="77777777" w:rsidR="00B709A9" w:rsidRDefault="00B709A9">
            <w:pPr>
              <w:pStyle w:val="Texto"/>
              <w:spacing w:after="60" w:line="276" w:lineRule="auto"/>
              <w:ind w:firstLine="0"/>
              <w:rPr>
                <w:rFonts w:ascii="Verdana" w:hAnsi="Verdana"/>
                <w:sz w:val="16"/>
                <w:szCs w:val="16"/>
              </w:rPr>
            </w:pPr>
            <w:r>
              <w:rPr>
                <w:rFonts w:ascii="Verdana" w:hAnsi="Verdana"/>
                <w:sz w:val="16"/>
                <w:szCs w:val="16"/>
              </w:rPr>
              <w:t>Con el fin de tener en cuenta los progresos de la ciencia y de la técnica, se podrá considerar la utilización de envases y embalajes cuyas especificaciones difieren de las indicadas en la presente Norma, siempre que éstos ofrezcan durante su transporte y utilización las mismas condiciones de seguridad y sean igualmente eficaces y superen los ensayos (pruebas) especificados en el numeral 6.5. Los métodos de ensayo (prueba) distintos a los especificados en la presente Norma Oficial Mexicana son admisibles, siempre que sean equivalentes y se adopten métodos alternativos de conformidad con la Ley Federal sobre Metrología y Normalización.</w:t>
            </w:r>
          </w:p>
        </w:tc>
        <w:tc>
          <w:tcPr>
            <w:tcW w:w="4788" w:type="dxa"/>
            <w:hideMark/>
          </w:tcPr>
          <w:p w14:paraId="2070281E" w14:textId="77777777" w:rsidR="00B709A9" w:rsidRDefault="00B709A9">
            <w:pPr>
              <w:pStyle w:val="Texto"/>
              <w:spacing w:after="60" w:line="276" w:lineRule="auto"/>
              <w:ind w:firstLine="0"/>
              <w:rPr>
                <w:rFonts w:ascii="Verdana" w:hAnsi="Verdana"/>
                <w:sz w:val="16"/>
                <w:szCs w:val="16"/>
                <w:lang w:val="en-US"/>
              </w:rPr>
            </w:pPr>
            <w:r>
              <w:rPr>
                <w:rFonts w:ascii="Verdana" w:hAnsi="Verdana"/>
                <w:sz w:val="16"/>
                <w:szCs w:val="16"/>
                <w:lang w:val="en-US"/>
              </w:rPr>
              <w:t xml:space="preserve">In order to take into </w:t>
            </w:r>
            <w:proofErr w:type="gramStart"/>
            <w:r>
              <w:rPr>
                <w:rFonts w:ascii="Verdana" w:hAnsi="Verdana"/>
                <w:sz w:val="16"/>
                <w:szCs w:val="16"/>
                <w:lang w:val="en-US"/>
              </w:rPr>
              <w:t>account</w:t>
            </w:r>
            <w:proofErr w:type="gramEnd"/>
            <w:r>
              <w:rPr>
                <w:rFonts w:ascii="Verdana" w:hAnsi="Verdana"/>
                <w:sz w:val="16"/>
                <w:szCs w:val="16"/>
                <w:lang w:val="en-US"/>
              </w:rPr>
              <w:t xml:space="preserve"> the progress of science and technology, the use of containers and packaging whose specifications differ from those indicated in this Standard may be considered, provided that they offer the same conditions of protection during transport and use the same safety conditions and are equally effective and pass the trials (tests) specified in section 6.5. Trial methods (test) other than those specified in this Official Mexican Standard are admissible, </w:t>
            </w:r>
            <w:proofErr w:type="gramStart"/>
            <w:r>
              <w:rPr>
                <w:rFonts w:ascii="Verdana" w:hAnsi="Verdana"/>
                <w:sz w:val="16"/>
                <w:szCs w:val="16"/>
                <w:lang w:val="en-US"/>
              </w:rPr>
              <w:t>provided that</w:t>
            </w:r>
            <w:proofErr w:type="gramEnd"/>
            <w:r>
              <w:rPr>
                <w:rFonts w:ascii="Verdana" w:hAnsi="Verdana"/>
                <w:sz w:val="16"/>
                <w:szCs w:val="16"/>
                <w:lang w:val="en-US"/>
              </w:rPr>
              <w:t xml:space="preserve"> they are equivalent and alternative methods are adopted in accordance with the Federal Law on Metrology and Standardization.</w:t>
            </w:r>
          </w:p>
        </w:tc>
      </w:tr>
      <w:tr w:rsidR="00B709A9" w14:paraId="18D0B8B2" w14:textId="77777777" w:rsidTr="00B709A9">
        <w:tc>
          <w:tcPr>
            <w:tcW w:w="4788" w:type="dxa"/>
            <w:hideMark/>
          </w:tcPr>
          <w:p w14:paraId="204E8DA5" w14:textId="77777777" w:rsidR="00B709A9" w:rsidRDefault="00B709A9">
            <w:pPr>
              <w:pStyle w:val="Texto"/>
              <w:spacing w:after="60" w:line="276" w:lineRule="auto"/>
              <w:ind w:firstLine="0"/>
              <w:rPr>
                <w:rFonts w:ascii="Verdana" w:hAnsi="Verdana"/>
                <w:sz w:val="16"/>
                <w:szCs w:val="16"/>
              </w:rPr>
            </w:pPr>
            <w:r>
              <w:rPr>
                <w:rFonts w:ascii="Verdana" w:hAnsi="Verdana"/>
                <w:b/>
                <w:sz w:val="16"/>
                <w:szCs w:val="16"/>
              </w:rPr>
              <w:t>3.- Referencias</w:t>
            </w:r>
          </w:p>
        </w:tc>
        <w:tc>
          <w:tcPr>
            <w:tcW w:w="4788" w:type="dxa"/>
            <w:hideMark/>
          </w:tcPr>
          <w:p w14:paraId="009CC225" w14:textId="77777777" w:rsidR="00B709A9" w:rsidRDefault="00B709A9">
            <w:pPr>
              <w:pStyle w:val="Texto"/>
              <w:spacing w:after="60" w:line="276" w:lineRule="auto"/>
              <w:ind w:firstLine="0"/>
              <w:rPr>
                <w:rFonts w:ascii="Verdana" w:hAnsi="Verdana"/>
                <w:b/>
                <w:sz w:val="16"/>
                <w:szCs w:val="16"/>
                <w:lang w:val="en-US"/>
              </w:rPr>
            </w:pPr>
            <w:r>
              <w:rPr>
                <w:rFonts w:ascii="Verdana" w:hAnsi="Verdana"/>
                <w:b/>
                <w:sz w:val="16"/>
                <w:szCs w:val="16"/>
                <w:lang w:val="en-US"/>
              </w:rPr>
              <w:t>3.- References</w:t>
            </w:r>
          </w:p>
        </w:tc>
      </w:tr>
      <w:tr w:rsidR="00B709A9" w14:paraId="483DBBBB" w14:textId="77777777" w:rsidTr="00B709A9">
        <w:tc>
          <w:tcPr>
            <w:tcW w:w="4788" w:type="dxa"/>
            <w:hideMark/>
          </w:tcPr>
          <w:p w14:paraId="1A4A416F" w14:textId="77777777" w:rsidR="00B709A9" w:rsidRDefault="00B709A9">
            <w:pPr>
              <w:pStyle w:val="Texto"/>
              <w:spacing w:after="60" w:line="276" w:lineRule="auto"/>
              <w:ind w:firstLine="0"/>
              <w:rPr>
                <w:rFonts w:ascii="Verdana" w:hAnsi="Verdana"/>
                <w:sz w:val="16"/>
                <w:szCs w:val="16"/>
                <w:lang w:val="es-MX"/>
              </w:rPr>
            </w:pPr>
            <w:r>
              <w:rPr>
                <w:rFonts w:ascii="Verdana" w:hAnsi="Verdana"/>
                <w:sz w:val="16"/>
                <w:szCs w:val="16"/>
              </w:rPr>
              <w:t>Para la correcta aplicación de esta Norma Oficial Mexicana, es necesario consultar las siguientes Normas O</w:t>
            </w:r>
            <w:proofErr w:type="spellStart"/>
            <w:r>
              <w:rPr>
                <w:rFonts w:ascii="Verdana" w:hAnsi="Verdana"/>
                <w:sz w:val="16"/>
                <w:szCs w:val="16"/>
                <w:lang w:val="es-MX"/>
              </w:rPr>
              <w:t>ficiales</w:t>
            </w:r>
            <w:proofErr w:type="spellEnd"/>
            <w:r>
              <w:rPr>
                <w:rFonts w:ascii="Verdana" w:hAnsi="Verdana"/>
                <w:sz w:val="16"/>
                <w:szCs w:val="16"/>
                <w:lang w:val="es-MX"/>
              </w:rPr>
              <w:t xml:space="preserve"> Mexicanas vigentes, o las que las sustituyan:</w:t>
            </w:r>
          </w:p>
        </w:tc>
        <w:tc>
          <w:tcPr>
            <w:tcW w:w="4788" w:type="dxa"/>
            <w:hideMark/>
          </w:tcPr>
          <w:p w14:paraId="2DBD0A37" w14:textId="77777777" w:rsidR="00B709A9" w:rsidRDefault="00B709A9">
            <w:pPr>
              <w:pStyle w:val="Texto"/>
              <w:spacing w:after="60" w:line="276" w:lineRule="auto"/>
              <w:ind w:firstLine="0"/>
              <w:rPr>
                <w:rFonts w:ascii="Verdana" w:hAnsi="Verdana"/>
                <w:sz w:val="16"/>
                <w:szCs w:val="16"/>
                <w:lang w:val="en-US"/>
              </w:rPr>
            </w:pPr>
            <w:r>
              <w:rPr>
                <w:rFonts w:ascii="Verdana" w:hAnsi="Verdana"/>
                <w:sz w:val="16"/>
                <w:szCs w:val="16"/>
                <w:lang w:val="en-US"/>
              </w:rPr>
              <w:t>For the correct application of this Official Mexican Standard, it is necessary to consult the following current Official Mexican Standards, or those that replace them:</w:t>
            </w:r>
          </w:p>
        </w:tc>
      </w:tr>
    </w:tbl>
    <w:p w14:paraId="0357CBAB" w14:textId="77777777" w:rsidR="00B709A9" w:rsidRDefault="00B709A9" w:rsidP="00B709A9">
      <w:pPr>
        <w:pStyle w:val="Texto"/>
        <w:spacing w:after="60" w:line="220" w:lineRule="exact"/>
        <w:rPr>
          <w:rFonts w:ascii="Verdana" w:hAnsi="Verdana"/>
          <w:sz w:val="16"/>
          <w:szCs w:val="16"/>
          <w:lang w:val="en-US"/>
        </w:rPr>
      </w:pPr>
    </w:p>
    <w:p w14:paraId="5A2D08EE" w14:textId="77777777" w:rsidR="00B709A9" w:rsidRDefault="00B709A9" w:rsidP="00B709A9">
      <w:pPr>
        <w:pStyle w:val="Texto"/>
        <w:spacing w:after="60" w:line="220" w:lineRule="exact"/>
        <w:rPr>
          <w:rFonts w:ascii="Verdana" w:hAnsi="Verdana"/>
          <w:sz w:val="16"/>
          <w:szCs w:val="16"/>
          <w:lang w:val="en-US"/>
        </w:rPr>
      </w:pPr>
    </w:p>
    <w:tbl>
      <w:tblPr>
        <w:tblW w:w="5000" w:type="pct"/>
        <w:tblLayout w:type="fixed"/>
        <w:tblCellMar>
          <w:left w:w="72" w:type="dxa"/>
          <w:right w:w="72" w:type="dxa"/>
        </w:tblCellMar>
        <w:tblLook w:val="04A0" w:firstRow="1" w:lastRow="0" w:firstColumn="1" w:lastColumn="0" w:noHBand="0" w:noVBand="1"/>
      </w:tblPr>
      <w:tblGrid>
        <w:gridCol w:w="2022"/>
        <w:gridCol w:w="3669"/>
        <w:gridCol w:w="3669"/>
      </w:tblGrid>
      <w:tr w:rsidR="00B709A9" w14:paraId="022F8603" w14:textId="77777777" w:rsidTr="00B709A9">
        <w:trPr>
          <w:trHeight w:val="20"/>
        </w:trPr>
        <w:tc>
          <w:tcPr>
            <w:tcW w:w="2052" w:type="dxa"/>
          </w:tcPr>
          <w:p w14:paraId="0CBC79F1" w14:textId="77777777" w:rsidR="00B709A9" w:rsidRDefault="00B709A9">
            <w:pPr>
              <w:pStyle w:val="Texto"/>
              <w:spacing w:after="60" w:line="220" w:lineRule="exact"/>
              <w:ind w:firstLine="0"/>
              <w:rPr>
                <w:rFonts w:ascii="Verdana" w:hAnsi="Verdana"/>
                <w:sz w:val="16"/>
                <w:szCs w:val="16"/>
                <w:lang w:val="en-US"/>
              </w:rPr>
            </w:pPr>
          </w:p>
        </w:tc>
        <w:tc>
          <w:tcPr>
            <w:tcW w:w="3726" w:type="dxa"/>
          </w:tcPr>
          <w:p w14:paraId="359EC01C" w14:textId="77777777" w:rsidR="00B709A9" w:rsidRDefault="00B709A9">
            <w:pPr>
              <w:pStyle w:val="Texto"/>
              <w:spacing w:after="60" w:line="220" w:lineRule="exact"/>
              <w:ind w:firstLine="0"/>
              <w:rPr>
                <w:rFonts w:ascii="Verdana" w:hAnsi="Verdana"/>
                <w:sz w:val="16"/>
                <w:szCs w:val="16"/>
                <w:lang w:val="en-US"/>
              </w:rPr>
            </w:pPr>
          </w:p>
        </w:tc>
        <w:tc>
          <w:tcPr>
            <w:tcW w:w="3726" w:type="dxa"/>
          </w:tcPr>
          <w:p w14:paraId="263CB66F" w14:textId="77777777" w:rsidR="00B709A9" w:rsidRDefault="00B709A9">
            <w:pPr>
              <w:pStyle w:val="Texto"/>
              <w:spacing w:after="60" w:line="220" w:lineRule="exact"/>
              <w:ind w:firstLine="0"/>
              <w:rPr>
                <w:rFonts w:ascii="Verdana" w:hAnsi="Verdana"/>
                <w:sz w:val="16"/>
                <w:szCs w:val="16"/>
                <w:lang w:val="en-US"/>
              </w:rPr>
            </w:pPr>
          </w:p>
        </w:tc>
      </w:tr>
      <w:tr w:rsidR="00B709A9" w14:paraId="66EB1AE5" w14:textId="77777777" w:rsidTr="00B709A9">
        <w:trPr>
          <w:trHeight w:val="20"/>
        </w:trPr>
        <w:tc>
          <w:tcPr>
            <w:tcW w:w="2052" w:type="dxa"/>
            <w:hideMark/>
          </w:tcPr>
          <w:p w14:paraId="7434D1B7"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NOM-002-SCT2-2003</w:t>
            </w:r>
          </w:p>
        </w:tc>
        <w:tc>
          <w:tcPr>
            <w:tcW w:w="3726" w:type="dxa"/>
            <w:hideMark/>
          </w:tcPr>
          <w:p w14:paraId="295E5544"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LISTADO DE LAS SUBSTANCIAS Y MATERIALES PELIGROSOS MAS USUALMENTE TRANSPORTADOS.</w:t>
            </w:r>
          </w:p>
        </w:tc>
        <w:tc>
          <w:tcPr>
            <w:tcW w:w="3726" w:type="dxa"/>
            <w:hideMark/>
          </w:tcPr>
          <w:p w14:paraId="22F9DEF5"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LIST OF THE MOST USUALLY TRANSPORTED HAZARDOUS SUBSTANCES AND MATERIALS.</w:t>
            </w:r>
          </w:p>
        </w:tc>
      </w:tr>
      <w:tr w:rsidR="00B709A9" w14:paraId="28133068" w14:textId="77777777" w:rsidTr="00B709A9">
        <w:trPr>
          <w:trHeight w:val="20"/>
        </w:trPr>
        <w:tc>
          <w:tcPr>
            <w:tcW w:w="2052" w:type="dxa"/>
            <w:hideMark/>
          </w:tcPr>
          <w:p w14:paraId="64739E61"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NOM-003-SCT/2008</w:t>
            </w:r>
          </w:p>
        </w:tc>
        <w:tc>
          <w:tcPr>
            <w:tcW w:w="3726" w:type="dxa"/>
            <w:hideMark/>
          </w:tcPr>
          <w:p w14:paraId="428FCB40"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CARACTERISTICAS DE LAS ETIQUETAS DE ENVASES Y EMBALAJES DESTINADAS AL TRANSPORTE DE MATERIALES Y RESIDUOS PELIGROSOS.</w:t>
            </w:r>
          </w:p>
        </w:tc>
        <w:tc>
          <w:tcPr>
            <w:tcW w:w="3726" w:type="dxa"/>
            <w:hideMark/>
          </w:tcPr>
          <w:p w14:paraId="21753230"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CHARACTERISTICS OF THE LABELS OF CONTAINERS AND PACKAGING INTENDED FOR THE TRANSPORT OF HAZARDOUS MATERIALS AND WASTES.</w:t>
            </w:r>
          </w:p>
        </w:tc>
      </w:tr>
      <w:tr w:rsidR="00B709A9" w14:paraId="57FBC6AE" w14:textId="77777777" w:rsidTr="00B709A9">
        <w:trPr>
          <w:trHeight w:val="20"/>
        </w:trPr>
        <w:tc>
          <w:tcPr>
            <w:tcW w:w="2052" w:type="dxa"/>
            <w:hideMark/>
          </w:tcPr>
          <w:p w14:paraId="0334DEE0"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lastRenderedPageBreak/>
              <w:t>NOM-004-SCT/2008</w:t>
            </w:r>
          </w:p>
        </w:tc>
        <w:tc>
          <w:tcPr>
            <w:tcW w:w="3726" w:type="dxa"/>
            <w:hideMark/>
          </w:tcPr>
          <w:p w14:paraId="1E56E9BB"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SISTEMA DE IDENTIFICACION DE UNIDADES DESTINADAS AL TRANSPORTE DE SUBSTANCIAS, MATERIALES Y RESIDUOS PELIGROSOS.</w:t>
            </w:r>
          </w:p>
        </w:tc>
        <w:tc>
          <w:tcPr>
            <w:tcW w:w="3726" w:type="dxa"/>
            <w:hideMark/>
          </w:tcPr>
          <w:p w14:paraId="075160D0"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IDENTIFICATION SYSTEM OF UNITS INTENDED FOR THE TRANSPORTATION OF HAZARDOUS SUBSTANCES, MATERIALS AND WASTES.</w:t>
            </w:r>
          </w:p>
        </w:tc>
      </w:tr>
      <w:tr w:rsidR="00B709A9" w14:paraId="3910FB72" w14:textId="77777777" w:rsidTr="00B709A9">
        <w:trPr>
          <w:trHeight w:val="20"/>
        </w:trPr>
        <w:tc>
          <w:tcPr>
            <w:tcW w:w="2052" w:type="dxa"/>
            <w:hideMark/>
          </w:tcPr>
          <w:p w14:paraId="7101E71C"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NOM-005-SCT/2008</w:t>
            </w:r>
          </w:p>
        </w:tc>
        <w:tc>
          <w:tcPr>
            <w:tcW w:w="3726" w:type="dxa"/>
            <w:hideMark/>
          </w:tcPr>
          <w:p w14:paraId="710C1E92"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INFORMACION DE EMERGENCIA PARA EL TRANSPORTE DE SUBSTANCIAS, MATERIALES Y RESIDUOS PELIGROSOS.</w:t>
            </w:r>
          </w:p>
        </w:tc>
        <w:tc>
          <w:tcPr>
            <w:tcW w:w="3726" w:type="dxa"/>
            <w:hideMark/>
          </w:tcPr>
          <w:p w14:paraId="78FDBB8D"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EMERGENCY INFORMATION FOR THE TRANSPORTATION OF HAZARDOUS SUBSTANCES, MATERIALS AND WASTES.</w:t>
            </w:r>
          </w:p>
        </w:tc>
      </w:tr>
      <w:tr w:rsidR="00B709A9" w14:paraId="545F5392" w14:textId="77777777" w:rsidTr="00B709A9">
        <w:trPr>
          <w:trHeight w:val="20"/>
        </w:trPr>
        <w:tc>
          <w:tcPr>
            <w:tcW w:w="2052" w:type="dxa"/>
            <w:hideMark/>
          </w:tcPr>
          <w:p w14:paraId="5B8B1B8E"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NOM-007-SCT2-2010</w:t>
            </w:r>
          </w:p>
        </w:tc>
        <w:tc>
          <w:tcPr>
            <w:tcW w:w="3726" w:type="dxa"/>
            <w:hideMark/>
          </w:tcPr>
          <w:p w14:paraId="02ACF9F2"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MARCADO DE ENVASES Y EMBALAJES DESTINADOS AL TRANSPORTE DE SUBSTANCIAS Y RESIDUOS PELIGROSOS.</w:t>
            </w:r>
          </w:p>
        </w:tc>
        <w:tc>
          <w:tcPr>
            <w:tcW w:w="3726" w:type="dxa"/>
            <w:hideMark/>
          </w:tcPr>
          <w:p w14:paraId="40FD66D8"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MARKING OF CONTAINERS AND PACKAGING INTENDED FOR THE TRANSPORT OF DANGEROUS GOODS AND WASTE.</w:t>
            </w:r>
          </w:p>
        </w:tc>
      </w:tr>
      <w:tr w:rsidR="00B709A9" w14:paraId="3A7F94C2" w14:textId="77777777" w:rsidTr="00B709A9">
        <w:trPr>
          <w:trHeight w:val="20"/>
        </w:trPr>
        <w:tc>
          <w:tcPr>
            <w:tcW w:w="2052" w:type="dxa"/>
            <w:hideMark/>
          </w:tcPr>
          <w:p w14:paraId="6815F67B"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NOM-024-SCT2-2010</w:t>
            </w:r>
          </w:p>
        </w:tc>
        <w:tc>
          <w:tcPr>
            <w:tcW w:w="3726" w:type="dxa"/>
            <w:hideMark/>
          </w:tcPr>
          <w:p w14:paraId="2D9DC2D9"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ESPECIFICACIONES PARA LA CONSTRUCCION Y RECONSTRUCCION, ASI COMO LOS METODOS DE PRUEBA DE LOS ENVASES Y EMBALAJES DE LAS SUBSTANCIAS, MATERIALES Y RESIDUOS PELIGROSOS.</w:t>
            </w:r>
          </w:p>
        </w:tc>
        <w:tc>
          <w:tcPr>
            <w:tcW w:w="3726" w:type="dxa"/>
            <w:hideMark/>
          </w:tcPr>
          <w:p w14:paraId="1848C378"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SPECIFICATIONS FOR THE CONSTRUCTION AND RECONSTRUCTION, AS WELL AS THE TESTING METHODS OF THE CONTAINERS AND PACKAGING OF HAZARDOUS SUBSTANCES, MATERIALS AND WASTES.</w:t>
            </w:r>
          </w:p>
        </w:tc>
      </w:tr>
      <w:tr w:rsidR="00B709A9" w14:paraId="3FC6E5B7" w14:textId="77777777" w:rsidTr="00B709A9">
        <w:trPr>
          <w:trHeight w:val="20"/>
        </w:trPr>
        <w:tc>
          <w:tcPr>
            <w:tcW w:w="2052" w:type="dxa"/>
            <w:hideMark/>
          </w:tcPr>
          <w:p w14:paraId="4B7A98DD"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NOM-043-SCT/2003</w:t>
            </w:r>
          </w:p>
        </w:tc>
        <w:tc>
          <w:tcPr>
            <w:tcW w:w="3726" w:type="dxa"/>
            <w:hideMark/>
          </w:tcPr>
          <w:p w14:paraId="39472D94"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rPr>
              <w:t>DOCUMENTO DE EMBARQUE DE SUBSTANCIAS, MATERIALES Y RESIDUOS PELIGROSOS.</w:t>
            </w:r>
          </w:p>
        </w:tc>
        <w:tc>
          <w:tcPr>
            <w:tcW w:w="3726" w:type="dxa"/>
            <w:hideMark/>
          </w:tcPr>
          <w:p w14:paraId="7AAC51B1"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SHIPPING DOCUMENT FOR HAZARDOUS SUBSTANCES, MATERIALS AND WASTES.</w:t>
            </w:r>
          </w:p>
        </w:tc>
      </w:tr>
      <w:tr w:rsidR="00B709A9" w14:paraId="460B8652" w14:textId="77777777" w:rsidTr="00B709A9">
        <w:trPr>
          <w:trHeight w:val="20"/>
        </w:trPr>
        <w:tc>
          <w:tcPr>
            <w:tcW w:w="2052" w:type="dxa"/>
            <w:hideMark/>
          </w:tcPr>
          <w:p w14:paraId="4C678568" w14:textId="77777777" w:rsidR="00B709A9" w:rsidRDefault="00B709A9">
            <w:pPr>
              <w:pStyle w:val="Texto"/>
              <w:spacing w:after="60" w:line="220" w:lineRule="exact"/>
              <w:ind w:firstLine="0"/>
              <w:rPr>
                <w:rFonts w:ascii="Verdana" w:hAnsi="Verdana"/>
                <w:sz w:val="16"/>
                <w:szCs w:val="16"/>
              </w:rPr>
            </w:pPr>
            <w:r>
              <w:rPr>
                <w:rFonts w:ascii="Verdana" w:hAnsi="Verdana"/>
                <w:sz w:val="16"/>
                <w:szCs w:val="16"/>
                <w:lang w:val="es-MX"/>
              </w:rPr>
              <w:t>NOM-087-SEMARNAT SSA1-2002</w:t>
            </w:r>
          </w:p>
        </w:tc>
        <w:tc>
          <w:tcPr>
            <w:tcW w:w="3726" w:type="dxa"/>
            <w:hideMark/>
          </w:tcPr>
          <w:p w14:paraId="3A75BE26" w14:textId="77777777" w:rsidR="00B709A9" w:rsidRDefault="00B709A9">
            <w:pPr>
              <w:pStyle w:val="Texto"/>
              <w:spacing w:after="60" w:line="220" w:lineRule="exact"/>
              <w:ind w:firstLine="0"/>
              <w:rPr>
                <w:rFonts w:ascii="Verdana" w:hAnsi="Verdana"/>
                <w:sz w:val="16"/>
                <w:szCs w:val="16"/>
                <w:lang w:val="es-MX"/>
              </w:rPr>
            </w:pPr>
            <w:r>
              <w:rPr>
                <w:rFonts w:ascii="Verdana" w:hAnsi="Verdana"/>
                <w:sz w:val="16"/>
                <w:szCs w:val="16"/>
              </w:rPr>
              <w:t>PROTECCION AMBIENTAL-SALUD AMBIENTAL-RESIDUOS PELIGROSOS BIOLOGICO-INFECCIOSOS-CLASIFICACION Y ESPECIFICACIONES DE MANEJO.</w:t>
            </w:r>
          </w:p>
        </w:tc>
        <w:tc>
          <w:tcPr>
            <w:tcW w:w="3726" w:type="dxa"/>
            <w:hideMark/>
          </w:tcPr>
          <w:p w14:paraId="520C89B3" w14:textId="77777777" w:rsidR="00B709A9" w:rsidRDefault="00B709A9">
            <w:pPr>
              <w:pStyle w:val="Texto"/>
              <w:spacing w:after="60" w:line="220" w:lineRule="exact"/>
              <w:ind w:firstLine="0"/>
              <w:rPr>
                <w:rFonts w:ascii="Verdana" w:hAnsi="Verdana"/>
                <w:sz w:val="16"/>
                <w:szCs w:val="16"/>
                <w:lang w:val="en-US"/>
              </w:rPr>
            </w:pPr>
            <w:r>
              <w:rPr>
                <w:rFonts w:ascii="Verdana" w:hAnsi="Verdana"/>
                <w:sz w:val="16"/>
                <w:szCs w:val="16"/>
                <w:lang w:val="en-US"/>
              </w:rPr>
              <w:t>ENVIRONMENTAL PROTECTION-ENVIRONMENTAL HEALTH-BIOLOGICAL-INFECTIOUS HAZARDOUS WASTE-CLASSIFICATION AND HANDLING SPECIFICATIONS.</w:t>
            </w:r>
          </w:p>
        </w:tc>
      </w:tr>
    </w:tbl>
    <w:p w14:paraId="432CE004" w14:textId="77777777" w:rsidR="00B709A9" w:rsidRDefault="00B709A9" w:rsidP="00B709A9">
      <w:pPr>
        <w:pStyle w:val="Texto"/>
        <w:spacing w:after="60" w:line="220" w:lineRule="exact"/>
        <w:rPr>
          <w:rFonts w:ascii="Verdana" w:hAnsi="Verdana"/>
          <w:b/>
          <w:sz w:val="16"/>
          <w:szCs w:val="16"/>
          <w:lang w:val="en-US"/>
        </w:rPr>
      </w:pPr>
    </w:p>
    <w:tbl>
      <w:tblPr>
        <w:tblW w:w="0" w:type="auto"/>
        <w:tblLook w:val="04A0" w:firstRow="1" w:lastRow="0" w:firstColumn="1" w:lastColumn="0" w:noHBand="0" w:noVBand="1"/>
      </w:tblPr>
      <w:tblGrid>
        <w:gridCol w:w="4679"/>
        <w:gridCol w:w="4681"/>
      </w:tblGrid>
      <w:tr w:rsidR="00B709A9" w14:paraId="76C242AC" w14:textId="77777777" w:rsidTr="00B709A9">
        <w:tc>
          <w:tcPr>
            <w:tcW w:w="4788" w:type="dxa"/>
            <w:hideMark/>
          </w:tcPr>
          <w:p w14:paraId="2B9AC655" w14:textId="77777777" w:rsidR="00B709A9" w:rsidRDefault="00B709A9">
            <w:pPr>
              <w:pStyle w:val="Texto"/>
              <w:spacing w:after="60" w:line="220" w:lineRule="exact"/>
              <w:ind w:firstLine="0"/>
              <w:rPr>
                <w:rFonts w:ascii="Verdana" w:hAnsi="Verdana"/>
                <w:b/>
                <w:sz w:val="16"/>
                <w:szCs w:val="16"/>
              </w:rPr>
            </w:pPr>
            <w:r>
              <w:rPr>
                <w:rFonts w:ascii="Verdana" w:hAnsi="Verdana"/>
                <w:b/>
                <w:sz w:val="16"/>
                <w:szCs w:val="16"/>
              </w:rPr>
              <w:t>4.- Definiciones</w:t>
            </w:r>
          </w:p>
        </w:tc>
        <w:tc>
          <w:tcPr>
            <w:tcW w:w="4788" w:type="dxa"/>
            <w:hideMark/>
          </w:tcPr>
          <w:p w14:paraId="6BB76C4A"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4.- Definitions</w:t>
            </w:r>
          </w:p>
        </w:tc>
      </w:tr>
      <w:tr w:rsidR="00B709A9" w14:paraId="29BE4E7F" w14:textId="77777777" w:rsidTr="00B709A9">
        <w:tc>
          <w:tcPr>
            <w:tcW w:w="4788" w:type="dxa"/>
            <w:hideMark/>
          </w:tcPr>
          <w:p w14:paraId="1584C0FD" w14:textId="77777777" w:rsidR="00B709A9" w:rsidRDefault="00B709A9">
            <w:pPr>
              <w:pStyle w:val="Texto"/>
              <w:spacing w:after="60" w:line="220" w:lineRule="exact"/>
              <w:ind w:firstLine="0"/>
              <w:rPr>
                <w:rFonts w:ascii="Verdana" w:hAnsi="Verdana"/>
                <w:sz w:val="16"/>
                <w:szCs w:val="16"/>
              </w:rPr>
            </w:pPr>
            <w:r>
              <w:rPr>
                <w:rFonts w:ascii="Verdana" w:hAnsi="Verdana"/>
                <w:b/>
                <w:sz w:val="16"/>
                <w:szCs w:val="16"/>
              </w:rPr>
              <w:t>4.1</w:t>
            </w:r>
            <w:r>
              <w:rPr>
                <w:rFonts w:ascii="Verdana" w:hAnsi="Verdana"/>
                <w:sz w:val="16"/>
                <w:szCs w:val="16"/>
              </w:rPr>
              <w:t xml:space="preserve"> Para los efectos de la presente Norma Oficial Mexicana se adoptan las siguientes definiciones:</w:t>
            </w:r>
          </w:p>
        </w:tc>
        <w:tc>
          <w:tcPr>
            <w:tcW w:w="4788" w:type="dxa"/>
            <w:hideMark/>
          </w:tcPr>
          <w:p w14:paraId="20EC712B"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4.1 </w:t>
            </w:r>
            <w:r>
              <w:rPr>
                <w:rFonts w:ascii="Verdana" w:hAnsi="Verdana"/>
                <w:sz w:val="16"/>
                <w:szCs w:val="16"/>
                <w:lang w:val="en-US"/>
              </w:rPr>
              <w:t>For the purposes of this Official Mexican Standard, the following definitions are adopted:</w:t>
            </w:r>
          </w:p>
        </w:tc>
      </w:tr>
      <w:tr w:rsidR="00B709A9" w14:paraId="169D7AF1" w14:textId="77777777" w:rsidTr="00B709A9">
        <w:tc>
          <w:tcPr>
            <w:tcW w:w="4788" w:type="dxa"/>
            <w:hideMark/>
          </w:tcPr>
          <w:p w14:paraId="04D629BE" w14:textId="77777777" w:rsidR="00B709A9" w:rsidRDefault="00B709A9">
            <w:pPr>
              <w:pStyle w:val="Texto"/>
              <w:spacing w:after="60" w:line="220" w:lineRule="exact"/>
              <w:ind w:firstLine="0"/>
              <w:rPr>
                <w:rFonts w:ascii="Verdana" w:hAnsi="Verdana"/>
                <w:sz w:val="16"/>
                <w:szCs w:val="16"/>
                <w:lang w:val="es-MX"/>
              </w:rPr>
            </w:pPr>
            <w:r>
              <w:rPr>
                <w:rFonts w:ascii="Verdana" w:hAnsi="Verdana"/>
                <w:b/>
                <w:sz w:val="16"/>
                <w:szCs w:val="16"/>
                <w:lang w:val="es-MX"/>
              </w:rPr>
              <w:t xml:space="preserve">AUTORIDAD </w:t>
            </w:r>
            <w:proofErr w:type="gramStart"/>
            <w:r>
              <w:rPr>
                <w:rFonts w:ascii="Verdana" w:hAnsi="Verdana"/>
                <w:b/>
                <w:sz w:val="16"/>
                <w:szCs w:val="16"/>
                <w:lang w:val="es-MX"/>
              </w:rPr>
              <w:t>COMPETENTE.-</w:t>
            </w:r>
            <w:proofErr w:type="gramEnd"/>
            <w:r>
              <w:rPr>
                <w:rFonts w:ascii="Verdana" w:hAnsi="Verdana"/>
                <w:b/>
                <w:sz w:val="16"/>
                <w:szCs w:val="16"/>
                <w:lang w:val="es-MX"/>
              </w:rPr>
              <w:t xml:space="preserve"> </w:t>
            </w:r>
            <w:r>
              <w:rPr>
                <w:rFonts w:ascii="Verdana" w:hAnsi="Verdana"/>
                <w:sz w:val="16"/>
                <w:szCs w:val="16"/>
                <w:lang w:val="es-MX"/>
              </w:rPr>
              <w:t>La dependencia del Ejecutivo Federal con atribuciones reconocidas para la regulación en el manejo de las substancias, materiales y residuos peligrosos de la clase 6.2 substancias infecciosas.</w:t>
            </w:r>
          </w:p>
        </w:tc>
        <w:tc>
          <w:tcPr>
            <w:tcW w:w="4788" w:type="dxa"/>
            <w:hideMark/>
          </w:tcPr>
          <w:p w14:paraId="270C1C11"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APPROPRIATE </w:t>
            </w:r>
            <w:proofErr w:type="gramStart"/>
            <w:r>
              <w:rPr>
                <w:rFonts w:ascii="Verdana" w:hAnsi="Verdana"/>
                <w:b/>
                <w:sz w:val="16"/>
                <w:szCs w:val="16"/>
                <w:lang w:val="en-US"/>
              </w:rPr>
              <w:t>AUTHORITY.-</w:t>
            </w:r>
            <w:proofErr w:type="gramEnd"/>
            <w:r>
              <w:rPr>
                <w:rFonts w:ascii="Verdana" w:hAnsi="Verdana"/>
                <w:b/>
                <w:sz w:val="16"/>
                <w:szCs w:val="16"/>
                <w:lang w:val="en-US"/>
              </w:rPr>
              <w:t xml:space="preserve"> </w:t>
            </w:r>
            <w:r>
              <w:rPr>
                <w:rFonts w:ascii="Verdana" w:hAnsi="Verdana"/>
                <w:sz w:val="16"/>
                <w:szCs w:val="16"/>
                <w:lang w:val="en-US"/>
              </w:rPr>
              <w:t>The department of the Federal Executive with recognized powers for the regulation in the handling of substances, materials and hazardous wastes of class 6.2 infectious substances.</w:t>
            </w:r>
          </w:p>
        </w:tc>
      </w:tr>
      <w:tr w:rsidR="00B709A9" w14:paraId="72CFB739" w14:textId="77777777" w:rsidTr="00B709A9">
        <w:tc>
          <w:tcPr>
            <w:tcW w:w="4788" w:type="dxa"/>
            <w:hideMark/>
          </w:tcPr>
          <w:p w14:paraId="32821CF5" w14:textId="77777777" w:rsidR="00B709A9" w:rsidRDefault="00B709A9">
            <w:pPr>
              <w:pStyle w:val="Texto"/>
              <w:spacing w:after="60" w:line="220" w:lineRule="exact"/>
              <w:ind w:firstLine="0"/>
              <w:rPr>
                <w:rFonts w:ascii="Verdana" w:hAnsi="Verdana"/>
                <w:sz w:val="16"/>
                <w:szCs w:val="16"/>
              </w:rPr>
            </w:pPr>
            <w:r>
              <w:rPr>
                <w:rFonts w:ascii="Verdana" w:hAnsi="Verdana"/>
                <w:b/>
                <w:sz w:val="16"/>
                <w:szCs w:val="16"/>
              </w:rPr>
              <w:t xml:space="preserve">SUBSTANCIAS </w:t>
            </w:r>
            <w:proofErr w:type="gramStart"/>
            <w:r>
              <w:rPr>
                <w:rFonts w:ascii="Verdana" w:hAnsi="Verdana"/>
                <w:b/>
                <w:sz w:val="16"/>
                <w:szCs w:val="16"/>
              </w:rPr>
              <w:t>INFECCIOSAS.-</w:t>
            </w:r>
            <w:proofErr w:type="gramEnd"/>
            <w:r>
              <w:rPr>
                <w:rFonts w:ascii="Verdana" w:hAnsi="Verdana"/>
                <w:sz w:val="16"/>
                <w:szCs w:val="16"/>
              </w:rPr>
              <w:t xml:space="preserve"> Son las substancias que se sabe o se cree fundadamente que contienen agentes patógenos. Los agentes patógenos son microorganismos (tales como bacterias, virus, rickettsias, parásitos y hongos), y otros agentes tales como priones que pueden causar enfermedades en los animales o en los seres humanos.</w:t>
            </w:r>
          </w:p>
        </w:tc>
        <w:tc>
          <w:tcPr>
            <w:tcW w:w="4788" w:type="dxa"/>
            <w:hideMark/>
          </w:tcPr>
          <w:p w14:paraId="449DBFB1"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INFECTIOUS </w:t>
            </w:r>
            <w:proofErr w:type="gramStart"/>
            <w:r>
              <w:rPr>
                <w:rFonts w:ascii="Verdana" w:hAnsi="Verdana"/>
                <w:b/>
                <w:sz w:val="16"/>
                <w:szCs w:val="16"/>
                <w:lang w:val="en-US"/>
              </w:rPr>
              <w:t>SUBSTANCES.-</w:t>
            </w:r>
            <w:proofErr w:type="gramEnd"/>
            <w:r>
              <w:rPr>
                <w:rFonts w:ascii="Verdana" w:hAnsi="Verdana"/>
                <w:b/>
                <w:sz w:val="16"/>
                <w:szCs w:val="16"/>
                <w:lang w:val="en-US"/>
              </w:rPr>
              <w:t xml:space="preserve"> </w:t>
            </w:r>
            <w:r>
              <w:rPr>
                <w:rFonts w:ascii="Verdana" w:hAnsi="Verdana"/>
                <w:sz w:val="16"/>
                <w:szCs w:val="16"/>
                <w:lang w:val="en-US"/>
              </w:rPr>
              <w:t xml:space="preserve">These are substances known or believed to contain pathogenic agents. Pathogens are microorganisms (such as bacteria, viruses, </w:t>
            </w:r>
            <w:proofErr w:type="spellStart"/>
            <w:r>
              <w:rPr>
                <w:rFonts w:ascii="Verdana" w:hAnsi="Verdana"/>
                <w:sz w:val="16"/>
                <w:szCs w:val="16"/>
                <w:lang w:val="en-US"/>
              </w:rPr>
              <w:t>rickettsiae</w:t>
            </w:r>
            <w:proofErr w:type="spellEnd"/>
            <w:r>
              <w:rPr>
                <w:rFonts w:ascii="Verdana" w:hAnsi="Verdana"/>
                <w:sz w:val="16"/>
                <w:szCs w:val="16"/>
                <w:lang w:val="en-US"/>
              </w:rPr>
              <w:t>, parasites, and fungi), and other agents such as prions that can cause disease in animals or humans.</w:t>
            </w:r>
          </w:p>
        </w:tc>
      </w:tr>
      <w:tr w:rsidR="00B709A9" w14:paraId="5EF93AEF" w14:textId="77777777" w:rsidTr="00B709A9">
        <w:tc>
          <w:tcPr>
            <w:tcW w:w="4788" w:type="dxa"/>
            <w:hideMark/>
          </w:tcPr>
          <w:p w14:paraId="25B50251" w14:textId="77777777" w:rsidR="00B709A9" w:rsidRDefault="00B709A9">
            <w:pPr>
              <w:pStyle w:val="Texto"/>
              <w:spacing w:after="60" w:line="220" w:lineRule="exact"/>
              <w:ind w:firstLine="0"/>
              <w:rPr>
                <w:rFonts w:ascii="Verdana" w:hAnsi="Verdana"/>
                <w:sz w:val="16"/>
                <w:szCs w:val="16"/>
              </w:rPr>
            </w:pPr>
            <w:r>
              <w:rPr>
                <w:rFonts w:ascii="Verdana" w:hAnsi="Verdana"/>
                <w:b/>
                <w:sz w:val="16"/>
                <w:szCs w:val="16"/>
              </w:rPr>
              <w:t xml:space="preserve">PRODUCTOS </w:t>
            </w:r>
            <w:proofErr w:type="gramStart"/>
            <w:r>
              <w:rPr>
                <w:rFonts w:ascii="Verdana" w:hAnsi="Verdana"/>
                <w:b/>
                <w:sz w:val="16"/>
                <w:szCs w:val="16"/>
              </w:rPr>
              <w:t>BIOLOGICOS.</w:t>
            </w:r>
            <w:r>
              <w:rPr>
                <w:rFonts w:ascii="Verdana" w:hAnsi="Verdana"/>
                <w:sz w:val="16"/>
                <w:szCs w:val="16"/>
              </w:rPr>
              <w:t>-</w:t>
            </w:r>
            <w:proofErr w:type="gramEnd"/>
            <w:r>
              <w:rPr>
                <w:rFonts w:ascii="Verdana" w:hAnsi="Verdana"/>
                <w:sz w:val="16"/>
                <w:szCs w:val="16"/>
              </w:rPr>
              <w:t xml:space="preserve"> Los productos derivados de organismos vivos, fabricados y distribuidos de conformidad con lo dispuesto por las autoridades nacionales competentes, las cuales pueden imponer condiciones especiales para su autorización, destinados a la prevención, el tratamiento o el diagnóstico de enfermedades del ser humano o de los animales o con fines conexos de elaboración, experimentación o investigación. Pueden incluir, sin estar necesariamente limitados a ellos, productos acabados o no acabados, como vacunas.</w:t>
            </w:r>
          </w:p>
        </w:tc>
        <w:tc>
          <w:tcPr>
            <w:tcW w:w="4788" w:type="dxa"/>
            <w:hideMark/>
          </w:tcPr>
          <w:p w14:paraId="2C26939A"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BIOLOGICAL PRODUCTS. </w:t>
            </w:r>
            <w:r>
              <w:rPr>
                <w:rFonts w:ascii="Verdana" w:hAnsi="Verdana"/>
                <w:sz w:val="16"/>
                <w:szCs w:val="16"/>
                <w:lang w:val="en-US"/>
              </w:rPr>
              <w:t xml:space="preserve">- Products derived from living organisms, manufactured, and distributed in accordance with the provisions of the appropriate national authorities, which may impose special conditions for their authorization, intended for the prevention, treatment, or diagnosis of diseases of human beings or of animals or for related purposes of processing, </w:t>
            </w:r>
            <w:proofErr w:type="gramStart"/>
            <w:r>
              <w:rPr>
                <w:rFonts w:ascii="Verdana" w:hAnsi="Verdana"/>
                <w:sz w:val="16"/>
                <w:szCs w:val="16"/>
                <w:lang w:val="en-US"/>
              </w:rPr>
              <w:t>experimentation</w:t>
            </w:r>
            <w:proofErr w:type="gramEnd"/>
            <w:r>
              <w:rPr>
                <w:rFonts w:ascii="Verdana" w:hAnsi="Verdana"/>
                <w:sz w:val="16"/>
                <w:szCs w:val="16"/>
                <w:lang w:val="en-US"/>
              </w:rPr>
              <w:t xml:space="preserve"> or research. They may include, but are not necessarily limited to, finished or unfinished products, such as vaccines.</w:t>
            </w:r>
          </w:p>
        </w:tc>
      </w:tr>
      <w:tr w:rsidR="00B709A9" w14:paraId="571BD592" w14:textId="77777777" w:rsidTr="00B709A9">
        <w:tc>
          <w:tcPr>
            <w:tcW w:w="4788" w:type="dxa"/>
            <w:hideMark/>
          </w:tcPr>
          <w:p w14:paraId="1A56C150" w14:textId="77777777" w:rsidR="00B709A9" w:rsidRDefault="00B709A9">
            <w:pPr>
              <w:pStyle w:val="Texto"/>
              <w:spacing w:after="60" w:line="220" w:lineRule="exact"/>
              <w:ind w:firstLine="0"/>
              <w:rPr>
                <w:rFonts w:ascii="Verdana" w:hAnsi="Verdana"/>
                <w:sz w:val="16"/>
                <w:szCs w:val="16"/>
              </w:rPr>
            </w:pPr>
            <w:proofErr w:type="gramStart"/>
            <w:r>
              <w:rPr>
                <w:rFonts w:ascii="Verdana" w:hAnsi="Verdana"/>
                <w:b/>
                <w:sz w:val="16"/>
                <w:szCs w:val="16"/>
              </w:rPr>
              <w:t>CULTIVOS.-</w:t>
            </w:r>
            <w:proofErr w:type="gramEnd"/>
            <w:r>
              <w:rPr>
                <w:rFonts w:ascii="Verdana" w:hAnsi="Verdana"/>
                <w:b/>
                <w:sz w:val="16"/>
                <w:szCs w:val="16"/>
              </w:rPr>
              <w:t xml:space="preserve"> </w:t>
            </w:r>
            <w:r>
              <w:rPr>
                <w:rFonts w:ascii="Verdana" w:hAnsi="Verdana"/>
                <w:sz w:val="16"/>
                <w:szCs w:val="16"/>
              </w:rPr>
              <w:t xml:space="preserve">Es el resultado de un proceso por el que los agentes patógenos se propagan deliberadamente. </w:t>
            </w:r>
            <w:r>
              <w:rPr>
                <w:rFonts w:ascii="Verdana" w:hAnsi="Verdana"/>
                <w:sz w:val="16"/>
                <w:szCs w:val="16"/>
              </w:rPr>
              <w:lastRenderedPageBreak/>
              <w:t>Esta definición no comprende especímenes de pacientes humanos o animales tal como se definen en ESPECIMENES DE PACIENTES.</w:t>
            </w:r>
          </w:p>
        </w:tc>
        <w:tc>
          <w:tcPr>
            <w:tcW w:w="4788" w:type="dxa"/>
            <w:hideMark/>
          </w:tcPr>
          <w:p w14:paraId="0D42CF6A" w14:textId="77777777" w:rsidR="00B709A9" w:rsidRDefault="00B709A9">
            <w:pPr>
              <w:pStyle w:val="Texto"/>
              <w:spacing w:after="60" w:line="220" w:lineRule="exact"/>
              <w:ind w:firstLine="0"/>
              <w:rPr>
                <w:rFonts w:ascii="Verdana" w:hAnsi="Verdana"/>
                <w:b/>
                <w:sz w:val="16"/>
                <w:szCs w:val="16"/>
                <w:lang w:val="en-US"/>
              </w:rPr>
            </w:pPr>
            <w:proofErr w:type="gramStart"/>
            <w:r>
              <w:rPr>
                <w:rFonts w:ascii="Verdana" w:hAnsi="Verdana"/>
                <w:b/>
                <w:sz w:val="16"/>
                <w:szCs w:val="16"/>
                <w:lang w:val="en-US"/>
              </w:rPr>
              <w:lastRenderedPageBreak/>
              <w:t>CULTIVATIONS.-</w:t>
            </w:r>
            <w:proofErr w:type="gramEnd"/>
            <w:r>
              <w:rPr>
                <w:rFonts w:ascii="Verdana" w:hAnsi="Verdana"/>
                <w:b/>
                <w:sz w:val="16"/>
                <w:szCs w:val="16"/>
                <w:lang w:val="en-US"/>
              </w:rPr>
              <w:t xml:space="preserve"> </w:t>
            </w:r>
            <w:r>
              <w:rPr>
                <w:rFonts w:ascii="Verdana" w:hAnsi="Verdana"/>
                <w:sz w:val="16"/>
                <w:szCs w:val="16"/>
                <w:lang w:val="en-US"/>
              </w:rPr>
              <w:t xml:space="preserve">It is the result of a process by which pathogens are deliberately spread. This definition does </w:t>
            </w:r>
            <w:r>
              <w:rPr>
                <w:rFonts w:ascii="Verdana" w:hAnsi="Verdana"/>
                <w:sz w:val="16"/>
                <w:szCs w:val="16"/>
                <w:lang w:val="en-US"/>
              </w:rPr>
              <w:lastRenderedPageBreak/>
              <w:t>not include human or animal patient specimens as defined in PATIENT SPECIMENS.</w:t>
            </w:r>
          </w:p>
        </w:tc>
      </w:tr>
      <w:tr w:rsidR="00B709A9" w14:paraId="6085AA96" w14:textId="77777777" w:rsidTr="00B709A9">
        <w:tc>
          <w:tcPr>
            <w:tcW w:w="4788" w:type="dxa"/>
            <w:hideMark/>
          </w:tcPr>
          <w:p w14:paraId="61DD277D" w14:textId="77777777" w:rsidR="00B709A9" w:rsidRDefault="00B709A9">
            <w:pPr>
              <w:pStyle w:val="Texto"/>
              <w:spacing w:after="60" w:line="220" w:lineRule="exact"/>
              <w:ind w:firstLine="0"/>
              <w:rPr>
                <w:rFonts w:ascii="Verdana" w:hAnsi="Verdana"/>
                <w:sz w:val="16"/>
                <w:szCs w:val="16"/>
              </w:rPr>
            </w:pPr>
            <w:r>
              <w:rPr>
                <w:rFonts w:ascii="Verdana" w:hAnsi="Verdana"/>
                <w:b/>
                <w:sz w:val="16"/>
                <w:szCs w:val="16"/>
              </w:rPr>
              <w:lastRenderedPageBreak/>
              <w:t xml:space="preserve">ESPECIMENES DE </w:t>
            </w:r>
            <w:proofErr w:type="gramStart"/>
            <w:r>
              <w:rPr>
                <w:rFonts w:ascii="Verdana" w:hAnsi="Verdana"/>
                <w:b/>
                <w:sz w:val="16"/>
                <w:szCs w:val="16"/>
              </w:rPr>
              <w:t>PACIENTES.-</w:t>
            </w:r>
            <w:proofErr w:type="gramEnd"/>
            <w:r>
              <w:rPr>
                <w:rFonts w:ascii="Verdana" w:hAnsi="Verdana"/>
                <w:b/>
                <w:sz w:val="16"/>
                <w:szCs w:val="16"/>
              </w:rPr>
              <w:t xml:space="preserve"> </w:t>
            </w:r>
            <w:r>
              <w:rPr>
                <w:rFonts w:ascii="Verdana" w:hAnsi="Verdana"/>
                <w:sz w:val="16"/>
                <w:szCs w:val="16"/>
              </w:rPr>
              <w:t>Los materiales humanos o animales extraídos directamente de pacientes humanos o animales, incluidos, sin limitarse a ellos, excrementos, secreciones, sangre y sus componentes, tejidos y líquidos tisulares, y los órganos transportados con fines de investigación, diagnóstico, estudio, tratamiento o prevención.</w:t>
            </w:r>
          </w:p>
        </w:tc>
        <w:tc>
          <w:tcPr>
            <w:tcW w:w="4788" w:type="dxa"/>
            <w:hideMark/>
          </w:tcPr>
          <w:p w14:paraId="7C40E45C"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PATIENT </w:t>
            </w:r>
            <w:proofErr w:type="gramStart"/>
            <w:r>
              <w:rPr>
                <w:rFonts w:ascii="Verdana" w:hAnsi="Verdana"/>
                <w:b/>
                <w:sz w:val="16"/>
                <w:szCs w:val="16"/>
                <w:lang w:val="en-US"/>
              </w:rPr>
              <w:t>SPECIMENS.-</w:t>
            </w:r>
            <w:proofErr w:type="gramEnd"/>
            <w:r>
              <w:rPr>
                <w:rFonts w:ascii="Verdana" w:hAnsi="Verdana"/>
                <w:b/>
                <w:sz w:val="16"/>
                <w:szCs w:val="16"/>
                <w:lang w:val="en-US"/>
              </w:rPr>
              <w:t xml:space="preserve"> </w:t>
            </w:r>
            <w:r>
              <w:rPr>
                <w:rFonts w:ascii="Verdana" w:hAnsi="Verdana"/>
                <w:sz w:val="16"/>
                <w:szCs w:val="16"/>
                <w:lang w:val="en-US"/>
              </w:rPr>
              <w:t>Human or animal materials taken directly from human or animal patients, including, but not limited to, feces, secretions, blood and its components, tissues and tissue fluids, and organs transported for the purpose of research, diagnosis, study, treatment or prevention.</w:t>
            </w:r>
          </w:p>
        </w:tc>
      </w:tr>
      <w:tr w:rsidR="00B709A9" w14:paraId="416082CE" w14:textId="77777777" w:rsidTr="00B709A9">
        <w:tc>
          <w:tcPr>
            <w:tcW w:w="4788" w:type="dxa"/>
            <w:hideMark/>
          </w:tcPr>
          <w:p w14:paraId="02EE1E6D" w14:textId="77777777" w:rsidR="00B709A9" w:rsidRDefault="00B709A9">
            <w:pPr>
              <w:pStyle w:val="Texto"/>
              <w:spacing w:after="60" w:line="220" w:lineRule="exact"/>
              <w:ind w:firstLine="0"/>
              <w:rPr>
                <w:rFonts w:ascii="Verdana" w:hAnsi="Verdana"/>
                <w:sz w:val="16"/>
                <w:szCs w:val="16"/>
              </w:rPr>
            </w:pPr>
            <w:r>
              <w:rPr>
                <w:rFonts w:ascii="Verdana" w:hAnsi="Verdana"/>
                <w:b/>
                <w:sz w:val="16"/>
                <w:szCs w:val="16"/>
              </w:rPr>
              <w:t xml:space="preserve">DESECHOS MEDICOS O </w:t>
            </w:r>
            <w:proofErr w:type="gramStart"/>
            <w:r>
              <w:rPr>
                <w:rFonts w:ascii="Verdana" w:hAnsi="Verdana"/>
                <w:b/>
                <w:sz w:val="16"/>
                <w:szCs w:val="16"/>
              </w:rPr>
              <w:t>CLINICOS.</w:t>
            </w:r>
            <w:r>
              <w:rPr>
                <w:rFonts w:ascii="Verdana" w:hAnsi="Verdana"/>
                <w:sz w:val="16"/>
                <w:szCs w:val="16"/>
              </w:rPr>
              <w:t>-</w:t>
            </w:r>
            <w:proofErr w:type="gramEnd"/>
            <w:r>
              <w:rPr>
                <w:rFonts w:ascii="Verdana" w:hAnsi="Verdana"/>
                <w:sz w:val="16"/>
                <w:szCs w:val="16"/>
              </w:rPr>
              <w:t xml:space="preserve"> Los desechos derivados de tratamientos de animales o de seres humanos, o bien de la investigación biológica.</w:t>
            </w:r>
          </w:p>
        </w:tc>
        <w:tc>
          <w:tcPr>
            <w:tcW w:w="4788" w:type="dxa"/>
            <w:hideMark/>
          </w:tcPr>
          <w:p w14:paraId="0411FE96" w14:textId="77777777" w:rsidR="00B709A9" w:rsidRDefault="00B709A9">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MEDICAL OR CLINICAL WASTES. </w:t>
            </w:r>
            <w:r>
              <w:rPr>
                <w:rFonts w:ascii="Verdana" w:hAnsi="Verdana"/>
                <w:sz w:val="16"/>
                <w:szCs w:val="16"/>
                <w:lang w:val="en-US"/>
              </w:rPr>
              <w:t>- Wastes derived from the treatment of animals or human beings, or from biological research.</w:t>
            </w:r>
          </w:p>
        </w:tc>
      </w:tr>
      <w:tr w:rsidR="00B709A9" w14:paraId="6ABE62D6" w14:textId="77777777" w:rsidTr="00B709A9">
        <w:tc>
          <w:tcPr>
            <w:tcW w:w="4788" w:type="dxa"/>
            <w:hideMark/>
          </w:tcPr>
          <w:p w14:paraId="2E870027" w14:textId="77777777" w:rsidR="00B709A9" w:rsidRDefault="00B709A9">
            <w:pPr>
              <w:pStyle w:val="Texto"/>
              <w:spacing w:after="60"/>
              <w:ind w:firstLine="0"/>
              <w:rPr>
                <w:rFonts w:ascii="Verdana" w:hAnsi="Verdana"/>
                <w:b/>
                <w:sz w:val="16"/>
                <w:szCs w:val="16"/>
              </w:rPr>
            </w:pPr>
            <w:r>
              <w:rPr>
                <w:rFonts w:ascii="Verdana" w:hAnsi="Verdana"/>
                <w:b/>
                <w:sz w:val="16"/>
                <w:szCs w:val="16"/>
              </w:rPr>
              <w:t xml:space="preserve">N.E.P.: </w:t>
            </w:r>
            <w:r>
              <w:rPr>
                <w:rFonts w:ascii="Verdana" w:hAnsi="Verdana"/>
                <w:sz w:val="16"/>
                <w:szCs w:val="16"/>
              </w:rPr>
              <w:t>No especificado en otra parte</w:t>
            </w:r>
            <w:r>
              <w:rPr>
                <w:rFonts w:ascii="Verdana" w:hAnsi="Verdana"/>
                <w:b/>
                <w:sz w:val="16"/>
                <w:szCs w:val="16"/>
              </w:rPr>
              <w:t>.</w:t>
            </w:r>
          </w:p>
        </w:tc>
        <w:tc>
          <w:tcPr>
            <w:tcW w:w="4788" w:type="dxa"/>
            <w:hideMark/>
          </w:tcPr>
          <w:p w14:paraId="0C1DB53B"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N.E.P.: </w:t>
            </w:r>
            <w:r>
              <w:rPr>
                <w:rFonts w:ascii="Verdana" w:hAnsi="Verdana"/>
                <w:sz w:val="16"/>
                <w:szCs w:val="16"/>
                <w:lang w:val="en-US"/>
              </w:rPr>
              <w:t>Not Elsewhere Specified.</w:t>
            </w:r>
          </w:p>
        </w:tc>
      </w:tr>
      <w:tr w:rsidR="00B709A9" w14:paraId="05759D34" w14:textId="77777777" w:rsidTr="00B709A9">
        <w:tc>
          <w:tcPr>
            <w:tcW w:w="4788" w:type="dxa"/>
            <w:hideMark/>
          </w:tcPr>
          <w:p w14:paraId="24E293BF" w14:textId="77777777" w:rsidR="00B709A9" w:rsidRDefault="00B709A9">
            <w:pPr>
              <w:pStyle w:val="Texto"/>
              <w:spacing w:after="60"/>
              <w:ind w:firstLine="0"/>
              <w:rPr>
                <w:rFonts w:ascii="Verdana" w:hAnsi="Verdana"/>
                <w:sz w:val="16"/>
                <w:szCs w:val="16"/>
              </w:rPr>
            </w:pPr>
            <w:r>
              <w:rPr>
                <w:rFonts w:ascii="Verdana" w:hAnsi="Verdana"/>
                <w:b/>
                <w:sz w:val="16"/>
                <w:szCs w:val="16"/>
              </w:rPr>
              <w:t xml:space="preserve">No. UN: </w:t>
            </w:r>
            <w:r>
              <w:rPr>
                <w:rFonts w:ascii="Verdana" w:hAnsi="Verdana"/>
                <w:sz w:val="16"/>
                <w:szCs w:val="16"/>
              </w:rPr>
              <w:t>El número conformado por 4 dígitos, que la Organización de las Naciones Unidas ha designado para la identificación de la substancia o material peligroso.</w:t>
            </w:r>
          </w:p>
        </w:tc>
        <w:tc>
          <w:tcPr>
            <w:tcW w:w="4788" w:type="dxa"/>
            <w:hideMark/>
          </w:tcPr>
          <w:p w14:paraId="234ABE5C"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APPROPRIATE NATIONAL: </w:t>
            </w:r>
            <w:r>
              <w:rPr>
                <w:rFonts w:ascii="Verdana" w:hAnsi="Verdana"/>
                <w:sz w:val="16"/>
                <w:szCs w:val="16"/>
                <w:lang w:val="en-US"/>
              </w:rPr>
              <w:t>The number made up of 4 digits, which the United Nations Organization has designated for the identification of the substance or hazardous material.</w:t>
            </w:r>
          </w:p>
        </w:tc>
      </w:tr>
      <w:tr w:rsidR="00B709A9" w14:paraId="70F07143" w14:textId="77777777" w:rsidTr="00B709A9">
        <w:tc>
          <w:tcPr>
            <w:tcW w:w="4788" w:type="dxa"/>
            <w:hideMark/>
          </w:tcPr>
          <w:p w14:paraId="0C1C75D6" w14:textId="77777777" w:rsidR="00B709A9" w:rsidRDefault="00B709A9">
            <w:pPr>
              <w:pStyle w:val="Texto"/>
              <w:ind w:firstLine="0"/>
              <w:rPr>
                <w:rFonts w:ascii="Verdana" w:hAnsi="Verdana"/>
                <w:b/>
                <w:sz w:val="16"/>
                <w:szCs w:val="16"/>
              </w:rPr>
            </w:pPr>
            <w:r>
              <w:rPr>
                <w:rFonts w:ascii="Verdana" w:hAnsi="Verdana"/>
                <w:b/>
                <w:sz w:val="16"/>
                <w:szCs w:val="16"/>
              </w:rPr>
              <w:t>5.- Especificaciones para la clasificación de las substancias infecciosas</w:t>
            </w:r>
          </w:p>
        </w:tc>
        <w:tc>
          <w:tcPr>
            <w:tcW w:w="4788" w:type="dxa"/>
            <w:hideMark/>
          </w:tcPr>
          <w:p w14:paraId="3AE15115"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5.- Specifications for the classification of infectious substances</w:t>
            </w:r>
          </w:p>
        </w:tc>
      </w:tr>
      <w:tr w:rsidR="00B709A9" w14:paraId="399EE6AA" w14:textId="77777777" w:rsidTr="00B709A9">
        <w:tc>
          <w:tcPr>
            <w:tcW w:w="4788" w:type="dxa"/>
            <w:hideMark/>
          </w:tcPr>
          <w:p w14:paraId="533600FD" w14:textId="77777777" w:rsidR="00B709A9" w:rsidRDefault="00B709A9">
            <w:pPr>
              <w:pStyle w:val="Texto"/>
              <w:ind w:firstLine="0"/>
              <w:rPr>
                <w:rFonts w:ascii="Verdana" w:hAnsi="Verdana"/>
                <w:sz w:val="16"/>
                <w:szCs w:val="16"/>
              </w:rPr>
            </w:pPr>
            <w:r>
              <w:rPr>
                <w:rFonts w:ascii="Verdana" w:hAnsi="Verdana"/>
                <w:b/>
                <w:sz w:val="16"/>
                <w:szCs w:val="16"/>
              </w:rPr>
              <w:t>5.1.-</w:t>
            </w:r>
            <w:r>
              <w:rPr>
                <w:rFonts w:ascii="Verdana" w:hAnsi="Verdana"/>
                <w:sz w:val="16"/>
                <w:szCs w:val="16"/>
              </w:rPr>
              <w:t xml:space="preserve"> Las substancias infecciosas se clasificarán en la división 6.2 y se asignarán a los No. UN (No. ONU) 2814, 2900, 3291 o 3373, según corresponda.</w:t>
            </w:r>
          </w:p>
        </w:tc>
        <w:tc>
          <w:tcPr>
            <w:tcW w:w="4788" w:type="dxa"/>
            <w:hideMark/>
          </w:tcPr>
          <w:p w14:paraId="59D0C83E"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 xml:space="preserve">5.1.- </w:t>
            </w:r>
            <w:r>
              <w:rPr>
                <w:rFonts w:ascii="Verdana" w:hAnsi="Verdana"/>
                <w:sz w:val="16"/>
                <w:szCs w:val="16"/>
                <w:lang w:val="en-US"/>
              </w:rPr>
              <w:t>Infectious substances will be classified in division 6.2 and assigned to UN number 2814, 2900, 3291 or 3373, as appropriate.</w:t>
            </w:r>
          </w:p>
        </w:tc>
      </w:tr>
      <w:tr w:rsidR="00B709A9" w14:paraId="5838D896" w14:textId="77777777" w:rsidTr="00B709A9">
        <w:tc>
          <w:tcPr>
            <w:tcW w:w="4788" w:type="dxa"/>
            <w:hideMark/>
          </w:tcPr>
          <w:p w14:paraId="2003D011" w14:textId="77777777" w:rsidR="00B709A9" w:rsidRDefault="00B709A9">
            <w:pPr>
              <w:pStyle w:val="Texto"/>
              <w:ind w:firstLine="0"/>
              <w:rPr>
                <w:rFonts w:ascii="Verdana" w:hAnsi="Verdana"/>
                <w:sz w:val="16"/>
                <w:szCs w:val="16"/>
              </w:rPr>
            </w:pPr>
            <w:r>
              <w:rPr>
                <w:rFonts w:ascii="Verdana" w:hAnsi="Verdana"/>
                <w:b/>
                <w:sz w:val="16"/>
                <w:szCs w:val="16"/>
              </w:rPr>
              <w:t xml:space="preserve">5.2.- </w:t>
            </w:r>
            <w:r>
              <w:rPr>
                <w:rFonts w:ascii="Verdana" w:hAnsi="Verdana"/>
                <w:sz w:val="16"/>
                <w:szCs w:val="16"/>
              </w:rPr>
              <w:t>Las substancias infecciosas se dividen en las siguientes categorías:</w:t>
            </w:r>
          </w:p>
        </w:tc>
        <w:tc>
          <w:tcPr>
            <w:tcW w:w="4788" w:type="dxa"/>
            <w:hideMark/>
          </w:tcPr>
          <w:p w14:paraId="4D51DA84"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 xml:space="preserve">5.2.- </w:t>
            </w:r>
            <w:r>
              <w:rPr>
                <w:rFonts w:ascii="Verdana" w:hAnsi="Verdana"/>
                <w:sz w:val="16"/>
                <w:szCs w:val="16"/>
                <w:lang w:val="en-US"/>
              </w:rPr>
              <w:t>Infectious substances are divided into the following categories:</w:t>
            </w:r>
          </w:p>
        </w:tc>
      </w:tr>
      <w:tr w:rsidR="00B709A9" w14:paraId="5C25038A" w14:textId="77777777" w:rsidTr="00B709A9">
        <w:tc>
          <w:tcPr>
            <w:tcW w:w="4788" w:type="dxa"/>
            <w:hideMark/>
          </w:tcPr>
          <w:p w14:paraId="17D9DC25" w14:textId="77777777" w:rsidR="00B709A9" w:rsidRDefault="00B709A9">
            <w:pPr>
              <w:pStyle w:val="Texto"/>
              <w:ind w:firstLine="0"/>
              <w:rPr>
                <w:rFonts w:ascii="Verdana" w:hAnsi="Verdana"/>
                <w:sz w:val="16"/>
                <w:szCs w:val="16"/>
              </w:rPr>
            </w:pPr>
            <w:r>
              <w:rPr>
                <w:rFonts w:ascii="Verdana" w:hAnsi="Verdana"/>
                <w:b/>
                <w:sz w:val="16"/>
                <w:szCs w:val="16"/>
              </w:rPr>
              <w:t>5.2.1.- Categoría “A”:</w:t>
            </w:r>
            <w:r>
              <w:rPr>
                <w:rFonts w:ascii="Verdana" w:hAnsi="Verdana"/>
                <w:sz w:val="16"/>
                <w:szCs w:val="16"/>
              </w:rPr>
              <w:t xml:space="preserve"> Una substancia infecciosa que se transporta en una forma que, al exponerse a ella, es capaz de causar una incapacidad permanente, poner en peligro la vida o constituir una enfermedad mortal para seres humanos o animales, hasta entonces con buena salud. En el cuadro No. 1 figuran ejemplos indicativos de substancias que cumplen esos criterios.</w:t>
            </w:r>
          </w:p>
        </w:tc>
        <w:tc>
          <w:tcPr>
            <w:tcW w:w="4788" w:type="dxa"/>
            <w:hideMark/>
          </w:tcPr>
          <w:p w14:paraId="1BDF2F44"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 xml:space="preserve">5.2.1.- Category “A:” </w:t>
            </w:r>
            <w:r>
              <w:rPr>
                <w:rFonts w:ascii="Verdana" w:hAnsi="Verdana"/>
                <w:sz w:val="16"/>
                <w:szCs w:val="16"/>
                <w:lang w:val="en-US"/>
              </w:rPr>
              <w:t xml:space="preserve">An infectious substance that is transported in a form that, when exposed to it, </w:t>
            </w:r>
            <w:proofErr w:type="gramStart"/>
            <w:r>
              <w:rPr>
                <w:rFonts w:ascii="Verdana" w:hAnsi="Verdana"/>
                <w:sz w:val="16"/>
                <w:szCs w:val="16"/>
                <w:lang w:val="en-US"/>
              </w:rPr>
              <w:t>is capable of causing</w:t>
            </w:r>
            <w:proofErr w:type="gramEnd"/>
            <w:r>
              <w:rPr>
                <w:rFonts w:ascii="Verdana" w:hAnsi="Verdana"/>
                <w:sz w:val="16"/>
                <w:szCs w:val="16"/>
                <w:lang w:val="en-US"/>
              </w:rPr>
              <w:t xml:space="preserve"> permanent disability, endangering life or constituting a fatal disease for human beings or animals, until then in good health. Table number 1 contains indicative examples of substances that meet these criteria.</w:t>
            </w:r>
          </w:p>
        </w:tc>
      </w:tr>
      <w:tr w:rsidR="00B709A9" w14:paraId="071BB0F5" w14:textId="77777777" w:rsidTr="00B709A9">
        <w:tc>
          <w:tcPr>
            <w:tcW w:w="4788" w:type="dxa"/>
            <w:hideMark/>
          </w:tcPr>
          <w:p w14:paraId="1305BC0C" w14:textId="77777777" w:rsidR="00B709A9" w:rsidRDefault="00B709A9">
            <w:pPr>
              <w:pStyle w:val="Texto"/>
              <w:ind w:firstLine="0"/>
              <w:rPr>
                <w:rFonts w:ascii="Verdana" w:hAnsi="Verdana"/>
                <w:sz w:val="16"/>
                <w:szCs w:val="16"/>
              </w:rPr>
            </w:pPr>
            <w:r>
              <w:rPr>
                <w:rFonts w:ascii="Verdana" w:hAnsi="Verdana"/>
                <w:b/>
                <w:sz w:val="16"/>
                <w:szCs w:val="16"/>
              </w:rPr>
              <w:t>5.2.1.1.</w:t>
            </w:r>
            <w:r>
              <w:rPr>
                <w:rFonts w:ascii="Verdana" w:hAnsi="Verdana"/>
                <w:sz w:val="16"/>
                <w:szCs w:val="16"/>
              </w:rPr>
              <w:t xml:space="preserve"> Existe una exposición de riesgo cuando una substancia infecciosa se desprenda de su envase y/o embalaje protector, entrando en contacto físico con seres humanos o animales.</w:t>
            </w:r>
          </w:p>
        </w:tc>
        <w:tc>
          <w:tcPr>
            <w:tcW w:w="4788" w:type="dxa"/>
            <w:hideMark/>
          </w:tcPr>
          <w:p w14:paraId="5E0BD5F3"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 xml:space="preserve">5.2.1.1. </w:t>
            </w:r>
            <w:r>
              <w:rPr>
                <w:rFonts w:ascii="Verdana" w:hAnsi="Verdana"/>
                <w:sz w:val="16"/>
                <w:szCs w:val="16"/>
                <w:lang w:val="en-US"/>
              </w:rPr>
              <w:t>There is a risk exposure when an infectious substance is released from its container and/or protective packaging, coming into physical contact with human beings or animals.</w:t>
            </w:r>
          </w:p>
        </w:tc>
      </w:tr>
      <w:tr w:rsidR="00B709A9" w14:paraId="1B8A653A" w14:textId="77777777" w:rsidTr="00B709A9">
        <w:tc>
          <w:tcPr>
            <w:tcW w:w="4788" w:type="dxa"/>
            <w:hideMark/>
          </w:tcPr>
          <w:p w14:paraId="4C606D23" w14:textId="77777777" w:rsidR="00B709A9" w:rsidRDefault="00B709A9">
            <w:pPr>
              <w:pStyle w:val="ROMANOS"/>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Las substancias infecciosas que cumpliendo esos criterios causan enfermedades en seres humanos o tanto en ellos como en animales se asignarán al No. UN 2814. Las substancias infecciosas que causan enfermedades sólo a animales se asignarán al No. UN 2900.</w:t>
            </w:r>
          </w:p>
        </w:tc>
        <w:tc>
          <w:tcPr>
            <w:tcW w:w="4788" w:type="dxa"/>
            <w:hideMark/>
          </w:tcPr>
          <w:p w14:paraId="2A47B228" w14:textId="77777777" w:rsidR="00B709A9" w:rsidRDefault="00B709A9">
            <w:pPr>
              <w:pStyle w:val="ROMANOS"/>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Infectious substances that, meeting these criteria, cause diseases in humans or both in them and in animals will be assigned to Appropriate national 2814. Infectious substances that cause diseases only in animals will be assigned the Appropriate national 2900.</w:t>
            </w:r>
          </w:p>
        </w:tc>
      </w:tr>
      <w:tr w:rsidR="00B709A9" w14:paraId="7B132094" w14:textId="77777777" w:rsidTr="00B709A9">
        <w:tc>
          <w:tcPr>
            <w:tcW w:w="4788" w:type="dxa"/>
            <w:hideMark/>
          </w:tcPr>
          <w:p w14:paraId="275A1A7E" w14:textId="77777777" w:rsidR="00B709A9" w:rsidRDefault="00B709A9">
            <w:pPr>
              <w:pStyle w:val="ROMANOS"/>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La adscripción a los Números UN 2814 o 2900 se basará en los antecedentes médicos conocidos del paciente o del animal, las condiciones endémicas locales, los síntomas del paciente o del animal o el asesoramiento de un especialista sobre el estado individual del paciente o del animal.</w:t>
            </w:r>
          </w:p>
        </w:tc>
        <w:tc>
          <w:tcPr>
            <w:tcW w:w="4788" w:type="dxa"/>
            <w:hideMark/>
          </w:tcPr>
          <w:p w14:paraId="46B724FF" w14:textId="77777777" w:rsidR="00B709A9" w:rsidRDefault="00B709A9">
            <w:pPr>
              <w:pStyle w:val="ROMANOS"/>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bCs/>
                <w:sz w:val="16"/>
                <w:szCs w:val="16"/>
                <w:lang w:val="en-US"/>
              </w:rPr>
              <w:t>The assignment</w:t>
            </w:r>
            <w:r>
              <w:rPr>
                <w:rFonts w:ascii="Verdana" w:hAnsi="Verdana"/>
                <w:sz w:val="16"/>
                <w:szCs w:val="16"/>
                <w:lang w:val="en-US"/>
              </w:rPr>
              <w:t xml:space="preserve"> to Appropriate nationals 2814 or 2900 will be based on the known medical history of the patient or animal, local endemic conditions, symptoms of the patient or animal, or specialist advice on the individual condition of the patient or animal. </w:t>
            </w:r>
          </w:p>
        </w:tc>
      </w:tr>
      <w:tr w:rsidR="00B709A9" w14:paraId="4F1FB72E" w14:textId="77777777" w:rsidTr="00B709A9">
        <w:tc>
          <w:tcPr>
            <w:tcW w:w="4788" w:type="dxa"/>
            <w:hideMark/>
          </w:tcPr>
          <w:p w14:paraId="27D5B4B8" w14:textId="77777777" w:rsidR="00B709A9" w:rsidRDefault="00B709A9">
            <w:pPr>
              <w:pStyle w:val="Texto"/>
              <w:ind w:firstLine="0"/>
              <w:rPr>
                <w:rFonts w:ascii="Verdana" w:hAnsi="Verdana"/>
                <w:sz w:val="16"/>
                <w:szCs w:val="16"/>
              </w:rPr>
            </w:pPr>
            <w:r>
              <w:rPr>
                <w:rFonts w:ascii="Verdana" w:hAnsi="Verdana"/>
                <w:b/>
                <w:sz w:val="16"/>
                <w:szCs w:val="16"/>
              </w:rPr>
              <w:t>5.2.1.2</w:t>
            </w:r>
            <w:r>
              <w:rPr>
                <w:rFonts w:ascii="Verdana" w:hAnsi="Verdana"/>
                <w:sz w:val="16"/>
                <w:szCs w:val="16"/>
              </w:rPr>
              <w:t>. La designación oficial de transporte del No. UN 2814 es "SUBSTANCIA INFECCIOSA PARA EL SER HUMANO". La del No. UN 2900 es "SUBSTANCIA INFECCIOSA PARA LOS ANIMALES únicamente".</w:t>
            </w:r>
          </w:p>
        </w:tc>
        <w:tc>
          <w:tcPr>
            <w:tcW w:w="4788" w:type="dxa"/>
            <w:hideMark/>
          </w:tcPr>
          <w:p w14:paraId="4C82C07F"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5.2.1.2.</w:t>
            </w:r>
            <w:r>
              <w:rPr>
                <w:rFonts w:ascii="Verdana" w:hAnsi="Verdana"/>
                <w:sz w:val="16"/>
                <w:szCs w:val="16"/>
                <w:lang w:val="en-US"/>
              </w:rPr>
              <w:t xml:space="preserve"> The proper shipping designation for Appropriate national 2814 is "HUMAN INFECTIOUS SUBSTANCE." UN number 2900 is "INFECTIOUS SUBSTANCE FOR ANIMALS only".</w:t>
            </w:r>
          </w:p>
        </w:tc>
      </w:tr>
      <w:tr w:rsidR="00B709A9" w14:paraId="76C15EDD" w14:textId="77777777" w:rsidTr="00B709A9">
        <w:tc>
          <w:tcPr>
            <w:tcW w:w="4788" w:type="dxa"/>
            <w:hideMark/>
          </w:tcPr>
          <w:p w14:paraId="0EC340E5" w14:textId="77777777" w:rsidR="00B709A9" w:rsidRDefault="00B709A9">
            <w:pPr>
              <w:pStyle w:val="Texto"/>
              <w:ind w:firstLine="0"/>
              <w:rPr>
                <w:rFonts w:ascii="Verdana" w:hAnsi="Verdana"/>
                <w:sz w:val="16"/>
                <w:szCs w:val="16"/>
              </w:rPr>
            </w:pPr>
            <w:r>
              <w:rPr>
                <w:rFonts w:ascii="Verdana" w:hAnsi="Verdana"/>
                <w:b/>
                <w:sz w:val="16"/>
                <w:szCs w:val="16"/>
              </w:rPr>
              <w:lastRenderedPageBreak/>
              <w:t>5.2.1.3.</w:t>
            </w:r>
            <w:r>
              <w:rPr>
                <w:rFonts w:ascii="Verdana" w:hAnsi="Verdana"/>
                <w:sz w:val="16"/>
                <w:szCs w:val="16"/>
              </w:rPr>
              <w:t xml:space="preserve"> El cuadro No. 1 no es exhaustivo. Las substancias infecciosas, incluidos agentes patógenos nuevos o emergentes, que no figuran en el cuadro No. 1, pero que cumplen los mismos criterios, se asignarán a la Categoría “A”. Además, una substancia sobre la que haya dudas acerca de si cumple o no los criterios, se incluirá en la Categoría “A”.</w:t>
            </w:r>
          </w:p>
        </w:tc>
        <w:tc>
          <w:tcPr>
            <w:tcW w:w="4788" w:type="dxa"/>
            <w:hideMark/>
          </w:tcPr>
          <w:p w14:paraId="739D5B38"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 xml:space="preserve">5.2.1.3. </w:t>
            </w:r>
            <w:r>
              <w:rPr>
                <w:rFonts w:ascii="Verdana" w:hAnsi="Verdana"/>
                <w:sz w:val="16"/>
                <w:szCs w:val="16"/>
                <w:lang w:val="en-US"/>
              </w:rPr>
              <w:t>Table number 1 is not exhaustive. Infectious substances, including new or emerging pathogens, that are not listed in Table number 1, but that meet the same criteria, will be assigned to Category “A.” In addition, a substance for which there are doubts as to whether or not it meets the criteria will be included in Category “A.”</w:t>
            </w:r>
          </w:p>
        </w:tc>
      </w:tr>
      <w:tr w:rsidR="00B709A9" w14:paraId="5E6D0CD8" w14:textId="77777777" w:rsidTr="00B709A9">
        <w:tc>
          <w:tcPr>
            <w:tcW w:w="4788" w:type="dxa"/>
          </w:tcPr>
          <w:p w14:paraId="7361374C" w14:textId="77777777" w:rsidR="00B709A9" w:rsidRDefault="00B709A9">
            <w:pPr>
              <w:pStyle w:val="Texto"/>
              <w:rPr>
                <w:rFonts w:ascii="Verdana" w:hAnsi="Verdana"/>
                <w:sz w:val="16"/>
                <w:szCs w:val="16"/>
              </w:rPr>
            </w:pPr>
            <w:r>
              <w:rPr>
                <w:rFonts w:ascii="Verdana" w:hAnsi="Verdana"/>
                <w:sz w:val="16"/>
                <w:szCs w:val="16"/>
              </w:rPr>
              <w:t xml:space="preserve">En el cuadro No. 1 siguiente, los microorganismos que figuran en </w:t>
            </w:r>
            <w:proofErr w:type="gramStart"/>
            <w:r>
              <w:rPr>
                <w:rFonts w:ascii="Verdana" w:hAnsi="Verdana"/>
                <w:sz w:val="16"/>
                <w:szCs w:val="16"/>
              </w:rPr>
              <w:t>cursiva,</w:t>
            </w:r>
            <w:proofErr w:type="gramEnd"/>
            <w:r>
              <w:rPr>
                <w:rFonts w:ascii="Verdana" w:hAnsi="Verdana"/>
                <w:sz w:val="16"/>
                <w:szCs w:val="16"/>
              </w:rPr>
              <w:t xml:space="preserve"> son bacterias, </w:t>
            </w:r>
            <w:proofErr w:type="spellStart"/>
            <w:r>
              <w:rPr>
                <w:rFonts w:ascii="Verdana" w:hAnsi="Verdana"/>
                <w:sz w:val="16"/>
                <w:szCs w:val="16"/>
              </w:rPr>
              <w:t>microplasmas</w:t>
            </w:r>
            <w:proofErr w:type="spellEnd"/>
            <w:r>
              <w:rPr>
                <w:rFonts w:ascii="Verdana" w:hAnsi="Verdana"/>
                <w:sz w:val="16"/>
                <w:szCs w:val="16"/>
              </w:rPr>
              <w:t>, rickettsias u hongos.</w:t>
            </w:r>
          </w:p>
          <w:p w14:paraId="739357EA" w14:textId="77777777" w:rsidR="00B709A9" w:rsidRDefault="00B709A9">
            <w:pPr>
              <w:pStyle w:val="Texto"/>
              <w:ind w:firstLine="0"/>
              <w:rPr>
                <w:rFonts w:ascii="Verdana" w:hAnsi="Verdana"/>
                <w:b/>
                <w:sz w:val="16"/>
                <w:szCs w:val="16"/>
              </w:rPr>
            </w:pPr>
          </w:p>
        </w:tc>
        <w:tc>
          <w:tcPr>
            <w:tcW w:w="4788" w:type="dxa"/>
          </w:tcPr>
          <w:p w14:paraId="76A0AF34" w14:textId="77777777" w:rsidR="00B709A9" w:rsidRDefault="00B709A9">
            <w:pPr>
              <w:pStyle w:val="Texto"/>
              <w:rPr>
                <w:rFonts w:ascii="Verdana" w:hAnsi="Verdana"/>
                <w:sz w:val="16"/>
                <w:szCs w:val="16"/>
                <w:lang w:val="en-US"/>
              </w:rPr>
            </w:pPr>
            <w:r>
              <w:rPr>
                <w:rFonts w:ascii="Verdana" w:hAnsi="Verdana"/>
                <w:sz w:val="16"/>
                <w:szCs w:val="16"/>
                <w:lang w:val="en-US"/>
              </w:rPr>
              <w:t xml:space="preserve">In Table number 1 below, the microorganisms that appear in italics are bacteria, </w:t>
            </w:r>
            <w:proofErr w:type="spellStart"/>
            <w:r>
              <w:rPr>
                <w:rFonts w:ascii="Verdana" w:hAnsi="Verdana"/>
                <w:sz w:val="16"/>
                <w:szCs w:val="16"/>
                <w:lang w:val="en-US"/>
              </w:rPr>
              <w:t>microplasmas</w:t>
            </w:r>
            <w:proofErr w:type="spellEnd"/>
            <w:r>
              <w:rPr>
                <w:rFonts w:ascii="Verdana" w:hAnsi="Verdana"/>
                <w:sz w:val="16"/>
                <w:szCs w:val="16"/>
                <w:lang w:val="en-US"/>
              </w:rPr>
              <w:t xml:space="preserve">, </w:t>
            </w:r>
            <w:proofErr w:type="spellStart"/>
            <w:r>
              <w:rPr>
                <w:rFonts w:ascii="Verdana" w:hAnsi="Verdana"/>
                <w:sz w:val="16"/>
                <w:szCs w:val="16"/>
                <w:lang w:val="en-US"/>
              </w:rPr>
              <w:t>rickettsiae</w:t>
            </w:r>
            <w:proofErr w:type="spellEnd"/>
            <w:r>
              <w:rPr>
                <w:rFonts w:ascii="Verdana" w:hAnsi="Verdana"/>
                <w:sz w:val="16"/>
                <w:szCs w:val="16"/>
                <w:lang w:val="en-US"/>
              </w:rPr>
              <w:t xml:space="preserve"> or fungi.</w:t>
            </w:r>
          </w:p>
          <w:p w14:paraId="0D6E6032" w14:textId="77777777" w:rsidR="00B709A9" w:rsidRDefault="00B709A9">
            <w:pPr>
              <w:pStyle w:val="Texto"/>
              <w:ind w:firstLine="0"/>
              <w:rPr>
                <w:rFonts w:ascii="Verdana" w:hAnsi="Verdana"/>
                <w:b/>
                <w:sz w:val="16"/>
                <w:szCs w:val="16"/>
                <w:lang w:val="en-US"/>
              </w:rPr>
            </w:pPr>
          </w:p>
        </w:tc>
      </w:tr>
    </w:tbl>
    <w:p w14:paraId="18929A88" w14:textId="77777777" w:rsidR="00B709A9" w:rsidRDefault="00B709A9" w:rsidP="00B709A9">
      <w:pPr>
        <w:pStyle w:val="Texto"/>
        <w:rPr>
          <w:rFonts w:ascii="Verdana" w:hAnsi="Verdana"/>
          <w:sz w:val="16"/>
          <w:szCs w:val="16"/>
          <w:lang w:val="en-US"/>
        </w:rPr>
      </w:pPr>
    </w:p>
    <w:p w14:paraId="4B3F01A3" w14:textId="77777777" w:rsidR="00B709A9" w:rsidRDefault="00B709A9" w:rsidP="00B709A9">
      <w:pPr>
        <w:pStyle w:val="Texto"/>
        <w:rPr>
          <w:rFonts w:ascii="Verdana" w:hAnsi="Verdana"/>
          <w:sz w:val="16"/>
          <w:szCs w:val="16"/>
          <w:lang w:val="en-US"/>
        </w:rPr>
      </w:pPr>
    </w:p>
    <w:p w14:paraId="4B2EA6D3" w14:textId="77777777" w:rsidR="00B709A9" w:rsidRDefault="00B709A9" w:rsidP="00B709A9">
      <w:pPr>
        <w:pStyle w:val="Texto"/>
        <w:rPr>
          <w:rFonts w:ascii="Verdana" w:hAnsi="Verdana"/>
          <w:sz w:val="16"/>
          <w:szCs w:val="16"/>
          <w:lang w:val="en-US"/>
        </w:rPr>
      </w:pPr>
    </w:p>
    <w:p w14:paraId="57C2D9F9" w14:textId="77777777" w:rsidR="00B709A9" w:rsidRDefault="00B709A9" w:rsidP="00B709A9">
      <w:pPr>
        <w:pStyle w:val="Texto"/>
        <w:rPr>
          <w:rFonts w:ascii="Verdana" w:hAnsi="Verdana"/>
          <w:sz w:val="16"/>
          <w:szCs w:val="16"/>
          <w:lang w:val="en-US"/>
        </w:rPr>
      </w:pPr>
    </w:p>
    <w:p w14:paraId="6930FFD2" w14:textId="77777777" w:rsidR="00B709A9" w:rsidRDefault="00B709A9" w:rsidP="00B709A9">
      <w:pPr>
        <w:pStyle w:val="Texto"/>
        <w:rPr>
          <w:rFonts w:ascii="Verdana" w:hAnsi="Verdana"/>
          <w:sz w:val="16"/>
          <w:szCs w:val="16"/>
          <w:lang w:val="en-US"/>
        </w:rPr>
      </w:pPr>
    </w:p>
    <w:p w14:paraId="17D2F761" w14:textId="77777777" w:rsidR="00B709A9" w:rsidRDefault="00B709A9" w:rsidP="00B709A9">
      <w:pPr>
        <w:pStyle w:val="Texto"/>
        <w:rPr>
          <w:rFonts w:ascii="Verdana" w:hAnsi="Verdana"/>
          <w:sz w:val="16"/>
          <w:szCs w:val="16"/>
          <w:lang w:val="en-US"/>
        </w:rPr>
      </w:pPr>
    </w:p>
    <w:tbl>
      <w:tblPr>
        <w:tblW w:w="8715" w:type="dxa"/>
        <w:tblInd w:w="144" w:type="dxa"/>
        <w:tblLayout w:type="fixed"/>
        <w:tblCellMar>
          <w:left w:w="72" w:type="dxa"/>
          <w:right w:w="72" w:type="dxa"/>
        </w:tblCellMar>
        <w:tblLook w:val="04A0" w:firstRow="1" w:lastRow="0" w:firstColumn="1" w:lastColumn="0" w:noHBand="0" w:noVBand="1"/>
      </w:tblPr>
      <w:tblGrid>
        <w:gridCol w:w="3827"/>
        <w:gridCol w:w="229"/>
        <w:gridCol w:w="4659"/>
      </w:tblGrid>
      <w:tr w:rsidR="00B709A9" w14:paraId="07A7F2B6" w14:textId="77777777" w:rsidTr="00B709A9">
        <w:trPr>
          <w:trHeight w:val="20"/>
        </w:trPr>
        <w:tc>
          <w:tcPr>
            <w:tcW w:w="9572" w:type="dxa"/>
            <w:gridSpan w:val="3"/>
            <w:tcBorders>
              <w:top w:val="single" w:sz="6" w:space="0" w:color="auto"/>
              <w:left w:val="single" w:sz="6" w:space="0" w:color="auto"/>
              <w:bottom w:val="single" w:sz="6" w:space="0" w:color="auto"/>
              <w:right w:val="single" w:sz="6" w:space="0" w:color="auto"/>
            </w:tcBorders>
            <w:hideMark/>
          </w:tcPr>
          <w:p w14:paraId="136900C9" w14:textId="77777777" w:rsidR="00B709A9" w:rsidRDefault="00B709A9">
            <w:pPr>
              <w:pStyle w:val="Texto"/>
              <w:ind w:firstLine="0"/>
              <w:jc w:val="center"/>
              <w:rPr>
                <w:rFonts w:ascii="Verdana" w:hAnsi="Verdana"/>
                <w:b/>
                <w:sz w:val="16"/>
                <w:szCs w:val="16"/>
              </w:rPr>
            </w:pPr>
            <w:r>
              <w:rPr>
                <w:rFonts w:ascii="Verdana" w:hAnsi="Verdana"/>
                <w:b/>
                <w:sz w:val="16"/>
                <w:szCs w:val="16"/>
              </w:rPr>
              <w:t>CUADRO No. 1</w:t>
            </w:r>
          </w:p>
          <w:p w14:paraId="3E4FC981" w14:textId="77777777" w:rsidR="00B709A9" w:rsidRDefault="00B709A9">
            <w:pPr>
              <w:pStyle w:val="Texto"/>
              <w:ind w:firstLine="0"/>
              <w:jc w:val="center"/>
              <w:rPr>
                <w:rFonts w:ascii="Verdana" w:hAnsi="Verdana"/>
                <w:b/>
                <w:sz w:val="16"/>
                <w:szCs w:val="16"/>
              </w:rPr>
            </w:pPr>
            <w:r>
              <w:rPr>
                <w:rFonts w:ascii="Verdana" w:hAnsi="Verdana"/>
                <w:b/>
                <w:sz w:val="16"/>
                <w:szCs w:val="16"/>
              </w:rPr>
              <w:t>EJEMPLOS INDICATIVOS DE SUBSTANCIAS INFECCIOSAS INCLUIDAS EN LA CATEGORIA “A” EN CUALQUIERA DE SUS FORMAS, A MENOS QUE SE INDIQUE OTRA ESPECIFICACION</w:t>
            </w:r>
          </w:p>
          <w:p w14:paraId="15F23355" w14:textId="77777777" w:rsidR="00B709A9" w:rsidRDefault="00B709A9">
            <w:pPr>
              <w:pStyle w:val="Texto"/>
              <w:ind w:firstLine="0"/>
              <w:jc w:val="center"/>
              <w:rPr>
                <w:rFonts w:ascii="Verdana" w:hAnsi="Verdana"/>
                <w:sz w:val="16"/>
                <w:szCs w:val="16"/>
              </w:rPr>
            </w:pPr>
            <w:r>
              <w:rPr>
                <w:rFonts w:ascii="Verdana" w:hAnsi="Verdana"/>
                <w:b/>
                <w:sz w:val="16"/>
                <w:szCs w:val="16"/>
              </w:rPr>
              <w:t>(5.2.1.1 a)</w:t>
            </w:r>
          </w:p>
        </w:tc>
      </w:tr>
      <w:tr w:rsidR="00B709A9" w:rsidRPr="00B709A9" w14:paraId="792B4D19" w14:textId="77777777" w:rsidTr="00B709A9">
        <w:trPr>
          <w:trHeight w:val="20"/>
        </w:trPr>
        <w:tc>
          <w:tcPr>
            <w:tcW w:w="9572" w:type="dxa"/>
            <w:gridSpan w:val="3"/>
            <w:tcBorders>
              <w:top w:val="single" w:sz="6" w:space="0" w:color="auto"/>
              <w:left w:val="single" w:sz="6" w:space="0" w:color="auto"/>
              <w:bottom w:val="single" w:sz="6" w:space="0" w:color="auto"/>
              <w:right w:val="single" w:sz="6" w:space="0" w:color="auto"/>
            </w:tcBorders>
            <w:hideMark/>
          </w:tcPr>
          <w:p w14:paraId="5116F7BF" w14:textId="77777777" w:rsidR="00B709A9" w:rsidRDefault="00B709A9">
            <w:pPr>
              <w:pStyle w:val="Texto"/>
              <w:ind w:firstLine="0"/>
              <w:jc w:val="center"/>
              <w:rPr>
                <w:rFonts w:ascii="Verdana" w:hAnsi="Verdana"/>
                <w:b/>
                <w:sz w:val="16"/>
                <w:szCs w:val="16"/>
              </w:rPr>
            </w:pPr>
            <w:r>
              <w:rPr>
                <w:rFonts w:ascii="Verdana" w:hAnsi="Verdana"/>
                <w:b/>
                <w:sz w:val="16"/>
                <w:szCs w:val="16"/>
              </w:rPr>
              <w:t>UN 2814 (No. ONU) Substancias Infecciosas para el ser Humano</w:t>
            </w:r>
          </w:p>
        </w:tc>
      </w:tr>
      <w:tr w:rsidR="00B709A9" w14:paraId="7F08D2CB" w14:textId="77777777" w:rsidTr="00B709A9">
        <w:trPr>
          <w:trHeight w:val="20"/>
        </w:trPr>
        <w:tc>
          <w:tcPr>
            <w:tcW w:w="4209" w:type="dxa"/>
            <w:tcBorders>
              <w:top w:val="single" w:sz="6" w:space="0" w:color="auto"/>
              <w:left w:val="single" w:sz="6" w:space="0" w:color="auto"/>
              <w:bottom w:val="single" w:sz="6" w:space="0" w:color="auto"/>
              <w:right w:val="single" w:sz="6" w:space="0" w:color="auto"/>
            </w:tcBorders>
            <w:hideMark/>
          </w:tcPr>
          <w:p w14:paraId="0D39BBCF" w14:textId="77777777" w:rsidR="00B709A9" w:rsidRDefault="00B709A9">
            <w:pPr>
              <w:pStyle w:val="Texto"/>
              <w:ind w:firstLine="0"/>
              <w:jc w:val="center"/>
              <w:rPr>
                <w:rFonts w:ascii="Verdana" w:hAnsi="Verdana"/>
                <w:b/>
                <w:sz w:val="16"/>
                <w:szCs w:val="16"/>
              </w:rPr>
            </w:pPr>
            <w:r>
              <w:rPr>
                <w:rFonts w:ascii="Verdana" w:hAnsi="Verdana"/>
                <w:b/>
                <w:sz w:val="16"/>
                <w:szCs w:val="16"/>
              </w:rPr>
              <w:t>Microorganismos</w:t>
            </w:r>
          </w:p>
          <w:p w14:paraId="7AE6B442" w14:textId="77777777" w:rsidR="00B709A9" w:rsidRDefault="00B709A9">
            <w:pPr>
              <w:pStyle w:val="Texto"/>
              <w:ind w:firstLine="0"/>
              <w:rPr>
                <w:rFonts w:ascii="Verdana" w:hAnsi="Verdana"/>
                <w:sz w:val="16"/>
                <w:szCs w:val="16"/>
              </w:rPr>
            </w:pPr>
            <w:proofErr w:type="spellStart"/>
            <w:r>
              <w:rPr>
                <w:rFonts w:ascii="Verdana" w:hAnsi="Verdana"/>
                <w:sz w:val="16"/>
                <w:szCs w:val="16"/>
              </w:rPr>
              <w:t>Bacillus</w:t>
            </w:r>
            <w:proofErr w:type="spellEnd"/>
            <w:r>
              <w:rPr>
                <w:rFonts w:ascii="Verdana" w:hAnsi="Verdana"/>
                <w:sz w:val="16"/>
                <w:szCs w:val="16"/>
              </w:rPr>
              <w:t xml:space="preserve"> </w:t>
            </w:r>
            <w:proofErr w:type="spellStart"/>
            <w:r>
              <w:rPr>
                <w:rFonts w:ascii="Verdana" w:hAnsi="Verdana"/>
                <w:sz w:val="16"/>
                <w:szCs w:val="16"/>
              </w:rPr>
              <w:t>anthracis</w:t>
            </w:r>
            <w:proofErr w:type="spellEnd"/>
            <w:r>
              <w:rPr>
                <w:rFonts w:ascii="Verdana" w:hAnsi="Verdana"/>
                <w:sz w:val="16"/>
                <w:szCs w:val="16"/>
              </w:rPr>
              <w:t xml:space="preserve"> (sólo cultivos)</w:t>
            </w:r>
          </w:p>
          <w:p w14:paraId="7F9E53CA" w14:textId="77777777" w:rsidR="00B709A9" w:rsidRDefault="00B709A9">
            <w:pPr>
              <w:pStyle w:val="Texto"/>
              <w:ind w:firstLine="0"/>
              <w:rPr>
                <w:rFonts w:ascii="Verdana" w:hAnsi="Verdana"/>
                <w:sz w:val="16"/>
                <w:szCs w:val="16"/>
              </w:rPr>
            </w:pPr>
            <w:proofErr w:type="spellStart"/>
            <w:r>
              <w:rPr>
                <w:rFonts w:ascii="Verdana" w:hAnsi="Verdana"/>
                <w:sz w:val="16"/>
                <w:szCs w:val="16"/>
              </w:rPr>
              <w:t>Brucella</w:t>
            </w:r>
            <w:proofErr w:type="spellEnd"/>
            <w:r>
              <w:rPr>
                <w:rFonts w:ascii="Verdana" w:hAnsi="Verdana"/>
                <w:sz w:val="16"/>
                <w:szCs w:val="16"/>
              </w:rPr>
              <w:t xml:space="preserve"> </w:t>
            </w:r>
            <w:proofErr w:type="spellStart"/>
            <w:r>
              <w:rPr>
                <w:rFonts w:ascii="Verdana" w:hAnsi="Verdana"/>
                <w:sz w:val="16"/>
                <w:szCs w:val="16"/>
              </w:rPr>
              <w:t>abortus</w:t>
            </w:r>
            <w:proofErr w:type="spellEnd"/>
            <w:r>
              <w:rPr>
                <w:rFonts w:ascii="Verdana" w:hAnsi="Verdana"/>
                <w:sz w:val="16"/>
                <w:szCs w:val="16"/>
              </w:rPr>
              <w:t xml:space="preserve"> (sólo cultivos)</w:t>
            </w:r>
          </w:p>
          <w:p w14:paraId="78016A7C" w14:textId="77777777" w:rsidR="00B709A9" w:rsidRDefault="00B709A9">
            <w:pPr>
              <w:pStyle w:val="Texto"/>
              <w:ind w:firstLine="0"/>
              <w:rPr>
                <w:rFonts w:ascii="Verdana" w:hAnsi="Verdana"/>
                <w:sz w:val="16"/>
                <w:szCs w:val="16"/>
              </w:rPr>
            </w:pPr>
            <w:proofErr w:type="spellStart"/>
            <w:r>
              <w:rPr>
                <w:rFonts w:ascii="Verdana" w:hAnsi="Verdana"/>
                <w:sz w:val="16"/>
                <w:szCs w:val="16"/>
              </w:rPr>
              <w:t>Brucella</w:t>
            </w:r>
            <w:proofErr w:type="spellEnd"/>
            <w:r>
              <w:rPr>
                <w:rFonts w:ascii="Verdana" w:hAnsi="Verdana"/>
                <w:sz w:val="16"/>
                <w:szCs w:val="16"/>
              </w:rPr>
              <w:t xml:space="preserve"> </w:t>
            </w:r>
            <w:proofErr w:type="spellStart"/>
            <w:r>
              <w:rPr>
                <w:rFonts w:ascii="Verdana" w:hAnsi="Verdana"/>
                <w:sz w:val="16"/>
                <w:szCs w:val="16"/>
              </w:rPr>
              <w:t>melitensis</w:t>
            </w:r>
            <w:proofErr w:type="spellEnd"/>
            <w:r>
              <w:rPr>
                <w:rFonts w:ascii="Verdana" w:hAnsi="Verdana"/>
                <w:sz w:val="16"/>
                <w:szCs w:val="16"/>
              </w:rPr>
              <w:t xml:space="preserve"> (sólo cultivos)</w:t>
            </w:r>
          </w:p>
          <w:p w14:paraId="695F0BDC" w14:textId="77777777" w:rsidR="00B709A9" w:rsidRDefault="00B709A9">
            <w:pPr>
              <w:pStyle w:val="Texto"/>
              <w:ind w:firstLine="0"/>
              <w:rPr>
                <w:rFonts w:ascii="Verdana" w:hAnsi="Verdana"/>
                <w:sz w:val="16"/>
                <w:szCs w:val="16"/>
              </w:rPr>
            </w:pPr>
            <w:proofErr w:type="spellStart"/>
            <w:r>
              <w:rPr>
                <w:rFonts w:ascii="Verdana" w:hAnsi="Verdana"/>
                <w:sz w:val="16"/>
                <w:szCs w:val="16"/>
              </w:rPr>
              <w:t>Brucella</w:t>
            </w:r>
            <w:proofErr w:type="spellEnd"/>
            <w:r>
              <w:rPr>
                <w:rFonts w:ascii="Verdana" w:hAnsi="Verdana"/>
                <w:sz w:val="16"/>
                <w:szCs w:val="16"/>
              </w:rPr>
              <w:t xml:space="preserve"> </w:t>
            </w:r>
            <w:proofErr w:type="spellStart"/>
            <w:r>
              <w:rPr>
                <w:rFonts w:ascii="Verdana" w:hAnsi="Verdana"/>
                <w:sz w:val="16"/>
                <w:szCs w:val="16"/>
              </w:rPr>
              <w:t>suis</w:t>
            </w:r>
            <w:proofErr w:type="spellEnd"/>
            <w:r>
              <w:rPr>
                <w:rFonts w:ascii="Verdana" w:hAnsi="Verdana"/>
                <w:sz w:val="16"/>
                <w:szCs w:val="16"/>
              </w:rPr>
              <w:t xml:space="preserve"> (sólo cultivos)</w:t>
            </w:r>
          </w:p>
          <w:p w14:paraId="7E56D7A7" w14:textId="77777777" w:rsidR="00B709A9" w:rsidRDefault="00B709A9">
            <w:pPr>
              <w:pStyle w:val="Texto"/>
              <w:ind w:firstLine="0"/>
              <w:rPr>
                <w:rFonts w:ascii="Verdana" w:hAnsi="Verdana"/>
                <w:sz w:val="16"/>
                <w:szCs w:val="16"/>
              </w:rPr>
            </w:pPr>
            <w:proofErr w:type="spellStart"/>
            <w:r>
              <w:rPr>
                <w:rFonts w:ascii="Verdana" w:hAnsi="Verdana"/>
                <w:sz w:val="16"/>
                <w:szCs w:val="16"/>
              </w:rPr>
              <w:t>Burkholderia</w:t>
            </w:r>
            <w:proofErr w:type="spellEnd"/>
            <w:r>
              <w:rPr>
                <w:rFonts w:ascii="Verdana" w:hAnsi="Verdana"/>
                <w:sz w:val="16"/>
                <w:szCs w:val="16"/>
              </w:rPr>
              <w:t xml:space="preserve"> </w:t>
            </w:r>
            <w:proofErr w:type="spellStart"/>
            <w:r>
              <w:rPr>
                <w:rFonts w:ascii="Verdana" w:hAnsi="Verdana"/>
                <w:sz w:val="16"/>
                <w:szCs w:val="16"/>
              </w:rPr>
              <w:t>mallei</w:t>
            </w:r>
            <w:proofErr w:type="spellEnd"/>
            <w:r>
              <w:rPr>
                <w:rFonts w:ascii="Verdana" w:hAnsi="Verdana"/>
                <w:sz w:val="16"/>
                <w:szCs w:val="16"/>
              </w:rPr>
              <w:t xml:space="preserve"> – Pseudomonas </w:t>
            </w:r>
            <w:proofErr w:type="spellStart"/>
            <w:r>
              <w:rPr>
                <w:rFonts w:ascii="Verdana" w:hAnsi="Verdana"/>
                <w:sz w:val="16"/>
                <w:szCs w:val="16"/>
              </w:rPr>
              <w:t>mallei</w:t>
            </w:r>
            <w:proofErr w:type="spellEnd"/>
            <w:r>
              <w:rPr>
                <w:rFonts w:ascii="Verdana" w:hAnsi="Verdana"/>
                <w:sz w:val="16"/>
                <w:szCs w:val="16"/>
              </w:rPr>
              <w:t xml:space="preserve"> - Glándulas (sólo cultivos)</w:t>
            </w:r>
          </w:p>
          <w:p w14:paraId="649C0E9D" w14:textId="77777777" w:rsidR="00B709A9" w:rsidRDefault="00B709A9">
            <w:pPr>
              <w:pStyle w:val="Texto"/>
              <w:ind w:firstLine="0"/>
              <w:rPr>
                <w:rFonts w:ascii="Verdana" w:hAnsi="Verdana"/>
                <w:sz w:val="16"/>
                <w:szCs w:val="16"/>
              </w:rPr>
            </w:pPr>
            <w:proofErr w:type="spellStart"/>
            <w:r>
              <w:rPr>
                <w:rFonts w:ascii="Verdana" w:hAnsi="Verdana"/>
                <w:sz w:val="16"/>
                <w:szCs w:val="16"/>
              </w:rPr>
              <w:t>Burkholderia</w:t>
            </w:r>
            <w:proofErr w:type="spellEnd"/>
            <w:r>
              <w:rPr>
                <w:rFonts w:ascii="Verdana" w:hAnsi="Verdana"/>
                <w:sz w:val="16"/>
                <w:szCs w:val="16"/>
              </w:rPr>
              <w:t xml:space="preserve"> </w:t>
            </w:r>
            <w:proofErr w:type="spellStart"/>
            <w:r>
              <w:rPr>
                <w:rFonts w:ascii="Verdana" w:hAnsi="Verdana"/>
                <w:sz w:val="16"/>
                <w:szCs w:val="16"/>
              </w:rPr>
              <w:t>pseudomallei</w:t>
            </w:r>
            <w:proofErr w:type="spellEnd"/>
            <w:r>
              <w:rPr>
                <w:rFonts w:ascii="Verdana" w:hAnsi="Verdana"/>
                <w:sz w:val="16"/>
                <w:szCs w:val="16"/>
              </w:rPr>
              <w:t xml:space="preserve"> – Pseudomonas </w:t>
            </w:r>
            <w:proofErr w:type="spellStart"/>
            <w:r>
              <w:rPr>
                <w:rFonts w:ascii="Verdana" w:hAnsi="Verdana"/>
                <w:sz w:val="16"/>
                <w:szCs w:val="16"/>
              </w:rPr>
              <w:t>pseudomallei</w:t>
            </w:r>
            <w:proofErr w:type="spellEnd"/>
            <w:r>
              <w:rPr>
                <w:rFonts w:ascii="Verdana" w:hAnsi="Verdana"/>
                <w:sz w:val="16"/>
                <w:szCs w:val="16"/>
              </w:rPr>
              <w:t xml:space="preserve"> – Glándulas (sólo cultivos)</w:t>
            </w:r>
          </w:p>
          <w:p w14:paraId="51E97B12" w14:textId="77777777" w:rsidR="00B709A9" w:rsidRDefault="00B709A9">
            <w:pPr>
              <w:pStyle w:val="Texto"/>
              <w:ind w:firstLine="0"/>
              <w:rPr>
                <w:rFonts w:ascii="Verdana" w:hAnsi="Verdana"/>
                <w:sz w:val="16"/>
                <w:szCs w:val="16"/>
              </w:rPr>
            </w:pPr>
            <w:r>
              <w:rPr>
                <w:rFonts w:ascii="Verdana" w:hAnsi="Verdana"/>
                <w:sz w:val="16"/>
                <w:szCs w:val="16"/>
              </w:rPr>
              <w:t xml:space="preserve">Chlamydia </w:t>
            </w:r>
            <w:proofErr w:type="spellStart"/>
            <w:r>
              <w:rPr>
                <w:rFonts w:ascii="Verdana" w:hAnsi="Verdana"/>
                <w:sz w:val="16"/>
                <w:szCs w:val="16"/>
              </w:rPr>
              <w:t>psittaci</w:t>
            </w:r>
            <w:proofErr w:type="spellEnd"/>
            <w:r>
              <w:rPr>
                <w:rFonts w:ascii="Verdana" w:hAnsi="Verdana"/>
                <w:sz w:val="16"/>
                <w:szCs w:val="16"/>
              </w:rPr>
              <w:t xml:space="preserve"> – cepas aviares</w:t>
            </w:r>
          </w:p>
          <w:p w14:paraId="052339CF" w14:textId="77777777" w:rsidR="00B709A9" w:rsidRDefault="00B709A9">
            <w:pPr>
              <w:pStyle w:val="Texto"/>
              <w:ind w:firstLine="0"/>
              <w:rPr>
                <w:rFonts w:ascii="Verdana" w:hAnsi="Verdana"/>
                <w:sz w:val="16"/>
                <w:szCs w:val="16"/>
              </w:rPr>
            </w:pPr>
            <w:r>
              <w:rPr>
                <w:rFonts w:ascii="Verdana" w:hAnsi="Verdana"/>
                <w:sz w:val="16"/>
                <w:szCs w:val="16"/>
              </w:rPr>
              <w:t>(sólo cultivos)</w:t>
            </w:r>
          </w:p>
          <w:p w14:paraId="336D6CA1" w14:textId="77777777" w:rsidR="00B709A9" w:rsidRDefault="00B709A9">
            <w:pPr>
              <w:pStyle w:val="Texto"/>
              <w:ind w:firstLine="0"/>
              <w:rPr>
                <w:rFonts w:ascii="Verdana" w:hAnsi="Verdana"/>
                <w:sz w:val="16"/>
                <w:szCs w:val="16"/>
              </w:rPr>
            </w:pPr>
            <w:proofErr w:type="spellStart"/>
            <w:r>
              <w:rPr>
                <w:rFonts w:ascii="Verdana" w:hAnsi="Verdana"/>
                <w:sz w:val="16"/>
                <w:szCs w:val="16"/>
              </w:rPr>
              <w:t>Clostridium</w:t>
            </w:r>
            <w:proofErr w:type="spellEnd"/>
            <w:r>
              <w:rPr>
                <w:rFonts w:ascii="Verdana" w:hAnsi="Verdana"/>
                <w:sz w:val="16"/>
                <w:szCs w:val="16"/>
              </w:rPr>
              <w:t xml:space="preserve"> </w:t>
            </w:r>
            <w:proofErr w:type="spellStart"/>
            <w:r>
              <w:rPr>
                <w:rFonts w:ascii="Verdana" w:hAnsi="Verdana"/>
                <w:sz w:val="16"/>
                <w:szCs w:val="16"/>
              </w:rPr>
              <w:t>botulinum</w:t>
            </w:r>
            <w:proofErr w:type="spellEnd"/>
            <w:r>
              <w:rPr>
                <w:rFonts w:ascii="Verdana" w:hAnsi="Verdana"/>
                <w:sz w:val="16"/>
                <w:szCs w:val="16"/>
              </w:rPr>
              <w:t xml:space="preserve"> (sólo cultivos)</w:t>
            </w:r>
          </w:p>
          <w:p w14:paraId="07ED1955" w14:textId="77777777" w:rsidR="00B709A9" w:rsidRDefault="00B709A9">
            <w:pPr>
              <w:pStyle w:val="Texto"/>
              <w:ind w:firstLine="0"/>
              <w:rPr>
                <w:rFonts w:ascii="Verdana" w:hAnsi="Verdana"/>
                <w:sz w:val="16"/>
                <w:szCs w:val="16"/>
              </w:rPr>
            </w:pPr>
            <w:proofErr w:type="spellStart"/>
            <w:r>
              <w:rPr>
                <w:rFonts w:ascii="Verdana" w:hAnsi="Verdana"/>
                <w:sz w:val="16"/>
                <w:szCs w:val="16"/>
              </w:rPr>
              <w:t>Cocciodioides</w:t>
            </w:r>
            <w:proofErr w:type="spellEnd"/>
            <w:r>
              <w:rPr>
                <w:rFonts w:ascii="Verdana" w:hAnsi="Verdana"/>
                <w:sz w:val="16"/>
                <w:szCs w:val="16"/>
              </w:rPr>
              <w:t xml:space="preserve"> </w:t>
            </w:r>
            <w:proofErr w:type="spellStart"/>
            <w:r>
              <w:rPr>
                <w:rFonts w:ascii="Verdana" w:hAnsi="Verdana"/>
                <w:sz w:val="16"/>
                <w:szCs w:val="16"/>
              </w:rPr>
              <w:t>immitis</w:t>
            </w:r>
            <w:proofErr w:type="spellEnd"/>
            <w:r>
              <w:rPr>
                <w:rFonts w:ascii="Verdana" w:hAnsi="Verdana"/>
                <w:sz w:val="16"/>
                <w:szCs w:val="16"/>
              </w:rPr>
              <w:t xml:space="preserve"> (sólo cultivos)</w:t>
            </w:r>
          </w:p>
          <w:p w14:paraId="2DF1983D" w14:textId="77777777" w:rsidR="00B709A9" w:rsidRDefault="00B709A9">
            <w:pPr>
              <w:pStyle w:val="Texto"/>
              <w:ind w:firstLine="0"/>
              <w:rPr>
                <w:rFonts w:ascii="Verdana" w:hAnsi="Verdana"/>
                <w:sz w:val="16"/>
                <w:szCs w:val="16"/>
              </w:rPr>
            </w:pPr>
            <w:proofErr w:type="spellStart"/>
            <w:r>
              <w:rPr>
                <w:rFonts w:ascii="Verdana" w:hAnsi="Verdana"/>
                <w:sz w:val="16"/>
                <w:szCs w:val="16"/>
              </w:rPr>
              <w:t>Coxiella</w:t>
            </w:r>
            <w:proofErr w:type="spellEnd"/>
            <w:r>
              <w:rPr>
                <w:rFonts w:ascii="Verdana" w:hAnsi="Verdana"/>
                <w:sz w:val="16"/>
                <w:szCs w:val="16"/>
              </w:rPr>
              <w:t xml:space="preserve"> </w:t>
            </w:r>
            <w:proofErr w:type="spellStart"/>
            <w:r>
              <w:rPr>
                <w:rFonts w:ascii="Verdana" w:hAnsi="Verdana"/>
                <w:sz w:val="16"/>
                <w:szCs w:val="16"/>
              </w:rPr>
              <w:t>burnetii</w:t>
            </w:r>
            <w:proofErr w:type="spellEnd"/>
            <w:r>
              <w:rPr>
                <w:rFonts w:ascii="Verdana" w:hAnsi="Verdana"/>
                <w:sz w:val="16"/>
                <w:szCs w:val="16"/>
              </w:rPr>
              <w:t xml:space="preserve"> (sólo cultivos)</w:t>
            </w:r>
          </w:p>
          <w:p w14:paraId="286A2524" w14:textId="77777777" w:rsidR="00B709A9" w:rsidRDefault="00B709A9">
            <w:pPr>
              <w:pStyle w:val="Texto"/>
              <w:ind w:firstLine="0"/>
              <w:rPr>
                <w:rFonts w:ascii="Verdana" w:hAnsi="Verdana"/>
                <w:sz w:val="16"/>
                <w:szCs w:val="16"/>
              </w:rPr>
            </w:pPr>
            <w:r>
              <w:rPr>
                <w:rFonts w:ascii="Verdana" w:hAnsi="Verdana"/>
                <w:sz w:val="16"/>
                <w:szCs w:val="16"/>
              </w:rPr>
              <w:t>Virus de la fiebre hemorrágica de Crimea y el Congo</w:t>
            </w:r>
          </w:p>
          <w:p w14:paraId="0B1FACC6" w14:textId="77777777" w:rsidR="00B709A9" w:rsidRDefault="00B709A9">
            <w:pPr>
              <w:pStyle w:val="Texto"/>
              <w:ind w:firstLine="0"/>
              <w:rPr>
                <w:rFonts w:ascii="Verdana" w:hAnsi="Verdana"/>
                <w:sz w:val="16"/>
                <w:szCs w:val="16"/>
              </w:rPr>
            </w:pPr>
            <w:r>
              <w:rPr>
                <w:rFonts w:ascii="Verdana" w:hAnsi="Verdana"/>
                <w:sz w:val="16"/>
                <w:szCs w:val="16"/>
              </w:rPr>
              <w:t>Virus del dengue (sólo cultivos)</w:t>
            </w:r>
          </w:p>
          <w:p w14:paraId="5933E179" w14:textId="77777777" w:rsidR="00B709A9" w:rsidRDefault="00B709A9">
            <w:pPr>
              <w:pStyle w:val="Texto"/>
              <w:ind w:firstLine="0"/>
              <w:rPr>
                <w:rFonts w:ascii="Verdana" w:hAnsi="Verdana"/>
                <w:sz w:val="16"/>
                <w:szCs w:val="16"/>
              </w:rPr>
            </w:pPr>
            <w:r>
              <w:rPr>
                <w:rFonts w:ascii="Verdana" w:hAnsi="Verdana"/>
                <w:sz w:val="16"/>
                <w:szCs w:val="16"/>
              </w:rPr>
              <w:t>Virus de la encefalitis equina oriental (sólo cultivos)</w:t>
            </w:r>
          </w:p>
          <w:p w14:paraId="365DCBFB" w14:textId="77777777" w:rsidR="00B709A9" w:rsidRDefault="00B709A9">
            <w:pPr>
              <w:pStyle w:val="Texto"/>
              <w:ind w:firstLine="0"/>
              <w:rPr>
                <w:rFonts w:ascii="Verdana" w:hAnsi="Verdana"/>
                <w:sz w:val="16"/>
                <w:szCs w:val="16"/>
                <w:lang w:val="it-IT"/>
              </w:rPr>
            </w:pPr>
            <w:r>
              <w:rPr>
                <w:rFonts w:ascii="Verdana" w:hAnsi="Verdana"/>
                <w:sz w:val="16"/>
                <w:szCs w:val="16"/>
                <w:lang w:val="it-IT"/>
              </w:rPr>
              <w:t>Escherichia coli, verotoxigénico</w:t>
            </w:r>
          </w:p>
          <w:p w14:paraId="47671AAC" w14:textId="77777777" w:rsidR="00B709A9" w:rsidRDefault="00B709A9">
            <w:pPr>
              <w:pStyle w:val="Texto"/>
              <w:ind w:firstLine="0"/>
              <w:rPr>
                <w:rFonts w:ascii="Verdana" w:hAnsi="Verdana"/>
                <w:sz w:val="16"/>
                <w:szCs w:val="16"/>
                <w:lang w:val="it-IT"/>
              </w:rPr>
            </w:pPr>
            <w:r>
              <w:rPr>
                <w:rFonts w:ascii="Verdana" w:hAnsi="Verdana"/>
                <w:sz w:val="16"/>
                <w:szCs w:val="16"/>
                <w:lang w:val="it-IT"/>
              </w:rPr>
              <w:t>(sólo cultivos)</w:t>
            </w:r>
          </w:p>
          <w:p w14:paraId="5977250E" w14:textId="77777777" w:rsidR="00B709A9" w:rsidRDefault="00B709A9">
            <w:pPr>
              <w:pStyle w:val="Texto"/>
              <w:ind w:firstLine="0"/>
              <w:rPr>
                <w:rFonts w:ascii="Verdana" w:hAnsi="Verdana"/>
                <w:sz w:val="16"/>
                <w:szCs w:val="16"/>
                <w:lang w:val="it-IT"/>
              </w:rPr>
            </w:pPr>
            <w:r>
              <w:rPr>
                <w:rFonts w:ascii="Verdana" w:hAnsi="Verdana"/>
                <w:sz w:val="16"/>
                <w:szCs w:val="16"/>
                <w:lang w:val="it-IT"/>
              </w:rPr>
              <w:lastRenderedPageBreak/>
              <w:t>Virus de Ebola</w:t>
            </w:r>
          </w:p>
          <w:p w14:paraId="4AD56B7E" w14:textId="77777777" w:rsidR="00B709A9" w:rsidRDefault="00B709A9">
            <w:pPr>
              <w:pStyle w:val="Texto"/>
              <w:ind w:firstLine="0"/>
              <w:rPr>
                <w:rFonts w:ascii="Verdana" w:hAnsi="Verdana"/>
                <w:sz w:val="16"/>
                <w:szCs w:val="16"/>
                <w:lang w:val="it-IT"/>
              </w:rPr>
            </w:pPr>
            <w:r>
              <w:rPr>
                <w:rFonts w:ascii="Verdana" w:hAnsi="Verdana"/>
                <w:sz w:val="16"/>
                <w:szCs w:val="16"/>
                <w:lang w:val="it-IT"/>
              </w:rPr>
              <w:t>Virus flexal</w:t>
            </w:r>
          </w:p>
          <w:p w14:paraId="78899FB4" w14:textId="77777777" w:rsidR="00B709A9" w:rsidRDefault="00B709A9">
            <w:pPr>
              <w:pStyle w:val="Texto"/>
              <w:ind w:firstLine="0"/>
              <w:rPr>
                <w:rFonts w:ascii="Verdana" w:hAnsi="Verdana"/>
                <w:sz w:val="16"/>
                <w:szCs w:val="16"/>
                <w:lang w:val="it-IT"/>
              </w:rPr>
            </w:pPr>
            <w:r>
              <w:rPr>
                <w:rFonts w:ascii="Verdana" w:hAnsi="Verdana"/>
                <w:sz w:val="16"/>
                <w:szCs w:val="16"/>
                <w:lang w:val="it-IT"/>
              </w:rPr>
              <w:t>Francisella tularensis (sólo cultivos)</w:t>
            </w:r>
          </w:p>
          <w:p w14:paraId="52C0C1E9" w14:textId="77777777" w:rsidR="00B709A9" w:rsidRDefault="00B709A9">
            <w:pPr>
              <w:pStyle w:val="Texto"/>
              <w:ind w:firstLine="0"/>
              <w:rPr>
                <w:rFonts w:ascii="Verdana" w:hAnsi="Verdana"/>
                <w:sz w:val="16"/>
                <w:szCs w:val="16"/>
                <w:lang w:val="it-IT"/>
              </w:rPr>
            </w:pPr>
            <w:r>
              <w:rPr>
                <w:rFonts w:ascii="Verdana" w:hAnsi="Verdana"/>
                <w:sz w:val="16"/>
                <w:szCs w:val="16"/>
                <w:lang w:val="it-IT"/>
              </w:rPr>
              <w:t>Virus de Guaranito</w:t>
            </w:r>
          </w:p>
          <w:p w14:paraId="47DBFBDC" w14:textId="77777777" w:rsidR="00B709A9" w:rsidRDefault="00B709A9">
            <w:pPr>
              <w:pStyle w:val="Texto"/>
              <w:ind w:firstLine="0"/>
              <w:rPr>
                <w:rFonts w:ascii="Verdana" w:hAnsi="Verdana"/>
                <w:sz w:val="16"/>
                <w:szCs w:val="16"/>
                <w:lang w:val="it-IT"/>
              </w:rPr>
            </w:pPr>
            <w:r>
              <w:rPr>
                <w:rFonts w:ascii="Verdana" w:hAnsi="Verdana"/>
                <w:sz w:val="16"/>
                <w:szCs w:val="16"/>
                <w:lang w:val="it-IT"/>
              </w:rPr>
              <w:t>Virus Hantaan</w:t>
            </w:r>
          </w:p>
          <w:p w14:paraId="5D59F632" w14:textId="77777777" w:rsidR="00B709A9" w:rsidRDefault="00B709A9">
            <w:pPr>
              <w:pStyle w:val="Texto"/>
              <w:ind w:firstLine="0"/>
              <w:rPr>
                <w:rFonts w:ascii="Verdana" w:hAnsi="Verdana"/>
                <w:sz w:val="16"/>
                <w:szCs w:val="16"/>
                <w:lang w:val="it-IT"/>
              </w:rPr>
            </w:pPr>
            <w:r>
              <w:rPr>
                <w:rFonts w:ascii="Verdana" w:hAnsi="Verdana"/>
                <w:sz w:val="16"/>
                <w:szCs w:val="16"/>
                <w:lang w:val="it-IT"/>
              </w:rPr>
              <w:t>Hantavirus que causan fiebre hemorrágica con síndrome renal</w:t>
            </w:r>
          </w:p>
          <w:p w14:paraId="5F46BCBF" w14:textId="77777777" w:rsidR="00B709A9" w:rsidRDefault="00B709A9">
            <w:pPr>
              <w:pStyle w:val="Texto"/>
              <w:ind w:firstLine="0"/>
              <w:rPr>
                <w:rFonts w:ascii="Verdana" w:hAnsi="Verdana"/>
                <w:sz w:val="16"/>
                <w:szCs w:val="16"/>
              </w:rPr>
            </w:pPr>
            <w:r>
              <w:rPr>
                <w:rFonts w:ascii="Verdana" w:hAnsi="Verdana"/>
                <w:sz w:val="16"/>
                <w:szCs w:val="16"/>
              </w:rPr>
              <w:t xml:space="preserve">Virus </w:t>
            </w:r>
            <w:proofErr w:type="spellStart"/>
            <w:r>
              <w:rPr>
                <w:rFonts w:ascii="Verdana" w:hAnsi="Verdana"/>
                <w:sz w:val="16"/>
                <w:szCs w:val="16"/>
              </w:rPr>
              <w:t>Hendra</w:t>
            </w:r>
            <w:proofErr w:type="spellEnd"/>
          </w:p>
          <w:p w14:paraId="37C3CA66" w14:textId="77777777" w:rsidR="00B709A9" w:rsidRDefault="00B709A9">
            <w:pPr>
              <w:pStyle w:val="Texto"/>
              <w:ind w:firstLine="0"/>
              <w:rPr>
                <w:rFonts w:ascii="Verdana" w:hAnsi="Verdana"/>
                <w:sz w:val="16"/>
                <w:szCs w:val="16"/>
              </w:rPr>
            </w:pPr>
            <w:r>
              <w:rPr>
                <w:rFonts w:ascii="Verdana" w:hAnsi="Verdana"/>
                <w:sz w:val="16"/>
                <w:szCs w:val="16"/>
              </w:rPr>
              <w:t>Virus de la hepatitis B (sólo cultivos)</w:t>
            </w:r>
          </w:p>
        </w:tc>
        <w:tc>
          <w:tcPr>
            <w:tcW w:w="236" w:type="dxa"/>
            <w:tcBorders>
              <w:top w:val="single" w:sz="6" w:space="0" w:color="auto"/>
              <w:left w:val="single" w:sz="6" w:space="0" w:color="auto"/>
              <w:bottom w:val="single" w:sz="6" w:space="0" w:color="auto"/>
              <w:right w:val="single" w:sz="6" w:space="0" w:color="auto"/>
            </w:tcBorders>
          </w:tcPr>
          <w:p w14:paraId="6D386AD1" w14:textId="77777777" w:rsidR="00B709A9" w:rsidRDefault="00B709A9">
            <w:pPr>
              <w:pStyle w:val="Texto"/>
              <w:ind w:firstLine="0"/>
              <w:rPr>
                <w:rFonts w:ascii="Verdana" w:hAnsi="Verdana"/>
                <w:sz w:val="16"/>
                <w:szCs w:val="16"/>
              </w:rPr>
            </w:pPr>
          </w:p>
        </w:tc>
        <w:tc>
          <w:tcPr>
            <w:tcW w:w="5127" w:type="dxa"/>
            <w:tcBorders>
              <w:top w:val="single" w:sz="6" w:space="0" w:color="auto"/>
              <w:left w:val="single" w:sz="6" w:space="0" w:color="auto"/>
              <w:bottom w:val="single" w:sz="6" w:space="0" w:color="auto"/>
              <w:right w:val="single" w:sz="6" w:space="0" w:color="auto"/>
            </w:tcBorders>
            <w:hideMark/>
          </w:tcPr>
          <w:p w14:paraId="2866C3DF" w14:textId="77777777" w:rsidR="00B709A9" w:rsidRDefault="00B709A9">
            <w:pPr>
              <w:pStyle w:val="Texto"/>
              <w:ind w:firstLine="0"/>
              <w:jc w:val="center"/>
              <w:rPr>
                <w:rFonts w:ascii="Verdana" w:hAnsi="Verdana"/>
                <w:b/>
                <w:sz w:val="16"/>
                <w:szCs w:val="16"/>
              </w:rPr>
            </w:pPr>
            <w:r>
              <w:rPr>
                <w:rFonts w:ascii="Verdana" w:hAnsi="Verdana"/>
                <w:b/>
                <w:sz w:val="16"/>
                <w:szCs w:val="16"/>
              </w:rPr>
              <w:t>Microorganismos</w:t>
            </w:r>
          </w:p>
          <w:p w14:paraId="097503E1" w14:textId="77777777" w:rsidR="00B709A9" w:rsidRDefault="00B709A9">
            <w:pPr>
              <w:pStyle w:val="Texto"/>
              <w:ind w:firstLine="0"/>
              <w:rPr>
                <w:rFonts w:ascii="Verdana" w:hAnsi="Verdana"/>
                <w:sz w:val="16"/>
                <w:szCs w:val="16"/>
              </w:rPr>
            </w:pPr>
            <w:r>
              <w:rPr>
                <w:rFonts w:ascii="Verdana" w:hAnsi="Verdana"/>
                <w:sz w:val="16"/>
                <w:szCs w:val="16"/>
              </w:rPr>
              <w:t>Virus del herpes B (sólo cultivos)</w:t>
            </w:r>
          </w:p>
          <w:p w14:paraId="69227540" w14:textId="77777777" w:rsidR="00B709A9" w:rsidRDefault="00B709A9">
            <w:pPr>
              <w:pStyle w:val="Texto"/>
              <w:ind w:firstLine="0"/>
              <w:rPr>
                <w:rFonts w:ascii="Verdana" w:hAnsi="Verdana"/>
                <w:sz w:val="16"/>
                <w:szCs w:val="16"/>
              </w:rPr>
            </w:pPr>
            <w:r>
              <w:rPr>
                <w:rFonts w:ascii="Verdana" w:hAnsi="Verdana"/>
                <w:sz w:val="16"/>
                <w:szCs w:val="16"/>
              </w:rPr>
              <w:t>Virus de la inmunodeficiencia humana</w:t>
            </w:r>
          </w:p>
          <w:p w14:paraId="69F90006" w14:textId="77777777" w:rsidR="00B709A9" w:rsidRDefault="00B709A9">
            <w:pPr>
              <w:pStyle w:val="Texto"/>
              <w:ind w:firstLine="0"/>
              <w:rPr>
                <w:rFonts w:ascii="Verdana" w:hAnsi="Verdana"/>
                <w:sz w:val="16"/>
                <w:szCs w:val="16"/>
              </w:rPr>
            </w:pPr>
            <w:r>
              <w:rPr>
                <w:rFonts w:ascii="Verdana" w:hAnsi="Verdana"/>
                <w:sz w:val="16"/>
                <w:szCs w:val="16"/>
              </w:rPr>
              <w:t>(sólo cultivos)</w:t>
            </w:r>
          </w:p>
          <w:p w14:paraId="1082D5FA" w14:textId="77777777" w:rsidR="00B709A9" w:rsidRDefault="00B709A9">
            <w:pPr>
              <w:pStyle w:val="Texto"/>
              <w:ind w:firstLine="0"/>
              <w:rPr>
                <w:rFonts w:ascii="Verdana" w:hAnsi="Verdana"/>
                <w:sz w:val="16"/>
                <w:szCs w:val="16"/>
              </w:rPr>
            </w:pPr>
            <w:r>
              <w:rPr>
                <w:rFonts w:ascii="Verdana" w:hAnsi="Verdana"/>
                <w:sz w:val="16"/>
                <w:szCs w:val="16"/>
              </w:rPr>
              <w:t>Virus de la gripe aviar muy patógena (sólo cultivos)</w:t>
            </w:r>
          </w:p>
          <w:p w14:paraId="06578B9A" w14:textId="77777777" w:rsidR="00B709A9" w:rsidRDefault="00B709A9">
            <w:pPr>
              <w:pStyle w:val="Texto"/>
              <w:ind w:firstLine="0"/>
              <w:rPr>
                <w:rFonts w:ascii="Verdana" w:hAnsi="Verdana"/>
                <w:sz w:val="16"/>
                <w:szCs w:val="16"/>
              </w:rPr>
            </w:pPr>
            <w:r>
              <w:rPr>
                <w:rFonts w:ascii="Verdana" w:hAnsi="Verdana"/>
                <w:sz w:val="16"/>
                <w:szCs w:val="16"/>
              </w:rPr>
              <w:t>Virus de la encefalitis japonesa (sólo cultivos)</w:t>
            </w:r>
          </w:p>
          <w:p w14:paraId="679333C3" w14:textId="77777777" w:rsidR="00B709A9" w:rsidRDefault="00B709A9">
            <w:pPr>
              <w:pStyle w:val="Texto"/>
              <w:ind w:firstLine="0"/>
              <w:rPr>
                <w:rFonts w:ascii="Verdana" w:hAnsi="Verdana"/>
                <w:sz w:val="16"/>
                <w:szCs w:val="16"/>
              </w:rPr>
            </w:pPr>
            <w:r>
              <w:rPr>
                <w:rFonts w:ascii="Verdana" w:hAnsi="Verdana"/>
                <w:sz w:val="16"/>
                <w:szCs w:val="16"/>
              </w:rPr>
              <w:t xml:space="preserve">Virus del </w:t>
            </w:r>
            <w:proofErr w:type="spellStart"/>
            <w:r>
              <w:rPr>
                <w:rFonts w:ascii="Verdana" w:hAnsi="Verdana"/>
                <w:sz w:val="16"/>
                <w:szCs w:val="16"/>
              </w:rPr>
              <w:t>Junin</w:t>
            </w:r>
            <w:proofErr w:type="spellEnd"/>
          </w:p>
          <w:p w14:paraId="1535AF1C" w14:textId="77777777" w:rsidR="00B709A9" w:rsidRDefault="00B709A9">
            <w:pPr>
              <w:pStyle w:val="Texto"/>
              <w:ind w:firstLine="0"/>
              <w:rPr>
                <w:rFonts w:ascii="Verdana" w:hAnsi="Verdana"/>
                <w:sz w:val="16"/>
                <w:szCs w:val="16"/>
              </w:rPr>
            </w:pPr>
            <w:r>
              <w:rPr>
                <w:rFonts w:ascii="Verdana" w:hAnsi="Verdana"/>
                <w:sz w:val="16"/>
                <w:szCs w:val="16"/>
              </w:rPr>
              <w:t xml:space="preserve">Virus de la enfermedad forestal de </w:t>
            </w:r>
            <w:proofErr w:type="spellStart"/>
            <w:r>
              <w:rPr>
                <w:rFonts w:ascii="Verdana" w:hAnsi="Verdana"/>
                <w:sz w:val="16"/>
                <w:szCs w:val="16"/>
              </w:rPr>
              <w:t>Kyasanur</w:t>
            </w:r>
            <w:proofErr w:type="spellEnd"/>
          </w:p>
          <w:p w14:paraId="478B94E5" w14:textId="77777777" w:rsidR="00B709A9" w:rsidRDefault="00B709A9">
            <w:pPr>
              <w:pStyle w:val="Texto"/>
              <w:ind w:firstLine="0"/>
              <w:rPr>
                <w:rFonts w:ascii="Verdana" w:hAnsi="Verdana"/>
                <w:sz w:val="16"/>
                <w:szCs w:val="16"/>
              </w:rPr>
            </w:pPr>
            <w:r>
              <w:rPr>
                <w:rFonts w:ascii="Verdana" w:hAnsi="Verdana"/>
                <w:sz w:val="16"/>
                <w:szCs w:val="16"/>
              </w:rPr>
              <w:t>Virus de la fiebre de Lassa</w:t>
            </w:r>
          </w:p>
          <w:p w14:paraId="50DBF938" w14:textId="77777777" w:rsidR="00B709A9" w:rsidRDefault="00B709A9">
            <w:pPr>
              <w:pStyle w:val="Texto"/>
              <w:ind w:firstLine="0"/>
              <w:rPr>
                <w:rFonts w:ascii="Verdana" w:hAnsi="Verdana"/>
                <w:sz w:val="16"/>
                <w:szCs w:val="16"/>
              </w:rPr>
            </w:pPr>
            <w:r>
              <w:rPr>
                <w:rFonts w:ascii="Verdana" w:hAnsi="Verdana"/>
                <w:sz w:val="16"/>
                <w:szCs w:val="16"/>
              </w:rPr>
              <w:t>Virus de Marburgo</w:t>
            </w:r>
          </w:p>
          <w:p w14:paraId="21F4C5FE" w14:textId="77777777" w:rsidR="00B709A9" w:rsidRDefault="00B709A9">
            <w:pPr>
              <w:pStyle w:val="Texto"/>
              <w:ind w:firstLine="0"/>
              <w:rPr>
                <w:rFonts w:ascii="Verdana" w:hAnsi="Verdana"/>
                <w:sz w:val="16"/>
                <w:szCs w:val="16"/>
              </w:rPr>
            </w:pPr>
            <w:r>
              <w:rPr>
                <w:rFonts w:ascii="Verdana" w:hAnsi="Verdana"/>
                <w:sz w:val="16"/>
                <w:szCs w:val="16"/>
              </w:rPr>
              <w:t>Virus de la viruela del mono</w:t>
            </w:r>
          </w:p>
          <w:p w14:paraId="465C6349" w14:textId="77777777" w:rsidR="00B709A9" w:rsidRDefault="00B709A9">
            <w:pPr>
              <w:pStyle w:val="Texto"/>
              <w:ind w:firstLine="0"/>
              <w:rPr>
                <w:rFonts w:ascii="Verdana" w:hAnsi="Verdana"/>
                <w:sz w:val="16"/>
                <w:szCs w:val="16"/>
              </w:rPr>
            </w:pPr>
            <w:proofErr w:type="spellStart"/>
            <w:r>
              <w:rPr>
                <w:rFonts w:ascii="Verdana" w:hAnsi="Verdana"/>
                <w:i/>
                <w:sz w:val="16"/>
                <w:szCs w:val="16"/>
              </w:rPr>
              <w:t>Mycobacterium</w:t>
            </w:r>
            <w:proofErr w:type="spellEnd"/>
            <w:r>
              <w:rPr>
                <w:rFonts w:ascii="Verdana" w:hAnsi="Verdana"/>
                <w:i/>
                <w:sz w:val="16"/>
                <w:szCs w:val="16"/>
              </w:rPr>
              <w:t xml:space="preserve"> tuberculosis </w:t>
            </w:r>
            <w:r>
              <w:rPr>
                <w:rFonts w:ascii="Verdana" w:hAnsi="Verdana"/>
                <w:sz w:val="16"/>
                <w:szCs w:val="16"/>
              </w:rPr>
              <w:t>(sólo cultivos)</w:t>
            </w:r>
          </w:p>
          <w:p w14:paraId="6159C255" w14:textId="77777777" w:rsidR="00B709A9" w:rsidRDefault="00B709A9">
            <w:pPr>
              <w:pStyle w:val="Texto"/>
              <w:ind w:firstLine="0"/>
              <w:rPr>
                <w:rFonts w:ascii="Verdana" w:hAnsi="Verdana"/>
                <w:sz w:val="16"/>
                <w:szCs w:val="16"/>
              </w:rPr>
            </w:pPr>
            <w:r>
              <w:rPr>
                <w:rFonts w:ascii="Verdana" w:hAnsi="Verdana"/>
                <w:sz w:val="16"/>
                <w:szCs w:val="16"/>
              </w:rPr>
              <w:t xml:space="preserve">Virus de </w:t>
            </w:r>
            <w:proofErr w:type="spellStart"/>
            <w:r>
              <w:rPr>
                <w:rFonts w:ascii="Verdana" w:hAnsi="Verdana"/>
                <w:sz w:val="16"/>
                <w:szCs w:val="16"/>
              </w:rPr>
              <w:t>Nipah</w:t>
            </w:r>
            <w:proofErr w:type="spellEnd"/>
          </w:p>
          <w:p w14:paraId="4B811669" w14:textId="77777777" w:rsidR="00B709A9" w:rsidRDefault="00B709A9">
            <w:pPr>
              <w:pStyle w:val="Texto"/>
              <w:ind w:firstLine="0"/>
              <w:rPr>
                <w:rFonts w:ascii="Verdana" w:hAnsi="Verdana"/>
                <w:sz w:val="16"/>
                <w:szCs w:val="16"/>
              </w:rPr>
            </w:pPr>
            <w:r>
              <w:rPr>
                <w:rFonts w:ascii="Verdana" w:hAnsi="Verdana"/>
                <w:sz w:val="16"/>
                <w:szCs w:val="16"/>
              </w:rPr>
              <w:t>Virus de la fiebre hemorrágica de Omsk</w:t>
            </w:r>
          </w:p>
          <w:p w14:paraId="3245AAB0" w14:textId="77777777" w:rsidR="00B709A9" w:rsidRDefault="00B709A9">
            <w:pPr>
              <w:pStyle w:val="Texto"/>
              <w:ind w:firstLine="0"/>
              <w:rPr>
                <w:rFonts w:ascii="Verdana" w:hAnsi="Verdana"/>
                <w:sz w:val="16"/>
                <w:szCs w:val="16"/>
              </w:rPr>
            </w:pPr>
            <w:r>
              <w:rPr>
                <w:rFonts w:ascii="Verdana" w:hAnsi="Verdana"/>
                <w:sz w:val="16"/>
                <w:szCs w:val="16"/>
              </w:rPr>
              <w:t>Virus de la polio (sólo cultivos)</w:t>
            </w:r>
          </w:p>
          <w:p w14:paraId="35B1F509" w14:textId="77777777" w:rsidR="00B709A9" w:rsidRDefault="00B709A9">
            <w:pPr>
              <w:pStyle w:val="Texto"/>
              <w:ind w:firstLine="0"/>
              <w:rPr>
                <w:rFonts w:ascii="Verdana" w:hAnsi="Verdana"/>
                <w:i/>
                <w:sz w:val="16"/>
                <w:szCs w:val="16"/>
              </w:rPr>
            </w:pPr>
            <w:r>
              <w:rPr>
                <w:rFonts w:ascii="Verdana" w:hAnsi="Verdana"/>
                <w:sz w:val="16"/>
                <w:szCs w:val="16"/>
              </w:rPr>
              <w:t>Virus de la rabia (sólo cultivos)</w:t>
            </w:r>
          </w:p>
          <w:p w14:paraId="07121E9C" w14:textId="77777777" w:rsidR="00B709A9" w:rsidRDefault="00B709A9">
            <w:pPr>
              <w:pStyle w:val="Texto"/>
              <w:ind w:firstLine="0"/>
              <w:rPr>
                <w:rFonts w:ascii="Verdana" w:hAnsi="Verdana"/>
                <w:sz w:val="16"/>
                <w:szCs w:val="16"/>
              </w:rPr>
            </w:pPr>
            <w:r>
              <w:rPr>
                <w:rFonts w:ascii="Verdana" w:hAnsi="Verdana"/>
                <w:i/>
                <w:sz w:val="16"/>
                <w:szCs w:val="16"/>
              </w:rPr>
              <w:t xml:space="preserve">Rickettsia </w:t>
            </w:r>
            <w:proofErr w:type="spellStart"/>
            <w:r>
              <w:rPr>
                <w:rFonts w:ascii="Verdana" w:hAnsi="Verdana"/>
                <w:i/>
                <w:sz w:val="16"/>
                <w:szCs w:val="16"/>
              </w:rPr>
              <w:t>prowazekii</w:t>
            </w:r>
            <w:proofErr w:type="spellEnd"/>
            <w:r>
              <w:rPr>
                <w:rFonts w:ascii="Verdana" w:hAnsi="Verdana"/>
                <w:i/>
                <w:sz w:val="16"/>
                <w:szCs w:val="16"/>
              </w:rPr>
              <w:t xml:space="preserve"> </w:t>
            </w:r>
            <w:r>
              <w:rPr>
                <w:rFonts w:ascii="Verdana" w:hAnsi="Verdana"/>
                <w:sz w:val="16"/>
                <w:szCs w:val="16"/>
              </w:rPr>
              <w:t>(sólo cultivos)</w:t>
            </w:r>
          </w:p>
          <w:p w14:paraId="5D2CECF5" w14:textId="77777777" w:rsidR="00B709A9" w:rsidRDefault="00B709A9">
            <w:pPr>
              <w:pStyle w:val="Texto"/>
              <w:ind w:firstLine="0"/>
              <w:rPr>
                <w:rFonts w:ascii="Verdana" w:hAnsi="Verdana"/>
                <w:sz w:val="16"/>
                <w:szCs w:val="16"/>
              </w:rPr>
            </w:pPr>
            <w:r>
              <w:rPr>
                <w:rFonts w:ascii="Verdana" w:hAnsi="Verdana"/>
                <w:i/>
                <w:sz w:val="16"/>
                <w:szCs w:val="16"/>
              </w:rPr>
              <w:t xml:space="preserve">Rickettsia </w:t>
            </w:r>
            <w:proofErr w:type="spellStart"/>
            <w:r>
              <w:rPr>
                <w:rFonts w:ascii="Verdana" w:hAnsi="Verdana"/>
                <w:i/>
                <w:sz w:val="16"/>
                <w:szCs w:val="16"/>
              </w:rPr>
              <w:t>rickettsii</w:t>
            </w:r>
            <w:proofErr w:type="spellEnd"/>
            <w:r>
              <w:rPr>
                <w:rFonts w:ascii="Verdana" w:hAnsi="Verdana"/>
                <w:i/>
                <w:sz w:val="16"/>
                <w:szCs w:val="16"/>
              </w:rPr>
              <w:t xml:space="preserve"> </w:t>
            </w:r>
            <w:r>
              <w:rPr>
                <w:rFonts w:ascii="Verdana" w:hAnsi="Verdana"/>
                <w:sz w:val="16"/>
                <w:szCs w:val="16"/>
              </w:rPr>
              <w:t>(sólo cultivos)</w:t>
            </w:r>
          </w:p>
          <w:p w14:paraId="1F8B6C3D" w14:textId="77777777" w:rsidR="00B709A9" w:rsidRDefault="00B709A9">
            <w:pPr>
              <w:pStyle w:val="Texto"/>
              <w:ind w:firstLine="0"/>
              <w:rPr>
                <w:rFonts w:ascii="Verdana" w:hAnsi="Verdana"/>
                <w:sz w:val="16"/>
                <w:szCs w:val="16"/>
              </w:rPr>
            </w:pPr>
            <w:r>
              <w:rPr>
                <w:rFonts w:ascii="Verdana" w:hAnsi="Verdana"/>
                <w:sz w:val="16"/>
                <w:szCs w:val="16"/>
              </w:rPr>
              <w:t>Virus de la fiebre del valle del Rift (sólo cultivos)</w:t>
            </w:r>
          </w:p>
          <w:p w14:paraId="42C435F4" w14:textId="77777777" w:rsidR="00B709A9" w:rsidRDefault="00B709A9">
            <w:pPr>
              <w:pStyle w:val="Texto"/>
              <w:ind w:firstLine="0"/>
              <w:rPr>
                <w:rFonts w:ascii="Verdana" w:hAnsi="Verdana"/>
                <w:sz w:val="16"/>
                <w:szCs w:val="16"/>
              </w:rPr>
            </w:pPr>
            <w:r>
              <w:rPr>
                <w:rFonts w:ascii="Verdana" w:hAnsi="Verdana"/>
                <w:sz w:val="16"/>
                <w:szCs w:val="16"/>
              </w:rPr>
              <w:lastRenderedPageBreak/>
              <w:t>Virus de la encefalitis rusa de primavera-verano (sólo cultivos)</w:t>
            </w:r>
          </w:p>
          <w:p w14:paraId="7C56AAA7" w14:textId="77777777" w:rsidR="00B709A9" w:rsidRDefault="00B709A9">
            <w:pPr>
              <w:pStyle w:val="Texto"/>
              <w:ind w:firstLine="0"/>
              <w:rPr>
                <w:rFonts w:ascii="Verdana" w:hAnsi="Verdana"/>
                <w:sz w:val="16"/>
                <w:szCs w:val="16"/>
              </w:rPr>
            </w:pPr>
            <w:r>
              <w:rPr>
                <w:rFonts w:ascii="Verdana" w:hAnsi="Verdana"/>
                <w:sz w:val="16"/>
                <w:szCs w:val="16"/>
              </w:rPr>
              <w:t>Virus de Sabia</w:t>
            </w:r>
          </w:p>
          <w:p w14:paraId="23DDC0C8" w14:textId="77777777" w:rsidR="00B709A9" w:rsidRDefault="00B709A9">
            <w:pPr>
              <w:pStyle w:val="Texto"/>
              <w:ind w:firstLine="0"/>
              <w:rPr>
                <w:rFonts w:ascii="Verdana" w:hAnsi="Verdana"/>
                <w:sz w:val="16"/>
                <w:szCs w:val="16"/>
              </w:rPr>
            </w:pPr>
            <w:proofErr w:type="spellStart"/>
            <w:r>
              <w:rPr>
                <w:rFonts w:ascii="Verdana" w:hAnsi="Verdana"/>
                <w:i/>
                <w:sz w:val="16"/>
                <w:szCs w:val="16"/>
              </w:rPr>
              <w:t>Shigella</w:t>
            </w:r>
            <w:proofErr w:type="spellEnd"/>
            <w:r>
              <w:rPr>
                <w:rFonts w:ascii="Verdana" w:hAnsi="Verdana"/>
                <w:i/>
                <w:sz w:val="16"/>
                <w:szCs w:val="16"/>
              </w:rPr>
              <w:t xml:space="preserve"> </w:t>
            </w:r>
            <w:proofErr w:type="spellStart"/>
            <w:r>
              <w:rPr>
                <w:rFonts w:ascii="Verdana" w:hAnsi="Verdana"/>
                <w:i/>
                <w:sz w:val="16"/>
                <w:szCs w:val="16"/>
              </w:rPr>
              <w:t>dysenteriae</w:t>
            </w:r>
            <w:proofErr w:type="spellEnd"/>
            <w:r>
              <w:rPr>
                <w:rFonts w:ascii="Verdana" w:hAnsi="Verdana"/>
                <w:i/>
                <w:sz w:val="16"/>
                <w:szCs w:val="16"/>
              </w:rPr>
              <w:t xml:space="preserve"> de tipo 1 </w:t>
            </w:r>
            <w:r>
              <w:rPr>
                <w:rFonts w:ascii="Verdana" w:hAnsi="Verdana"/>
                <w:sz w:val="16"/>
                <w:szCs w:val="16"/>
              </w:rPr>
              <w:t>(sólo cultivos)</w:t>
            </w:r>
          </w:p>
          <w:p w14:paraId="0D3972BB" w14:textId="77777777" w:rsidR="00B709A9" w:rsidRDefault="00B709A9">
            <w:pPr>
              <w:pStyle w:val="Texto"/>
              <w:ind w:firstLine="0"/>
              <w:rPr>
                <w:rFonts w:ascii="Verdana" w:hAnsi="Verdana"/>
                <w:sz w:val="16"/>
                <w:szCs w:val="16"/>
              </w:rPr>
            </w:pPr>
            <w:r>
              <w:rPr>
                <w:rFonts w:ascii="Verdana" w:hAnsi="Verdana"/>
                <w:sz w:val="16"/>
                <w:szCs w:val="16"/>
              </w:rPr>
              <w:t>Virus de la encefalitis transmitida por garrapatas (sólo cultivos)</w:t>
            </w:r>
          </w:p>
          <w:p w14:paraId="6FF31AA4" w14:textId="77777777" w:rsidR="00B709A9" w:rsidRDefault="00B709A9">
            <w:pPr>
              <w:pStyle w:val="Texto"/>
              <w:ind w:firstLine="0"/>
              <w:rPr>
                <w:rFonts w:ascii="Verdana" w:hAnsi="Verdana"/>
                <w:sz w:val="16"/>
                <w:szCs w:val="16"/>
              </w:rPr>
            </w:pPr>
            <w:r>
              <w:rPr>
                <w:rFonts w:ascii="Verdana" w:hAnsi="Verdana"/>
                <w:sz w:val="16"/>
                <w:szCs w:val="16"/>
              </w:rPr>
              <w:t>Virus de la viruela</w:t>
            </w:r>
          </w:p>
          <w:p w14:paraId="5C51F3F2" w14:textId="77777777" w:rsidR="00B709A9" w:rsidRDefault="00B709A9">
            <w:pPr>
              <w:pStyle w:val="Texto"/>
              <w:ind w:firstLine="0"/>
              <w:rPr>
                <w:rFonts w:ascii="Verdana" w:hAnsi="Verdana"/>
                <w:sz w:val="16"/>
                <w:szCs w:val="16"/>
              </w:rPr>
            </w:pPr>
            <w:r>
              <w:rPr>
                <w:rFonts w:ascii="Verdana" w:hAnsi="Verdana"/>
                <w:sz w:val="16"/>
                <w:szCs w:val="16"/>
              </w:rPr>
              <w:t>Virus de la encefalitis equina venezolana</w:t>
            </w:r>
          </w:p>
          <w:p w14:paraId="4F087A2F" w14:textId="77777777" w:rsidR="00B709A9" w:rsidRDefault="00B709A9">
            <w:pPr>
              <w:pStyle w:val="Texto"/>
              <w:ind w:firstLine="0"/>
              <w:rPr>
                <w:rFonts w:ascii="Verdana" w:hAnsi="Verdana"/>
                <w:sz w:val="16"/>
                <w:szCs w:val="16"/>
              </w:rPr>
            </w:pPr>
            <w:r>
              <w:rPr>
                <w:rFonts w:ascii="Verdana" w:hAnsi="Verdana"/>
                <w:sz w:val="16"/>
                <w:szCs w:val="16"/>
              </w:rPr>
              <w:t>(sólo cultivos)</w:t>
            </w:r>
          </w:p>
          <w:p w14:paraId="13442CCD" w14:textId="77777777" w:rsidR="00B709A9" w:rsidRDefault="00B709A9">
            <w:pPr>
              <w:pStyle w:val="Texto"/>
              <w:ind w:firstLine="0"/>
              <w:rPr>
                <w:rFonts w:ascii="Verdana" w:hAnsi="Verdana"/>
                <w:sz w:val="16"/>
                <w:szCs w:val="16"/>
              </w:rPr>
            </w:pPr>
            <w:r>
              <w:rPr>
                <w:rFonts w:ascii="Verdana" w:hAnsi="Verdana"/>
                <w:sz w:val="16"/>
                <w:szCs w:val="16"/>
              </w:rPr>
              <w:t>Virus del Nilo occidental (sólo cultivos)</w:t>
            </w:r>
          </w:p>
          <w:p w14:paraId="39777224" w14:textId="77777777" w:rsidR="00B709A9" w:rsidRDefault="00B709A9">
            <w:pPr>
              <w:pStyle w:val="Texto"/>
              <w:ind w:firstLine="0"/>
              <w:rPr>
                <w:rFonts w:ascii="Verdana" w:hAnsi="Verdana"/>
                <w:sz w:val="16"/>
                <w:szCs w:val="16"/>
              </w:rPr>
            </w:pPr>
            <w:r>
              <w:rPr>
                <w:rFonts w:ascii="Verdana" w:hAnsi="Verdana"/>
                <w:sz w:val="16"/>
                <w:szCs w:val="16"/>
              </w:rPr>
              <w:t>Virus de la fiebre amarilla (sólo cultivos)</w:t>
            </w:r>
          </w:p>
          <w:p w14:paraId="3662955D" w14:textId="77777777" w:rsidR="00B709A9" w:rsidRDefault="00B709A9">
            <w:pPr>
              <w:pStyle w:val="Texto"/>
              <w:ind w:firstLine="0"/>
              <w:rPr>
                <w:rFonts w:ascii="Verdana" w:hAnsi="Verdana"/>
                <w:sz w:val="16"/>
                <w:szCs w:val="16"/>
              </w:rPr>
            </w:pPr>
            <w:r>
              <w:rPr>
                <w:rFonts w:ascii="Verdana" w:hAnsi="Verdana"/>
                <w:i/>
                <w:sz w:val="16"/>
                <w:szCs w:val="16"/>
              </w:rPr>
              <w:t xml:space="preserve">Yersinia </w:t>
            </w:r>
            <w:proofErr w:type="spellStart"/>
            <w:r>
              <w:rPr>
                <w:rFonts w:ascii="Verdana" w:hAnsi="Verdana"/>
                <w:i/>
                <w:sz w:val="16"/>
                <w:szCs w:val="16"/>
              </w:rPr>
              <w:t>pestis</w:t>
            </w:r>
            <w:proofErr w:type="spellEnd"/>
            <w:r>
              <w:rPr>
                <w:rFonts w:ascii="Verdana" w:hAnsi="Verdana"/>
                <w:i/>
                <w:sz w:val="16"/>
                <w:szCs w:val="16"/>
              </w:rPr>
              <w:t xml:space="preserve"> </w:t>
            </w:r>
            <w:r>
              <w:rPr>
                <w:rFonts w:ascii="Verdana" w:hAnsi="Verdana"/>
                <w:sz w:val="16"/>
                <w:szCs w:val="16"/>
              </w:rPr>
              <w:t>(sólo cultivos)</w:t>
            </w:r>
          </w:p>
        </w:tc>
      </w:tr>
      <w:tr w:rsidR="00B709A9" w:rsidRPr="00B709A9" w14:paraId="5AF55B44" w14:textId="77777777" w:rsidTr="00B709A9">
        <w:trPr>
          <w:trHeight w:val="20"/>
        </w:trPr>
        <w:tc>
          <w:tcPr>
            <w:tcW w:w="9572" w:type="dxa"/>
            <w:gridSpan w:val="3"/>
            <w:tcBorders>
              <w:top w:val="single" w:sz="6" w:space="0" w:color="auto"/>
              <w:left w:val="single" w:sz="6" w:space="0" w:color="auto"/>
              <w:bottom w:val="single" w:sz="6" w:space="0" w:color="auto"/>
              <w:right w:val="single" w:sz="6" w:space="0" w:color="auto"/>
            </w:tcBorders>
            <w:hideMark/>
          </w:tcPr>
          <w:p w14:paraId="108BB6ED" w14:textId="77777777" w:rsidR="00B709A9" w:rsidRDefault="00B709A9">
            <w:pPr>
              <w:pStyle w:val="Texto"/>
              <w:ind w:firstLine="0"/>
              <w:jc w:val="center"/>
              <w:rPr>
                <w:rFonts w:ascii="Verdana" w:hAnsi="Verdana"/>
                <w:b/>
                <w:i/>
                <w:sz w:val="16"/>
                <w:szCs w:val="16"/>
              </w:rPr>
            </w:pPr>
            <w:r>
              <w:rPr>
                <w:rFonts w:ascii="Verdana" w:hAnsi="Verdana"/>
                <w:b/>
                <w:sz w:val="16"/>
                <w:szCs w:val="16"/>
              </w:rPr>
              <w:lastRenderedPageBreak/>
              <w:t>No. UN 2900 Substancia infecciosa únicamente para los animales</w:t>
            </w:r>
          </w:p>
        </w:tc>
      </w:tr>
      <w:tr w:rsidR="00B709A9" w:rsidRPr="00B709A9" w14:paraId="1AA152CD" w14:textId="77777777" w:rsidTr="00B709A9">
        <w:trPr>
          <w:trHeight w:val="20"/>
        </w:trPr>
        <w:tc>
          <w:tcPr>
            <w:tcW w:w="4209" w:type="dxa"/>
            <w:tcBorders>
              <w:top w:val="single" w:sz="6" w:space="0" w:color="auto"/>
              <w:left w:val="single" w:sz="6" w:space="0" w:color="auto"/>
              <w:bottom w:val="single" w:sz="6" w:space="0" w:color="auto"/>
              <w:right w:val="single" w:sz="6" w:space="0" w:color="auto"/>
            </w:tcBorders>
            <w:hideMark/>
          </w:tcPr>
          <w:p w14:paraId="11BB3040" w14:textId="77777777" w:rsidR="00B709A9" w:rsidRDefault="00B709A9">
            <w:pPr>
              <w:pStyle w:val="Texto"/>
              <w:spacing w:line="226" w:lineRule="exact"/>
              <w:ind w:firstLine="0"/>
              <w:jc w:val="center"/>
              <w:rPr>
                <w:rFonts w:ascii="Verdana" w:hAnsi="Verdana"/>
                <w:b/>
                <w:sz w:val="16"/>
                <w:szCs w:val="16"/>
              </w:rPr>
            </w:pPr>
            <w:r>
              <w:rPr>
                <w:rFonts w:ascii="Verdana" w:hAnsi="Verdana"/>
                <w:b/>
                <w:sz w:val="16"/>
                <w:szCs w:val="16"/>
              </w:rPr>
              <w:t>Microorganismos</w:t>
            </w:r>
          </w:p>
          <w:p w14:paraId="5536B3FB"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fiebre porcina africana</w:t>
            </w:r>
          </w:p>
          <w:p w14:paraId="2EA38EE2" w14:textId="77777777" w:rsidR="00B709A9" w:rsidRDefault="00B709A9">
            <w:pPr>
              <w:pStyle w:val="Texto"/>
              <w:spacing w:line="226" w:lineRule="exact"/>
              <w:ind w:firstLine="0"/>
              <w:rPr>
                <w:rFonts w:ascii="Verdana" w:hAnsi="Verdana"/>
                <w:sz w:val="16"/>
                <w:szCs w:val="16"/>
              </w:rPr>
            </w:pPr>
            <w:r>
              <w:rPr>
                <w:rFonts w:ascii="Verdana" w:hAnsi="Verdana"/>
                <w:sz w:val="16"/>
                <w:szCs w:val="16"/>
              </w:rPr>
              <w:t>(sólo cultivos)</w:t>
            </w:r>
          </w:p>
          <w:p w14:paraId="53AD40C1" w14:textId="77777777" w:rsidR="00B709A9" w:rsidRDefault="00B709A9">
            <w:pPr>
              <w:pStyle w:val="Texto"/>
              <w:spacing w:line="226" w:lineRule="exact"/>
              <w:ind w:firstLine="0"/>
              <w:rPr>
                <w:rFonts w:ascii="Verdana" w:hAnsi="Verdana"/>
                <w:sz w:val="16"/>
                <w:szCs w:val="16"/>
              </w:rPr>
            </w:pPr>
            <w:proofErr w:type="spellStart"/>
            <w:r>
              <w:rPr>
                <w:rFonts w:ascii="Verdana" w:hAnsi="Verdana"/>
                <w:sz w:val="16"/>
                <w:szCs w:val="16"/>
              </w:rPr>
              <w:t>Paramixovirus</w:t>
            </w:r>
            <w:proofErr w:type="spellEnd"/>
            <w:r>
              <w:rPr>
                <w:rFonts w:ascii="Verdana" w:hAnsi="Verdana"/>
                <w:sz w:val="16"/>
                <w:szCs w:val="16"/>
              </w:rPr>
              <w:t xml:space="preserve"> aviar del Tipo I – virus de la enfermedad de Newcastle </w:t>
            </w:r>
            <w:proofErr w:type="spellStart"/>
            <w:r>
              <w:rPr>
                <w:rFonts w:ascii="Verdana" w:hAnsi="Verdana"/>
                <w:sz w:val="16"/>
                <w:szCs w:val="16"/>
              </w:rPr>
              <w:t>velogénica</w:t>
            </w:r>
            <w:proofErr w:type="spellEnd"/>
            <w:r>
              <w:rPr>
                <w:rFonts w:ascii="Verdana" w:hAnsi="Verdana"/>
                <w:sz w:val="16"/>
                <w:szCs w:val="16"/>
              </w:rPr>
              <w:t xml:space="preserve"> (sólo cultivos)</w:t>
            </w:r>
          </w:p>
          <w:p w14:paraId="3899FEFC"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fiebre porcina clásica</w:t>
            </w:r>
          </w:p>
          <w:p w14:paraId="06D7DF58" w14:textId="77777777" w:rsidR="00B709A9" w:rsidRDefault="00B709A9">
            <w:pPr>
              <w:pStyle w:val="Texto"/>
              <w:spacing w:line="226" w:lineRule="exact"/>
              <w:ind w:firstLine="0"/>
              <w:rPr>
                <w:rFonts w:ascii="Verdana" w:hAnsi="Verdana"/>
                <w:sz w:val="16"/>
                <w:szCs w:val="16"/>
              </w:rPr>
            </w:pPr>
            <w:r>
              <w:rPr>
                <w:rFonts w:ascii="Verdana" w:hAnsi="Verdana"/>
                <w:sz w:val="16"/>
                <w:szCs w:val="16"/>
              </w:rPr>
              <w:t>(sólo cultivos)</w:t>
            </w:r>
          </w:p>
          <w:p w14:paraId="229FE59F"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fiebre aftosa (sólo cultivos)</w:t>
            </w:r>
          </w:p>
          <w:p w14:paraId="6B38D682"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dermatosis nodular</w:t>
            </w:r>
          </w:p>
          <w:p w14:paraId="7E8A1995" w14:textId="77777777" w:rsidR="00B709A9" w:rsidRDefault="00B709A9">
            <w:pPr>
              <w:pStyle w:val="Texto"/>
              <w:spacing w:line="226" w:lineRule="exact"/>
              <w:ind w:firstLine="0"/>
              <w:rPr>
                <w:rFonts w:ascii="Verdana" w:hAnsi="Verdana"/>
                <w:sz w:val="16"/>
                <w:szCs w:val="16"/>
              </w:rPr>
            </w:pPr>
            <w:r>
              <w:rPr>
                <w:rFonts w:ascii="Verdana" w:hAnsi="Verdana"/>
                <w:sz w:val="16"/>
                <w:szCs w:val="16"/>
              </w:rPr>
              <w:t>(sólo cultivos)</w:t>
            </w:r>
          </w:p>
          <w:p w14:paraId="130459C0" w14:textId="77777777" w:rsidR="00B709A9" w:rsidRDefault="00B709A9">
            <w:pPr>
              <w:pStyle w:val="Texto"/>
              <w:spacing w:line="226" w:lineRule="exact"/>
              <w:ind w:firstLine="0"/>
              <w:rPr>
                <w:rFonts w:ascii="Verdana" w:hAnsi="Verdana"/>
                <w:b/>
                <w:sz w:val="16"/>
                <w:szCs w:val="16"/>
              </w:rPr>
            </w:pPr>
            <w:r>
              <w:rPr>
                <w:rFonts w:ascii="Verdana" w:hAnsi="Verdana"/>
                <w:sz w:val="16"/>
                <w:szCs w:val="16"/>
              </w:rPr>
              <w:t xml:space="preserve">Micoplasmas </w:t>
            </w:r>
            <w:proofErr w:type="spellStart"/>
            <w:r>
              <w:rPr>
                <w:rFonts w:ascii="Verdana" w:hAnsi="Verdana"/>
                <w:sz w:val="16"/>
                <w:szCs w:val="16"/>
              </w:rPr>
              <w:t>mycoides</w:t>
            </w:r>
            <w:proofErr w:type="spellEnd"/>
            <w:r>
              <w:rPr>
                <w:rFonts w:ascii="Verdana" w:hAnsi="Verdana"/>
                <w:sz w:val="16"/>
                <w:szCs w:val="16"/>
              </w:rPr>
              <w:t>- pleuroneumonía bovina contagiosa (sólo cultivos)</w:t>
            </w:r>
          </w:p>
        </w:tc>
        <w:tc>
          <w:tcPr>
            <w:tcW w:w="236" w:type="dxa"/>
            <w:tcBorders>
              <w:top w:val="single" w:sz="6" w:space="0" w:color="auto"/>
              <w:left w:val="single" w:sz="6" w:space="0" w:color="auto"/>
              <w:bottom w:val="single" w:sz="6" w:space="0" w:color="auto"/>
              <w:right w:val="single" w:sz="6" w:space="0" w:color="auto"/>
            </w:tcBorders>
          </w:tcPr>
          <w:p w14:paraId="28F3CE87" w14:textId="77777777" w:rsidR="00B709A9" w:rsidRDefault="00B709A9">
            <w:pPr>
              <w:pStyle w:val="Texto"/>
              <w:spacing w:line="226" w:lineRule="exact"/>
              <w:ind w:firstLine="0"/>
              <w:rPr>
                <w:rFonts w:ascii="Verdana" w:hAnsi="Verdana"/>
                <w:sz w:val="16"/>
                <w:szCs w:val="16"/>
              </w:rPr>
            </w:pPr>
          </w:p>
        </w:tc>
        <w:tc>
          <w:tcPr>
            <w:tcW w:w="5127" w:type="dxa"/>
            <w:tcBorders>
              <w:top w:val="single" w:sz="6" w:space="0" w:color="auto"/>
              <w:left w:val="single" w:sz="6" w:space="0" w:color="auto"/>
              <w:bottom w:val="single" w:sz="6" w:space="0" w:color="auto"/>
              <w:right w:val="single" w:sz="6" w:space="0" w:color="auto"/>
            </w:tcBorders>
            <w:hideMark/>
          </w:tcPr>
          <w:p w14:paraId="2C46D83A" w14:textId="77777777" w:rsidR="00B709A9" w:rsidRDefault="00B709A9">
            <w:pPr>
              <w:pStyle w:val="Texto"/>
              <w:spacing w:line="226" w:lineRule="exact"/>
              <w:ind w:firstLine="0"/>
              <w:jc w:val="center"/>
              <w:rPr>
                <w:rFonts w:ascii="Verdana" w:hAnsi="Verdana"/>
                <w:b/>
                <w:sz w:val="16"/>
                <w:szCs w:val="16"/>
              </w:rPr>
            </w:pPr>
            <w:r>
              <w:rPr>
                <w:rFonts w:ascii="Verdana" w:hAnsi="Verdana"/>
                <w:b/>
                <w:sz w:val="16"/>
                <w:szCs w:val="16"/>
              </w:rPr>
              <w:t>Microorganismos</w:t>
            </w:r>
          </w:p>
          <w:p w14:paraId="34E1F1FA"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peste de pequeños rumiantes</w:t>
            </w:r>
          </w:p>
          <w:p w14:paraId="5B0CD38B" w14:textId="77777777" w:rsidR="00B709A9" w:rsidRDefault="00B709A9">
            <w:pPr>
              <w:pStyle w:val="Texto"/>
              <w:spacing w:line="226" w:lineRule="exact"/>
              <w:ind w:firstLine="0"/>
              <w:rPr>
                <w:rFonts w:ascii="Verdana" w:hAnsi="Verdana"/>
                <w:sz w:val="16"/>
                <w:szCs w:val="16"/>
              </w:rPr>
            </w:pPr>
            <w:r>
              <w:rPr>
                <w:rFonts w:ascii="Verdana" w:hAnsi="Verdana"/>
                <w:sz w:val="16"/>
                <w:szCs w:val="16"/>
              </w:rPr>
              <w:t>(sólo cultivos)</w:t>
            </w:r>
          </w:p>
          <w:p w14:paraId="161C5F87"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peste bovina (sólo cultivos)</w:t>
            </w:r>
          </w:p>
          <w:p w14:paraId="59898453"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viruela ovina (sólo cultivos)</w:t>
            </w:r>
          </w:p>
          <w:p w14:paraId="0BA64C88"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viruela caprina (sólo cultivos)</w:t>
            </w:r>
          </w:p>
          <w:p w14:paraId="05D2B1DC" w14:textId="77777777" w:rsidR="00B709A9" w:rsidRDefault="00B709A9">
            <w:pPr>
              <w:pStyle w:val="Texto"/>
              <w:spacing w:line="226" w:lineRule="exact"/>
              <w:ind w:firstLine="0"/>
              <w:rPr>
                <w:rFonts w:ascii="Verdana" w:hAnsi="Verdana"/>
                <w:sz w:val="16"/>
                <w:szCs w:val="16"/>
              </w:rPr>
            </w:pPr>
            <w:r>
              <w:rPr>
                <w:rFonts w:ascii="Verdana" w:hAnsi="Verdana"/>
                <w:sz w:val="16"/>
                <w:szCs w:val="16"/>
              </w:rPr>
              <w:t>Virus de la enfermedad vesicular porcina</w:t>
            </w:r>
          </w:p>
          <w:p w14:paraId="7EFDFE17" w14:textId="77777777" w:rsidR="00B709A9" w:rsidRDefault="00B709A9">
            <w:pPr>
              <w:pStyle w:val="Texto"/>
              <w:spacing w:line="226" w:lineRule="exact"/>
              <w:ind w:firstLine="0"/>
              <w:rPr>
                <w:rFonts w:ascii="Verdana" w:hAnsi="Verdana"/>
                <w:sz w:val="16"/>
                <w:szCs w:val="16"/>
              </w:rPr>
            </w:pPr>
            <w:r>
              <w:rPr>
                <w:rFonts w:ascii="Verdana" w:hAnsi="Verdana"/>
                <w:sz w:val="16"/>
                <w:szCs w:val="16"/>
              </w:rPr>
              <w:t>(sólo cultivos)</w:t>
            </w:r>
          </w:p>
          <w:p w14:paraId="7109A8E5" w14:textId="77777777" w:rsidR="00B709A9" w:rsidRDefault="00B709A9">
            <w:pPr>
              <w:pStyle w:val="Texto"/>
              <w:spacing w:line="226" w:lineRule="exact"/>
              <w:ind w:firstLine="0"/>
              <w:rPr>
                <w:rFonts w:ascii="Verdana" w:hAnsi="Verdana"/>
                <w:b/>
                <w:sz w:val="16"/>
                <w:szCs w:val="16"/>
              </w:rPr>
            </w:pPr>
            <w:r>
              <w:rPr>
                <w:rFonts w:ascii="Verdana" w:hAnsi="Verdana"/>
                <w:sz w:val="16"/>
                <w:szCs w:val="16"/>
              </w:rPr>
              <w:t>Virus de la estomatitis vesicular (sólo cultivos)</w:t>
            </w:r>
          </w:p>
        </w:tc>
      </w:tr>
    </w:tbl>
    <w:p w14:paraId="39F254D2" w14:textId="77777777" w:rsidR="00B709A9" w:rsidRDefault="00B709A9" w:rsidP="00B709A9">
      <w:pPr>
        <w:pStyle w:val="Texto"/>
        <w:spacing w:line="226" w:lineRule="exact"/>
        <w:rPr>
          <w:rFonts w:ascii="Verdana" w:hAnsi="Verdana"/>
          <w:sz w:val="16"/>
          <w:szCs w:val="16"/>
        </w:rPr>
      </w:pPr>
    </w:p>
    <w:p w14:paraId="20ACC7AB" w14:textId="77777777" w:rsidR="00B709A9" w:rsidRDefault="00B709A9" w:rsidP="00B709A9">
      <w:pPr>
        <w:pStyle w:val="Texto"/>
        <w:spacing w:line="226" w:lineRule="exact"/>
        <w:rPr>
          <w:rFonts w:ascii="Verdana" w:hAnsi="Verdana"/>
          <w:sz w:val="16"/>
          <w:szCs w:val="16"/>
        </w:rPr>
      </w:pPr>
    </w:p>
    <w:p w14:paraId="1F74BA9F" w14:textId="77777777" w:rsidR="00B709A9" w:rsidRDefault="00B709A9" w:rsidP="00B709A9">
      <w:pPr>
        <w:pStyle w:val="Texto"/>
        <w:rPr>
          <w:rFonts w:ascii="Verdana" w:hAnsi="Verdana"/>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3827"/>
        <w:gridCol w:w="229"/>
        <w:gridCol w:w="4659"/>
      </w:tblGrid>
      <w:tr w:rsidR="00B709A9" w14:paraId="60F3FC9C" w14:textId="77777777" w:rsidTr="00B709A9">
        <w:trPr>
          <w:trHeight w:val="20"/>
        </w:trPr>
        <w:tc>
          <w:tcPr>
            <w:tcW w:w="9572" w:type="dxa"/>
            <w:gridSpan w:val="3"/>
            <w:tcBorders>
              <w:top w:val="single" w:sz="6" w:space="0" w:color="auto"/>
              <w:left w:val="single" w:sz="6" w:space="0" w:color="auto"/>
              <w:bottom w:val="single" w:sz="6" w:space="0" w:color="auto"/>
              <w:right w:val="single" w:sz="6" w:space="0" w:color="auto"/>
            </w:tcBorders>
            <w:hideMark/>
          </w:tcPr>
          <w:p w14:paraId="5C2834E2" w14:textId="77777777" w:rsidR="00B709A9" w:rsidRDefault="00B709A9">
            <w:pPr>
              <w:pStyle w:val="Texto"/>
              <w:ind w:firstLine="0"/>
              <w:jc w:val="center"/>
              <w:rPr>
                <w:rFonts w:ascii="Verdana" w:hAnsi="Verdana"/>
                <w:b/>
                <w:sz w:val="16"/>
                <w:szCs w:val="16"/>
                <w:lang w:val="en-US"/>
              </w:rPr>
            </w:pPr>
            <w:r>
              <w:rPr>
                <w:rFonts w:ascii="Verdana" w:hAnsi="Verdana"/>
                <w:b/>
                <w:sz w:val="16"/>
                <w:szCs w:val="16"/>
                <w:lang w:val="en-US"/>
              </w:rPr>
              <w:t>TABLE NUMBER 1</w:t>
            </w:r>
          </w:p>
          <w:p w14:paraId="0D81BB1D" w14:textId="77777777" w:rsidR="00B709A9" w:rsidRDefault="00B709A9">
            <w:pPr>
              <w:pStyle w:val="Texto"/>
              <w:ind w:firstLine="0"/>
              <w:jc w:val="center"/>
              <w:rPr>
                <w:rFonts w:ascii="Verdana" w:hAnsi="Verdana"/>
                <w:b/>
                <w:sz w:val="16"/>
                <w:szCs w:val="16"/>
                <w:lang w:val="en-US"/>
              </w:rPr>
            </w:pPr>
            <w:r>
              <w:rPr>
                <w:rFonts w:ascii="Verdana" w:hAnsi="Verdana"/>
                <w:b/>
                <w:sz w:val="16"/>
                <w:szCs w:val="16"/>
                <w:lang w:val="en-US"/>
              </w:rPr>
              <w:t>INDICATIVE EXAMPLES OF INFECTIOUS SUBSTANCES INCLUDED IN CATEGORY “A” IN ANY OF ITS FORMS, UNLESS ANOTHER SPECIFICATION IS INDICATED</w:t>
            </w:r>
          </w:p>
          <w:p w14:paraId="44F4086C" w14:textId="77777777" w:rsidR="00B709A9" w:rsidRDefault="00B709A9">
            <w:pPr>
              <w:pStyle w:val="Texto"/>
              <w:ind w:firstLine="0"/>
              <w:jc w:val="center"/>
              <w:rPr>
                <w:rFonts w:ascii="Verdana" w:hAnsi="Verdana"/>
                <w:sz w:val="16"/>
                <w:szCs w:val="16"/>
              </w:rPr>
            </w:pPr>
            <w:r>
              <w:rPr>
                <w:rFonts w:ascii="Verdana" w:hAnsi="Verdana"/>
                <w:b/>
                <w:sz w:val="16"/>
                <w:szCs w:val="16"/>
              </w:rPr>
              <w:t>(5.2.1.1a)</w:t>
            </w:r>
          </w:p>
        </w:tc>
      </w:tr>
      <w:tr w:rsidR="00B709A9" w14:paraId="20E08EF5" w14:textId="77777777" w:rsidTr="00B709A9">
        <w:trPr>
          <w:trHeight w:val="20"/>
        </w:trPr>
        <w:tc>
          <w:tcPr>
            <w:tcW w:w="9572" w:type="dxa"/>
            <w:gridSpan w:val="3"/>
            <w:tcBorders>
              <w:top w:val="single" w:sz="6" w:space="0" w:color="auto"/>
              <w:left w:val="single" w:sz="6" w:space="0" w:color="auto"/>
              <w:bottom w:val="single" w:sz="6" w:space="0" w:color="auto"/>
              <w:right w:val="single" w:sz="6" w:space="0" w:color="auto"/>
            </w:tcBorders>
            <w:hideMark/>
          </w:tcPr>
          <w:p w14:paraId="0B2EE3A9" w14:textId="77777777" w:rsidR="00B709A9" w:rsidRDefault="00B709A9">
            <w:pPr>
              <w:pStyle w:val="Texto"/>
              <w:ind w:firstLine="0"/>
              <w:jc w:val="center"/>
              <w:rPr>
                <w:rFonts w:ascii="Verdana" w:hAnsi="Verdana"/>
                <w:b/>
                <w:sz w:val="16"/>
                <w:szCs w:val="16"/>
                <w:lang w:val="en-US"/>
              </w:rPr>
            </w:pPr>
            <w:r>
              <w:rPr>
                <w:rFonts w:ascii="Verdana" w:hAnsi="Verdana"/>
                <w:b/>
                <w:sz w:val="16"/>
                <w:szCs w:val="16"/>
                <w:lang w:val="en-US"/>
              </w:rPr>
              <w:t>UN 2814 (UN number) Substances Infectious to Humans</w:t>
            </w:r>
          </w:p>
        </w:tc>
      </w:tr>
      <w:tr w:rsidR="00B709A9" w14:paraId="2415F409" w14:textId="77777777" w:rsidTr="00B709A9">
        <w:trPr>
          <w:trHeight w:val="20"/>
        </w:trPr>
        <w:tc>
          <w:tcPr>
            <w:tcW w:w="4209" w:type="dxa"/>
            <w:tcBorders>
              <w:top w:val="single" w:sz="6" w:space="0" w:color="auto"/>
              <w:left w:val="single" w:sz="6" w:space="0" w:color="auto"/>
              <w:bottom w:val="single" w:sz="6" w:space="0" w:color="auto"/>
              <w:right w:val="single" w:sz="6" w:space="0" w:color="auto"/>
            </w:tcBorders>
            <w:hideMark/>
          </w:tcPr>
          <w:p w14:paraId="61D90832" w14:textId="77777777" w:rsidR="00B709A9" w:rsidRDefault="00B709A9">
            <w:pPr>
              <w:pStyle w:val="Texto"/>
              <w:ind w:firstLine="0"/>
              <w:jc w:val="center"/>
              <w:rPr>
                <w:rFonts w:ascii="Verdana" w:hAnsi="Verdana"/>
                <w:b/>
                <w:sz w:val="16"/>
                <w:szCs w:val="16"/>
                <w:lang w:val="en-US"/>
              </w:rPr>
            </w:pPr>
            <w:r>
              <w:rPr>
                <w:rFonts w:ascii="Verdana" w:hAnsi="Verdana"/>
                <w:b/>
                <w:sz w:val="16"/>
                <w:szCs w:val="16"/>
                <w:lang w:val="en-US"/>
              </w:rPr>
              <w:t>microorganisms</w:t>
            </w:r>
          </w:p>
          <w:p w14:paraId="5E1C5309" w14:textId="77777777" w:rsidR="00B709A9" w:rsidRDefault="00B709A9">
            <w:pPr>
              <w:pStyle w:val="Texto"/>
              <w:ind w:firstLine="0"/>
              <w:rPr>
                <w:rFonts w:ascii="Verdana" w:hAnsi="Verdana"/>
                <w:sz w:val="16"/>
                <w:szCs w:val="16"/>
                <w:lang w:val="en-US"/>
              </w:rPr>
            </w:pPr>
            <w:r>
              <w:rPr>
                <w:rFonts w:ascii="Verdana" w:hAnsi="Verdana"/>
                <w:sz w:val="16"/>
                <w:szCs w:val="16"/>
                <w:lang w:val="en-US"/>
              </w:rPr>
              <w:t>Bacillus anthracis (cultures only)</w:t>
            </w:r>
          </w:p>
          <w:p w14:paraId="7FAA572F" w14:textId="77777777" w:rsidR="00B709A9" w:rsidRDefault="00B709A9">
            <w:pPr>
              <w:pStyle w:val="Texto"/>
              <w:ind w:firstLine="0"/>
              <w:rPr>
                <w:rFonts w:ascii="Verdana" w:hAnsi="Verdana"/>
                <w:sz w:val="16"/>
                <w:szCs w:val="16"/>
                <w:lang w:val="en-US"/>
              </w:rPr>
            </w:pPr>
            <w:r>
              <w:rPr>
                <w:rFonts w:ascii="Verdana" w:hAnsi="Verdana"/>
                <w:sz w:val="16"/>
                <w:szCs w:val="16"/>
                <w:lang w:val="en-US"/>
              </w:rPr>
              <w:t>Brucella abortus (cultures only)</w:t>
            </w:r>
          </w:p>
          <w:p w14:paraId="44DF9AE3" w14:textId="77777777" w:rsidR="00B709A9" w:rsidRDefault="00B709A9">
            <w:pPr>
              <w:pStyle w:val="Texto"/>
              <w:ind w:firstLine="0"/>
              <w:rPr>
                <w:rFonts w:ascii="Verdana" w:hAnsi="Verdana"/>
                <w:sz w:val="16"/>
                <w:szCs w:val="16"/>
                <w:lang w:val="en-US"/>
              </w:rPr>
            </w:pPr>
            <w:r>
              <w:rPr>
                <w:rFonts w:ascii="Verdana" w:hAnsi="Verdana"/>
                <w:sz w:val="16"/>
                <w:szCs w:val="16"/>
                <w:lang w:val="en-US"/>
              </w:rPr>
              <w:t xml:space="preserve">Brucella </w:t>
            </w:r>
            <w:proofErr w:type="spellStart"/>
            <w:r>
              <w:rPr>
                <w:rFonts w:ascii="Verdana" w:hAnsi="Verdana"/>
                <w:sz w:val="16"/>
                <w:szCs w:val="16"/>
                <w:lang w:val="en-US"/>
              </w:rPr>
              <w:t>melitensis</w:t>
            </w:r>
            <w:proofErr w:type="spellEnd"/>
            <w:r>
              <w:rPr>
                <w:rFonts w:ascii="Verdana" w:hAnsi="Verdana"/>
                <w:sz w:val="16"/>
                <w:szCs w:val="16"/>
                <w:lang w:val="en-US"/>
              </w:rPr>
              <w:t xml:space="preserve"> (cultures only)</w:t>
            </w:r>
          </w:p>
          <w:p w14:paraId="5145D732" w14:textId="77777777" w:rsidR="00B709A9" w:rsidRDefault="00B709A9">
            <w:pPr>
              <w:pStyle w:val="Texto"/>
              <w:ind w:firstLine="0"/>
              <w:rPr>
                <w:rFonts w:ascii="Verdana" w:hAnsi="Verdana"/>
                <w:sz w:val="16"/>
                <w:szCs w:val="16"/>
                <w:lang w:val="en-US"/>
              </w:rPr>
            </w:pPr>
            <w:r>
              <w:rPr>
                <w:rFonts w:ascii="Verdana" w:hAnsi="Verdana"/>
                <w:sz w:val="16"/>
                <w:szCs w:val="16"/>
                <w:lang w:val="en-US"/>
              </w:rPr>
              <w:t>Brucella suis (Cultivations only)</w:t>
            </w:r>
          </w:p>
          <w:p w14:paraId="7F5D861B"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t>Burkholderia</w:t>
            </w:r>
            <w:proofErr w:type="spellEnd"/>
            <w:r>
              <w:rPr>
                <w:rFonts w:ascii="Verdana" w:hAnsi="Verdana"/>
                <w:sz w:val="16"/>
                <w:szCs w:val="16"/>
                <w:lang w:val="en-US"/>
              </w:rPr>
              <w:t xml:space="preserve"> mallei – Pseudomonas mallei - Glands (cultures only)</w:t>
            </w:r>
          </w:p>
          <w:p w14:paraId="41EEBE0F"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lastRenderedPageBreak/>
              <w:t>Burkholderia</w:t>
            </w:r>
            <w:proofErr w:type="spellEnd"/>
            <w:r>
              <w:rPr>
                <w:rFonts w:ascii="Verdana" w:hAnsi="Verdana"/>
                <w:sz w:val="16"/>
                <w:szCs w:val="16"/>
                <w:lang w:val="en-US"/>
              </w:rPr>
              <w:t xml:space="preserve"> </w:t>
            </w:r>
            <w:proofErr w:type="spellStart"/>
            <w:r>
              <w:rPr>
                <w:rFonts w:ascii="Verdana" w:hAnsi="Verdana"/>
                <w:sz w:val="16"/>
                <w:szCs w:val="16"/>
                <w:lang w:val="en-US"/>
              </w:rPr>
              <w:t>pseudomallei</w:t>
            </w:r>
            <w:proofErr w:type="spellEnd"/>
            <w:r>
              <w:rPr>
                <w:rFonts w:ascii="Verdana" w:hAnsi="Verdana"/>
                <w:sz w:val="16"/>
                <w:szCs w:val="16"/>
                <w:lang w:val="en-US"/>
              </w:rPr>
              <w:t xml:space="preserve"> – Pseudomonas </w:t>
            </w:r>
            <w:proofErr w:type="spellStart"/>
            <w:r>
              <w:rPr>
                <w:rFonts w:ascii="Verdana" w:hAnsi="Verdana"/>
                <w:sz w:val="16"/>
                <w:szCs w:val="16"/>
                <w:lang w:val="en-US"/>
              </w:rPr>
              <w:t>pseudomallei</w:t>
            </w:r>
            <w:proofErr w:type="spellEnd"/>
            <w:r>
              <w:rPr>
                <w:rFonts w:ascii="Verdana" w:hAnsi="Verdana"/>
                <w:sz w:val="16"/>
                <w:szCs w:val="16"/>
                <w:lang w:val="en-US"/>
              </w:rPr>
              <w:t xml:space="preserve"> – Glands (cultures only)</w:t>
            </w:r>
          </w:p>
          <w:p w14:paraId="7EFE0FD9" w14:textId="77777777" w:rsidR="00B709A9" w:rsidRDefault="00B709A9">
            <w:pPr>
              <w:pStyle w:val="Texto"/>
              <w:ind w:firstLine="0"/>
              <w:rPr>
                <w:rFonts w:ascii="Verdana" w:hAnsi="Verdana"/>
                <w:sz w:val="16"/>
                <w:szCs w:val="16"/>
                <w:lang w:val="en-US"/>
              </w:rPr>
            </w:pPr>
            <w:r>
              <w:rPr>
                <w:rFonts w:ascii="Verdana" w:hAnsi="Verdana"/>
                <w:sz w:val="16"/>
                <w:szCs w:val="16"/>
                <w:lang w:val="en-US"/>
              </w:rPr>
              <w:t xml:space="preserve">Chlamydia </w:t>
            </w:r>
            <w:proofErr w:type="spellStart"/>
            <w:r>
              <w:rPr>
                <w:rFonts w:ascii="Verdana" w:hAnsi="Verdana"/>
                <w:sz w:val="16"/>
                <w:szCs w:val="16"/>
                <w:lang w:val="en-US"/>
              </w:rPr>
              <w:t>psittaci</w:t>
            </w:r>
            <w:proofErr w:type="spellEnd"/>
            <w:r>
              <w:rPr>
                <w:rFonts w:ascii="Verdana" w:hAnsi="Verdana"/>
                <w:sz w:val="16"/>
                <w:szCs w:val="16"/>
                <w:lang w:val="en-US"/>
              </w:rPr>
              <w:t xml:space="preserve"> – avian strains</w:t>
            </w:r>
          </w:p>
          <w:p w14:paraId="73B30631" w14:textId="77777777" w:rsidR="00B709A9" w:rsidRDefault="00B709A9">
            <w:pPr>
              <w:pStyle w:val="Texto"/>
              <w:ind w:firstLine="0"/>
              <w:rPr>
                <w:rFonts w:ascii="Verdana" w:hAnsi="Verdana"/>
                <w:sz w:val="16"/>
                <w:szCs w:val="16"/>
                <w:lang w:val="en-US"/>
              </w:rPr>
            </w:pPr>
            <w:r>
              <w:rPr>
                <w:rFonts w:ascii="Verdana" w:hAnsi="Verdana"/>
                <w:sz w:val="16"/>
                <w:szCs w:val="16"/>
                <w:lang w:val="en-US"/>
              </w:rPr>
              <w:t>(Cultivations only)</w:t>
            </w:r>
          </w:p>
          <w:p w14:paraId="36018A80" w14:textId="77777777" w:rsidR="00B709A9" w:rsidRDefault="00B709A9">
            <w:pPr>
              <w:pStyle w:val="Texto"/>
              <w:ind w:firstLine="0"/>
              <w:rPr>
                <w:rFonts w:ascii="Verdana" w:hAnsi="Verdana"/>
                <w:sz w:val="16"/>
                <w:szCs w:val="16"/>
                <w:lang w:val="en-US"/>
              </w:rPr>
            </w:pPr>
            <w:r>
              <w:rPr>
                <w:rFonts w:ascii="Verdana" w:hAnsi="Verdana"/>
                <w:sz w:val="16"/>
                <w:szCs w:val="16"/>
                <w:lang w:val="en-US"/>
              </w:rPr>
              <w:t>Clostridium botulinum (cultures only)</w:t>
            </w:r>
          </w:p>
          <w:p w14:paraId="742B1E59"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t>Coccidioids</w:t>
            </w:r>
            <w:proofErr w:type="spellEnd"/>
            <w:r>
              <w:rPr>
                <w:rFonts w:ascii="Verdana" w:hAnsi="Verdana"/>
                <w:sz w:val="16"/>
                <w:szCs w:val="16"/>
                <w:lang w:val="en-US"/>
              </w:rPr>
              <w:t xml:space="preserve"> </w:t>
            </w:r>
            <w:proofErr w:type="spellStart"/>
            <w:r>
              <w:rPr>
                <w:rFonts w:ascii="Verdana" w:hAnsi="Verdana"/>
                <w:sz w:val="16"/>
                <w:szCs w:val="16"/>
                <w:lang w:val="en-US"/>
              </w:rPr>
              <w:t>immitis</w:t>
            </w:r>
            <w:proofErr w:type="spellEnd"/>
            <w:r>
              <w:rPr>
                <w:rFonts w:ascii="Verdana" w:hAnsi="Verdana"/>
                <w:sz w:val="16"/>
                <w:szCs w:val="16"/>
                <w:lang w:val="en-US"/>
              </w:rPr>
              <w:t xml:space="preserve"> (cultures only)</w:t>
            </w:r>
          </w:p>
          <w:p w14:paraId="353831F8"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t>coxiella</w:t>
            </w:r>
            <w:proofErr w:type="spellEnd"/>
            <w:r>
              <w:rPr>
                <w:rFonts w:ascii="Verdana" w:hAnsi="Verdana"/>
                <w:sz w:val="16"/>
                <w:szCs w:val="16"/>
                <w:lang w:val="en-US"/>
              </w:rPr>
              <w:t xml:space="preserve"> </w:t>
            </w:r>
            <w:proofErr w:type="spellStart"/>
            <w:r>
              <w:rPr>
                <w:rFonts w:ascii="Verdana" w:hAnsi="Verdana"/>
                <w:sz w:val="16"/>
                <w:szCs w:val="16"/>
                <w:lang w:val="en-US"/>
              </w:rPr>
              <w:t>burnetii</w:t>
            </w:r>
            <w:proofErr w:type="spellEnd"/>
            <w:r>
              <w:rPr>
                <w:rFonts w:ascii="Verdana" w:hAnsi="Verdana"/>
                <w:sz w:val="16"/>
                <w:szCs w:val="16"/>
                <w:lang w:val="en-US"/>
              </w:rPr>
              <w:t xml:space="preserve"> (cultures only)</w:t>
            </w:r>
          </w:p>
          <w:p w14:paraId="47E1D7D3" w14:textId="77777777" w:rsidR="00B709A9" w:rsidRDefault="00B709A9">
            <w:pPr>
              <w:pStyle w:val="Texto"/>
              <w:ind w:firstLine="0"/>
              <w:rPr>
                <w:rFonts w:ascii="Verdana" w:hAnsi="Verdana"/>
                <w:sz w:val="16"/>
                <w:szCs w:val="16"/>
                <w:lang w:val="en-US"/>
              </w:rPr>
            </w:pPr>
            <w:r>
              <w:rPr>
                <w:rFonts w:ascii="Verdana" w:hAnsi="Verdana"/>
                <w:sz w:val="16"/>
                <w:szCs w:val="16"/>
                <w:lang w:val="en-US"/>
              </w:rPr>
              <w:t>Crimean-Congo hemorrhagic fever virus</w:t>
            </w:r>
          </w:p>
          <w:p w14:paraId="3E21A699" w14:textId="77777777" w:rsidR="00B709A9" w:rsidRDefault="00B709A9">
            <w:pPr>
              <w:pStyle w:val="Texto"/>
              <w:ind w:firstLine="0"/>
              <w:rPr>
                <w:rFonts w:ascii="Verdana" w:hAnsi="Verdana"/>
                <w:sz w:val="16"/>
                <w:szCs w:val="16"/>
                <w:lang w:val="en-US"/>
              </w:rPr>
            </w:pPr>
            <w:r>
              <w:rPr>
                <w:rFonts w:ascii="Verdana" w:hAnsi="Verdana"/>
                <w:sz w:val="16"/>
                <w:szCs w:val="16"/>
                <w:lang w:val="en-US"/>
              </w:rPr>
              <w:t>Dengue virus (cultures only)</w:t>
            </w:r>
          </w:p>
          <w:p w14:paraId="2C011978" w14:textId="77777777" w:rsidR="00B709A9" w:rsidRDefault="00B709A9">
            <w:pPr>
              <w:pStyle w:val="Texto"/>
              <w:ind w:firstLine="0"/>
              <w:rPr>
                <w:rFonts w:ascii="Verdana" w:hAnsi="Verdana"/>
                <w:sz w:val="16"/>
                <w:szCs w:val="16"/>
                <w:lang w:val="en-US"/>
              </w:rPr>
            </w:pPr>
            <w:r>
              <w:rPr>
                <w:rFonts w:ascii="Verdana" w:hAnsi="Verdana"/>
                <w:sz w:val="16"/>
                <w:szCs w:val="16"/>
                <w:lang w:val="en-US"/>
              </w:rPr>
              <w:t>Eastern equine encephalitis virus (cultures only)</w:t>
            </w:r>
          </w:p>
          <w:p w14:paraId="413ADAEC" w14:textId="77777777" w:rsidR="00B709A9" w:rsidRDefault="00B709A9">
            <w:pPr>
              <w:pStyle w:val="Texto"/>
              <w:ind w:firstLine="0"/>
              <w:rPr>
                <w:rFonts w:ascii="Verdana" w:hAnsi="Verdana"/>
                <w:sz w:val="16"/>
                <w:szCs w:val="16"/>
                <w:lang w:val="it-IT"/>
              </w:rPr>
            </w:pPr>
            <w:r>
              <w:rPr>
                <w:rFonts w:ascii="Verdana" w:hAnsi="Verdana"/>
                <w:sz w:val="16"/>
                <w:szCs w:val="16"/>
                <w:lang w:val="it-IT"/>
              </w:rPr>
              <w:t>Escherichia coli, verotoxigenic</w:t>
            </w:r>
          </w:p>
          <w:p w14:paraId="09ED70C5" w14:textId="77777777" w:rsidR="00B709A9" w:rsidRDefault="00B709A9">
            <w:pPr>
              <w:pStyle w:val="Texto"/>
              <w:ind w:firstLine="0"/>
              <w:rPr>
                <w:rFonts w:ascii="Verdana" w:hAnsi="Verdana"/>
                <w:sz w:val="16"/>
                <w:szCs w:val="16"/>
                <w:lang w:val="it-IT"/>
              </w:rPr>
            </w:pPr>
            <w:r>
              <w:rPr>
                <w:rFonts w:ascii="Verdana" w:hAnsi="Verdana"/>
                <w:sz w:val="16"/>
                <w:szCs w:val="16"/>
                <w:lang w:val="it-IT"/>
              </w:rPr>
              <w:t>(Cultivations only)</w:t>
            </w:r>
          </w:p>
          <w:p w14:paraId="750BF1A8" w14:textId="77777777" w:rsidR="00B709A9" w:rsidRDefault="00B709A9">
            <w:pPr>
              <w:pStyle w:val="Texto"/>
              <w:ind w:firstLine="0"/>
              <w:rPr>
                <w:rFonts w:ascii="Verdana" w:hAnsi="Verdana"/>
                <w:sz w:val="16"/>
                <w:szCs w:val="16"/>
                <w:lang w:val="it-IT"/>
              </w:rPr>
            </w:pPr>
            <w:r>
              <w:rPr>
                <w:rFonts w:ascii="Verdana" w:hAnsi="Verdana"/>
                <w:sz w:val="16"/>
                <w:szCs w:val="16"/>
                <w:lang w:val="it-IT"/>
              </w:rPr>
              <w:t>Ebola virus</w:t>
            </w:r>
          </w:p>
          <w:p w14:paraId="6642ADCB" w14:textId="77777777" w:rsidR="00B709A9" w:rsidRDefault="00B709A9">
            <w:pPr>
              <w:pStyle w:val="Texto"/>
              <w:ind w:firstLine="0"/>
              <w:rPr>
                <w:rFonts w:ascii="Verdana" w:hAnsi="Verdana"/>
                <w:sz w:val="16"/>
                <w:szCs w:val="16"/>
                <w:lang w:val="it-IT"/>
              </w:rPr>
            </w:pPr>
            <w:r>
              <w:rPr>
                <w:rFonts w:ascii="Verdana" w:hAnsi="Verdana"/>
                <w:sz w:val="16"/>
                <w:szCs w:val="16"/>
                <w:lang w:val="it-IT"/>
              </w:rPr>
              <w:t>flexal virus</w:t>
            </w:r>
          </w:p>
          <w:p w14:paraId="27123703" w14:textId="77777777" w:rsidR="00B709A9" w:rsidRDefault="00B709A9">
            <w:pPr>
              <w:pStyle w:val="Texto"/>
              <w:ind w:firstLine="0"/>
              <w:rPr>
                <w:rFonts w:ascii="Verdana" w:hAnsi="Verdana"/>
                <w:sz w:val="16"/>
                <w:szCs w:val="16"/>
                <w:lang w:val="it-IT"/>
              </w:rPr>
            </w:pPr>
            <w:r>
              <w:rPr>
                <w:rFonts w:ascii="Verdana" w:hAnsi="Verdana"/>
                <w:sz w:val="16"/>
                <w:szCs w:val="16"/>
                <w:lang w:val="it-IT"/>
              </w:rPr>
              <w:t>Francisella tularensis (cultures only)</w:t>
            </w:r>
          </w:p>
          <w:p w14:paraId="00D54802" w14:textId="77777777" w:rsidR="00B709A9" w:rsidRDefault="00B709A9">
            <w:pPr>
              <w:pStyle w:val="Texto"/>
              <w:ind w:firstLine="0"/>
              <w:rPr>
                <w:rFonts w:ascii="Verdana" w:hAnsi="Verdana"/>
                <w:sz w:val="16"/>
                <w:szCs w:val="16"/>
                <w:lang w:val="it-IT"/>
              </w:rPr>
            </w:pPr>
            <w:r>
              <w:rPr>
                <w:rFonts w:ascii="Verdana" w:hAnsi="Verdana"/>
                <w:sz w:val="16"/>
                <w:szCs w:val="16"/>
                <w:lang w:val="it-IT"/>
              </w:rPr>
              <w:t>Guaranito virus</w:t>
            </w:r>
          </w:p>
          <w:p w14:paraId="11382702" w14:textId="77777777" w:rsidR="00B709A9" w:rsidRDefault="00B709A9">
            <w:pPr>
              <w:pStyle w:val="Texto"/>
              <w:ind w:firstLine="0"/>
              <w:rPr>
                <w:rFonts w:ascii="Verdana" w:hAnsi="Verdana"/>
                <w:sz w:val="16"/>
                <w:szCs w:val="16"/>
                <w:lang w:val="it-IT"/>
              </w:rPr>
            </w:pPr>
            <w:r>
              <w:rPr>
                <w:rFonts w:ascii="Verdana" w:hAnsi="Verdana"/>
                <w:sz w:val="16"/>
                <w:szCs w:val="16"/>
                <w:lang w:val="it-IT"/>
              </w:rPr>
              <w:t>hantaan virus</w:t>
            </w:r>
          </w:p>
          <w:p w14:paraId="323D26A2" w14:textId="77777777" w:rsidR="00B709A9" w:rsidRDefault="00B709A9">
            <w:pPr>
              <w:pStyle w:val="Texto"/>
              <w:ind w:firstLine="0"/>
              <w:rPr>
                <w:rFonts w:ascii="Verdana" w:hAnsi="Verdana"/>
                <w:sz w:val="16"/>
                <w:szCs w:val="16"/>
                <w:lang w:val="it-IT"/>
              </w:rPr>
            </w:pPr>
            <w:r>
              <w:rPr>
                <w:rFonts w:ascii="Verdana" w:hAnsi="Verdana"/>
                <w:sz w:val="16"/>
                <w:szCs w:val="16"/>
                <w:lang w:val="it-IT"/>
              </w:rPr>
              <w:t>Hantaviruses causing hemorrhagic fever with renal syndrome</w:t>
            </w:r>
          </w:p>
          <w:p w14:paraId="6EFFEEF3"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t>hendra</w:t>
            </w:r>
            <w:proofErr w:type="spellEnd"/>
            <w:r>
              <w:rPr>
                <w:rFonts w:ascii="Verdana" w:hAnsi="Verdana"/>
                <w:sz w:val="16"/>
                <w:szCs w:val="16"/>
                <w:lang w:val="en-US"/>
              </w:rPr>
              <w:t xml:space="preserve"> virus</w:t>
            </w:r>
          </w:p>
          <w:p w14:paraId="6B7EDD85" w14:textId="77777777" w:rsidR="00B709A9" w:rsidRDefault="00B709A9">
            <w:pPr>
              <w:pStyle w:val="Texto"/>
              <w:ind w:firstLine="0"/>
              <w:rPr>
                <w:rFonts w:ascii="Verdana" w:hAnsi="Verdana"/>
                <w:sz w:val="16"/>
                <w:szCs w:val="16"/>
                <w:lang w:val="en-US"/>
              </w:rPr>
            </w:pPr>
            <w:r>
              <w:rPr>
                <w:rFonts w:ascii="Verdana" w:hAnsi="Verdana"/>
                <w:sz w:val="16"/>
                <w:szCs w:val="16"/>
                <w:lang w:val="en-US"/>
              </w:rPr>
              <w:t>Hepatitis B virus (cultures only)</w:t>
            </w:r>
          </w:p>
        </w:tc>
        <w:tc>
          <w:tcPr>
            <w:tcW w:w="236" w:type="dxa"/>
            <w:tcBorders>
              <w:top w:val="single" w:sz="6" w:space="0" w:color="auto"/>
              <w:left w:val="single" w:sz="6" w:space="0" w:color="auto"/>
              <w:bottom w:val="single" w:sz="6" w:space="0" w:color="auto"/>
              <w:right w:val="single" w:sz="6" w:space="0" w:color="auto"/>
            </w:tcBorders>
          </w:tcPr>
          <w:p w14:paraId="7D05157F" w14:textId="77777777" w:rsidR="00B709A9" w:rsidRDefault="00B709A9">
            <w:pPr>
              <w:pStyle w:val="Texto"/>
              <w:ind w:firstLine="0"/>
              <w:rPr>
                <w:rFonts w:ascii="Verdana" w:hAnsi="Verdana"/>
                <w:sz w:val="16"/>
                <w:szCs w:val="16"/>
                <w:lang w:val="en-US"/>
              </w:rPr>
            </w:pPr>
          </w:p>
        </w:tc>
        <w:tc>
          <w:tcPr>
            <w:tcW w:w="5127" w:type="dxa"/>
            <w:tcBorders>
              <w:top w:val="single" w:sz="6" w:space="0" w:color="auto"/>
              <w:left w:val="single" w:sz="6" w:space="0" w:color="auto"/>
              <w:bottom w:val="single" w:sz="6" w:space="0" w:color="auto"/>
              <w:right w:val="single" w:sz="6" w:space="0" w:color="auto"/>
            </w:tcBorders>
            <w:hideMark/>
          </w:tcPr>
          <w:p w14:paraId="4716B5C7" w14:textId="77777777" w:rsidR="00B709A9" w:rsidRDefault="00B709A9">
            <w:pPr>
              <w:pStyle w:val="Texto"/>
              <w:ind w:firstLine="0"/>
              <w:jc w:val="center"/>
              <w:rPr>
                <w:rFonts w:ascii="Verdana" w:hAnsi="Verdana"/>
                <w:b/>
                <w:sz w:val="16"/>
                <w:szCs w:val="16"/>
                <w:lang w:val="en-US"/>
              </w:rPr>
            </w:pPr>
            <w:r>
              <w:rPr>
                <w:rFonts w:ascii="Verdana" w:hAnsi="Verdana"/>
                <w:b/>
                <w:sz w:val="16"/>
                <w:szCs w:val="16"/>
                <w:lang w:val="en-US"/>
              </w:rPr>
              <w:t>microorganisms</w:t>
            </w:r>
          </w:p>
          <w:p w14:paraId="4D486AE2" w14:textId="77777777" w:rsidR="00B709A9" w:rsidRDefault="00B709A9">
            <w:pPr>
              <w:pStyle w:val="Texto"/>
              <w:ind w:firstLine="0"/>
              <w:rPr>
                <w:rFonts w:ascii="Verdana" w:hAnsi="Verdana"/>
                <w:sz w:val="16"/>
                <w:szCs w:val="16"/>
                <w:lang w:val="en-US"/>
              </w:rPr>
            </w:pPr>
            <w:r>
              <w:rPr>
                <w:rFonts w:ascii="Verdana" w:hAnsi="Verdana"/>
                <w:sz w:val="16"/>
                <w:szCs w:val="16"/>
                <w:lang w:val="en-US"/>
              </w:rPr>
              <w:t>Herpes B virus (cultures only)</w:t>
            </w:r>
          </w:p>
          <w:p w14:paraId="6E3946E7" w14:textId="77777777" w:rsidR="00B709A9" w:rsidRDefault="00B709A9">
            <w:pPr>
              <w:pStyle w:val="Texto"/>
              <w:ind w:firstLine="0"/>
              <w:rPr>
                <w:rFonts w:ascii="Verdana" w:hAnsi="Verdana"/>
                <w:sz w:val="16"/>
                <w:szCs w:val="16"/>
                <w:lang w:val="en-US"/>
              </w:rPr>
            </w:pPr>
            <w:r>
              <w:rPr>
                <w:rFonts w:ascii="Verdana" w:hAnsi="Verdana"/>
                <w:sz w:val="16"/>
                <w:szCs w:val="16"/>
                <w:lang w:val="en-US"/>
              </w:rPr>
              <w:t>HIV</w:t>
            </w:r>
          </w:p>
          <w:p w14:paraId="2661EDDA" w14:textId="77777777" w:rsidR="00B709A9" w:rsidRDefault="00B709A9">
            <w:pPr>
              <w:pStyle w:val="Texto"/>
              <w:ind w:firstLine="0"/>
              <w:rPr>
                <w:rFonts w:ascii="Verdana" w:hAnsi="Verdana"/>
                <w:sz w:val="16"/>
                <w:szCs w:val="16"/>
                <w:lang w:val="en-US"/>
              </w:rPr>
            </w:pPr>
            <w:r>
              <w:rPr>
                <w:rFonts w:ascii="Verdana" w:hAnsi="Verdana"/>
                <w:sz w:val="16"/>
                <w:szCs w:val="16"/>
                <w:lang w:val="en-US"/>
              </w:rPr>
              <w:t>(Cultivations only)</w:t>
            </w:r>
          </w:p>
          <w:p w14:paraId="15EE8742" w14:textId="77777777" w:rsidR="00B709A9" w:rsidRDefault="00B709A9">
            <w:pPr>
              <w:pStyle w:val="Texto"/>
              <w:ind w:firstLine="0"/>
              <w:rPr>
                <w:rFonts w:ascii="Verdana" w:hAnsi="Verdana"/>
                <w:sz w:val="16"/>
                <w:szCs w:val="16"/>
                <w:lang w:val="en-US"/>
              </w:rPr>
            </w:pPr>
            <w:r>
              <w:rPr>
                <w:rFonts w:ascii="Verdana" w:hAnsi="Verdana"/>
                <w:sz w:val="16"/>
                <w:szCs w:val="16"/>
                <w:lang w:val="en-US"/>
              </w:rPr>
              <w:t>Highly pathogenic avian influenza virus (cultures only)</w:t>
            </w:r>
          </w:p>
          <w:p w14:paraId="7AC7B841" w14:textId="77777777" w:rsidR="00B709A9" w:rsidRDefault="00B709A9">
            <w:pPr>
              <w:pStyle w:val="Texto"/>
              <w:ind w:firstLine="0"/>
              <w:rPr>
                <w:rFonts w:ascii="Verdana" w:hAnsi="Verdana"/>
                <w:sz w:val="16"/>
                <w:szCs w:val="16"/>
                <w:lang w:val="en-US"/>
              </w:rPr>
            </w:pPr>
            <w:r>
              <w:rPr>
                <w:rFonts w:ascii="Verdana" w:hAnsi="Verdana"/>
                <w:sz w:val="16"/>
                <w:szCs w:val="16"/>
                <w:lang w:val="en-US"/>
              </w:rPr>
              <w:t>Japanese encephalitis virus (cultures only)</w:t>
            </w:r>
          </w:p>
          <w:p w14:paraId="5AF4882D"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lastRenderedPageBreak/>
              <w:t>junin</w:t>
            </w:r>
            <w:proofErr w:type="spellEnd"/>
            <w:r>
              <w:rPr>
                <w:rFonts w:ascii="Verdana" w:hAnsi="Verdana"/>
                <w:sz w:val="16"/>
                <w:szCs w:val="16"/>
                <w:lang w:val="en-US"/>
              </w:rPr>
              <w:t xml:space="preserve"> virus</w:t>
            </w:r>
          </w:p>
          <w:p w14:paraId="72191C35"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t>Kyasanur</w:t>
            </w:r>
            <w:proofErr w:type="spellEnd"/>
            <w:r>
              <w:rPr>
                <w:rFonts w:ascii="Verdana" w:hAnsi="Verdana"/>
                <w:sz w:val="16"/>
                <w:szCs w:val="16"/>
                <w:lang w:val="en-US"/>
              </w:rPr>
              <w:t xml:space="preserve"> forest disease virus</w:t>
            </w:r>
          </w:p>
          <w:p w14:paraId="485C12BE" w14:textId="77777777" w:rsidR="00B709A9" w:rsidRDefault="00B709A9">
            <w:pPr>
              <w:pStyle w:val="Texto"/>
              <w:ind w:firstLine="0"/>
              <w:rPr>
                <w:rFonts w:ascii="Verdana" w:hAnsi="Verdana"/>
                <w:sz w:val="16"/>
                <w:szCs w:val="16"/>
                <w:lang w:val="en-US"/>
              </w:rPr>
            </w:pPr>
            <w:r>
              <w:rPr>
                <w:rFonts w:ascii="Verdana" w:hAnsi="Verdana"/>
                <w:sz w:val="16"/>
                <w:szCs w:val="16"/>
                <w:lang w:val="en-US"/>
              </w:rPr>
              <w:t>Lassa fever virus</w:t>
            </w:r>
          </w:p>
          <w:p w14:paraId="0F47D5AC" w14:textId="77777777" w:rsidR="00B709A9" w:rsidRDefault="00B709A9">
            <w:pPr>
              <w:pStyle w:val="Texto"/>
              <w:ind w:firstLine="0"/>
              <w:rPr>
                <w:rFonts w:ascii="Verdana" w:hAnsi="Verdana"/>
                <w:sz w:val="16"/>
                <w:szCs w:val="16"/>
                <w:lang w:val="en-US"/>
              </w:rPr>
            </w:pPr>
            <w:r>
              <w:rPr>
                <w:rFonts w:ascii="Verdana" w:hAnsi="Verdana"/>
                <w:sz w:val="16"/>
                <w:szCs w:val="16"/>
                <w:lang w:val="en-US"/>
              </w:rPr>
              <w:t>Marburg virus</w:t>
            </w:r>
          </w:p>
          <w:p w14:paraId="51DCE85F" w14:textId="77777777" w:rsidR="00B709A9" w:rsidRDefault="00B709A9">
            <w:pPr>
              <w:pStyle w:val="Texto"/>
              <w:ind w:firstLine="0"/>
              <w:rPr>
                <w:rFonts w:ascii="Verdana" w:hAnsi="Verdana"/>
                <w:sz w:val="16"/>
                <w:szCs w:val="16"/>
                <w:lang w:val="en-US"/>
              </w:rPr>
            </w:pPr>
            <w:r>
              <w:rPr>
                <w:rFonts w:ascii="Verdana" w:hAnsi="Verdana"/>
                <w:sz w:val="16"/>
                <w:szCs w:val="16"/>
                <w:lang w:val="en-US"/>
              </w:rPr>
              <w:t>Monkeypox virus</w:t>
            </w:r>
          </w:p>
          <w:p w14:paraId="22CB69E4" w14:textId="77777777" w:rsidR="00B709A9" w:rsidRDefault="00B709A9">
            <w:pPr>
              <w:pStyle w:val="Texto"/>
              <w:ind w:firstLine="0"/>
              <w:rPr>
                <w:rFonts w:ascii="Verdana" w:hAnsi="Verdana"/>
                <w:sz w:val="16"/>
                <w:szCs w:val="16"/>
                <w:lang w:val="en-US"/>
              </w:rPr>
            </w:pPr>
            <w:r>
              <w:rPr>
                <w:rFonts w:ascii="Verdana" w:hAnsi="Verdana"/>
                <w:i/>
                <w:sz w:val="16"/>
                <w:szCs w:val="16"/>
                <w:lang w:val="en-US"/>
              </w:rPr>
              <w:t xml:space="preserve">Mycobacterium tuberculosis </w:t>
            </w:r>
            <w:r>
              <w:rPr>
                <w:rFonts w:ascii="Verdana" w:hAnsi="Verdana"/>
                <w:sz w:val="16"/>
                <w:szCs w:val="16"/>
                <w:lang w:val="en-US"/>
              </w:rPr>
              <w:t>(cultures only)</w:t>
            </w:r>
          </w:p>
          <w:p w14:paraId="70AA2073" w14:textId="77777777" w:rsidR="00B709A9" w:rsidRDefault="00B709A9">
            <w:pPr>
              <w:pStyle w:val="Texto"/>
              <w:ind w:firstLine="0"/>
              <w:rPr>
                <w:rFonts w:ascii="Verdana" w:hAnsi="Verdana"/>
                <w:sz w:val="16"/>
                <w:szCs w:val="16"/>
                <w:lang w:val="en-US"/>
              </w:rPr>
            </w:pPr>
            <w:proofErr w:type="spellStart"/>
            <w:r>
              <w:rPr>
                <w:rFonts w:ascii="Verdana" w:hAnsi="Verdana"/>
                <w:sz w:val="16"/>
                <w:szCs w:val="16"/>
                <w:lang w:val="en-US"/>
              </w:rPr>
              <w:t>Nipah</w:t>
            </w:r>
            <w:proofErr w:type="spellEnd"/>
            <w:r>
              <w:rPr>
                <w:rFonts w:ascii="Verdana" w:hAnsi="Verdana"/>
                <w:sz w:val="16"/>
                <w:szCs w:val="16"/>
                <w:lang w:val="en-US"/>
              </w:rPr>
              <w:t xml:space="preserve"> virus</w:t>
            </w:r>
          </w:p>
          <w:p w14:paraId="49ABC6B3" w14:textId="77777777" w:rsidR="00B709A9" w:rsidRDefault="00B709A9">
            <w:pPr>
              <w:pStyle w:val="Texto"/>
              <w:ind w:firstLine="0"/>
              <w:rPr>
                <w:rFonts w:ascii="Verdana" w:hAnsi="Verdana"/>
                <w:sz w:val="16"/>
                <w:szCs w:val="16"/>
                <w:lang w:val="en-US"/>
              </w:rPr>
            </w:pPr>
            <w:r>
              <w:rPr>
                <w:rFonts w:ascii="Verdana" w:hAnsi="Verdana"/>
                <w:sz w:val="16"/>
                <w:szCs w:val="16"/>
                <w:lang w:val="en-US"/>
              </w:rPr>
              <w:t>Omsk hemorrhagic fever virus</w:t>
            </w:r>
          </w:p>
          <w:p w14:paraId="5DF2A2A8" w14:textId="77777777" w:rsidR="00B709A9" w:rsidRDefault="00B709A9">
            <w:pPr>
              <w:pStyle w:val="Texto"/>
              <w:ind w:firstLine="0"/>
              <w:rPr>
                <w:rFonts w:ascii="Verdana" w:hAnsi="Verdana"/>
                <w:sz w:val="16"/>
                <w:szCs w:val="16"/>
                <w:lang w:val="en-US"/>
              </w:rPr>
            </w:pPr>
            <w:r>
              <w:rPr>
                <w:rFonts w:ascii="Verdana" w:hAnsi="Verdana"/>
                <w:sz w:val="16"/>
                <w:szCs w:val="16"/>
                <w:lang w:val="en-US"/>
              </w:rPr>
              <w:t>Polio virus (cultures only)</w:t>
            </w:r>
          </w:p>
          <w:p w14:paraId="4056FADF" w14:textId="77777777" w:rsidR="00B709A9" w:rsidRDefault="00B709A9">
            <w:pPr>
              <w:pStyle w:val="Texto"/>
              <w:ind w:firstLine="0"/>
              <w:rPr>
                <w:rFonts w:ascii="Verdana" w:hAnsi="Verdana"/>
                <w:i/>
                <w:sz w:val="16"/>
                <w:szCs w:val="16"/>
                <w:lang w:val="en-US"/>
              </w:rPr>
            </w:pPr>
            <w:r>
              <w:rPr>
                <w:rFonts w:ascii="Verdana" w:hAnsi="Verdana"/>
                <w:sz w:val="16"/>
                <w:szCs w:val="16"/>
                <w:lang w:val="en-US"/>
              </w:rPr>
              <w:t>Rabies virus (cultures only)</w:t>
            </w:r>
          </w:p>
          <w:p w14:paraId="63E30FCE" w14:textId="77777777" w:rsidR="00B709A9" w:rsidRDefault="00B709A9">
            <w:pPr>
              <w:pStyle w:val="Texto"/>
              <w:ind w:firstLine="0"/>
              <w:rPr>
                <w:rFonts w:ascii="Verdana" w:hAnsi="Verdana"/>
                <w:sz w:val="16"/>
                <w:szCs w:val="16"/>
                <w:lang w:val="en-US"/>
              </w:rPr>
            </w:pPr>
            <w:r>
              <w:rPr>
                <w:rFonts w:ascii="Verdana" w:hAnsi="Verdana"/>
                <w:i/>
                <w:sz w:val="16"/>
                <w:szCs w:val="16"/>
                <w:lang w:val="en-US"/>
              </w:rPr>
              <w:t xml:space="preserve">Rickettsia prowazekii </w:t>
            </w:r>
            <w:r>
              <w:rPr>
                <w:rFonts w:ascii="Verdana" w:hAnsi="Verdana"/>
                <w:sz w:val="16"/>
                <w:szCs w:val="16"/>
                <w:lang w:val="en-US"/>
              </w:rPr>
              <w:t>(Cultivations only)</w:t>
            </w:r>
          </w:p>
          <w:p w14:paraId="18E24707" w14:textId="77777777" w:rsidR="00B709A9" w:rsidRDefault="00B709A9">
            <w:pPr>
              <w:pStyle w:val="Texto"/>
              <w:ind w:firstLine="0"/>
              <w:rPr>
                <w:rFonts w:ascii="Verdana" w:hAnsi="Verdana"/>
                <w:sz w:val="16"/>
                <w:szCs w:val="16"/>
                <w:lang w:val="en-US"/>
              </w:rPr>
            </w:pPr>
            <w:r>
              <w:rPr>
                <w:rFonts w:ascii="Verdana" w:hAnsi="Verdana"/>
                <w:i/>
                <w:sz w:val="16"/>
                <w:szCs w:val="16"/>
                <w:lang w:val="en-US"/>
              </w:rPr>
              <w:t xml:space="preserve">Rickettsia </w:t>
            </w:r>
            <w:proofErr w:type="spellStart"/>
            <w:r>
              <w:rPr>
                <w:rFonts w:ascii="Verdana" w:hAnsi="Verdana"/>
                <w:i/>
                <w:sz w:val="16"/>
                <w:szCs w:val="16"/>
                <w:lang w:val="en-US"/>
              </w:rPr>
              <w:t>rickettsii</w:t>
            </w:r>
            <w:proofErr w:type="spellEnd"/>
            <w:r>
              <w:rPr>
                <w:rFonts w:ascii="Verdana" w:hAnsi="Verdana"/>
                <w:i/>
                <w:sz w:val="16"/>
                <w:szCs w:val="16"/>
                <w:lang w:val="en-US"/>
              </w:rPr>
              <w:t xml:space="preserve"> </w:t>
            </w:r>
            <w:r>
              <w:rPr>
                <w:rFonts w:ascii="Verdana" w:hAnsi="Verdana"/>
                <w:sz w:val="16"/>
                <w:szCs w:val="16"/>
                <w:lang w:val="en-US"/>
              </w:rPr>
              <w:t>(Cultivations only)</w:t>
            </w:r>
          </w:p>
          <w:p w14:paraId="3BCB8E51" w14:textId="77777777" w:rsidR="00B709A9" w:rsidRDefault="00B709A9">
            <w:pPr>
              <w:pStyle w:val="Texto"/>
              <w:ind w:firstLine="0"/>
              <w:rPr>
                <w:rFonts w:ascii="Verdana" w:hAnsi="Verdana"/>
                <w:sz w:val="16"/>
                <w:szCs w:val="16"/>
                <w:lang w:val="en-US"/>
              </w:rPr>
            </w:pPr>
            <w:r>
              <w:rPr>
                <w:rFonts w:ascii="Verdana" w:hAnsi="Verdana"/>
                <w:sz w:val="16"/>
                <w:szCs w:val="16"/>
                <w:lang w:val="en-US"/>
              </w:rPr>
              <w:t>Rift Valley fever virus (cultures only)</w:t>
            </w:r>
          </w:p>
          <w:p w14:paraId="0B1F8ACD" w14:textId="77777777" w:rsidR="00B709A9" w:rsidRDefault="00B709A9">
            <w:pPr>
              <w:pStyle w:val="Texto"/>
              <w:ind w:firstLine="0"/>
              <w:rPr>
                <w:rFonts w:ascii="Verdana" w:hAnsi="Verdana"/>
                <w:sz w:val="16"/>
                <w:szCs w:val="16"/>
                <w:lang w:val="en-US"/>
              </w:rPr>
            </w:pPr>
            <w:r>
              <w:rPr>
                <w:rFonts w:ascii="Verdana" w:hAnsi="Verdana"/>
                <w:sz w:val="16"/>
                <w:szCs w:val="16"/>
                <w:lang w:val="en-US"/>
              </w:rPr>
              <w:t>Russian spring-summer encephalitis virus (cultures only)</w:t>
            </w:r>
          </w:p>
          <w:p w14:paraId="541C97FD" w14:textId="77777777" w:rsidR="00B709A9" w:rsidRDefault="00B709A9">
            <w:pPr>
              <w:pStyle w:val="Texto"/>
              <w:ind w:firstLine="0"/>
              <w:rPr>
                <w:rFonts w:ascii="Verdana" w:hAnsi="Verdana"/>
                <w:sz w:val="16"/>
                <w:szCs w:val="16"/>
                <w:lang w:val="en-US"/>
              </w:rPr>
            </w:pPr>
            <w:r>
              <w:rPr>
                <w:rFonts w:ascii="Verdana" w:hAnsi="Verdana"/>
                <w:sz w:val="16"/>
                <w:szCs w:val="16"/>
                <w:lang w:val="en-US"/>
              </w:rPr>
              <w:t>sage virus</w:t>
            </w:r>
          </w:p>
          <w:p w14:paraId="67FFA39E" w14:textId="77777777" w:rsidR="00B709A9" w:rsidRDefault="00B709A9">
            <w:pPr>
              <w:pStyle w:val="Texto"/>
              <w:ind w:firstLine="0"/>
              <w:rPr>
                <w:rFonts w:ascii="Verdana" w:hAnsi="Verdana"/>
                <w:sz w:val="16"/>
                <w:szCs w:val="16"/>
                <w:lang w:val="en-US"/>
              </w:rPr>
            </w:pPr>
            <w:r>
              <w:rPr>
                <w:rFonts w:ascii="Verdana" w:hAnsi="Verdana"/>
                <w:i/>
                <w:sz w:val="16"/>
                <w:szCs w:val="16"/>
                <w:lang w:val="en-US"/>
              </w:rPr>
              <w:t xml:space="preserve">Shigella </w:t>
            </w:r>
            <w:proofErr w:type="spellStart"/>
            <w:r>
              <w:rPr>
                <w:rFonts w:ascii="Verdana" w:hAnsi="Verdana"/>
                <w:i/>
                <w:sz w:val="16"/>
                <w:szCs w:val="16"/>
                <w:lang w:val="en-US"/>
              </w:rPr>
              <w:t>dysenteriae</w:t>
            </w:r>
            <w:proofErr w:type="spellEnd"/>
            <w:r>
              <w:rPr>
                <w:rFonts w:ascii="Verdana" w:hAnsi="Verdana"/>
                <w:i/>
                <w:sz w:val="16"/>
                <w:szCs w:val="16"/>
                <w:lang w:val="en-US"/>
              </w:rPr>
              <w:t xml:space="preserve"> type 1 </w:t>
            </w:r>
            <w:r>
              <w:rPr>
                <w:rFonts w:ascii="Verdana" w:hAnsi="Verdana"/>
                <w:sz w:val="16"/>
                <w:szCs w:val="16"/>
                <w:lang w:val="en-US"/>
              </w:rPr>
              <w:t>(cultures only)</w:t>
            </w:r>
          </w:p>
          <w:p w14:paraId="5534D504" w14:textId="77777777" w:rsidR="00B709A9" w:rsidRDefault="00B709A9">
            <w:pPr>
              <w:pStyle w:val="Texto"/>
              <w:ind w:firstLine="0"/>
              <w:rPr>
                <w:rFonts w:ascii="Verdana" w:hAnsi="Verdana"/>
                <w:sz w:val="16"/>
                <w:szCs w:val="16"/>
                <w:lang w:val="en-US"/>
              </w:rPr>
            </w:pPr>
            <w:r>
              <w:rPr>
                <w:rFonts w:ascii="Verdana" w:hAnsi="Verdana"/>
                <w:sz w:val="16"/>
                <w:szCs w:val="16"/>
                <w:lang w:val="en-US"/>
              </w:rPr>
              <w:t>Tick-borne encephalitis virus (cultures only)</w:t>
            </w:r>
          </w:p>
          <w:p w14:paraId="66DCD484" w14:textId="77777777" w:rsidR="00B709A9" w:rsidRDefault="00B709A9">
            <w:pPr>
              <w:pStyle w:val="Texto"/>
              <w:ind w:firstLine="0"/>
              <w:rPr>
                <w:rFonts w:ascii="Verdana" w:hAnsi="Verdana"/>
                <w:sz w:val="16"/>
                <w:szCs w:val="16"/>
                <w:lang w:val="en-US"/>
              </w:rPr>
            </w:pPr>
            <w:r>
              <w:rPr>
                <w:rFonts w:ascii="Verdana" w:hAnsi="Verdana"/>
                <w:sz w:val="16"/>
                <w:szCs w:val="16"/>
                <w:lang w:val="en-US"/>
              </w:rPr>
              <w:t>smallpox virus</w:t>
            </w:r>
          </w:p>
          <w:p w14:paraId="40D1B288" w14:textId="77777777" w:rsidR="00B709A9" w:rsidRDefault="00B709A9">
            <w:pPr>
              <w:pStyle w:val="Texto"/>
              <w:ind w:firstLine="0"/>
              <w:rPr>
                <w:rFonts w:ascii="Verdana" w:hAnsi="Verdana"/>
                <w:sz w:val="16"/>
                <w:szCs w:val="16"/>
                <w:lang w:val="en-US"/>
              </w:rPr>
            </w:pPr>
            <w:r>
              <w:rPr>
                <w:rFonts w:ascii="Verdana" w:hAnsi="Verdana"/>
                <w:sz w:val="16"/>
                <w:szCs w:val="16"/>
                <w:lang w:val="en-US"/>
              </w:rPr>
              <w:t>Venezuelan equine encephalitis virus</w:t>
            </w:r>
          </w:p>
          <w:p w14:paraId="47BAD86F" w14:textId="77777777" w:rsidR="00B709A9" w:rsidRDefault="00B709A9">
            <w:pPr>
              <w:pStyle w:val="Texto"/>
              <w:ind w:firstLine="0"/>
              <w:rPr>
                <w:rFonts w:ascii="Verdana" w:hAnsi="Verdana"/>
                <w:sz w:val="16"/>
                <w:szCs w:val="16"/>
                <w:lang w:val="en-US"/>
              </w:rPr>
            </w:pPr>
            <w:r>
              <w:rPr>
                <w:rFonts w:ascii="Verdana" w:hAnsi="Verdana"/>
                <w:sz w:val="16"/>
                <w:szCs w:val="16"/>
                <w:lang w:val="en-US"/>
              </w:rPr>
              <w:t>(Cultivations only)</w:t>
            </w:r>
          </w:p>
          <w:p w14:paraId="660DE9AC" w14:textId="77777777" w:rsidR="00B709A9" w:rsidRDefault="00B709A9">
            <w:pPr>
              <w:pStyle w:val="Texto"/>
              <w:ind w:firstLine="0"/>
              <w:rPr>
                <w:rFonts w:ascii="Verdana" w:hAnsi="Verdana"/>
                <w:sz w:val="16"/>
                <w:szCs w:val="16"/>
                <w:lang w:val="en-US"/>
              </w:rPr>
            </w:pPr>
            <w:r>
              <w:rPr>
                <w:rFonts w:ascii="Verdana" w:hAnsi="Verdana"/>
                <w:sz w:val="16"/>
                <w:szCs w:val="16"/>
                <w:lang w:val="en-US"/>
              </w:rPr>
              <w:t>West Nile virus (cultures only)</w:t>
            </w:r>
          </w:p>
          <w:p w14:paraId="3ECA5309" w14:textId="77777777" w:rsidR="00B709A9" w:rsidRDefault="00B709A9">
            <w:pPr>
              <w:pStyle w:val="Texto"/>
              <w:ind w:firstLine="0"/>
              <w:rPr>
                <w:rFonts w:ascii="Verdana" w:hAnsi="Verdana"/>
                <w:sz w:val="16"/>
                <w:szCs w:val="16"/>
                <w:lang w:val="en-US"/>
              </w:rPr>
            </w:pPr>
            <w:r>
              <w:rPr>
                <w:rFonts w:ascii="Verdana" w:hAnsi="Verdana"/>
                <w:sz w:val="16"/>
                <w:szCs w:val="16"/>
                <w:lang w:val="en-US"/>
              </w:rPr>
              <w:t>Yellow fever virus (cultures only)</w:t>
            </w:r>
          </w:p>
          <w:p w14:paraId="72E05B28" w14:textId="77777777" w:rsidR="00B709A9" w:rsidRDefault="00B709A9">
            <w:pPr>
              <w:pStyle w:val="Texto"/>
              <w:ind w:firstLine="0"/>
              <w:rPr>
                <w:rFonts w:ascii="Verdana" w:hAnsi="Verdana"/>
                <w:sz w:val="16"/>
                <w:szCs w:val="16"/>
              </w:rPr>
            </w:pPr>
            <w:r>
              <w:rPr>
                <w:rFonts w:ascii="Verdana" w:hAnsi="Verdana"/>
                <w:i/>
                <w:sz w:val="16"/>
                <w:szCs w:val="16"/>
              </w:rPr>
              <w:t xml:space="preserve">Yersinia </w:t>
            </w:r>
            <w:proofErr w:type="spellStart"/>
            <w:r>
              <w:rPr>
                <w:rFonts w:ascii="Verdana" w:hAnsi="Verdana"/>
                <w:i/>
                <w:sz w:val="16"/>
                <w:szCs w:val="16"/>
              </w:rPr>
              <w:t>pestis</w:t>
            </w:r>
            <w:proofErr w:type="spellEnd"/>
            <w:r>
              <w:rPr>
                <w:rFonts w:ascii="Verdana" w:hAnsi="Verdana"/>
                <w:i/>
                <w:sz w:val="16"/>
                <w:szCs w:val="16"/>
              </w:rPr>
              <w:t xml:space="preserve"> </w:t>
            </w:r>
            <w:r>
              <w:rPr>
                <w:rFonts w:ascii="Verdana" w:hAnsi="Verdana"/>
                <w:sz w:val="16"/>
                <w:szCs w:val="16"/>
              </w:rPr>
              <w:t>(</w:t>
            </w:r>
            <w:proofErr w:type="spellStart"/>
            <w:r>
              <w:rPr>
                <w:rFonts w:ascii="Verdana" w:hAnsi="Verdana"/>
                <w:sz w:val="16"/>
                <w:szCs w:val="16"/>
              </w:rPr>
              <w:t>Cultivations</w:t>
            </w:r>
            <w:proofErr w:type="spellEnd"/>
            <w:r>
              <w:rPr>
                <w:rFonts w:ascii="Verdana" w:hAnsi="Verdana"/>
                <w:sz w:val="16"/>
                <w:szCs w:val="16"/>
              </w:rPr>
              <w:t xml:space="preserve"> </w:t>
            </w:r>
            <w:proofErr w:type="spellStart"/>
            <w:r>
              <w:rPr>
                <w:rFonts w:ascii="Verdana" w:hAnsi="Verdana"/>
                <w:sz w:val="16"/>
                <w:szCs w:val="16"/>
              </w:rPr>
              <w:t>only</w:t>
            </w:r>
            <w:proofErr w:type="spellEnd"/>
            <w:r>
              <w:rPr>
                <w:rFonts w:ascii="Verdana" w:hAnsi="Verdana"/>
                <w:sz w:val="16"/>
                <w:szCs w:val="16"/>
              </w:rPr>
              <w:t>)</w:t>
            </w:r>
          </w:p>
        </w:tc>
      </w:tr>
      <w:tr w:rsidR="00B709A9" w14:paraId="1E3540FD" w14:textId="77777777" w:rsidTr="00B709A9">
        <w:trPr>
          <w:trHeight w:val="20"/>
        </w:trPr>
        <w:tc>
          <w:tcPr>
            <w:tcW w:w="9572" w:type="dxa"/>
            <w:gridSpan w:val="3"/>
            <w:tcBorders>
              <w:top w:val="single" w:sz="6" w:space="0" w:color="auto"/>
              <w:left w:val="single" w:sz="6" w:space="0" w:color="auto"/>
              <w:bottom w:val="single" w:sz="6" w:space="0" w:color="auto"/>
              <w:right w:val="single" w:sz="6" w:space="0" w:color="auto"/>
            </w:tcBorders>
            <w:hideMark/>
          </w:tcPr>
          <w:p w14:paraId="793FC353" w14:textId="77777777" w:rsidR="00B709A9" w:rsidRDefault="00B709A9">
            <w:pPr>
              <w:pStyle w:val="Texto"/>
              <w:ind w:firstLine="0"/>
              <w:jc w:val="center"/>
              <w:rPr>
                <w:rFonts w:ascii="Verdana" w:hAnsi="Verdana"/>
                <w:b/>
                <w:i/>
                <w:sz w:val="16"/>
                <w:szCs w:val="16"/>
                <w:lang w:val="en-US"/>
              </w:rPr>
            </w:pPr>
            <w:r>
              <w:rPr>
                <w:rFonts w:ascii="Verdana" w:hAnsi="Verdana"/>
                <w:b/>
                <w:sz w:val="16"/>
                <w:szCs w:val="16"/>
                <w:lang w:val="en-US"/>
              </w:rPr>
              <w:lastRenderedPageBreak/>
              <w:t>UN number 2900 Infectious substance for animals only</w:t>
            </w:r>
          </w:p>
        </w:tc>
      </w:tr>
      <w:tr w:rsidR="00B709A9" w14:paraId="67352833" w14:textId="77777777" w:rsidTr="00B709A9">
        <w:trPr>
          <w:trHeight w:val="20"/>
        </w:trPr>
        <w:tc>
          <w:tcPr>
            <w:tcW w:w="4209" w:type="dxa"/>
            <w:tcBorders>
              <w:top w:val="single" w:sz="6" w:space="0" w:color="auto"/>
              <w:left w:val="single" w:sz="6" w:space="0" w:color="auto"/>
              <w:bottom w:val="single" w:sz="6" w:space="0" w:color="auto"/>
              <w:right w:val="single" w:sz="6" w:space="0" w:color="auto"/>
            </w:tcBorders>
            <w:hideMark/>
          </w:tcPr>
          <w:p w14:paraId="7C0AEADF" w14:textId="77777777" w:rsidR="00B709A9" w:rsidRDefault="00B709A9">
            <w:pPr>
              <w:pStyle w:val="Texto"/>
              <w:spacing w:line="226" w:lineRule="exact"/>
              <w:ind w:firstLine="0"/>
              <w:jc w:val="center"/>
              <w:rPr>
                <w:rFonts w:ascii="Verdana" w:hAnsi="Verdana"/>
                <w:b/>
                <w:sz w:val="16"/>
                <w:szCs w:val="16"/>
                <w:lang w:val="en-US"/>
              </w:rPr>
            </w:pPr>
            <w:r>
              <w:rPr>
                <w:rFonts w:ascii="Verdana" w:hAnsi="Verdana"/>
                <w:b/>
                <w:sz w:val="16"/>
                <w:szCs w:val="16"/>
                <w:lang w:val="en-US"/>
              </w:rPr>
              <w:t>microorganisms</w:t>
            </w:r>
          </w:p>
          <w:p w14:paraId="49E1595C"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African swine fever virus</w:t>
            </w:r>
          </w:p>
          <w:p w14:paraId="652DEB12"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(Cultivations only)</w:t>
            </w:r>
          </w:p>
          <w:p w14:paraId="2DA00AC6"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 xml:space="preserve">Type I avian paramyxovirus – </w:t>
            </w:r>
            <w:proofErr w:type="spellStart"/>
            <w:r>
              <w:rPr>
                <w:rFonts w:ascii="Verdana" w:hAnsi="Verdana"/>
                <w:sz w:val="16"/>
                <w:szCs w:val="16"/>
                <w:lang w:val="en-US"/>
              </w:rPr>
              <w:t>velogenic</w:t>
            </w:r>
            <w:proofErr w:type="spellEnd"/>
            <w:r>
              <w:rPr>
                <w:rFonts w:ascii="Verdana" w:hAnsi="Verdana"/>
                <w:sz w:val="16"/>
                <w:szCs w:val="16"/>
                <w:lang w:val="en-US"/>
              </w:rPr>
              <w:t xml:space="preserve"> Newcastle disease virus (cultures only)</w:t>
            </w:r>
          </w:p>
          <w:p w14:paraId="6FCA23B8"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classical swine fever virus</w:t>
            </w:r>
          </w:p>
          <w:p w14:paraId="38C94939"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(Cultivations only)</w:t>
            </w:r>
          </w:p>
          <w:p w14:paraId="1D0AE175"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Foot-and-mouth disease virus (cultures only)</w:t>
            </w:r>
          </w:p>
          <w:p w14:paraId="4577FF80"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lumpy skin virus</w:t>
            </w:r>
          </w:p>
          <w:p w14:paraId="27919B9B"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(Cultivations only)</w:t>
            </w:r>
          </w:p>
          <w:p w14:paraId="180B5570" w14:textId="77777777" w:rsidR="00B709A9" w:rsidRDefault="00B709A9">
            <w:pPr>
              <w:pStyle w:val="Texto"/>
              <w:spacing w:line="226" w:lineRule="exact"/>
              <w:ind w:firstLine="0"/>
              <w:rPr>
                <w:rFonts w:ascii="Verdana" w:hAnsi="Verdana"/>
                <w:b/>
                <w:sz w:val="16"/>
                <w:szCs w:val="16"/>
                <w:lang w:val="en-US"/>
              </w:rPr>
            </w:pPr>
            <w:r>
              <w:rPr>
                <w:rFonts w:ascii="Verdana" w:hAnsi="Verdana"/>
                <w:sz w:val="16"/>
                <w:szCs w:val="16"/>
                <w:lang w:val="en-US"/>
              </w:rPr>
              <w:t>Mycoplasmas mycoides - contagious bovine pleuropneumonia (cultures only)</w:t>
            </w:r>
          </w:p>
        </w:tc>
        <w:tc>
          <w:tcPr>
            <w:tcW w:w="236" w:type="dxa"/>
            <w:tcBorders>
              <w:top w:val="single" w:sz="6" w:space="0" w:color="auto"/>
              <w:left w:val="single" w:sz="6" w:space="0" w:color="auto"/>
              <w:bottom w:val="single" w:sz="6" w:space="0" w:color="auto"/>
              <w:right w:val="single" w:sz="6" w:space="0" w:color="auto"/>
            </w:tcBorders>
          </w:tcPr>
          <w:p w14:paraId="05D97226" w14:textId="77777777" w:rsidR="00B709A9" w:rsidRDefault="00B709A9">
            <w:pPr>
              <w:pStyle w:val="Texto"/>
              <w:spacing w:line="226" w:lineRule="exact"/>
              <w:ind w:firstLine="0"/>
              <w:rPr>
                <w:rFonts w:ascii="Verdana" w:hAnsi="Verdana"/>
                <w:sz w:val="16"/>
                <w:szCs w:val="16"/>
                <w:lang w:val="en-US"/>
              </w:rPr>
            </w:pPr>
          </w:p>
        </w:tc>
        <w:tc>
          <w:tcPr>
            <w:tcW w:w="5127" w:type="dxa"/>
            <w:tcBorders>
              <w:top w:val="single" w:sz="6" w:space="0" w:color="auto"/>
              <w:left w:val="single" w:sz="6" w:space="0" w:color="auto"/>
              <w:bottom w:val="single" w:sz="6" w:space="0" w:color="auto"/>
              <w:right w:val="single" w:sz="6" w:space="0" w:color="auto"/>
            </w:tcBorders>
            <w:hideMark/>
          </w:tcPr>
          <w:p w14:paraId="01FCC1B9" w14:textId="77777777" w:rsidR="00B709A9" w:rsidRDefault="00B709A9">
            <w:pPr>
              <w:pStyle w:val="Texto"/>
              <w:spacing w:line="226" w:lineRule="exact"/>
              <w:ind w:firstLine="0"/>
              <w:jc w:val="center"/>
              <w:rPr>
                <w:rFonts w:ascii="Verdana" w:hAnsi="Verdana"/>
                <w:b/>
                <w:sz w:val="16"/>
                <w:szCs w:val="16"/>
                <w:lang w:val="en-US"/>
              </w:rPr>
            </w:pPr>
            <w:r>
              <w:rPr>
                <w:rFonts w:ascii="Verdana" w:hAnsi="Verdana"/>
                <w:b/>
                <w:sz w:val="16"/>
                <w:szCs w:val="16"/>
                <w:lang w:val="en-US"/>
              </w:rPr>
              <w:t>microorganisms</w:t>
            </w:r>
          </w:p>
          <w:p w14:paraId="58A0863C" w14:textId="77777777" w:rsidR="00B709A9" w:rsidRDefault="00B709A9">
            <w:pPr>
              <w:pStyle w:val="Texto"/>
              <w:spacing w:line="226" w:lineRule="exact"/>
              <w:ind w:firstLine="0"/>
              <w:rPr>
                <w:rFonts w:ascii="Verdana" w:hAnsi="Verdana"/>
                <w:sz w:val="16"/>
                <w:szCs w:val="16"/>
                <w:lang w:val="en-US"/>
              </w:rPr>
            </w:pPr>
            <w:proofErr w:type="spellStart"/>
            <w:r>
              <w:rPr>
                <w:rFonts w:ascii="Verdana" w:hAnsi="Verdana"/>
                <w:sz w:val="16"/>
                <w:szCs w:val="16"/>
                <w:lang w:val="en-US"/>
              </w:rPr>
              <w:t>Peste</w:t>
            </w:r>
            <w:proofErr w:type="spellEnd"/>
            <w:r>
              <w:rPr>
                <w:rFonts w:ascii="Verdana" w:hAnsi="Verdana"/>
                <w:sz w:val="16"/>
                <w:szCs w:val="16"/>
                <w:lang w:val="en-US"/>
              </w:rPr>
              <w:t xml:space="preserve"> des petits </w:t>
            </w:r>
            <w:proofErr w:type="gramStart"/>
            <w:r>
              <w:rPr>
                <w:rFonts w:ascii="Verdana" w:hAnsi="Verdana"/>
                <w:sz w:val="16"/>
                <w:szCs w:val="16"/>
                <w:lang w:val="en-US"/>
              </w:rPr>
              <w:t>ruminants</w:t>
            </w:r>
            <w:proofErr w:type="gramEnd"/>
            <w:r>
              <w:rPr>
                <w:rFonts w:ascii="Verdana" w:hAnsi="Verdana"/>
                <w:sz w:val="16"/>
                <w:szCs w:val="16"/>
                <w:lang w:val="en-US"/>
              </w:rPr>
              <w:t xml:space="preserve"> virus</w:t>
            </w:r>
          </w:p>
          <w:p w14:paraId="214A9633"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(Cultivations only)</w:t>
            </w:r>
          </w:p>
          <w:p w14:paraId="4570EA4F"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Rinderpest virus (cultures only)</w:t>
            </w:r>
          </w:p>
          <w:p w14:paraId="17D9B2FE"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Sheep pox virus (cultures only)</w:t>
            </w:r>
          </w:p>
          <w:p w14:paraId="15B46908"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Goat pox virus (cultures only)</w:t>
            </w:r>
          </w:p>
          <w:p w14:paraId="452E1892"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swine vesicular disease virus</w:t>
            </w:r>
          </w:p>
          <w:p w14:paraId="14716984" w14:textId="77777777" w:rsidR="00B709A9" w:rsidRDefault="00B709A9">
            <w:pPr>
              <w:pStyle w:val="Texto"/>
              <w:spacing w:line="226" w:lineRule="exact"/>
              <w:ind w:firstLine="0"/>
              <w:rPr>
                <w:rFonts w:ascii="Verdana" w:hAnsi="Verdana"/>
                <w:sz w:val="16"/>
                <w:szCs w:val="16"/>
                <w:lang w:val="en-US"/>
              </w:rPr>
            </w:pPr>
            <w:r>
              <w:rPr>
                <w:rFonts w:ascii="Verdana" w:hAnsi="Verdana"/>
                <w:sz w:val="16"/>
                <w:szCs w:val="16"/>
                <w:lang w:val="en-US"/>
              </w:rPr>
              <w:t>(Cultivations only)</w:t>
            </w:r>
          </w:p>
          <w:p w14:paraId="5DE9A393" w14:textId="77777777" w:rsidR="00B709A9" w:rsidRDefault="00B709A9">
            <w:pPr>
              <w:pStyle w:val="Texto"/>
              <w:spacing w:line="226" w:lineRule="exact"/>
              <w:ind w:firstLine="0"/>
              <w:rPr>
                <w:rFonts w:ascii="Verdana" w:hAnsi="Verdana"/>
                <w:b/>
                <w:sz w:val="16"/>
                <w:szCs w:val="16"/>
                <w:lang w:val="en-US"/>
              </w:rPr>
            </w:pPr>
            <w:r>
              <w:rPr>
                <w:rFonts w:ascii="Verdana" w:hAnsi="Verdana"/>
                <w:sz w:val="16"/>
                <w:szCs w:val="16"/>
                <w:lang w:val="en-US"/>
              </w:rPr>
              <w:t>Vesicular stomatitis virus (cultures only)</w:t>
            </w:r>
          </w:p>
        </w:tc>
      </w:tr>
    </w:tbl>
    <w:p w14:paraId="7D5418A5" w14:textId="77777777" w:rsidR="00B709A9" w:rsidRDefault="00B709A9" w:rsidP="00B709A9">
      <w:pPr>
        <w:pStyle w:val="Texto"/>
        <w:spacing w:line="226" w:lineRule="exact"/>
        <w:rPr>
          <w:rFonts w:ascii="Verdana" w:hAnsi="Verdana"/>
          <w:sz w:val="16"/>
          <w:szCs w:val="16"/>
          <w:lang w:val="en-US"/>
        </w:rPr>
      </w:pPr>
    </w:p>
    <w:p w14:paraId="1E427644" w14:textId="77777777" w:rsidR="00B709A9" w:rsidRDefault="00B709A9" w:rsidP="00B709A9">
      <w:pPr>
        <w:pStyle w:val="Texto"/>
        <w:spacing w:line="226" w:lineRule="exact"/>
        <w:rPr>
          <w:rFonts w:ascii="Verdana" w:hAnsi="Verdana"/>
          <w:sz w:val="16"/>
          <w:szCs w:val="16"/>
          <w:lang w:val="en-US"/>
        </w:rPr>
      </w:pPr>
    </w:p>
    <w:tbl>
      <w:tblPr>
        <w:tblW w:w="0" w:type="auto"/>
        <w:tblLook w:val="04A0" w:firstRow="1" w:lastRow="0" w:firstColumn="1" w:lastColumn="0" w:noHBand="0" w:noVBand="1"/>
      </w:tblPr>
      <w:tblGrid>
        <w:gridCol w:w="4686"/>
        <w:gridCol w:w="4674"/>
      </w:tblGrid>
      <w:tr w:rsidR="00B709A9" w14:paraId="39176D68" w14:textId="77777777" w:rsidTr="00B709A9">
        <w:tc>
          <w:tcPr>
            <w:tcW w:w="4788" w:type="dxa"/>
            <w:hideMark/>
          </w:tcPr>
          <w:p w14:paraId="76BFE026"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lastRenderedPageBreak/>
              <w:t>5.2.2</w:t>
            </w:r>
            <w:r>
              <w:rPr>
                <w:rFonts w:ascii="Verdana" w:hAnsi="Verdana"/>
                <w:sz w:val="16"/>
                <w:szCs w:val="16"/>
              </w:rPr>
              <w:t xml:space="preserve"> </w:t>
            </w:r>
            <w:r>
              <w:rPr>
                <w:rFonts w:ascii="Verdana" w:hAnsi="Verdana"/>
                <w:b/>
                <w:sz w:val="16"/>
                <w:szCs w:val="16"/>
              </w:rPr>
              <w:t>Categoría “B”:</w:t>
            </w:r>
            <w:r>
              <w:rPr>
                <w:rFonts w:ascii="Verdana" w:hAnsi="Verdana"/>
                <w:sz w:val="16"/>
                <w:szCs w:val="16"/>
              </w:rPr>
              <w:t xml:space="preserve"> Una substancia infecciosa que no cumple los criterios para su inclusión en la Categoría “A”. Las substancias infecciosas de la Categoría “B” se asignan al No. UN 3373.</w:t>
            </w:r>
          </w:p>
        </w:tc>
        <w:tc>
          <w:tcPr>
            <w:tcW w:w="4788" w:type="dxa"/>
            <w:hideMark/>
          </w:tcPr>
          <w:p w14:paraId="3A06FCA7"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5.2.2</w:t>
            </w:r>
            <w:r>
              <w:rPr>
                <w:rFonts w:ascii="Verdana" w:hAnsi="Verdana"/>
                <w:sz w:val="16"/>
                <w:szCs w:val="16"/>
                <w:lang w:val="en-US"/>
              </w:rPr>
              <w:t xml:space="preserve"> </w:t>
            </w:r>
            <w:r>
              <w:rPr>
                <w:rFonts w:ascii="Verdana" w:hAnsi="Verdana"/>
                <w:b/>
                <w:sz w:val="16"/>
                <w:szCs w:val="16"/>
                <w:lang w:val="en-US"/>
              </w:rPr>
              <w:t xml:space="preserve">Category “B”: </w:t>
            </w:r>
            <w:r>
              <w:rPr>
                <w:rFonts w:ascii="Verdana" w:hAnsi="Verdana"/>
                <w:sz w:val="16"/>
                <w:szCs w:val="16"/>
                <w:lang w:val="en-US"/>
              </w:rPr>
              <w:t>An infectious substance that does not meet the criteria for inclusion in Category “A.” Category “B” infectious substances are assigned UN number 3373.</w:t>
            </w:r>
          </w:p>
        </w:tc>
      </w:tr>
      <w:tr w:rsidR="00B709A9" w14:paraId="6F21AC92" w14:textId="77777777" w:rsidTr="00B709A9">
        <w:tc>
          <w:tcPr>
            <w:tcW w:w="4788" w:type="dxa"/>
            <w:hideMark/>
          </w:tcPr>
          <w:p w14:paraId="52CD0758"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t>5.2.2.1</w:t>
            </w:r>
            <w:r>
              <w:rPr>
                <w:rFonts w:ascii="Verdana" w:hAnsi="Verdana"/>
                <w:sz w:val="16"/>
                <w:szCs w:val="16"/>
              </w:rPr>
              <w:t xml:space="preserve"> La designación oficial de transporte del No. UN 3373 es “SUBSTANCIA BIOLOGICA, CATEGORIA “B”.</w:t>
            </w:r>
          </w:p>
        </w:tc>
        <w:tc>
          <w:tcPr>
            <w:tcW w:w="4788" w:type="dxa"/>
            <w:hideMark/>
          </w:tcPr>
          <w:p w14:paraId="1E9FAFA2"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 xml:space="preserve">5.2.2.1 </w:t>
            </w:r>
            <w:r>
              <w:rPr>
                <w:rFonts w:ascii="Verdana" w:hAnsi="Verdana"/>
                <w:sz w:val="16"/>
                <w:szCs w:val="16"/>
                <w:lang w:val="en-US"/>
              </w:rPr>
              <w:t>The official transport designation for UN number 3373 is “BIOLOGICAL SUBSTANCE, CATEGORY “B.”</w:t>
            </w:r>
          </w:p>
        </w:tc>
      </w:tr>
      <w:tr w:rsidR="00B709A9" w14:paraId="03CC22BE" w14:textId="77777777" w:rsidTr="00B709A9">
        <w:tc>
          <w:tcPr>
            <w:tcW w:w="4788" w:type="dxa"/>
            <w:hideMark/>
          </w:tcPr>
          <w:p w14:paraId="79E64B41"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t>5.3</w:t>
            </w:r>
            <w:r>
              <w:rPr>
                <w:rFonts w:ascii="Verdana" w:hAnsi="Verdana"/>
                <w:sz w:val="16"/>
                <w:szCs w:val="16"/>
              </w:rPr>
              <w:t xml:space="preserve"> Exenciones.</w:t>
            </w:r>
          </w:p>
        </w:tc>
        <w:tc>
          <w:tcPr>
            <w:tcW w:w="4788" w:type="dxa"/>
            <w:hideMark/>
          </w:tcPr>
          <w:p w14:paraId="12E20450"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 xml:space="preserve">5.3 </w:t>
            </w:r>
            <w:r>
              <w:rPr>
                <w:rFonts w:ascii="Verdana" w:hAnsi="Verdana"/>
                <w:sz w:val="16"/>
                <w:szCs w:val="16"/>
                <w:lang w:val="en-US"/>
              </w:rPr>
              <w:t>Exemptions.</w:t>
            </w:r>
          </w:p>
        </w:tc>
      </w:tr>
      <w:tr w:rsidR="00B709A9" w14:paraId="2C4C3D6E" w14:textId="77777777" w:rsidTr="00B709A9">
        <w:tc>
          <w:tcPr>
            <w:tcW w:w="4788" w:type="dxa"/>
            <w:hideMark/>
          </w:tcPr>
          <w:p w14:paraId="495D96E9"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t>5.3.1</w:t>
            </w:r>
            <w:r>
              <w:rPr>
                <w:rFonts w:ascii="Verdana" w:hAnsi="Verdana"/>
                <w:sz w:val="16"/>
                <w:szCs w:val="16"/>
              </w:rPr>
              <w:t xml:space="preserve"> Las substancias que no contengan substancias infecciosas o que no es probable que causen enfermedades en seres humanos o animales no están sujetas a esta normatividad a menos que cumplan los criterios para su inclusión en otra clase.</w:t>
            </w:r>
          </w:p>
        </w:tc>
        <w:tc>
          <w:tcPr>
            <w:tcW w:w="4788" w:type="dxa"/>
            <w:hideMark/>
          </w:tcPr>
          <w:p w14:paraId="267331DA"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 xml:space="preserve">5.3.1 </w:t>
            </w:r>
            <w:r>
              <w:rPr>
                <w:rFonts w:ascii="Verdana" w:hAnsi="Verdana"/>
                <w:sz w:val="16"/>
                <w:szCs w:val="16"/>
                <w:lang w:val="en-US"/>
              </w:rPr>
              <w:t>The substances that do not contain infectious substances or are not likely to cause disease in human beings or animals are not subject to this legislation unless they meet the criteria for inclusion in another class.</w:t>
            </w:r>
          </w:p>
        </w:tc>
      </w:tr>
      <w:tr w:rsidR="00B709A9" w14:paraId="5232B604" w14:textId="77777777" w:rsidTr="00B709A9">
        <w:tc>
          <w:tcPr>
            <w:tcW w:w="4788" w:type="dxa"/>
            <w:hideMark/>
          </w:tcPr>
          <w:p w14:paraId="03DD7883"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t>5.3.2</w:t>
            </w:r>
            <w:r>
              <w:rPr>
                <w:rFonts w:ascii="Verdana" w:hAnsi="Verdana"/>
                <w:sz w:val="16"/>
                <w:szCs w:val="16"/>
              </w:rPr>
              <w:t xml:space="preserve"> Las substancias que contengan microorganismos que no sean patógenos en seres humanos o animales tampoco están sujetas a esta normatividad, a menos que cumplan los criterios para su inclusión en otra clase.</w:t>
            </w:r>
          </w:p>
        </w:tc>
        <w:tc>
          <w:tcPr>
            <w:tcW w:w="4788" w:type="dxa"/>
            <w:hideMark/>
          </w:tcPr>
          <w:p w14:paraId="6264DB02"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 xml:space="preserve">5.3.2 </w:t>
            </w:r>
            <w:r>
              <w:rPr>
                <w:rFonts w:ascii="Verdana" w:hAnsi="Verdana"/>
                <w:sz w:val="16"/>
                <w:szCs w:val="16"/>
                <w:lang w:val="en-US"/>
              </w:rPr>
              <w:t xml:space="preserve">Substances containing microorganisms that are not pathogenic to human beings or animals are also not subject to this </w:t>
            </w:r>
            <w:proofErr w:type="gramStart"/>
            <w:r>
              <w:rPr>
                <w:rFonts w:ascii="Verdana" w:hAnsi="Verdana"/>
                <w:sz w:val="16"/>
                <w:szCs w:val="16"/>
                <w:lang w:val="en-US"/>
              </w:rPr>
              <w:t>legislation, unless</w:t>
            </w:r>
            <w:proofErr w:type="gramEnd"/>
            <w:r>
              <w:rPr>
                <w:rFonts w:ascii="Verdana" w:hAnsi="Verdana"/>
                <w:sz w:val="16"/>
                <w:szCs w:val="16"/>
                <w:lang w:val="en-US"/>
              </w:rPr>
              <w:t xml:space="preserve"> they meet the criteria for inclusion in another class.</w:t>
            </w:r>
          </w:p>
        </w:tc>
      </w:tr>
      <w:tr w:rsidR="00B709A9" w14:paraId="1550F0BA" w14:textId="77777777" w:rsidTr="00B709A9">
        <w:tc>
          <w:tcPr>
            <w:tcW w:w="4788" w:type="dxa"/>
            <w:hideMark/>
          </w:tcPr>
          <w:p w14:paraId="7E7D8C91"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t>5.3.3</w:t>
            </w:r>
            <w:r>
              <w:rPr>
                <w:rFonts w:ascii="Verdana" w:hAnsi="Verdana"/>
                <w:sz w:val="16"/>
                <w:szCs w:val="16"/>
              </w:rPr>
              <w:t xml:space="preserve"> Las substancias en una forma donde cualesquiera patógenos presentes se hayan neutralizado o inactivado, de tal manera que no supongan un riesgo para la salud no están sujetas a esta normatividad, a menos que cumplan los criterios para su inclusión en otra clase.</w:t>
            </w:r>
          </w:p>
        </w:tc>
        <w:tc>
          <w:tcPr>
            <w:tcW w:w="4788" w:type="dxa"/>
            <w:hideMark/>
          </w:tcPr>
          <w:p w14:paraId="3186A411"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 xml:space="preserve">5.3.3 </w:t>
            </w:r>
            <w:r>
              <w:rPr>
                <w:rFonts w:ascii="Verdana" w:hAnsi="Verdana"/>
                <w:sz w:val="16"/>
                <w:szCs w:val="16"/>
                <w:lang w:val="en-US"/>
              </w:rPr>
              <w:t xml:space="preserve">Substances in a form where any pathogens present have been neutralized or inactivated so that they do not pose a health risk are not subject to this </w:t>
            </w:r>
            <w:proofErr w:type="gramStart"/>
            <w:r>
              <w:rPr>
                <w:rFonts w:ascii="Verdana" w:hAnsi="Verdana"/>
                <w:sz w:val="16"/>
                <w:szCs w:val="16"/>
                <w:lang w:val="en-US"/>
              </w:rPr>
              <w:t>legislation, unless</w:t>
            </w:r>
            <w:proofErr w:type="gramEnd"/>
            <w:r>
              <w:rPr>
                <w:rFonts w:ascii="Verdana" w:hAnsi="Verdana"/>
                <w:sz w:val="16"/>
                <w:szCs w:val="16"/>
                <w:lang w:val="en-US"/>
              </w:rPr>
              <w:t xml:space="preserve"> they meet the criteria for inclusion in another class.</w:t>
            </w:r>
          </w:p>
        </w:tc>
      </w:tr>
      <w:tr w:rsidR="00B709A9" w14:paraId="2C6A6489" w14:textId="77777777" w:rsidTr="00B709A9">
        <w:tc>
          <w:tcPr>
            <w:tcW w:w="4788" w:type="dxa"/>
            <w:hideMark/>
          </w:tcPr>
          <w:p w14:paraId="5D2FCD29" w14:textId="77777777" w:rsidR="00B709A9" w:rsidRDefault="00B709A9">
            <w:pPr>
              <w:pStyle w:val="Texto"/>
              <w:spacing w:line="226" w:lineRule="exact"/>
              <w:ind w:firstLine="0"/>
              <w:rPr>
                <w:rFonts w:ascii="Verdana" w:hAnsi="Verdana"/>
                <w:sz w:val="16"/>
                <w:szCs w:val="16"/>
              </w:rPr>
            </w:pPr>
            <w:r>
              <w:rPr>
                <w:rFonts w:ascii="Verdana" w:hAnsi="Verdana"/>
                <w:b/>
                <w:sz w:val="16"/>
                <w:szCs w:val="16"/>
              </w:rPr>
              <w:t>5.3.4</w:t>
            </w:r>
            <w:r>
              <w:rPr>
                <w:rFonts w:ascii="Verdana" w:hAnsi="Verdana"/>
                <w:sz w:val="16"/>
                <w:szCs w:val="16"/>
              </w:rPr>
              <w:t xml:space="preserve"> Las muestras ambientales (incluidas las muestras de alimentos y de agua) que se considere que no presentan riesgos apreciables de infección no están sujetas a esta normatividad, a menos que cumplan los criterios para su inclusión en otra clase.</w:t>
            </w:r>
          </w:p>
        </w:tc>
        <w:tc>
          <w:tcPr>
            <w:tcW w:w="4788" w:type="dxa"/>
            <w:hideMark/>
          </w:tcPr>
          <w:p w14:paraId="0DDE8393" w14:textId="77777777" w:rsidR="00B709A9" w:rsidRDefault="00B709A9">
            <w:pPr>
              <w:pStyle w:val="Texto"/>
              <w:spacing w:line="226" w:lineRule="exact"/>
              <w:ind w:firstLine="0"/>
              <w:rPr>
                <w:rFonts w:ascii="Verdana" w:hAnsi="Verdana"/>
                <w:b/>
                <w:sz w:val="16"/>
                <w:szCs w:val="16"/>
                <w:lang w:val="en-US"/>
              </w:rPr>
            </w:pPr>
            <w:r>
              <w:rPr>
                <w:rFonts w:ascii="Verdana" w:hAnsi="Verdana"/>
                <w:b/>
                <w:sz w:val="16"/>
                <w:szCs w:val="16"/>
                <w:lang w:val="en-US"/>
              </w:rPr>
              <w:t xml:space="preserve">5.3.4 </w:t>
            </w:r>
            <w:r>
              <w:rPr>
                <w:rFonts w:ascii="Verdana" w:hAnsi="Verdana"/>
                <w:sz w:val="16"/>
                <w:szCs w:val="16"/>
                <w:lang w:val="en-US"/>
              </w:rPr>
              <w:t>Environmental samples (including food and water samples) that are considered to present no appreciable risk of infection are not subject to this legislation, unless they meet the criteria for inclusion in another class.</w:t>
            </w:r>
          </w:p>
        </w:tc>
      </w:tr>
      <w:tr w:rsidR="00B709A9" w14:paraId="01E59F7D" w14:textId="77777777" w:rsidTr="00B709A9">
        <w:tc>
          <w:tcPr>
            <w:tcW w:w="4788" w:type="dxa"/>
            <w:hideMark/>
          </w:tcPr>
          <w:p w14:paraId="089FB636"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5.3.5</w:t>
            </w:r>
            <w:r>
              <w:rPr>
                <w:rFonts w:ascii="Verdana" w:hAnsi="Verdana"/>
                <w:sz w:val="16"/>
                <w:szCs w:val="16"/>
              </w:rPr>
              <w:t xml:space="preserve"> Las gotas de sangre seca, tomadas depositando una de ellas sobre un material absorbente, o las muestras de detección de sangre en materias fecales, la sangre recogida para transfusiones o para preparación de productos sanguíneos, y los productos sanguíneos, los tejidos, y órganos destinados a trasplante, no están sujetas a esta normatividad.</w:t>
            </w:r>
          </w:p>
        </w:tc>
        <w:tc>
          <w:tcPr>
            <w:tcW w:w="4788" w:type="dxa"/>
            <w:hideMark/>
          </w:tcPr>
          <w:p w14:paraId="721DF24E"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5.3.5 </w:t>
            </w:r>
            <w:r>
              <w:rPr>
                <w:rFonts w:ascii="Verdana" w:hAnsi="Verdana"/>
                <w:bCs/>
                <w:sz w:val="16"/>
                <w:szCs w:val="16"/>
                <w:lang w:val="en-US"/>
              </w:rPr>
              <w:t>Drops</w:t>
            </w:r>
            <w:r>
              <w:rPr>
                <w:rFonts w:ascii="Verdana" w:hAnsi="Verdana"/>
                <w:b/>
                <w:sz w:val="16"/>
                <w:szCs w:val="16"/>
                <w:lang w:val="en-US"/>
              </w:rPr>
              <w:t xml:space="preserve"> </w:t>
            </w:r>
            <w:r>
              <w:rPr>
                <w:rFonts w:ascii="Verdana" w:hAnsi="Verdana"/>
                <w:sz w:val="16"/>
                <w:szCs w:val="16"/>
                <w:lang w:val="en-US"/>
              </w:rPr>
              <w:t>of dried blood, taken by depositing one of them on an absorbent material, or samples for detection of blood in feces, blood collected for transfusions or for the preparation of blood products, and blood products, tissues, and organs intended for transplantation are not subject to this legislation.</w:t>
            </w:r>
          </w:p>
        </w:tc>
      </w:tr>
      <w:tr w:rsidR="00B709A9" w14:paraId="60163E92" w14:textId="77777777" w:rsidTr="00B709A9">
        <w:tc>
          <w:tcPr>
            <w:tcW w:w="4788" w:type="dxa"/>
            <w:hideMark/>
          </w:tcPr>
          <w:p w14:paraId="61242958"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5.3.6</w:t>
            </w:r>
            <w:r>
              <w:rPr>
                <w:rFonts w:ascii="Verdana" w:hAnsi="Verdana"/>
                <w:sz w:val="16"/>
                <w:szCs w:val="16"/>
              </w:rPr>
              <w:t xml:space="preserve"> Las muestras de seres humanos o animales que presenten un riesgo mínimo de contener agentes patógenos que no están sujetos a esta normatividad si se transportan en un envase y/o embalaje diseñado para evitar cualquier fuga y en el que figure la indicación “MUESTRA HUMANA EXENTA” o “MUESTRA ANIMAL EXENTA”, según proceda. El envase y/o embalaje deberá cumplir con las siguientes condiciones:</w:t>
            </w:r>
          </w:p>
        </w:tc>
        <w:tc>
          <w:tcPr>
            <w:tcW w:w="4788" w:type="dxa"/>
            <w:hideMark/>
          </w:tcPr>
          <w:p w14:paraId="4352F1E2"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5.3.6 </w:t>
            </w:r>
            <w:r>
              <w:rPr>
                <w:rFonts w:ascii="Verdana" w:hAnsi="Verdana"/>
                <w:sz w:val="16"/>
                <w:szCs w:val="16"/>
                <w:lang w:val="en-US"/>
              </w:rPr>
              <w:t>Samples of human beings or animals that present a minimal risk of containing pathogenic agents that are not subject to this legislation if they are transported in a container and/or packaging designed to prevent any leakage and on which the indication “EXEMPT HUMAN SAMPLE” or “EXEMPT ANIMAL SAMPLE,” as appropriate. The container and/or packaging must meet the following conditions:</w:t>
            </w:r>
          </w:p>
        </w:tc>
      </w:tr>
      <w:tr w:rsidR="00B709A9" w14:paraId="22C53B13" w14:textId="77777777" w:rsidTr="00B709A9">
        <w:tc>
          <w:tcPr>
            <w:tcW w:w="4788" w:type="dxa"/>
            <w:hideMark/>
          </w:tcPr>
          <w:p w14:paraId="506B4E37"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Debe estar constituido por tres elementos:</w:t>
            </w:r>
          </w:p>
        </w:tc>
        <w:tc>
          <w:tcPr>
            <w:tcW w:w="4788" w:type="dxa"/>
            <w:hideMark/>
          </w:tcPr>
          <w:p w14:paraId="3FA47264"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It must be made up of three elements:</w:t>
            </w:r>
          </w:p>
        </w:tc>
      </w:tr>
      <w:tr w:rsidR="00B709A9" w14:paraId="2554C6A7" w14:textId="77777777" w:rsidTr="00B709A9">
        <w:tc>
          <w:tcPr>
            <w:tcW w:w="4788" w:type="dxa"/>
            <w:hideMark/>
          </w:tcPr>
          <w:p w14:paraId="03780C17" w14:textId="77777777" w:rsidR="00B709A9" w:rsidRDefault="00B709A9">
            <w:pPr>
              <w:pStyle w:val="INCISO"/>
              <w:spacing w:line="232" w:lineRule="exact"/>
              <w:ind w:left="0" w:firstLine="0"/>
              <w:rPr>
                <w:rFonts w:ascii="Verdana" w:hAnsi="Verdana"/>
                <w:sz w:val="16"/>
                <w:szCs w:val="16"/>
              </w:rPr>
            </w:pPr>
            <w:r>
              <w:rPr>
                <w:rFonts w:ascii="Verdana" w:hAnsi="Verdana"/>
                <w:sz w:val="16"/>
                <w:szCs w:val="16"/>
              </w:rPr>
              <w:t>i)</w:t>
            </w:r>
            <w:r>
              <w:rPr>
                <w:rFonts w:ascii="Verdana" w:hAnsi="Verdana"/>
                <w:sz w:val="16"/>
                <w:szCs w:val="16"/>
              </w:rPr>
              <w:tab/>
              <w:t>Uno o varios recipientes primarios estancos;</w:t>
            </w:r>
          </w:p>
        </w:tc>
        <w:tc>
          <w:tcPr>
            <w:tcW w:w="4788" w:type="dxa"/>
            <w:hideMark/>
          </w:tcPr>
          <w:p w14:paraId="2F748D12" w14:textId="77777777" w:rsidR="00B709A9" w:rsidRDefault="00B709A9">
            <w:pPr>
              <w:pStyle w:val="INCISO"/>
              <w:spacing w:line="232" w:lineRule="exact"/>
              <w:ind w:left="0" w:firstLine="0"/>
              <w:rPr>
                <w:rFonts w:ascii="Verdana" w:hAnsi="Verdana"/>
                <w:sz w:val="16"/>
                <w:szCs w:val="16"/>
                <w:lang w:val="en-US"/>
              </w:rPr>
            </w:pPr>
            <w:proofErr w:type="spellStart"/>
            <w:r>
              <w:rPr>
                <w:rFonts w:ascii="Verdana" w:hAnsi="Verdana"/>
                <w:sz w:val="16"/>
                <w:szCs w:val="16"/>
                <w:lang w:val="en-US"/>
              </w:rPr>
              <w:t>i</w:t>
            </w:r>
            <w:proofErr w:type="spellEnd"/>
            <w:r>
              <w:rPr>
                <w:rFonts w:ascii="Verdana" w:hAnsi="Verdana"/>
                <w:sz w:val="16"/>
                <w:szCs w:val="16"/>
                <w:lang w:val="en-US"/>
              </w:rPr>
              <w:t xml:space="preserve">) </w:t>
            </w:r>
            <w:r>
              <w:rPr>
                <w:rFonts w:ascii="Verdana" w:hAnsi="Verdana"/>
                <w:sz w:val="16"/>
                <w:szCs w:val="16"/>
                <w:lang w:val="en-US"/>
              </w:rPr>
              <w:tab/>
              <w:t>One or several sealed primary containers;</w:t>
            </w:r>
          </w:p>
        </w:tc>
      </w:tr>
      <w:tr w:rsidR="00B709A9" w14:paraId="3E0D31F1" w14:textId="77777777" w:rsidTr="00B709A9">
        <w:tc>
          <w:tcPr>
            <w:tcW w:w="4788" w:type="dxa"/>
            <w:hideMark/>
          </w:tcPr>
          <w:p w14:paraId="4055C9B6" w14:textId="77777777" w:rsidR="00B709A9" w:rsidRDefault="00B709A9">
            <w:pPr>
              <w:pStyle w:val="INCISO"/>
              <w:spacing w:line="232" w:lineRule="exact"/>
              <w:ind w:left="0" w:firstLine="0"/>
              <w:rPr>
                <w:rFonts w:ascii="Verdana" w:hAnsi="Verdana"/>
                <w:sz w:val="16"/>
                <w:szCs w:val="16"/>
              </w:rPr>
            </w:pPr>
            <w:proofErr w:type="spellStart"/>
            <w:r>
              <w:rPr>
                <w:rFonts w:ascii="Verdana" w:hAnsi="Verdana"/>
                <w:sz w:val="16"/>
                <w:szCs w:val="16"/>
              </w:rPr>
              <w:t>ii</w:t>
            </w:r>
            <w:proofErr w:type="spellEnd"/>
            <w:r>
              <w:rPr>
                <w:rFonts w:ascii="Verdana" w:hAnsi="Verdana"/>
                <w:sz w:val="16"/>
                <w:szCs w:val="16"/>
              </w:rPr>
              <w:t>)</w:t>
            </w:r>
            <w:r>
              <w:rPr>
                <w:rFonts w:ascii="Verdana" w:hAnsi="Verdana"/>
                <w:sz w:val="16"/>
                <w:szCs w:val="16"/>
              </w:rPr>
              <w:tab/>
              <w:t>Un envase y/o embalaje secundario estanco; y</w:t>
            </w:r>
          </w:p>
        </w:tc>
        <w:tc>
          <w:tcPr>
            <w:tcW w:w="4788" w:type="dxa"/>
            <w:hideMark/>
          </w:tcPr>
          <w:p w14:paraId="36282B2D" w14:textId="77777777" w:rsidR="00B709A9" w:rsidRDefault="00B709A9">
            <w:pPr>
              <w:pStyle w:val="INCISO"/>
              <w:spacing w:line="232" w:lineRule="exact"/>
              <w:ind w:left="0" w:firstLine="0"/>
              <w:rPr>
                <w:rFonts w:ascii="Verdana" w:hAnsi="Verdana"/>
                <w:sz w:val="16"/>
                <w:szCs w:val="16"/>
                <w:lang w:val="en-US"/>
              </w:rPr>
            </w:pPr>
            <w:r>
              <w:rPr>
                <w:rFonts w:ascii="Verdana" w:hAnsi="Verdana"/>
                <w:sz w:val="16"/>
                <w:szCs w:val="16"/>
                <w:lang w:val="en-US"/>
              </w:rPr>
              <w:t xml:space="preserve">ii) </w:t>
            </w:r>
            <w:r>
              <w:rPr>
                <w:rFonts w:ascii="Verdana" w:hAnsi="Verdana"/>
                <w:sz w:val="16"/>
                <w:szCs w:val="16"/>
                <w:lang w:val="en-US"/>
              </w:rPr>
              <w:tab/>
              <w:t>A watertight container and/or secondary packaging; Y</w:t>
            </w:r>
          </w:p>
        </w:tc>
      </w:tr>
      <w:tr w:rsidR="00B709A9" w14:paraId="353EE158" w14:textId="77777777" w:rsidTr="00B709A9">
        <w:tc>
          <w:tcPr>
            <w:tcW w:w="4788" w:type="dxa"/>
            <w:hideMark/>
          </w:tcPr>
          <w:p w14:paraId="1B41C72A" w14:textId="77777777" w:rsidR="00B709A9" w:rsidRDefault="00B709A9">
            <w:pPr>
              <w:pStyle w:val="INCISO"/>
              <w:spacing w:line="232" w:lineRule="exact"/>
              <w:ind w:left="0" w:firstLine="0"/>
              <w:rPr>
                <w:rFonts w:ascii="Verdana" w:hAnsi="Verdana"/>
                <w:sz w:val="16"/>
                <w:szCs w:val="16"/>
              </w:rPr>
            </w:pPr>
            <w:proofErr w:type="spellStart"/>
            <w:r>
              <w:rPr>
                <w:rFonts w:ascii="Verdana" w:hAnsi="Verdana"/>
                <w:sz w:val="16"/>
                <w:szCs w:val="16"/>
              </w:rPr>
              <w:t>iii</w:t>
            </w:r>
            <w:proofErr w:type="spellEnd"/>
            <w:r>
              <w:rPr>
                <w:rFonts w:ascii="Verdana" w:hAnsi="Verdana"/>
                <w:sz w:val="16"/>
                <w:szCs w:val="16"/>
              </w:rPr>
              <w:t>)</w:t>
            </w:r>
            <w:r>
              <w:rPr>
                <w:rFonts w:ascii="Verdana" w:hAnsi="Verdana"/>
                <w:sz w:val="16"/>
                <w:szCs w:val="16"/>
              </w:rPr>
              <w:tab/>
              <w:t xml:space="preserve">Un envase y/o embalaje exterior suficientemente resistente en función de su contenido, </w:t>
            </w:r>
            <w:r>
              <w:rPr>
                <w:rFonts w:ascii="Verdana" w:hAnsi="Verdana"/>
                <w:sz w:val="16"/>
                <w:szCs w:val="16"/>
              </w:rPr>
              <w:lastRenderedPageBreak/>
              <w:t>de su masa y de la utilización a la que se destine, y del que un lado al menos mida como mínimo 100 mm X100 mm;</w:t>
            </w:r>
          </w:p>
        </w:tc>
        <w:tc>
          <w:tcPr>
            <w:tcW w:w="4788" w:type="dxa"/>
            <w:hideMark/>
          </w:tcPr>
          <w:p w14:paraId="45825D37" w14:textId="77777777" w:rsidR="00B709A9" w:rsidRDefault="00B709A9">
            <w:pPr>
              <w:pStyle w:val="INCISO"/>
              <w:spacing w:line="232" w:lineRule="exact"/>
              <w:ind w:left="0" w:firstLine="0"/>
              <w:rPr>
                <w:rFonts w:ascii="Verdana" w:hAnsi="Verdana"/>
                <w:sz w:val="16"/>
                <w:szCs w:val="16"/>
                <w:lang w:val="en-US"/>
              </w:rPr>
            </w:pPr>
            <w:r>
              <w:rPr>
                <w:rFonts w:ascii="Verdana" w:hAnsi="Verdana"/>
                <w:sz w:val="16"/>
                <w:szCs w:val="16"/>
                <w:lang w:val="en-US"/>
              </w:rPr>
              <w:lastRenderedPageBreak/>
              <w:t xml:space="preserve">iii) </w:t>
            </w:r>
            <w:r>
              <w:rPr>
                <w:rFonts w:ascii="Verdana" w:hAnsi="Verdana"/>
                <w:sz w:val="16"/>
                <w:szCs w:val="16"/>
                <w:lang w:val="en-US"/>
              </w:rPr>
              <w:tab/>
              <w:t xml:space="preserve">A container and/or outer packaging that is sufficiently resistant depending on its content, its </w:t>
            </w:r>
            <w:proofErr w:type="gramStart"/>
            <w:r>
              <w:rPr>
                <w:rFonts w:ascii="Verdana" w:hAnsi="Verdana"/>
                <w:sz w:val="16"/>
                <w:szCs w:val="16"/>
                <w:lang w:val="en-US"/>
              </w:rPr>
              <w:t>mass</w:t>
            </w:r>
            <w:proofErr w:type="gramEnd"/>
            <w:r>
              <w:rPr>
                <w:rFonts w:ascii="Verdana" w:hAnsi="Verdana"/>
                <w:sz w:val="16"/>
                <w:szCs w:val="16"/>
                <w:lang w:val="en-US"/>
              </w:rPr>
              <w:t xml:space="preserve"> </w:t>
            </w:r>
            <w:r>
              <w:rPr>
                <w:rFonts w:ascii="Verdana" w:hAnsi="Verdana"/>
                <w:sz w:val="16"/>
                <w:szCs w:val="16"/>
                <w:lang w:val="en-US"/>
              </w:rPr>
              <w:lastRenderedPageBreak/>
              <w:t>and the use to which it is intended, and of which at least one side measures at least 100 mm X 100 mm;</w:t>
            </w:r>
          </w:p>
        </w:tc>
      </w:tr>
      <w:tr w:rsidR="00B709A9" w14:paraId="3C37E11F" w14:textId="77777777" w:rsidTr="00B709A9">
        <w:tc>
          <w:tcPr>
            <w:tcW w:w="4788" w:type="dxa"/>
            <w:hideMark/>
          </w:tcPr>
          <w:p w14:paraId="4857C90E" w14:textId="77777777" w:rsidR="00B709A9" w:rsidRDefault="00B709A9">
            <w:pPr>
              <w:pStyle w:val="ROMANOS"/>
              <w:spacing w:line="232" w:lineRule="exact"/>
              <w:ind w:left="0" w:firstLine="0"/>
              <w:rPr>
                <w:rFonts w:ascii="Verdana" w:hAnsi="Verdana"/>
                <w:sz w:val="16"/>
                <w:szCs w:val="16"/>
              </w:rPr>
            </w:pPr>
            <w:r>
              <w:rPr>
                <w:rFonts w:ascii="Verdana" w:hAnsi="Verdana"/>
                <w:b/>
                <w:sz w:val="16"/>
                <w:szCs w:val="16"/>
              </w:rPr>
              <w:lastRenderedPageBreak/>
              <w:t>b)</w:t>
            </w:r>
            <w:r>
              <w:rPr>
                <w:rFonts w:ascii="Verdana" w:hAnsi="Verdana"/>
                <w:b/>
                <w:sz w:val="16"/>
                <w:szCs w:val="16"/>
              </w:rPr>
              <w:tab/>
            </w:r>
            <w:r>
              <w:rPr>
                <w:rFonts w:ascii="Verdana" w:hAnsi="Verdana"/>
                <w:sz w:val="16"/>
                <w:szCs w:val="16"/>
              </w:rPr>
              <w:t>Para los líquidos, debe de colocarse material absorbente en cantidad suficiente para que absorba la totalidad del contenido entre el o los recipientes primarios y el embalaje secundario, de manera que todo derrame o fuga de líquido que se produzca durante el transporte no alcance el envase y/o embalaje exterior y no comprometa la integridad del material amortiguador;</w:t>
            </w:r>
          </w:p>
        </w:tc>
        <w:tc>
          <w:tcPr>
            <w:tcW w:w="4788" w:type="dxa"/>
            <w:hideMark/>
          </w:tcPr>
          <w:p w14:paraId="6AC900FD" w14:textId="77777777" w:rsidR="00B709A9" w:rsidRDefault="00B709A9">
            <w:pPr>
              <w:pStyle w:val="ROMANOS"/>
              <w:spacing w:line="232" w:lineRule="exact"/>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For liquids, absorbent material must be placed in sufficient quantity to absorb the entire content between the primary container(s) and the secondary packaging, so that any spill or leak of liquid that occurs during transport does not reach the outer container and/or packaging and does not compromise the integrity of the shock-absorbing material;</w:t>
            </w:r>
          </w:p>
        </w:tc>
      </w:tr>
      <w:tr w:rsidR="00B709A9" w14:paraId="669347B9" w14:textId="77777777" w:rsidTr="00B709A9">
        <w:tc>
          <w:tcPr>
            <w:tcW w:w="4788" w:type="dxa"/>
            <w:hideMark/>
          </w:tcPr>
          <w:p w14:paraId="46C43BCD" w14:textId="77777777" w:rsidR="00B709A9" w:rsidRDefault="00B709A9">
            <w:pPr>
              <w:pStyle w:val="ROMANOS"/>
              <w:spacing w:line="232"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Cuando varios recipientes primarios frágiles se coloquen en un solo envase y/o embalaje secundario, los primeros deben ser envasados y/o embalados individualmente o por separado para impedir todo contacto entre ellos.</w:t>
            </w:r>
          </w:p>
        </w:tc>
        <w:tc>
          <w:tcPr>
            <w:tcW w:w="4788" w:type="dxa"/>
            <w:hideMark/>
          </w:tcPr>
          <w:p w14:paraId="713703A2" w14:textId="77777777" w:rsidR="00B709A9" w:rsidRDefault="00B709A9">
            <w:pPr>
              <w:pStyle w:val="ROMANOS"/>
              <w:spacing w:line="232"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 xml:space="preserve">When several fragile primary containers are placed in a single package and/or secondary packaging, the first ones must be packaged and/or packaged individually or separately to prevent any contact between them. </w:t>
            </w:r>
          </w:p>
        </w:tc>
      </w:tr>
      <w:tr w:rsidR="00B709A9" w14:paraId="3D840F57" w14:textId="77777777" w:rsidTr="00B709A9">
        <w:tc>
          <w:tcPr>
            <w:tcW w:w="4788" w:type="dxa"/>
            <w:hideMark/>
          </w:tcPr>
          <w:p w14:paraId="3B33775F"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NOTA:</w:t>
            </w:r>
            <w:r>
              <w:rPr>
                <w:rFonts w:ascii="Verdana" w:hAnsi="Verdana"/>
                <w:sz w:val="16"/>
                <w:szCs w:val="16"/>
              </w:rPr>
              <w:t xml:space="preserve"> Se requerirá la opinión de un especialista para eximir a una substancia conforme a lo dispuesto a este numeral.</w:t>
            </w:r>
            <w:r>
              <w:rPr>
                <w:rFonts w:ascii="Verdana" w:hAnsi="Verdana"/>
                <w:color w:val="FF0000"/>
                <w:sz w:val="16"/>
                <w:szCs w:val="16"/>
              </w:rPr>
              <w:t xml:space="preserve"> </w:t>
            </w:r>
            <w:r>
              <w:rPr>
                <w:rFonts w:ascii="Verdana" w:hAnsi="Verdana"/>
                <w:sz w:val="16"/>
                <w:szCs w:val="16"/>
              </w:rPr>
              <w:t>Esa opinión deberá basarse en los antecedentes médicos conocidos, los síntomas y circunstancias particulares de la fuente humana o animal, y las condiciones endémicas locales. Los ejemplos de especímenes que pueden transportarse de acuerdo con el presente párrafo incluyen los análisis de sangre o de orina para la determinación de los niveles de colesterol, los índices de glucemia, la concentración de hormonas o los antígenos específicos de la próstata (PSA), los exámenes realizados para comprobar el funcionamiento de órganos como el corazón, el hígado o los riñones en seres humanos o animales con enfermedades no infecciosas, la fármaco-vigilancia terapéutica, los exámenes efectuados a petición de compañías de seguros o de empleadores para detectar la presencia de estupefacientes o de alcohol, las pruebas de embarazo; las biopsias para el diagnóstico del cáncer y la detección de anticuerpos en seres humanos o animales si no se teme una posible infección (por ejemplo, evaluación de la inmunidad inducida por una vacuna, diagnóstico de una enfermedad autoinmune.)</w:t>
            </w:r>
          </w:p>
        </w:tc>
        <w:tc>
          <w:tcPr>
            <w:tcW w:w="4788" w:type="dxa"/>
            <w:hideMark/>
          </w:tcPr>
          <w:p w14:paraId="40775852"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NOTE: </w:t>
            </w:r>
            <w:r>
              <w:rPr>
                <w:rFonts w:ascii="Verdana" w:hAnsi="Verdana"/>
                <w:sz w:val="16"/>
                <w:szCs w:val="16"/>
                <w:lang w:val="en-US"/>
              </w:rPr>
              <w:t>The opinion of a specialist will be required to exempt a substance in accordance with the provisions of this numeral.</w:t>
            </w:r>
            <w:r>
              <w:rPr>
                <w:rFonts w:ascii="Verdana" w:hAnsi="Verdana"/>
                <w:color w:val="FF0000"/>
                <w:sz w:val="16"/>
                <w:szCs w:val="16"/>
                <w:lang w:val="en-US"/>
              </w:rPr>
              <w:t xml:space="preserve"> </w:t>
            </w:r>
            <w:r>
              <w:rPr>
                <w:rFonts w:ascii="Verdana" w:hAnsi="Verdana"/>
                <w:sz w:val="16"/>
                <w:szCs w:val="16"/>
                <w:lang w:val="en-US"/>
              </w:rPr>
              <w:t>That opinion should be based on the known medical history, symptoms, and circumstances particular to the human or animal source, and local endemic conditions. The examples of specimens that may be transported according to this paragraph include blood or urine tests for the determination of cholesterol levels, blood glucose levels, the concentration of hormones, or prostate-specific antigens (PSA), tests performed to check the functioning of organs such as the heart, liver or kidneys in human beings or animals with non-infectious diseases, therapeutic drug oversight, the examinations performed at the request of insurance companies or employers to detect the presence of drugs or alcohol, the pregnancy tests; biopsies for cancer diagnosis and detection of antibodies in human beings or animals if there is no fear of possible infection (for example, evaluation of vaccine-induced immunity, diagnosis of an autoimmune disease.)</w:t>
            </w:r>
          </w:p>
        </w:tc>
      </w:tr>
      <w:tr w:rsidR="00B709A9" w14:paraId="74272C7D" w14:textId="77777777" w:rsidTr="00B709A9">
        <w:tc>
          <w:tcPr>
            <w:tcW w:w="4788" w:type="dxa"/>
            <w:hideMark/>
          </w:tcPr>
          <w:p w14:paraId="0E4D565F"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5.4</w:t>
            </w:r>
            <w:r>
              <w:rPr>
                <w:rFonts w:ascii="Verdana" w:hAnsi="Verdana"/>
                <w:sz w:val="16"/>
                <w:szCs w:val="16"/>
              </w:rPr>
              <w:t xml:space="preserve"> Productos biológicos.</w:t>
            </w:r>
          </w:p>
        </w:tc>
        <w:tc>
          <w:tcPr>
            <w:tcW w:w="4788" w:type="dxa"/>
            <w:hideMark/>
          </w:tcPr>
          <w:p w14:paraId="47F74537"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5.4 </w:t>
            </w:r>
            <w:r>
              <w:rPr>
                <w:rFonts w:ascii="Verdana" w:hAnsi="Verdana"/>
                <w:sz w:val="16"/>
                <w:szCs w:val="16"/>
                <w:lang w:val="en-US"/>
              </w:rPr>
              <w:t>Biological products.</w:t>
            </w:r>
          </w:p>
        </w:tc>
      </w:tr>
      <w:tr w:rsidR="00B709A9" w14:paraId="51895182" w14:textId="77777777" w:rsidTr="00B709A9">
        <w:tc>
          <w:tcPr>
            <w:tcW w:w="4788" w:type="dxa"/>
            <w:hideMark/>
          </w:tcPr>
          <w:p w14:paraId="1DE2ABA0"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5.4.1</w:t>
            </w:r>
            <w:r>
              <w:rPr>
                <w:rFonts w:ascii="Verdana" w:hAnsi="Verdana"/>
                <w:sz w:val="16"/>
                <w:szCs w:val="16"/>
              </w:rPr>
              <w:t xml:space="preserve"> Para los efectos de esta Norma Oficial Mexicana, los productos biológicos se dividen en los siguientes grupos:</w:t>
            </w:r>
          </w:p>
        </w:tc>
        <w:tc>
          <w:tcPr>
            <w:tcW w:w="4788" w:type="dxa"/>
            <w:hideMark/>
          </w:tcPr>
          <w:p w14:paraId="1BDEE87A"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5.4.1 </w:t>
            </w:r>
            <w:r>
              <w:rPr>
                <w:rFonts w:ascii="Verdana" w:hAnsi="Verdana"/>
                <w:sz w:val="16"/>
                <w:szCs w:val="16"/>
                <w:lang w:val="en-US"/>
              </w:rPr>
              <w:t>For the purposes of this Official Mexican Standard, biological products are divided into the following groups:</w:t>
            </w:r>
          </w:p>
        </w:tc>
      </w:tr>
      <w:tr w:rsidR="00B709A9" w14:paraId="778443B0" w14:textId="77777777" w:rsidTr="00B709A9">
        <w:tc>
          <w:tcPr>
            <w:tcW w:w="4788" w:type="dxa"/>
            <w:hideMark/>
          </w:tcPr>
          <w:p w14:paraId="1C08C31E" w14:textId="77777777" w:rsidR="00B709A9" w:rsidRDefault="00B709A9">
            <w:pPr>
              <w:pStyle w:val="ROMANOS"/>
              <w:spacing w:line="232"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 xml:space="preserve">Los que están construidos (fabricados) y envasados y/o embalados conforme a lo dispuesto por las autoridades nacionales competentes y son transportados para su envase y/o embalaje final o distribución, para uso de los profesionales de la medicina o de particulares con fines sanitarios. Las </w:t>
            </w:r>
            <w:r>
              <w:rPr>
                <w:rFonts w:ascii="Verdana" w:hAnsi="Verdana"/>
                <w:sz w:val="16"/>
                <w:szCs w:val="16"/>
              </w:rPr>
              <w:lastRenderedPageBreak/>
              <w:t>substancias de este grupo no están sujetas a esta normatividad;</w:t>
            </w:r>
          </w:p>
        </w:tc>
        <w:tc>
          <w:tcPr>
            <w:tcW w:w="4788" w:type="dxa"/>
            <w:hideMark/>
          </w:tcPr>
          <w:p w14:paraId="1732160A" w14:textId="77777777" w:rsidR="00B709A9" w:rsidRDefault="00B709A9">
            <w:pPr>
              <w:pStyle w:val="ROMANOS"/>
              <w:spacing w:line="232" w:lineRule="exact"/>
              <w:ind w:left="0" w:firstLine="0"/>
              <w:rPr>
                <w:rFonts w:ascii="Verdana" w:hAnsi="Verdana"/>
                <w:b/>
                <w:sz w:val="16"/>
                <w:szCs w:val="16"/>
                <w:lang w:val="en-US"/>
              </w:rPr>
            </w:pPr>
            <w:r>
              <w:rPr>
                <w:rFonts w:ascii="Verdana" w:hAnsi="Verdana"/>
                <w:b/>
                <w:sz w:val="16"/>
                <w:szCs w:val="16"/>
                <w:lang w:val="en-US"/>
              </w:rPr>
              <w:lastRenderedPageBreak/>
              <w:t xml:space="preserve">a) </w:t>
            </w:r>
            <w:r>
              <w:rPr>
                <w:rFonts w:ascii="Verdana" w:hAnsi="Verdana"/>
                <w:b/>
                <w:sz w:val="16"/>
                <w:szCs w:val="16"/>
                <w:lang w:val="en-US"/>
              </w:rPr>
              <w:tab/>
            </w:r>
            <w:r>
              <w:rPr>
                <w:rFonts w:ascii="Verdana" w:hAnsi="Verdana"/>
                <w:sz w:val="16"/>
                <w:szCs w:val="16"/>
                <w:lang w:val="en-US"/>
              </w:rPr>
              <w:t>Those that are constructed (manufactured) and packaged and/or packed in accordance with the provisions of the appropriate national authorities and are transported for final packaging and/or packing or distribution, for use by medical professionals or individuals for health purposes. The substances in this group are not subject to this legislation;</w:t>
            </w:r>
          </w:p>
        </w:tc>
      </w:tr>
      <w:tr w:rsidR="00B709A9" w14:paraId="6E27832C" w14:textId="77777777" w:rsidTr="00B709A9">
        <w:tc>
          <w:tcPr>
            <w:tcW w:w="4788" w:type="dxa"/>
            <w:hideMark/>
          </w:tcPr>
          <w:p w14:paraId="2825B0C6" w14:textId="77777777" w:rsidR="00B709A9" w:rsidRDefault="00B709A9">
            <w:pPr>
              <w:pStyle w:val="ROMANOS"/>
              <w:spacing w:line="232"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Los no incluidos en el inciso a) y de los que se sabe o se cree fundadamente que contienen substancias infecciosas y que cumplen los criterios para su inclusión en la categoría “A” o “B”. Las substancias de este grupo se asignan a los Nos. UN 2814, 2900 o 3373, según corresponda.</w:t>
            </w:r>
          </w:p>
        </w:tc>
        <w:tc>
          <w:tcPr>
            <w:tcW w:w="4788" w:type="dxa"/>
            <w:hideMark/>
          </w:tcPr>
          <w:p w14:paraId="48FB5CE4" w14:textId="77777777" w:rsidR="00B709A9" w:rsidRDefault="00B709A9">
            <w:pPr>
              <w:pStyle w:val="ROMANOS"/>
              <w:spacing w:line="232" w:lineRule="exact"/>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Those not included in subparagraph a) and those that are known or reasonably believed to contain infectious substances and that meet the criteria for inclusion in category “A” or “B”. Substances in this group are assigned UN numbers 2814, 2900 or 3373, as appropriate.</w:t>
            </w:r>
          </w:p>
        </w:tc>
      </w:tr>
      <w:tr w:rsidR="00B709A9" w14:paraId="5C8D48F8" w14:textId="77777777" w:rsidTr="00B709A9">
        <w:tc>
          <w:tcPr>
            <w:tcW w:w="4788" w:type="dxa"/>
            <w:hideMark/>
          </w:tcPr>
          <w:p w14:paraId="7CE021D9"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NOTA:</w:t>
            </w:r>
            <w:r>
              <w:rPr>
                <w:rFonts w:ascii="Verdana" w:hAnsi="Verdana"/>
                <w:sz w:val="16"/>
                <w:szCs w:val="16"/>
              </w:rPr>
              <w:t xml:space="preserve"> Es posible que algunos productos biológicos cuya comercialización está autorizada entrañen un riesgo biológico únicamente en determinadas partes del mundo. En tal caso, las autoridades competentes podrán exigir que estos productos biológicos satisfagan las disposiciones locales aplicables a las substancias infecciosas o imponer otras restricciones.</w:t>
            </w:r>
          </w:p>
        </w:tc>
        <w:tc>
          <w:tcPr>
            <w:tcW w:w="4788" w:type="dxa"/>
            <w:hideMark/>
          </w:tcPr>
          <w:p w14:paraId="3D7F6D34"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NOTE: </w:t>
            </w:r>
            <w:r>
              <w:rPr>
                <w:rFonts w:ascii="Verdana" w:hAnsi="Verdana"/>
                <w:sz w:val="16"/>
                <w:szCs w:val="16"/>
                <w:lang w:val="en-US"/>
              </w:rPr>
              <w:t>Some biological products that are licensed for sale may pose a biohazard only in certain parts of the world. In such a case, the appropriate authorities may require that these biological products comply with local provisions applicable to infectious substances or impose other restrictions.</w:t>
            </w:r>
          </w:p>
        </w:tc>
      </w:tr>
      <w:tr w:rsidR="00B709A9" w14:paraId="110186AC" w14:textId="77777777" w:rsidTr="00B709A9">
        <w:tc>
          <w:tcPr>
            <w:tcW w:w="4788" w:type="dxa"/>
            <w:hideMark/>
          </w:tcPr>
          <w:p w14:paraId="33352D35"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5.5</w:t>
            </w:r>
            <w:r>
              <w:rPr>
                <w:rFonts w:ascii="Verdana" w:hAnsi="Verdana"/>
                <w:sz w:val="16"/>
                <w:szCs w:val="16"/>
              </w:rPr>
              <w:t xml:space="preserve"> Microorganismos y organismos genéticamente modificados.</w:t>
            </w:r>
          </w:p>
        </w:tc>
        <w:tc>
          <w:tcPr>
            <w:tcW w:w="4788" w:type="dxa"/>
            <w:hideMark/>
          </w:tcPr>
          <w:p w14:paraId="1A141F4D"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5.5 </w:t>
            </w:r>
            <w:r>
              <w:rPr>
                <w:rFonts w:ascii="Verdana" w:hAnsi="Verdana"/>
                <w:sz w:val="16"/>
                <w:szCs w:val="16"/>
                <w:lang w:val="en-US"/>
              </w:rPr>
              <w:t>Microorganisms and genetically modified organisms.</w:t>
            </w:r>
          </w:p>
        </w:tc>
      </w:tr>
      <w:tr w:rsidR="00B709A9" w14:paraId="2C1596AE" w14:textId="77777777" w:rsidTr="00B709A9">
        <w:tc>
          <w:tcPr>
            <w:tcW w:w="4788" w:type="dxa"/>
            <w:hideMark/>
          </w:tcPr>
          <w:p w14:paraId="029822B8"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5.5.1</w:t>
            </w:r>
            <w:r>
              <w:rPr>
                <w:rFonts w:ascii="Verdana" w:hAnsi="Verdana"/>
                <w:sz w:val="16"/>
                <w:szCs w:val="16"/>
              </w:rPr>
              <w:t xml:space="preserve"> Los microorganismos y organismos genéticamente modificados que no se ajustan a la definición de substancia infecciosa, se clasificarán de conformidad con la clase 9 substancias y objetos peligrosos varios, incluidas las substancias peligrosas para el medio ambiente.</w:t>
            </w:r>
          </w:p>
        </w:tc>
        <w:tc>
          <w:tcPr>
            <w:tcW w:w="4788" w:type="dxa"/>
            <w:hideMark/>
          </w:tcPr>
          <w:p w14:paraId="2178A318"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5.5.1 </w:t>
            </w:r>
            <w:r>
              <w:rPr>
                <w:rFonts w:ascii="Verdana" w:hAnsi="Verdana"/>
                <w:sz w:val="16"/>
                <w:szCs w:val="16"/>
                <w:lang w:val="en-US"/>
              </w:rPr>
              <w:t>Microorganisms and genetically modified organisms that do not meet the definition of infectious substance will be classified in accordance with class 9 miscellaneous hazardous substances and objects, including substances dangerous to the environment.</w:t>
            </w:r>
          </w:p>
        </w:tc>
      </w:tr>
      <w:tr w:rsidR="00B709A9" w14:paraId="13404CBC" w14:textId="77777777" w:rsidTr="00B709A9">
        <w:tc>
          <w:tcPr>
            <w:tcW w:w="4788" w:type="dxa"/>
            <w:hideMark/>
          </w:tcPr>
          <w:p w14:paraId="53425C37"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5.6</w:t>
            </w:r>
            <w:r>
              <w:rPr>
                <w:rFonts w:ascii="Verdana" w:hAnsi="Verdana"/>
                <w:sz w:val="16"/>
                <w:szCs w:val="16"/>
              </w:rPr>
              <w:t xml:space="preserve"> Desechos médicos o clínicos.</w:t>
            </w:r>
          </w:p>
        </w:tc>
        <w:tc>
          <w:tcPr>
            <w:tcW w:w="4788" w:type="dxa"/>
            <w:hideMark/>
          </w:tcPr>
          <w:p w14:paraId="33D87D01"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5.6 </w:t>
            </w:r>
            <w:r>
              <w:rPr>
                <w:rFonts w:ascii="Verdana" w:hAnsi="Verdana"/>
                <w:sz w:val="16"/>
                <w:szCs w:val="16"/>
                <w:lang w:val="en-US"/>
              </w:rPr>
              <w:t>Medical or clinical wastes.</w:t>
            </w:r>
          </w:p>
        </w:tc>
      </w:tr>
      <w:tr w:rsidR="00B709A9" w14:paraId="4934DC90" w14:textId="77777777" w:rsidTr="00B709A9">
        <w:tc>
          <w:tcPr>
            <w:tcW w:w="4788" w:type="dxa"/>
            <w:hideMark/>
          </w:tcPr>
          <w:p w14:paraId="24CC72B5"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5.6.1</w:t>
            </w:r>
            <w:r>
              <w:rPr>
                <w:rFonts w:ascii="Verdana" w:hAnsi="Verdana"/>
                <w:sz w:val="16"/>
                <w:szCs w:val="16"/>
              </w:rPr>
              <w:t xml:space="preserve"> Los desechos médicos o clínicos que contengan substancias infecciosas de la categoría “A” se asignan a los No. UN 2814 o 2900, según corresponda. Los desechos médicos o clínicos que contengan substancias infecciosas de la categoría “B” se asignarán al No. UN 3291.</w:t>
            </w:r>
          </w:p>
        </w:tc>
        <w:tc>
          <w:tcPr>
            <w:tcW w:w="4788" w:type="dxa"/>
            <w:hideMark/>
          </w:tcPr>
          <w:p w14:paraId="52595C40"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5.6.1 </w:t>
            </w:r>
            <w:r>
              <w:rPr>
                <w:rFonts w:ascii="Verdana" w:hAnsi="Verdana"/>
                <w:sz w:val="16"/>
                <w:szCs w:val="16"/>
                <w:lang w:val="en-US"/>
              </w:rPr>
              <w:t>The medical or clinical wastes containing infectious substances of category "A" are assigned to UN Number 2814 or 2900, as appropriate. The medical or clinical wastes containing infectious substances of category "B" will be assigned to UN Number 3291.</w:t>
            </w:r>
          </w:p>
        </w:tc>
      </w:tr>
      <w:tr w:rsidR="00B709A9" w14:paraId="47CE53A1" w14:textId="77777777" w:rsidTr="00B709A9">
        <w:tc>
          <w:tcPr>
            <w:tcW w:w="4788" w:type="dxa"/>
            <w:hideMark/>
          </w:tcPr>
          <w:p w14:paraId="0BFE6DF0"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5.6.2</w:t>
            </w:r>
            <w:r>
              <w:rPr>
                <w:rFonts w:ascii="Verdana" w:hAnsi="Verdana"/>
                <w:sz w:val="16"/>
                <w:szCs w:val="16"/>
              </w:rPr>
              <w:t xml:space="preserve"> Los desechos médicos o clínicos de los que se cree fundadamente que tienen una probabilidad baja de contener substancias infecciosas se adscriben al No. UN 3291.</w:t>
            </w:r>
          </w:p>
        </w:tc>
        <w:tc>
          <w:tcPr>
            <w:tcW w:w="4788" w:type="dxa"/>
            <w:hideMark/>
          </w:tcPr>
          <w:p w14:paraId="3ACC39B3"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5.6.2 </w:t>
            </w:r>
            <w:r>
              <w:rPr>
                <w:rFonts w:ascii="Verdana" w:hAnsi="Verdana"/>
                <w:sz w:val="16"/>
                <w:szCs w:val="16"/>
                <w:lang w:val="en-US"/>
              </w:rPr>
              <w:t>Medical or clinical wastes that are reasonably believed to have a low probability of containing infectious substances are assigned to UN number 3291.</w:t>
            </w:r>
          </w:p>
        </w:tc>
      </w:tr>
      <w:tr w:rsidR="00B709A9" w14:paraId="19010E6A" w14:textId="77777777" w:rsidTr="00B709A9">
        <w:tc>
          <w:tcPr>
            <w:tcW w:w="4788" w:type="dxa"/>
            <w:hideMark/>
          </w:tcPr>
          <w:p w14:paraId="516B2BE4" w14:textId="77777777" w:rsidR="00B709A9" w:rsidRDefault="00B709A9">
            <w:pPr>
              <w:pStyle w:val="Texto"/>
              <w:spacing w:line="230" w:lineRule="exact"/>
              <w:ind w:firstLine="0"/>
              <w:rPr>
                <w:rFonts w:ascii="Verdana" w:hAnsi="Verdana"/>
                <w:sz w:val="16"/>
                <w:szCs w:val="16"/>
              </w:rPr>
            </w:pPr>
            <w:r>
              <w:rPr>
                <w:rFonts w:ascii="Verdana" w:hAnsi="Verdana"/>
                <w:sz w:val="16"/>
                <w:szCs w:val="16"/>
              </w:rPr>
              <w:t>Para realizar esa asignación podrán tenerse en cuenta los catálogos de desechos de ámbito internacional, regional o nacional.</w:t>
            </w:r>
          </w:p>
        </w:tc>
        <w:tc>
          <w:tcPr>
            <w:tcW w:w="4788" w:type="dxa"/>
            <w:hideMark/>
          </w:tcPr>
          <w:p w14:paraId="177FB2F5" w14:textId="77777777" w:rsidR="00B709A9" w:rsidRDefault="00B709A9">
            <w:pPr>
              <w:pStyle w:val="Texto"/>
              <w:spacing w:line="230" w:lineRule="exact"/>
              <w:ind w:firstLine="0"/>
              <w:rPr>
                <w:rFonts w:ascii="Verdana" w:hAnsi="Verdana"/>
                <w:sz w:val="16"/>
                <w:szCs w:val="16"/>
                <w:lang w:val="en-US"/>
              </w:rPr>
            </w:pPr>
            <w:r>
              <w:rPr>
                <w:rFonts w:ascii="Verdana" w:hAnsi="Verdana"/>
                <w:sz w:val="16"/>
                <w:szCs w:val="16"/>
                <w:lang w:val="en-US"/>
              </w:rPr>
              <w:t xml:space="preserve">To make this assignment, international, regional, or national wastes catalogs may be </w:t>
            </w:r>
            <w:proofErr w:type="gramStart"/>
            <w:r>
              <w:rPr>
                <w:rFonts w:ascii="Verdana" w:hAnsi="Verdana"/>
                <w:sz w:val="16"/>
                <w:szCs w:val="16"/>
                <w:lang w:val="en-US"/>
              </w:rPr>
              <w:t>taken into account</w:t>
            </w:r>
            <w:proofErr w:type="gramEnd"/>
            <w:r>
              <w:rPr>
                <w:rFonts w:ascii="Verdana" w:hAnsi="Verdana"/>
                <w:sz w:val="16"/>
                <w:szCs w:val="16"/>
                <w:lang w:val="en-US"/>
              </w:rPr>
              <w:t>.</w:t>
            </w:r>
          </w:p>
        </w:tc>
      </w:tr>
      <w:tr w:rsidR="00B709A9" w14:paraId="456E5994" w14:textId="77777777" w:rsidTr="00B709A9">
        <w:tc>
          <w:tcPr>
            <w:tcW w:w="4788" w:type="dxa"/>
            <w:hideMark/>
          </w:tcPr>
          <w:p w14:paraId="5892AED4"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NOTA:</w:t>
            </w:r>
            <w:r>
              <w:rPr>
                <w:rFonts w:ascii="Verdana" w:hAnsi="Verdana"/>
                <w:sz w:val="16"/>
                <w:szCs w:val="16"/>
              </w:rPr>
              <w:t xml:space="preserve"> La designación oficial de transporte del No. UN 3291 es “DESECHOS CLINICOS, N.E.P.” o “DESECHOS (BIO) MEDICOS, N.E.P.”, o “DESECHOS MEDICOS REGULADOS, N.E.P.”</w:t>
            </w:r>
          </w:p>
        </w:tc>
        <w:tc>
          <w:tcPr>
            <w:tcW w:w="4788" w:type="dxa"/>
            <w:hideMark/>
          </w:tcPr>
          <w:p w14:paraId="0E49EF4F"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NOTE: </w:t>
            </w:r>
            <w:r>
              <w:rPr>
                <w:rFonts w:ascii="Verdana" w:hAnsi="Verdana"/>
                <w:sz w:val="16"/>
                <w:szCs w:val="16"/>
                <w:lang w:val="en-US"/>
              </w:rPr>
              <w:t>The proper shipping designation for UN number 3291 is “CLINICAL WASTES, NEP” or “MEDICAL (BIO) WASTES, NEP”, or “REGULATED MEDICAL WASTES, NEP”</w:t>
            </w:r>
          </w:p>
        </w:tc>
      </w:tr>
      <w:tr w:rsidR="00B709A9" w14:paraId="33E82BBF" w14:textId="77777777" w:rsidTr="00B709A9">
        <w:tc>
          <w:tcPr>
            <w:tcW w:w="4788" w:type="dxa"/>
            <w:hideMark/>
          </w:tcPr>
          <w:p w14:paraId="356F5F3A"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5.6.3</w:t>
            </w:r>
            <w:r>
              <w:rPr>
                <w:rFonts w:ascii="Verdana" w:hAnsi="Verdana"/>
                <w:sz w:val="16"/>
                <w:szCs w:val="16"/>
              </w:rPr>
              <w:t xml:space="preserve"> Los desechos médicos o clínicos descontaminados que previamente hubieran contenido substancias infecciosas no estarán sujetos a esta normatividad a menos que cumplan los criterios para su inclusión en otra clase.</w:t>
            </w:r>
          </w:p>
        </w:tc>
        <w:tc>
          <w:tcPr>
            <w:tcW w:w="4788" w:type="dxa"/>
            <w:hideMark/>
          </w:tcPr>
          <w:p w14:paraId="0CA51375"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5.6.3 </w:t>
            </w:r>
            <w:r>
              <w:rPr>
                <w:rFonts w:ascii="Verdana" w:hAnsi="Verdana"/>
                <w:sz w:val="16"/>
                <w:szCs w:val="16"/>
                <w:lang w:val="en-US"/>
              </w:rPr>
              <w:t>Decontaminated medical or clinical waste that previously contained infectious substances will not be subject to this legislation unless they meet the criteria for inclusion in another class.</w:t>
            </w:r>
          </w:p>
        </w:tc>
      </w:tr>
      <w:tr w:rsidR="00B709A9" w14:paraId="4FCBAA60" w14:textId="77777777" w:rsidTr="00B709A9">
        <w:tc>
          <w:tcPr>
            <w:tcW w:w="4788" w:type="dxa"/>
            <w:hideMark/>
          </w:tcPr>
          <w:p w14:paraId="6CE319B9"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5.7</w:t>
            </w:r>
            <w:r>
              <w:rPr>
                <w:rFonts w:ascii="Verdana" w:hAnsi="Verdana"/>
                <w:sz w:val="16"/>
                <w:szCs w:val="16"/>
              </w:rPr>
              <w:t xml:space="preserve"> Animales infectados.</w:t>
            </w:r>
          </w:p>
        </w:tc>
        <w:tc>
          <w:tcPr>
            <w:tcW w:w="4788" w:type="dxa"/>
            <w:hideMark/>
          </w:tcPr>
          <w:p w14:paraId="5F5EB827"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5.7 </w:t>
            </w:r>
            <w:r>
              <w:rPr>
                <w:rFonts w:ascii="Verdana" w:hAnsi="Verdana"/>
                <w:sz w:val="16"/>
                <w:szCs w:val="16"/>
                <w:lang w:val="en-US"/>
              </w:rPr>
              <w:t>Infected animals.</w:t>
            </w:r>
          </w:p>
        </w:tc>
      </w:tr>
      <w:tr w:rsidR="00B709A9" w14:paraId="5165D53C" w14:textId="77777777" w:rsidTr="00B709A9">
        <w:tc>
          <w:tcPr>
            <w:tcW w:w="4788" w:type="dxa"/>
            <w:hideMark/>
          </w:tcPr>
          <w:p w14:paraId="53540887"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5.7.1</w:t>
            </w:r>
            <w:r>
              <w:rPr>
                <w:rFonts w:ascii="Verdana" w:hAnsi="Verdana"/>
                <w:sz w:val="16"/>
                <w:szCs w:val="16"/>
              </w:rPr>
              <w:t xml:space="preserve"> A menos que una substancia infecciosa no pueda transportarse por ningún otro medio, no deben </w:t>
            </w:r>
            <w:r>
              <w:rPr>
                <w:rFonts w:ascii="Verdana" w:hAnsi="Verdana"/>
                <w:sz w:val="16"/>
                <w:szCs w:val="16"/>
              </w:rPr>
              <w:lastRenderedPageBreak/>
              <w:t>utilizarse animales vivos para transportar esa substancia. Un animal vivo que se haya infectado deliberadamente y del que se sepa o se sospeche que contiene una substancia infecciosa sólo se transportará en los términos y condiciones aprobados por la autoridad competente.</w:t>
            </w:r>
          </w:p>
        </w:tc>
        <w:tc>
          <w:tcPr>
            <w:tcW w:w="4788" w:type="dxa"/>
            <w:hideMark/>
          </w:tcPr>
          <w:p w14:paraId="59D81336"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lastRenderedPageBreak/>
              <w:t xml:space="preserve">5.7.1 </w:t>
            </w:r>
            <w:r>
              <w:rPr>
                <w:rFonts w:ascii="Verdana" w:hAnsi="Verdana"/>
                <w:sz w:val="16"/>
                <w:szCs w:val="16"/>
                <w:lang w:val="en-US"/>
              </w:rPr>
              <w:t xml:space="preserve">Unless an infectious substance cannot be transported by any other means, live animals must not </w:t>
            </w:r>
            <w:r>
              <w:rPr>
                <w:rFonts w:ascii="Verdana" w:hAnsi="Verdana"/>
                <w:sz w:val="16"/>
                <w:szCs w:val="16"/>
                <w:lang w:val="en-US"/>
              </w:rPr>
              <w:lastRenderedPageBreak/>
              <w:t>be used to transport that substance. A live animal that has been deliberately infected and is known or suspected to contain an infectious substance shall only be transported under terms and conditions approved by the appropriate authority.</w:t>
            </w:r>
          </w:p>
        </w:tc>
      </w:tr>
      <w:tr w:rsidR="00B709A9" w14:paraId="54E3652A" w14:textId="77777777" w:rsidTr="00B709A9">
        <w:tc>
          <w:tcPr>
            <w:tcW w:w="4788" w:type="dxa"/>
            <w:hideMark/>
          </w:tcPr>
          <w:p w14:paraId="4AB237BD"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lastRenderedPageBreak/>
              <w:t>5.7.2</w:t>
            </w:r>
            <w:r>
              <w:rPr>
                <w:rFonts w:ascii="Verdana" w:hAnsi="Verdana"/>
                <w:sz w:val="16"/>
                <w:szCs w:val="16"/>
              </w:rPr>
              <w:t xml:space="preserve"> El material animal afectado por agentes patógenos de la categoría “A”, o que se asigne a esa categoría “A” sólo en cultivos, se asignará al No. UN 2814 o 2900, según proceda.</w:t>
            </w:r>
          </w:p>
        </w:tc>
        <w:tc>
          <w:tcPr>
            <w:tcW w:w="4788" w:type="dxa"/>
            <w:hideMark/>
          </w:tcPr>
          <w:p w14:paraId="32111871"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5.7.2 </w:t>
            </w:r>
            <w:r>
              <w:rPr>
                <w:rFonts w:ascii="Verdana" w:hAnsi="Verdana"/>
                <w:sz w:val="16"/>
                <w:szCs w:val="16"/>
                <w:lang w:val="en-US"/>
              </w:rPr>
              <w:t>Animal material affected by category “A” pathogens or assigned to category “A” only in cultures, shall be assigned UN number 2814 or 2900, as appropriate.</w:t>
            </w:r>
          </w:p>
        </w:tc>
      </w:tr>
      <w:tr w:rsidR="00B709A9" w14:paraId="62F0F507" w14:textId="77777777" w:rsidTr="00B709A9">
        <w:tc>
          <w:tcPr>
            <w:tcW w:w="4788" w:type="dxa"/>
            <w:hideMark/>
          </w:tcPr>
          <w:p w14:paraId="32ACEC5A" w14:textId="77777777" w:rsidR="00B709A9" w:rsidRDefault="00B709A9">
            <w:pPr>
              <w:pStyle w:val="Texto"/>
              <w:spacing w:line="230" w:lineRule="exact"/>
              <w:ind w:firstLine="0"/>
              <w:rPr>
                <w:rFonts w:ascii="Verdana" w:hAnsi="Verdana"/>
                <w:sz w:val="16"/>
                <w:szCs w:val="16"/>
              </w:rPr>
            </w:pPr>
            <w:r>
              <w:rPr>
                <w:rFonts w:ascii="Verdana" w:hAnsi="Verdana"/>
                <w:sz w:val="16"/>
                <w:szCs w:val="16"/>
              </w:rPr>
              <w:t>El material animal afectado por agentes patógenos de la categoría “B” distintos de los que se asignarían a la categoría “A” en cultivos, se asignará al No. UN 3373.</w:t>
            </w:r>
          </w:p>
        </w:tc>
        <w:tc>
          <w:tcPr>
            <w:tcW w:w="4788" w:type="dxa"/>
            <w:hideMark/>
          </w:tcPr>
          <w:p w14:paraId="2EF40858" w14:textId="77777777" w:rsidR="00B709A9" w:rsidRDefault="00B709A9">
            <w:pPr>
              <w:pStyle w:val="Texto"/>
              <w:spacing w:line="230" w:lineRule="exact"/>
              <w:ind w:firstLine="0"/>
              <w:rPr>
                <w:rFonts w:ascii="Verdana" w:hAnsi="Verdana"/>
                <w:sz w:val="16"/>
                <w:szCs w:val="16"/>
                <w:lang w:val="en-US"/>
              </w:rPr>
            </w:pPr>
            <w:r>
              <w:rPr>
                <w:rFonts w:ascii="Verdana" w:hAnsi="Verdana"/>
                <w:sz w:val="16"/>
                <w:szCs w:val="16"/>
                <w:lang w:val="en-US"/>
              </w:rPr>
              <w:t>Animal material affected by category “B” pathogens other than those that would be assigned to category “A” in cultures will be assigned UN number 3373.</w:t>
            </w:r>
          </w:p>
        </w:tc>
      </w:tr>
      <w:tr w:rsidR="00B709A9" w14:paraId="113A255E" w14:textId="77777777" w:rsidTr="00B709A9">
        <w:tc>
          <w:tcPr>
            <w:tcW w:w="4788" w:type="dxa"/>
            <w:hideMark/>
          </w:tcPr>
          <w:p w14:paraId="50F4FE4F" w14:textId="77777777" w:rsidR="00B709A9" w:rsidRDefault="00B709A9">
            <w:pPr>
              <w:pStyle w:val="Texto"/>
              <w:spacing w:line="230" w:lineRule="exact"/>
              <w:ind w:firstLine="0"/>
              <w:rPr>
                <w:rFonts w:ascii="Verdana" w:hAnsi="Verdana"/>
                <w:b/>
                <w:sz w:val="16"/>
                <w:szCs w:val="16"/>
              </w:rPr>
            </w:pPr>
            <w:r>
              <w:rPr>
                <w:rFonts w:ascii="Verdana" w:hAnsi="Verdana"/>
                <w:b/>
                <w:sz w:val="16"/>
                <w:szCs w:val="16"/>
              </w:rPr>
              <w:t>6.- Especificaciones especiales y adicionales para la construcción y ensayo (prueba) de los envases y/o embalajes que transporten substancias infecciosas de la división 6.2 categoría “A”</w:t>
            </w:r>
          </w:p>
        </w:tc>
        <w:tc>
          <w:tcPr>
            <w:tcW w:w="4788" w:type="dxa"/>
            <w:hideMark/>
          </w:tcPr>
          <w:p w14:paraId="61CD04B3"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6.- Special and additional specifications for the construction and trial (test) of containers and/or packaging that transport infectious substances of division 6.2 category "A"</w:t>
            </w:r>
          </w:p>
        </w:tc>
      </w:tr>
      <w:tr w:rsidR="00B709A9" w14:paraId="5ADA1C2D" w14:textId="77777777" w:rsidTr="00B709A9">
        <w:tc>
          <w:tcPr>
            <w:tcW w:w="4788" w:type="dxa"/>
            <w:hideMark/>
          </w:tcPr>
          <w:p w14:paraId="7EB82E8F"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6.1</w:t>
            </w:r>
            <w:r>
              <w:rPr>
                <w:rFonts w:ascii="Verdana" w:hAnsi="Verdana"/>
                <w:sz w:val="16"/>
                <w:szCs w:val="16"/>
              </w:rPr>
              <w:t xml:space="preserve"> Las especificaciones de esta Norma Oficial Mexicana son aplicables a los envases y/o embalajes destinados al transporte de substancias infecciosas de Categoría “A”.</w:t>
            </w:r>
          </w:p>
        </w:tc>
        <w:tc>
          <w:tcPr>
            <w:tcW w:w="4788" w:type="dxa"/>
            <w:hideMark/>
          </w:tcPr>
          <w:p w14:paraId="7ADF129D"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6.1 </w:t>
            </w:r>
            <w:r>
              <w:rPr>
                <w:rFonts w:ascii="Verdana" w:hAnsi="Verdana"/>
                <w:sz w:val="16"/>
                <w:szCs w:val="16"/>
                <w:lang w:val="en-US"/>
              </w:rPr>
              <w:t>The specifications of this Official Mexican Standard are applicable to the containers and/or packaging intended for the transport of Category “A” infectious substances.</w:t>
            </w:r>
          </w:p>
        </w:tc>
      </w:tr>
      <w:tr w:rsidR="00B709A9" w14:paraId="5AFA6149" w14:textId="77777777" w:rsidTr="00B709A9">
        <w:tc>
          <w:tcPr>
            <w:tcW w:w="4788" w:type="dxa"/>
            <w:hideMark/>
          </w:tcPr>
          <w:p w14:paraId="7C77D006"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6.1.1</w:t>
            </w:r>
            <w:r>
              <w:rPr>
                <w:rFonts w:ascii="Verdana" w:hAnsi="Verdana"/>
                <w:sz w:val="16"/>
                <w:szCs w:val="16"/>
              </w:rPr>
              <w:t xml:space="preserve"> Las especificaciones relativas a los envases y/o embalajes que figuran en la presente Norma se basan en las especificaciones de las Normas Oficiales Mexicanas, NOM-007-SCT2-2010 y NOM-024-SCT2-2010.</w:t>
            </w:r>
          </w:p>
        </w:tc>
        <w:tc>
          <w:tcPr>
            <w:tcW w:w="4788" w:type="dxa"/>
            <w:hideMark/>
          </w:tcPr>
          <w:p w14:paraId="1B7462AE"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6.1.1 </w:t>
            </w:r>
            <w:r>
              <w:rPr>
                <w:rFonts w:ascii="Verdana" w:hAnsi="Verdana"/>
                <w:sz w:val="16"/>
                <w:szCs w:val="16"/>
                <w:lang w:val="en-US"/>
              </w:rPr>
              <w:t>The specifications related to the containers and/or packaging that appear in this Standard are based on the specifications of the Official Mexican Standards, NOM-007-SCT2-2010 and NOM-024-SCT2-2010.</w:t>
            </w:r>
          </w:p>
        </w:tc>
      </w:tr>
      <w:tr w:rsidR="00B709A9" w14:paraId="440D20A9" w14:textId="77777777" w:rsidTr="00B709A9">
        <w:tc>
          <w:tcPr>
            <w:tcW w:w="4788" w:type="dxa"/>
            <w:hideMark/>
          </w:tcPr>
          <w:p w14:paraId="52731093"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6.1.2</w:t>
            </w:r>
            <w:r>
              <w:rPr>
                <w:rFonts w:ascii="Verdana" w:hAnsi="Verdana"/>
                <w:sz w:val="16"/>
                <w:szCs w:val="16"/>
              </w:rPr>
              <w:t xml:space="preserve"> Los envases y embalajes deberán ser construidos (fabricados) y ensayados (probados) de conformidad con un programa de garantía de la calidad que satisfaga a las autoridades competentes, con el fin de garantizar que cada envase y embalaje fabricado cumple los requisitos de esta Norma Oficial Mexicana.</w:t>
            </w:r>
          </w:p>
        </w:tc>
        <w:tc>
          <w:tcPr>
            <w:tcW w:w="4788" w:type="dxa"/>
            <w:hideMark/>
          </w:tcPr>
          <w:p w14:paraId="234FB630"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6.1.2 </w:t>
            </w:r>
            <w:r>
              <w:rPr>
                <w:rFonts w:ascii="Verdana" w:hAnsi="Verdana"/>
                <w:sz w:val="16"/>
                <w:szCs w:val="16"/>
                <w:lang w:val="en-US"/>
              </w:rPr>
              <w:t xml:space="preserve">The containers and packaging must be constructed (manufactured) and examined (tested) in accordance with a quality assurance program that satisfies the appropriate authorities, </w:t>
            </w:r>
            <w:proofErr w:type="gramStart"/>
            <w:r>
              <w:rPr>
                <w:rFonts w:ascii="Verdana" w:hAnsi="Verdana"/>
                <w:sz w:val="16"/>
                <w:szCs w:val="16"/>
                <w:lang w:val="en-US"/>
              </w:rPr>
              <w:t>in order to</w:t>
            </w:r>
            <w:proofErr w:type="gramEnd"/>
            <w:r>
              <w:rPr>
                <w:rFonts w:ascii="Verdana" w:hAnsi="Verdana"/>
                <w:sz w:val="16"/>
                <w:szCs w:val="16"/>
                <w:lang w:val="en-US"/>
              </w:rPr>
              <w:t xml:space="preserve"> ensure that each container and packaging manufactured meets the requirements of this Official Mexican Standard.</w:t>
            </w:r>
          </w:p>
        </w:tc>
      </w:tr>
      <w:tr w:rsidR="00B709A9" w14:paraId="50EB7AAB" w14:textId="77777777" w:rsidTr="00B709A9">
        <w:tc>
          <w:tcPr>
            <w:tcW w:w="4788" w:type="dxa"/>
            <w:hideMark/>
          </w:tcPr>
          <w:p w14:paraId="46AAC956"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 xml:space="preserve">NOTA: </w:t>
            </w:r>
            <w:r>
              <w:rPr>
                <w:rFonts w:ascii="Verdana" w:hAnsi="Verdana"/>
                <w:sz w:val="16"/>
                <w:szCs w:val="16"/>
              </w:rPr>
              <w:t>La norma ISO 16106:2006 "Embalaje/envasado – Bultos para el transporte de mercancías peligrosas - Envases y embalajes para el transporte de mercancías peligrosas, recipientes intermedios para graneles (RIG) y grandes envases y embalajes - Guía para la aplicación de la norma ISO 9001" proporciona unas directrices aceptables sobre los procedimientos que pueden seguirse.</w:t>
            </w:r>
          </w:p>
        </w:tc>
        <w:tc>
          <w:tcPr>
            <w:tcW w:w="4788" w:type="dxa"/>
            <w:hideMark/>
          </w:tcPr>
          <w:p w14:paraId="20FACF32"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NOTE: </w:t>
            </w:r>
            <w:r>
              <w:rPr>
                <w:rFonts w:ascii="Verdana" w:hAnsi="Verdana"/>
                <w:sz w:val="16"/>
                <w:szCs w:val="16"/>
                <w:lang w:val="en-US"/>
              </w:rPr>
              <w:t>The ISO 16106:2006 standard "Packaging - Packages for the transport of dangerous goods - Containers and packaging for the transport of dangerous goods, intermediate bulk containers (IBC) and large containers and packaging - Guide for the application of the ISO 9001" standard provides acceptable guidelines on the procedures that can be followed.</w:t>
            </w:r>
          </w:p>
        </w:tc>
      </w:tr>
      <w:tr w:rsidR="00B709A9" w14:paraId="3E366E7E" w14:textId="77777777" w:rsidTr="00B709A9">
        <w:tc>
          <w:tcPr>
            <w:tcW w:w="4788" w:type="dxa"/>
            <w:hideMark/>
          </w:tcPr>
          <w:p w14:paraId="74CDD33A" w14:textId="77777777" w:rsidR="00B709A9" w:rsidRDefault="00B709A9">
            <w:pPr>
              <w:pStyle w:val="Texto"/>
              <w:spacing w:line="230" w:lineRule="exact"/>
              <w:ind w:firstLine="0"/>
              <w:rPr>
                <w:rFonts w:ascii="Verdana" w:hAnsi="Verdana"/>
                <w:b/>
                <w:sz w:val="16"/>
                <w:szCs w:val="16"/>
              </w:rPr>
            </w:pPr>
            <w:r>
              <w:rPr>
                <w:rFonts w:ascii="Verdana" w:hAnsi="Verdana"/>
                <w:b/>
                <w:sz w:val="16"/>
                <w:szCs w:val="16"/>
              </w:rPr>
              <w:t>6.1.3</w:t>
            </w:r>
            <w:r>
              <w:rPr>
                <w:rFonts w:ascii="Verdana" w:hAnsi="Verdana"/>
                <w:sz w:val="16"/>
                <w:szCs w:val="16"/>
              </w:rPr>
              <w:t xml:space="preserve"> Los constructores y ulteriores distribuidores de los</w:t>
            </w:r>
            <w:r>
              <w:rPr>
                <w:rFonts w:ascii="Verdana" w:hAnsi="Verdana"/>
                <w:b/>
                <w:sz w:val="16"/>
                <w:szCs w:val="16"/>
              </w:rPr>
              <w:t xml:space="preserve"> </w:t>
            </w:r>
            <w:r>
              <w:rPr>
                <w:rFonts w:ascii="Verdana" w:hAnsi="Verdana"/>
                <w:sz w:val="16"/>
                <w:szCs w:val="16"/>
              </w:rPr>
              <w:t>envases y embalajes deberán facilitar información sobre los procedimientos que han de seguirse y una descripción de los tipos y dimensiones de los cierres (incluidas las juntas que puedan ser necesarias) y sobre cualquier otro elemento necesario para asegurar que los envases y embalajes, tal como se presentan para su transporte, estarán en condiciones de superar con éxito los ensayos (pruebas) de rendimiento que se establecen en la presente Norma.</w:t>
            </w:r>
          </w:p>
        </w:tc>
        <w:tc>
          <w:tcPr>
            <w:tcW w:w="4788" w:type="dxa"/>
            <w:hideMark/>
          </w:tcPr>
          <w:p w14:paraId="172D417F"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6.1.3 </w:t>
            </w:r>
            <w:r>
              <w:rPr>
                <w:rFonts w:ascii="Verdana" w:hAnsi="Verdana"/>
                <w:sz w:val="16"/>
                <w:szCs w:val="16"/>
                <w:lang w:val="en-US"/>
              </w:rPr>
              <w:t>The builders and subsequent distributors of the</w:t>
            </w:r>
            <w:r>
              <w:rPr>
                <w:rFonts w:ascii="Verdana" w:hAnsi="Verdana"/>
                <w:b/>
                <w:sz w:val="16"/>
                <w:szCs w:val="16"/>
                <w:lang w:val="en-US"/>
              </w:rPr>
              <w:t xml:space="preserve"> </w:t>
            </w:r>
            <w:r>
              <w:rPr>
                <w:rFonts w:ascii="Verdana" w:hAnsi="Verdana"/>
                <w:sz w:val="16"/>
                <w:szCs w:val="16"/>
                <w:lang w:val="en-US"/>
              </w:rPr>
              <w:t>containers and packaging must provide information on the procedures to be followed and a description of the types and dimensions of the closures (including joints that may be necessary) and on any other element necessary to ensure that the containers and packaging, as presented for transport, will be able to successfully pass the performance trials (tests) established in this Standard.</w:t>
            </w:r>
          </w:p>
        </w:tc>
      </w:tr>
      <w:tr w:rsidR="00B709A9" w14:paraId="2AEA19E0" w14:textId="77777777" w:rsidTr="00B709A9">
        <w:tc>
          <w:tcPr>
            <w:tcW w:w="4788" w:type="dxa"/>
            <w:hideMark/>
          </w:tcPr>
          <w:p w14:paraId="4939AAF2"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lastRenderedPageBreak/>
              <w:t>6.2</w:t>
            </w:r>
            <w:r>
              <w:rPr>
                <w:rFonts w:ascii="Verdana" w:hAnsi="Verdana"/>
                <w:sz w:val="16"/>
                <w:szCs w:val="16"/>
              </w:rPr>
              <w:t xml:space="preserve"> Clave de designación de los tipos de envase y embalaje.</w:t>
            </w:r>
          </w:p>
        </w:tc>
        <w:tc>
          <w:tcPr>
            <w:tcW w:w="4788" w:type="dxa"/>
            <w:hideMark/>
          </w:tcPr>
          <w:p w14:paraId="445FD138"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6.2 </w:t>
            </w:r>
            <w:r>
              <w:rPr>
                <w:rFonts w:ascii="Verdana" w:hAnsi="Verdana"/>
                <w:sz w:val="16"/>
                <w:szCs w:val="16"/>
                <w:lang w:val="en-US"/>
              </w:rPr>
              <w:t xml:space="preserve">Designation code of the types of </w:t>
            </w:r>
            <w:proofErr w:type="gramStart"/>
            <w:r>
              <w:rPr>
                <w:rFonts w:ascii="Verdana" w:hAnsi="Verdana"/>
                <w:sz w:val="16"/>
                <w:szCs w:val="16"/>
                <w:lang w:val="en-US"/>
              </w:rPr>
              <w:t>container</w:t>
            </w:r>
            <w:proofErr w:type="gramEnd"/>
            <w:r>
              <w:rPr>
                <w:rFonts w:ascii="Verdana" w:hAnsi="Verdana"/>
                <w:sz w:val="16"/>
                <w:szCs w:val="16"/>
                <w:lang w:val="en-US"/>
              </w:rPr>
              <w:t xml:space="preserve"> and packaging.</w:t>
            </w:r>
          </w:p>
        </w:tc>
      </w:tr>
      <w:tr w:rsidR="00B709A9" w14:paraId="705D6CD4" w14:textId="77777777" w:rsidTr="00B709A9">
        <w:tc>
          <w:tcPr>
            <w:tcW w:w="4788" w:type="dxa"/>
            <w:hideMark/>
          </w:tcPr>
          <w:p w14:paraId="71EF799E"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6.2.1</w:t>
            </w:r>
            <w:r>
              <w:rPr>
                <w:rFonts w:ascii="Verdana" w:hAnsi="Verdana"/>
                <w:sz w:val="16"/>
                <w:szCs w:val="16"/>
              </w:rPr>
              <w:t xml:space="preserve"> Las claves de designación de los diferentes tipos de envases y embalajes figuran en la NOM-007-SCT2-2010.</w:t>
            </w:r>
          </w:p>
        </w:tc>
        <w:tc>
          <w:tcPr>
            <w:tcW w:w="4788" w:type="dxa"/>
            <w:hideMark/>
          </w:tcPr>
          <w:p w14:paraId="0B199B09"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6.2.1 </w:t>
            </w:r>
            <w:r>
              <w:rPr>
                <w:rFonts w:ascii="Verdana" w:hAnsi="Verdana"/>
                <w:sz w:val="16"/>
                <w:szCs w:val="16"/>
                <w:lang w:val="en-US"/>
              </w:rPr>
              <w:t>The codes for the designation of the different types of containers and packaging appear in NOM-007-SCT2-2010.</w:t>
            </w:r>
          </w:p>
        </w:tc>
      </w:tr>
      <w:tr w:rsidR="00B709A9" w14:paraId="7A176C4D" w14:textId="77777777" w:rsidTr="00B709A9">
        <w:tc>
          <w:tcPr>
            <w:tcW w:w="4788" w:type="dxa"/>
            <w:hideMark/>
          </w:tcPr>
          <w:p w14:paraId="4B24E292"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6.2.2</w:t>
            </w:r>
            <w:r>
              <w:rPr>
                <w:rFonts w:ascii="Verdana" w:hAnsi="Verdana"/>
                <w:sz w:val="16"/>
                <w:szCs w:val="16"/>
              </w:rPr>
              <w:t xml:space="preserve"> La clave del tipo de envase y embalaje puede ir seguida de las letras "U" o "W". La letra "U" indica un envase y embalaje especial que cumple lo prescrito en el numeral 6.5.1.6. La letra "W" indica que el envase y/o embalaje, si bien es del mismo tipo que el designado por la clave, ha sido construido con especificaciones diferentes a las establecidas en la Norma Oficial Mexicana NOM-024-SCT2-2010 y se considera equivalente al tenor de lo prescrito en el numeral 6.1.2 y en el Campo de Aplicación de la presente Norma Oficial Mexicana.</w:t>
            </w:r>
          </w:p>
        </w:tc>
        <w:tc>
          <w:tcPr>
            <w:tcW w:w="4788" w:type="dxa"/>
            <w:hideMark/>
          </w:tcPr>
          <w:p w14:paraId="6114E80F"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6.2.2 </w:t>
            </w:r>
            <w:r>
              <w:rPr>
                <w:rFonts w:ascii="Verdana" w:hAnsi="Verdana"/>
                <w:sz w:val="16"/>
                <w:szCs w:val="16"/>
                <w:lang w:val="en-US"/>
              </w:rPr>
              <w:t xml:space="preserve">The container and packaging type code may be followed by the </w:t>
            </w:r>
            <w:proofErr w:type="gramStart"/>
            <w:r>
              <w:rPr>
                <w:rFonts w:ascii="Verdana" w:hAnsi="Verdana"/>
                <w:sz w:val="16"/>
                <w:szCs w:val="16"/>
                <w:lang w:val="en-US"/>
              </w:rPr>
              <w:t>letters</w:t>
            </w:r>
            <w:proofErr w:type="gramEnd"/>
            <w:r>
              <w:rPr>
                <w:rFonts w:ascii="Verdana" w:hAnsi="Verdana"/>
                <w:sz w:val="16"/>
                <w:szCs w:val="16"/>
                <w:lang w:val="en-US"/>
              </w:rPr>
              <w:t xml:space="preserve"> "U" or "W." The letter "U" indicates a special container and packaging that complies with the provisions of numeral 6.5.1.6. The letter "W" indicates that the container and/or packaging, although it is of the same type as that designated by the code, has been built with specifications different from those established in the Official Mexican Standard NOM-024-SCT2-2010 and is considered equivalent to the guidelines detailed in numeral 6.1.2 and in the Field of Application of this Official Mexican Standard.</w:t>
            </w:r>
          </w:p>
        </w:tc>
      </w:tr>
      <w:tr w:rsidR="00B709A9" w14:paraId="0976DFCD" w14:textId="77777777" w:rsidTr="00B709A9">
        <w:tc>
          <w:tcPr>
            <w:tcW w:w="4788" w:type="dxa"/>
            <w:hideMark/>
          </w:tcPr>
          <w:p w14:paraId="6FA2B28B"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t>6.3</w:t>
            </w:r>
            <w:r>
              <w:rPr>
                <w:rFonts w:ascii="Verdana" w:hAnsi="Verdana"/>
                <w:sz w:val="16"/>
                <w:szCs w:val="16"/>
              </w:rPr>
              <w:t xml:space="preserve"> Marcado.</w:t>
            </w:r>
          </w:p>
        </w:tc>
        <w:tc>
          <w:tcPr>
            <w:tcW w:w="4788" w:type="dxa"/>
            <w:hideMark/>
          </w:tcPr>
          <w:p w14:paraId="4FA85FFA"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6.3 </w:t>
            </w:r>
            <w:r>
              <w:rPr>
                <w:rFonts w:ascii="Verdana" w:hAnsi="Verdana"/>
                <w:sz w:val="16"/>
                <w:szCs w:val="16"/>
                <w:lang w:val="en-US"/>
              </w:rPr>
              <w:t>Marking.</w:t>
            </w:r>
          </w:p>
        </w:tc>
      </w:tr>
      <w:tr w:rsidR="00B709A9" w14:paraId="517126C0" w14:textId="77777777" w:rsidTr="00B709A9">
        <w:tc>
          <w:tcPr>
            <w:tcW w:w="4788" w:type="dxa"/>
            <w:hideMark/>
          </w:tcPr>
          <w:p w14:paraId="3074771E"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t xml:space="preserve">6.3.1 </w:t>
            </w:r>
            <w:r>
              <w:rPr>
                <w:rFonts w:ascii="Verdana" w:hAnsi="Verdana"/>
                <w:sz w:val="16"/>
                <w:szCs w:val="16"/>
              </w:rPr>
              <w:t>Las marcas indican que el envase y/o embalaje que las porta es de un modelo que ha superado los ensayos (pruebas) y es conforme a las especificaciones de esta Norma Oficial Mexicana, las cuales se refieren a la construcción, pero no a la utilización del envase y/o embalaje.</w:t>
            </w:r>
          </w:p>
        </w:tc>
        <w:tc>
          <w:tcPr>
            <w:tcW w:w="4788" w:type="dxa"/>
            <w:hideMark/>
          </w:tcPr>
          <w:p w14:paraId="7F0A83D9"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6.3.1 </w:t>
            </w:r>
            <w:r>
              <w:rPr>
                <w:rFonts w:ascii="Verdana" w:hAnsi="Verdana"/>
                <w:sz w:val="16"/>
                <w:szCs w:val="16"/>
                <w:lang w:val="en-US"/>
              </w:rPr>
              <w:t>The marks indicate that the container and/or packaging that carries them is of a model that has passed the trials (tests) and is in accordance with the specifications of this Official Mexican Standard, which refer to the construction, but not to the use of the container and/or packaging.</w:t>
            </w:r>
          </w:p>
        </w:tc>
      </w:tr>
      <w:tr w:rsidR="00B709A9" w14:paraId="06E270B5" w14:textId="77777777" w:rsidTr="00B709A9">
        <w:tc>
          <w:tcPr>
            <w:tcW w:w="4788" w:type="dxa"/>
            <w:hideMark/>
          </w:tcPr>
          <w:p w14:paraId="7CE86498"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t xml:space="preserve">6.3.2 </w:t>
            </w:r>
            <w:r>
              <w:rPr>
                <w:rFonts w:ascii="Verdana" w:hAnsi="Verdana"/>
                <w:sz w:val="16"/>
                <w:szCs w:val="16"/>
              </w:rPr>
              <w:t xml:space="preserve">Las marcas tienen por finalidad facilitar el trabajo de los constructores de envases y/o embalajes, </w:t>
            </w:r>
            <w:proofErr w:type="spellStart"/>
            <w:r>
              <w:rPr>
                <w:rFonts w:ascii="Verdana" w:hAnsi="Verdana"/>
                <w:sz w:val="16"/>
                <w:szCs w:val="16"/>
              </w:rPr>
              <w:t>reacondicionadores</w:t>
            </w:r>
            <w:proofErr w:type="spellEnd"/>
            <w:r>
              <w:rPr>
                <w:rFonts w:ascii="Verdana" w:hAnsi="Verdana"/>
                <w:sz w:val="16"/>
                <w:szCs w:val="16"/>
              </w:rPr>
              <w:t>, usuarios, transportistas y autoridades responsables de la reglamentación.</w:t>
            </w:r>
          </w:p>
        </w:tc>
        <w:tc>
          <w:tcPr>
            <w:tcW w:w="4788" w:type="dxa"/>
            <w:hideMark/>
          </w:tcPr>
          <w:p w14:paraId="7A681B0B"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6.3.2 </w:t>
            </w:r>
            <w:r>
              <w:rPr>
                <w:rFonts w:ascii="Verdana" w:hAnsi="Verdana"/>
                <w:sz w:val="16"/>
                <w:szCs w:val="16"/>
                <w:lang w:val="en-US"/>
              </w:rPr>
              <w:t>The marks are intended to facilitate the work of the manufacturers of containers and/or packaging, reconditioners, users, carriers, and authorities responsible for regulation.</w:t>
            </w:r>
          </w:p>
        </w:tc>
      </w:tr>
      <w:tr w:rsidR="00B709A9" w14:paraId="0995FB53" w14:textId="77777777" w:rsidTr="00B709A9">
        <w:tc>
          <w:tcPr>
            <w:tcW w:w="4788" w:type="dxa"/>
            <w:hideMark/>
          </w:tcPr>
          <w:p w14:paraId="380A7F09"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t xml:space="preserve">6.3.3 </w:t>
            </w:r>
            <w:r>
              <w:rPr>
                <w:rFonts w:ascii="Verdana" w:hAnsi="Verdana"/>
                <w:sz w:val="16"/>
                <w:szCs w:val="16"/>
              </w:rPr>
              <w:t>Las marcas no siempre pormenorizan todos los detalles, por ejemplo, los relativos a los niveles de ensayo, y puede ser necesario tener en cuenta también estos aspectos, mediante la alusión a un certificado de ensayo, a informes de ensayo (prueba) o a un registro de los envases y/o embalajes que hayan superado los ensayos (pruebas).</w:t>
            </w:r>
          </w:p>
        </w:tc>
        <w:tc>
          <w:tcPr>
            <w:tcW w:w="4788" w:type="dxa"/>
            <w:hideMark/>
          </w:tcPr>
          <w:p w14:paraId="05B8475A"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6.3.3 </w:t>
            </w:r>
            <w:r>
              <w:rPr>
                <w:rFonts w:ascii="Verdana" w:hAnsi="Verdana"/>
                <w:sz w:val="16"/>
                <w:szCs w:val="16"/>
                <w:lang w:val="en-US"/>
              </w:rPr>
              <w:t>Markings do not describe all the details, for example, those relating to test levels, and it may be necessary to take these aspects into account as well, by referring to a test certificate, trial (test) reports or to a record of the containers and/or packaging that have passed the trials (tests).</w:t>
            </w:r>
          </w:p>
        </w:tc>
      </w:tr>
      <w:tr w:rsidR="00B709A9" w14:paraId="4E3223DD" w14:textId="77777777" w:rsidTr="00B709A9">
        <w:tc>
          <w:tcPr>
            <w:tcW w:w="4788" w:type="dxa"/>
            <w:hideMark/>
          </w:tcPr>
          <w:p w14:paraId="59D75865"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t>6.3.4</w:t>
            </w:r>
            <w:r>
              <w:rPr>
                <w:rFonts w:ascii="Verdana" w:hAnsi="Verdana"/>
                <w:sz w:val="16"/>
                <w:szCs w:val="16"/>
              </w:rPr>
              <w:t xml:space="preserve"> Todo envase y embalaje que vaya a utilizarse con arreglo a la presente Norma Oficial Mexicana, debe llevar marcas duraderas, legibles y colocadas en un lugar y de un tamaño tal en relación con el del envase y embalaje, que las haga visibles. Para los embalajes con una masa bruta superior a 30 kg, las marcas o una reproducción de éstas deberán figurar en la parte superior o en uno de los lados del envase y embalaje.</w:t>
            </w:r>
          </w:p>
        </w:tc>
        <w:tc>
          <w:tcPr>
            <w:tcW w:w="4788" w:type="dxa"/>
            <w:hideMark/>
          </w:tcPr>
          <w:p w14:paraId="35671234"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6.3.4 </w:t>
            </w:r>
            <w:r>
              <w:rPr>
                <w:rFonts w:ascii="Verdana" w:hAnsi="Verdana"/>
                <w:sz w:val="16"/>
                <w:szCs w:val="16"/>
                <w:lang w:val="en-US"/>
              </w:rPr>
              <w:t xml:space="preserve">All containers and packaging to be used in accordance with this Official Mexican Standard must bear durable, legible marks placed in such a place and size in relation to that of the container and packaging, that they are visible. For packages with a gross mass greater than 30 kg, the </w:t>
            </w:r>
            <w:proofErr w:type="gramStart"/>
            <w:r>
              <w:rPr>
                <w:rFonts w:ascii="Verdana" w:hAnsi="Verdana"/>
                <w:sz w:val="16"/>
                <w:szCs w:val="16"/>
                <w:lang w:val="en-US"/>
              </w:rPr>
              <w:t>marks</w:t>
            </w:r>
            <w:proofErr w:type="gramEnd"/>
            <w:r>
              <w:rPr>
                <w:rFonts w:ascii="Verdana" w:hAnsi="Verdana"/>
                <w:sz w:val="16"/>
                <w:szCs w:val="16"/>
                <w:lang w:val="en-US"/>
              </w:rPr>
              <w:t xml:space="preserve"> or a reproduction of these must appear on the top or on one of the sides of the container and packaging.</w:t>
            </w:r>
          </w:p>
        </w:tc>
      </w:tr>
      <w:tr w:rsidR="00B709A9" w14:paraId="7B91CFD9" w14:textId="77777777" w:rsidTr="00B709A9">
        <w:tc>
          <w:tcPr>
            <w:tcW w:w="4788" w:type="dxa"/>
            <w:hideMark/>
          </w:tcPr>
          <w:p w14:paraId="7496C05B" w14:textId="77777777" w:rsidR="00B709A9" w:rsidRDefault="00B709A9">
            <w:pPr>
              <w:pStyle w:val="Texto"/>
              <w:spacing w:line="248" w:lineRule="exact"/>
              <w:ind w:firstLine="0"/>
              <w:rPr>
                <w:rFonts w:ascii="Verdana" w:hAnsi="Verdana"/>
                <w:sz w:val="16"/>
                <w:szCs w:val="16"/>
              </w:rPr>
            </w:pPr>
            <w:r>
              <w:rPr>
                <w:rFonts w:ascii="Verdana" w:hAnsi="Verdana"/>
                <w:sz w:val="16"/>
                <w:szCs w:val="16"/>
              </w:rPr>
              <w:t>Las letras, las cifras y los símbolos deberán medir 12 mm de altura como mínimo, salvo en los envases y/o embalajes de hasta 30 litros o 30 kg de capacidad, donde su altura deberá ser de 6 mm como mínimo, así como en los envases y/o embalajes de hasta 5 litros</w:t>
            </w:r>
            <w:r>
              <w:rPr>
                <w:rFonts w:ascii="Verdana" w:hAnsi="Verdana"/>
                <w:i/>
                <w:sz w:val="16"/>
                <w:szCs w:val="16"/>
              </w:rPr>
              <w:t xml:space="preserve"> </w:t>
            </w:r>
            <w:r>
              <w:rPr>
                <w:rFonts w:ascii="Verdana" w:hAnsi="Verdana"/>
                <w:sz w:val="16"/>
                <w:szCs w:val="16"/>
              </w:rPr>
              <w:t xml:space="preserve">o </w:t>
            </w:r>
            <w:r>
              <w:rPr>
                <w:rFonts w:ascii="Verdana" w:hAnsi="Verdana"/>
                <w:sz w:val="16"/>
                <w:szCs w:val="16"/>
              </w:rPr>
              <w:lastRenderedPageBreak/>
              <w:t>5 kg de capacidad, en que serán de un tamaño adecuado.</w:t>
            </w:r>
          </w:p>
        </w:tc>
        <w:tc>
          <w:tcPr>
            <w:tcW w:w="4788" w:type="dxa"/>
            <w:hideMark/>
          </w:tcPr>
          <w:p w14:paraId="565E528D" w14:textId="77777777" w:rsidR="00B709A9" w:rsidRDefault="00B709A9">
            <w:pPr>
              <w:pStyle w:val="Texto"/>
              <w:spacing w:line="248" w:lineRule="exact"/>
              <w:ind w:firstLine="0"/>
              <w:rPr>
                <w:rFonts w:ascii="Verdana" w:hAnsi="Verdana"/>
                <w:sz w:val="16"/>
                <w:szCs w:val="16"/>
                <w:lang w:val="en-US"/>
              </w:rPr>
            </w:pPr>
            <w:r>
              <w:rPr>
                <w:rFonts w:ascii="Verdana" w:hAnsi="Verdana"/>
                <w:sz w:val="16"/>
                <w:szCs w:val="16"/>
                <w:lang w:val="en-US"/>
              </w:rPr>
              <w:lastRenderedPageBreak/>
              <w:t xml:space="preserve">The letters, figures and symbols must measure at least 12 mm in height, except in containers and/or packages with a capacity of up to 30 liters or 30 kg, where their height must be at least 6 mm, as well as in containers </w:t>
            </w:r>
            <w:r>
              <w:rPr>
                <w:rFonts w:ascii="Verdana" w:hAnsi="Verdana"/>
                <w:sz w:val="16"/>
                <w:szCs w:val="16"/>
                <w:lang w:val="en-US"/>
              </w:rPr>
              <w:lastRenderedPageBreak/>
              <w:t>and/or packaging of up to 5 liters</w:t>
            </w:r>
            <w:r>
              <w:rPr>
                <w:rFonts w:ascii="Verdana" w:hAnsi="Verdana"/>
                <w:i/>
                <w:sz w:val="16"/>
                <w:szCs w:val="16"/>
                <w:lang w:val="en-US"/>
              </w:rPr>
              <w:t xml:space="preserve"> </w:t>
            </w:r>
            <w:r>
              <w:rPr>
                <w:rFonts w:ascii="Verdana" w:hAnsi="Verdana"/>
                <w:sz w:val="16"/>
                <w:szCs w:val="16"/>
                <w:lang w:val="en-US"/>
              </w:rPr>
              <w:t>or 5 kg capacity, in which they will be of an adequate size.</w:t>
            </w:r>
          </w:p>
        </w:tc>
      </w:tr>
      <w:tr w:rsidR="00B709A9" w14:paraId="291D71DB" w14:textId="77777777" w:rsidTr="00B709A9">
        <w:tc>
          <w:tcPr>
            <w:tcW w:w="4788" w:type="dxa"/>
            <w:hideMark/>
          </w:tcPr>
          <w:p w14:paraId="23DFB5DD"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lastRenderedPageBreak/>
              <w:t>6.3.5</w:t>
            </w:r>
            <w:r>
              <w:rPr>
                <w:rFonts w:ascii="Verdana" w:hAnsi="Verdana"/>
                <w:sz w:val="16"/>
                <w:szCs w:val="16"/>
              </w:rPr>
              <w:t xml:space="preserve"> Un envase y/o embalaje que satisfaga las especificaciones de esta Norma Oficial Mexicana y del numeral 6.5 deberá ostentar las siguientes marcas:</w:t>
            </w:r>
          </w:p>
        </w:tc>
        <w:tc>
          <w:tcPr>
            <w:tcW w:w="4788" w:type="dxa"/>
            <w:hideMark/>
          </w:tcPr>
          <w:p w14:paraId="5850A6D7"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6.3.5 </w:t>
            </w:r>
            <w:r>
              <w:rPr>
                <w:rFonts w:ascii="Verdana" w:hAnsi="Verdana"/>
                <w:sz w:val="16"/>
                <w:szCs w:val="16"/>
                <w:lang w:val="en-US"/>
              </w:rPr>
              <w:t>A container and/or packaging that meets the specifications of this Official Mexican Standard and numeral 6.5 must bear the following marks:</w:t>
            </w:r>
          </w:p>
        </w:tc>
      </w:tr>
      <w:tr w:rsidR="00B709A9" w14:paraId="176A0BCA" w14:textId="77777777" w:rsidTr="00B709A9">
        <w:tc>
          <w:tcPr>
            <w:tcW w:w="4788" w:type="dxa"/>
            <w:hideMark/>
          </w:tcPr>
          <w:p w14:paraId="69A599AD" w14:textId="77777777" w:rsidR="00B709A9" w:rsidRDefault="00B709A9">
            <w:pPr>
              <w:pStyle w:val="Texto"/>
              <w:spacing w:line="248" w:lineRule="exact"/>
              <w:ind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El símbolo de las Naciones Unidas para los envases y embalajes:</w:t>
            </w:r>
          </w:p>
        </w:tc>
        <w:tc>
          <w:tcPr>
            <w:tcW w:w="4788" w:type="dxa"/>
            <w:hideMark/>
          </w:tcPr>
          <w:p w14:paraId="110567C1" w14:textId="77777777" w:rsidR="00B709A9" w:rsidRDefault="00B709A9">
            <w:pPr>
              <w:pStyle w:val="Texto"/>
              <w:spacing w:line="248" w:lineRule="exact"/>
              <w:ind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The United Nations symbol for containers and packaging:</w:t>
            </w:r>
          </w:p>
        </w:tc>
      </w:tr>
    </w:tbl>
    <w:p w14:paraId="5A531275" w14:textId="4E47BAEF" w:rsidR="00B709A9" w:rsidRDefault="00B709A9" w:rsidP="00B709A9">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42F592BB" wp14:editId="34E19CC3">
            <wp:extent cx="841375" cy="7620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1375" cy="762000"/>
                    </a:xfrm>
                    <a:prstGeom prst="rect">
                      <a:avLst/>
                    </a:prstGeom>
                    <a:noFill/>
                    <a:ln>
                      <a:noFill/>
                    </a:ln>
                  </pic:spPr>
                </pic:pic>
              </a:graphicData>
            </a:graphic>
          </wp:inline>
        </w:drawing>
      </w:r>
    </w:p>
    <w:tbl>
      <w:tblPr>
        <w:tblW w:w="5000" w:type="pct"/>
        <w:tblLook w:val="04A0" w:firstRow="1" w:lastRow="0" w:firstColumn="1" w:lastColumn="0" w:noHBand="0" w:noVBand="1"/>
      </w:tblPr>
      <w:tblGrid>
        <w:gridCol w:w="4681"/>
        <w:gridCol w:w="4679"/>
      </w:tblGrid>
      <w:tr w:rsidR="00B709A9" w14:paraId="18972AE2" w14:textId="77777777" w:rsidTr="00B709A9">
        <w:tc>
          <w:tcPr>
            <w:tcW w:w="4788" w:type="dxa"/>
            <w:hideMark/>
          </w:tcPr>
          <w:p w14:paraId="3FF7F6AF" w14:textId="77777777" w:rsidR="00B709A9" w:rsidRDefault="00B709A9">
            <w:pPr>
              <w:pStyle w:val="ROMANOS"/>
              <w:spacing w:line="256" w:lineRule="exact"/>
              <w:ind w:left="0" w:firstLine="0"/>
              <w:rPr>
                <w:rFonts w:ascii="Verdana" w:hAnsi="Verdana"/>
                <w:sz w:val="16"/>
                <w:szCs w:val="16"/>
              </w:rPr>
            </w:pPr>
            <w:r>
              <w:rPr>
                <w:rFonts w:ascii="Verdana" w:hAnsi="Verdana"/>
                <w:sz w:val="16"/>
                <w:szCs w:val="16"/>
              </w:rPr>
              <w:t xml:space="preserve">Este símbolo se debe utilizar para certificar que un envase y/o embalaje cumple con las especificaciones relativas a la construcción y ensayo (prueba) establecidas en las </w:t>
            </w:r>
            <w:proofErr w:type="spellStart"/>
            <w:r>
              <w:rPr>
                <w:rFonts w:ascii="Verdana" w:hAnsi="Verdana"/>
                <w:sz w:val="16"/>
                <w:szCs w:val="16"/>
              </w:rPr>
              <w:t>NOMs</w:t>
            </w:r>
            <w:proofErr w:type="spellEnd"/>
            <w:r>
              <w:rPr>
                <w:rFonts w:ascii="Verdana" w:hAnsi="Verdana"/>
                <w:sz w:val="16"/>
                <w:szCs w:val="16"/>
              </w:rPr>
              <w:t>: NOM-007-SCT2-2010 y NOM-024-SCT2-2010.</w:t>
            </w:r>
          </w:p>
        </w:tc>
        <w:tc>
          <w:tcPr>
            <w:tcW w:w="4788" w:type="dxa"/>
            <w:hideMark/>
          </w:tcPr>
          <w:p w14:paraId="26BF6BCC" w14:textId="77777777" w:rsidR="00B709A9" w:rsidRDefault="00B709A9">
            <w:pPr>
              <w:pStyle w:val="ROMANOS"/>
              <w:spacing w:line="256" w:lineRule="exact"/>
              <w:ind w:left="0" w:firstLine="0"/>
              <w:rPr>
                <w:rFonts w:ascii="Verdana" w:hAnsi="Verdana"/>
                <w:sz w:val="16"/>
                <w:szCs w:val="16"/>
                <w:lang w:val="en-US"/>
              </w:rPr>
            </w:pPr>
            <w:r>
              <w:rPr>
                <w:rFonts w:ascii="Verdana" w:hAnsi="Verdana"/>
                <w:sz w:val="16"/>
                <w:szCs w:val="16"/>
                <w:lang w:val="en-US"/>
              </w:rPr>
              <w:t>This symbol must be used to certify that a container and/or packaging complies with the specifications related to construction and trial (test) established in the NOMs: NOM-007-SCT2-2010 and NOM-024-SCT2-2010.</w:t>
            </w:r>
          </w:p>
        </w:tc>
      </w:tr>
      <w:tr w:rsidR="00B709A9" w14:paraId="2A6273A4" w14:textId="77777777" w:rsidTr="00B709A9">
        <w:tc>
          <w:tcPr>
            <w:tcW w:w="4788" w:type="dxa"/>
            <w:hideMark/>
          </w:tcPr>
          <w:p w14:paraId="7A54D54C" w14:textId="77777777" w:rsidR="00B709A9" w:rsidRDefault="00B709A9">
            <w:pPr>
              <w:pStyle w:val="ROMANOS"/>
              <w:spacing w:line="256"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 xml:space="preserve">La clave de designación del tipo de envase y/o embalaje </w:t>
            </w:r>
            <w:proofErr w:type="gramStart"/>
            <w:r>
              <w:rPr>
                <w:rFonts w:ascii="Verdana" w:hAnsi="Verdana"/>
                <w:sz w:val="16"/>
                <w:szCs w:val="16"/>
              </w:rPr>
              <w:t>de acuerdo a</w:t>
            </w:r>
            <w:proofErr w:type="gramEnd"/>
            <w:r>
              <w:rPr>
                <w:rFonts w:ascii="Verdana" w:hAnsi="Verdana"/>
                <w:sz w:val="16"/>
                <w:szCs w:val="16"/>
              </w:rPr>
              <w:t xml:space="preserve"> la NOM-007-SCT2-2010;</w:t>
            </w:r>
          </w:p>
        </w:tc>
        <w:tc>
          <w:tcPr>
            <w:tcW w:w="4788" w:type="dxa"/>
            <w:hideMark/>
          </w:tcPr>
          <w:p w14:paraId="2387C377" w14:textId="77777777" w:rsidR="00B709A9" w:rsidRDefault="00B709A9">
            <w:pPr>
              <w:pStyle w:val="ROMANOS"/>
              <w:spacing w:line="256" w:lineRule="exact"/>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The designation code of the type of container and/or packaging according to NOM-007-SCT2-2010;</w:t>
            </w:r>
          </w:p>
        </w:tc>
      </w:tr>
      <w:tr w:rsidR="00B709A9" w14:paraId="5058D812" w14:textId="77777777" w:rsidTr="00B709A9">
        <w:tc>
          <w:tcPr>
            <w:tcW w:w="4788" w:type="dxa"/>
            <w:hideMark/>
          </w:tcPr>
          <w:p w14:paraId="1DFB1207" w14:textId="77777777" w:rsidR="00B709A9" w:rsidRDefault="00B709A9">
            <w:pPr>
              <w:pStyle w:val="ROMANOS"/>
              <w:spacing w:line="256"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La indicación "CLASE 6.2";</w:t>
            </w:r>
          </w:p>
        </w:tc>
        <w:tc>
          <w:tcPr>
            <w:tcW w:w="4788" w:type="dxa"/>
            <w:hideMark/>
          </w:tcPr>
          <w:p w14:paraId="43EF59E7" w14:textId="77777777" w:rsidR="00B709A9" w:rsidRDefault="00B709A9">
            <w:pPr>
              <w:pStyle w:val="ROMANOS"/>
              <w:spacing w:line="256"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The indication "CLASS 6.2;”</w:t>
            </w:r>
          </w:p>
        </w:tc>
      </w:tr>
      <w:tr w:rsidR="00B709A9" w14:paraId="15CA1A03" w14:textId="77777777" w:rsidTr="00B709A9">
        <w:tc>
          <w:tcPr>
            <w:tcW w:w="4788" w:type="dxa"/>
            <w:hideMark/>
          </w:tcPr>
          <w:p w14:paraId="7B660C9E" w14:textId="77777777" w:rsidR="00B709A9" w:rsidRDefault="00B709A9">
            <w:pPr>
              <w:pStyle w:val="ROMANOS"/>
              <w:spacing w:line="256"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Las dos últimas cifras del año de construcción del envase y/o embalaje;</w:t>
            </w:r>
          </w:p>
        </w:tc>
        <w:tc>
          <w:tcPr>
            <w:tcW w:w="4788" w:type="dxa"/>
            <w:hideMark/>
          </w:tcPr>
          <w:p w14:paraId="14FF00B0" w14:textId="77777777" w:rsidR="00B709A9" w:rsidRDefault="00B709A9">
            <w:pPr>
              <w:pStyle w:val="ROMANOS"/>
              <w:spacing w:line="256" w:lineRule="exact"/>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The last two digits of the year of construction of the container and/or packaging;</w:t>
            </w:r>
          </w:p>
        </w:tc>
      </w:tr>
      <w:tr w:rsidR="00B709A9" w14:paraId="3CE3FE84" w14:textId="77777777" w:rsidTr="00B709A9">
        <w:tc>
          <w:tcPr>
            <w:tcW w:w="4788" w:type="dxa"/>
            <w:hideMark/>
          </w:tcPr>
          <w:p w14:paraId="05548FCE" w14:textId="77777777" w:rsidR="00B709A9" w:rsidRDefault="00B709A9">
            <w:pPr>
              <w:pStyle w:val="ROMANOS"/>
              <w:spacing w:line="256" w:lineRule="exact"/>
              <w:ind w:left="0" w:firstLine="0"/>
              <w:rPr>
                <w:rFonts w:ascii="Verdana" w:hAnsi="Verdana"/>
                <w:sz w:val="16"/>
                <w:szCs w:val="16"/>
              </w:rPr>
            </w:pPr>
            <w:r>
              <w:rPr>
                <w:rFonts w:ascii="Verdana" w:hAnsi="Verdana"/>
                <w:b/>
                <w:sz w:val="16"/>
                <w:szCs w:val="16"/>
                <w:lang w:val="es-MX"/>
              </w:rPr>
              <w:t>e)</w:t>
            </w:r>
            <w:r>
              <w:rPr>
                <w:rFonts w:ascii="Verdana" w:hAnsi="Verdana"/>
                <w:sz w:val="16"/>
                <w:szCs w:val="16"/>
              </w:rPr>
              <w:tab/>
              <w:t>La indicación del país que autorizó la atribución de la marca mediante el signo distintivo utilizado para los vehículos de motor en el tráfico internacional;</w:t>
            </w:r>
          </w:p>
        </w:tc>
        <w:tc>
          <w:tcPr>
            <w:tcW w:w="4788" w:type="dxa"/>
            <w:hideMark/>
          </w:tcPr>
          <w:p w14:paraId="181D737B" w14:textId="77777777" w:rsidR="00B709A9" w:rsidRDefault="00B709A9">
            <w:pPr>
              <w:pStyle w:val="ROMANOS"/>
              <w:spacing w:line="256" w:lineRule="exact"/>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The indication of the country that authorized the attribution of the mark through the distinctive sign used for motor vehicles in international traffic;</w:t>
            </w:r>
          </w:p>
        </w:tc>
      </w:tr>
      <w:tr w:rsidR="00B709A9" w14:paraId="59891B30" w14:textId="77777777" w:rsidTr="00B709A9">
        <w:tc>
          <w:tcPr>
            <w:tcW w:w="4788" w:type="dxa"/>
            <w:hideMark/>
          </w:tcPr>
          <w:p w14:paraId="11A7D6B6" w14:textId="77777777" w:rsidR="00B709A9" w:rsidRDefault="00B709A9">
            <w:pPr>
              <w:pStyle w:val="ROMANOS"/>
              <w:spacing w:line="256" w:lineRule="exact"/>
              <w:ind w:left="0" w:firstLine="0"/>
              <w:rPr>
                <w:rFonts w:ascii="Verdana" w:hAnsi="Verdana"/>
                <w:sz w:val="16"/>
                <w:szCs w:val="16"/>
              </w:rPr>
            </w:pPr>
            <w:r>
              <w:rPr>
                <w:rFonts w:ascii="Verdana" w:hAnsi="Verdana"/>
                <w:b/>
                <w:sz w:val="16"/>
                <w:szCs w:val="16"/>
              </w:rPr>
              <w:t>f)</w:t>
            </w:r>
            <w:r>
              <w:rPr>
                <w:rFonts w:ascii="Verdana" w:hAnsi="Verdana"/>
                <w:b/>
                <w:sz w:val="16"/>
                <w:szCs w:val="16"/>
              </w:rPr>
              <w:tab/>
            </w:r>
            <w:r>
              <w:rPr>
                <w:rFonts w:ascii="Verdana" w:hAnsi="Verdana"/>
                <w:sz w:val="16"/>
                <w:szCs w:val="16"/>
              </w:rPr>
              <w:t>El nombre del constructor (fabricante) u otro medio de identificación del envase y/o embalaje especificado por la autoridad competente;</w:t>
            </w:r>
          </w:p>
        </w:tc>
        <w:tc>
          <w:tcPr>
            <w:tcW w:w="4788" w:type="dxa"/>
            <w:hideMark/>
          </w:tcPr>
          <w:p w14:paraId="6EE4C5E7" w14:textId="77777777" w:rsidR="00B709A9" w:rsidRDefault="00B709A9">
            <w:pPr>
              <w:pStyle w:val="ROMANOS"/>
              <w:spacing w:line="256" w:lineRule="exact"/>
              <w:ind w:left="0" w:firstLine="0"/>
              <w:rPr>
                <w:rFonts w:ascii="Verdana" w:hAnsi="Verdana"/>
                <w:b/>
                <w:sz w:val="16"/>
                <w:szCs w:val="16"/>
                <w:lang w:val="en-US"/>
              </w:rPr>
            </w:pPr>
            <w:r>
              <w:rPr>
                <w:rFonts w:ascii="Verdana" w:hAnsi="Verdana"/>
                <w:b/>
                <w:sz w:val="16"/>
                <w:szCs w:val="16"/>
                <w:lang w:val="en-US"/>
              </w:rPr>
              <w:t xml:space="preserve">f) </w:t>
            </w:r>
            <w:r>
              <w:rPr>
                <w:rFonts w:ascii="Verdana" w:hAnsi="Verdana"/>
                <w:b/>
                <w:sz w:val="16"/>
                <w:szCs w:val="16"/>
                <w:lang w:val="en-US"/>
              </w:rPr>
              <w:tab/>
            </w:r>
            <w:r>
              <w:rPr>
                <w:rFonts w:ascii="Verdana" w:hAnsi="Verdana"/>
                <w:sz w:val="16"/>
                <w:szCs w:val="16"/>
                <w:lang w:val="en-US"/>
              </w:rPr>
              <w:t>The name of the constructor (manufacturer) or other means of identification of the container and/or packaging specified by the appropriate authority;</w:t>
            </w:r>
          </w:p>
        </w:tc>
      </w:tr>
      <w:tr w:rsidR="00B709A9" w14:paraId="0E33732A" w14:textId="77777777" w:rsidTr="00B709A9">
        <w:tc>
          <w:tcPr>
            <w:tcW w:w="4788" w:type="dxa"/>
            <w:hideMark/>
          </w:tcPr>
          <w:p w14:paraId="7BE4EC68" w14:textId="77777777" w:rsidR="00B709A9" w:rsidRDefault="00B709A9">
            <w:pPr>
              <w:pStyle w:val="ROMANOS"/>
              <w:spacing w:line="256" w:lineRule="exact"/>
              <w:ind w:left="0" w:firstLine="0"/>
              <w:rPr>
                <w:rFonts w:ascii="Verdana" w:hAnsi="Verdana"/>
                <w:sz w:val="16"/>
                <w:szCs w:val="16"/>
              </w:rPr>
            </w:pPr>
            <w:r>
              <w:rPr>
                <w:rFonts w:ascii="Verdana" w:hAnsi="Verdana"/>
                <w:b/>
                <w:sz w:val="16"/>
                <w:szCs w:val="16"/>
              </w:rPr>
              <w:t>g)</w:t>
            </w:r>
            <w:r>
              <w:rPr>
                <w:rFonts w:ascii="Verdana" w:hAnsi="Verdana"/>
                <w:sz w:val="16"/>
                <w:szCs w:val="16"/>
              </w:rPr>
              <w:tab/>
              <w:t>En los envases y/o embalajes que satisfagan las especificaciones del numeral 6.5.1.6 de esta Norma Oficial Mexicana, se insertará la letra “U”, inmediatamente después de la mención a que se refiere el apartado b) anterior.</w:t>
            </w:r>
          </w:p>
        </w:tc>
        <w:tc>
          <w:tcPr>
            <w:tcW w:w="4788" w:type="dxa"/>
            <w:hideMark/>
          </w:tcPr>
          <w:p w14:paraId="184E482C" w14:textId="77777777" w:rsidR="00B709A9" w:rsidRDefault="00B709A9">
            <w:pPr>
              <w:pStyle w:val="ROMANOS"/>
              <w:spacing w:line="256" w:lineRule="exact"/>
              <w:ind w:left="0"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In the containers and/or packaging that meet the specifications of numeral 6.5.1.6 of this Official Mexican Standard, the letter “U” will be inserted immediately after the mention referred to in section b) above.</w:t>
            </w:r>
          </w:p>
        </w:tc>
      </w:tr>
      <w:tr w:rsidR="00B709A9" w14:paraId="74736C17" w14:textId="77777777" w:rsidTr="00B709A9">
        <w:tc>
          <w:tcPr>
            <w:tcW w:w="4788" w:type="dxa"/>
            <w:hideMark/>
          </w:tcPr>
          <w:p w14:paraId="66D5C80E" w14:textId="77777777" w:rsidR="00B709A9" w:rsidRDefault="00B709A9">
            <w:pPr>
              <w:pStyle w:val="Texto"/>
              <w:spacing w:line="256" w:lineRule="exact"/>
              <w:ind w:firstLine="0"/>
              <w:rPr>
                <w:rFonts w:ascii="Verdana" w:hAnsi="Verdana"/>
                <w:sz w:val="16"/>
                <w:szCs w:val="16"/>
              </w:rPr>
            </w:pPr>
            <w:r>
              <w:rPr>
                <w:rFonts w:ascii="Verdana" w:hAnsi="Verdana"/>
                <w:sz w:val="16"/>
                <w:szCs w:val="16"/>
              </w:rPr>
              <w:t>Cada uno de los elementos de la marca aplicada de acuerdo con los apartados a) a g).</w:t>
            </w:r>
          </w:p>
        </w:tc>
        <w:tc>
          <w:tcPr>
            <w:tcW w:w="4788" w:type="dxa"/>
            <w:hideMark/>
          </w:tcPr>
          <w:p w14:paraId="3268AAF6" w14:textId="77777777" w:rsidR="00B709A9" w:rsidRDefault="00B709A9">
            <w:pPr>
              <w:pStyle w:val="Texto"/>
              <w:spacing w:line="256" w:lineRule="exact"/>
              <w:ind w:firstLine="0"/>
              <w:rPr>
                <w:rFonts w:ascii="Verdana" w:hAnsi="Verdana"/>
                <w:sz w:val="16"/>
                <w:szCs w:val="16"/>
                <w:lang w:val="en-US"/>
              </w:rPr>
            </w:pPr>
            <w:r>
              <w:rPr>
                <w:rFonts w:ascii="Verdana" w:hAnsi="Verdana"/>
                <w:sz w:val="16"/>
                <w:szCs w:val="16"/>
                <w:lang w:val="en-US"/>
              </w:rPr>
              <w:t>Each of the elements of the brand applied in accordance with sections a) to g).</w:t>
            </w:r>
          </w:p>
        </w:tc>
      </w:tr>
      <w:tr w:rsidR="00B709A9" w14:paraId="74A70E05" w14:textId="77777777" w:rsidTr="00B709A9">
        <w:tc>
          <w:tcPr>
            <w:tcW w:w="4788" w:type="dxa"/>
            <w:hideMark/>
          </w:tcPr>
          <w:p w14:paraId="0B06AE90" w14:textId="77777777" w:rsidR="00B709A9" w:rsidRDefault="00B709A9">
            <w:pPr>
              <w:pStyle w:val="Texto"/>
              <w:spacing w:line="256" w:lineRule="exact"/>
              <w:ind w:firstLine="0"/>
              <w:rPr>
                <w:rFonts w:ascii="Verdana" w:hAnsi="Verdana"/>
                <w:sz w:val="16"/>
                <w:szCs w:val="16"/>
              </w:rPr>
            </w:pPr>
            <w:r>
              <w:rPr>
                <w:rFonts w:ascii="Verdana" w:hAnsi="Verdana"/>
                <w:b/>
                <w:sz w:val="16"/>
                <w:szCs w:val="16"/>
              </w:rPr>
              <w:t>6.3.6</w:t>
            </w:r>
            <w:r>
              <w:rPr>
                <w:rFonts w:ascii="Verdana" w:hAnsi="Verdana"/>
                <w:sz w:val="16"/>
                <w:szCs w:val="16"/>
              </w:rPr>
              <w:t xml:space="preserve"> Las marcas figurarán en el orden de los apartados a) a g) del numeral 6.3.5 cada uno de los elementos de la marca establecidos deben estar claramente separados, por </w:t>
            </w:r>
            <w:proofErr w:type="gramStart"/>
            <w:r>
              <w:rPr>
                <w:rFonts w:ascii="Verdana" w:hAnsi="Verdana"/>
                <w:sz w:val="16"/>
                <w:szCs w:val="16"/>
              </w:rPr>
              <w:t>ejemplo</w:t>
            </w:r>
            <w:proofErr w:type="gramEnd"/>
            <w:r>
              <w:rPr>
                <w:rFonts w:ascii="Verdana" w:hAnsi="Verdana"/>
                <w:sz w:val="16"/>
                <w:szCs w:val="16"/>
              </w:rPr>
              <w:t xml:space="preserve"> por una barra oblicua o un espacio, de manera que sean fácilmente identificables. Véanse los ejemplos del punto 6.4.</w:t>
            </w:r>
          </w:p>
        </w:tc>
        <w:tc>
          <w:tcPr>
            <w:tcW w:w="4788" w:type="dxa"/>
            <w:hideMark/>
          </w:tcPr>
          <w:p w14:paraId="1A6375B3" w14:textId="77777777" w:rsidR="00B709A9" w:rsidRDefault="00B709A9">
            <w:pPr>
              <w:pStyle w:val="Texto"/>
              <w:spacing w:line="256" w:lineRule="exact"/>
              <w:ind w:firstLine="0"/>
              <w:rPr>
                <w:rFonts w:ascii="Verdana" w:hAnsi="Verdana"/>
                <w:b/>
                <w:sz w:val="16"/>
                <w:szCs w:val="16"/>
                <w:lang w:val="en-US"/>
              </w:rPr>
            </w:pPr>
            <w:r>
              <w:rPr>
                <w:rFonts w:ascii="Verdana" w:hAnsi="Verdana"/>
                <w:b/>
                <w:sz w:val="16"/>
                <w:szCs w:val="16"/>
                <w:lang w:val="en-US"/>
              </w:rPr>
              <w:t xml:space="preserve">6.3.6 </w:t>
            </w:r>
            <w:r>
              <w:rPr>
                <w:rFonts w:ascii="Verdana" w:hAnsi="Verdana"/>
                <w:sz w:val="16"/>
                <w:szCs w:val="16"/>
                <w:lang w:val="en-US"/>
              </w:rPr>
              <w:t>The marks will appear in the order of sections a) to g) of numeral 6.3.5, each of the established elements of the mark must be clearly separated, for example by an oblique bar or a space, so that they are easily identifiable. See the examples in point 6.4.</w:t>
            </w:r>
          </w:p>
        </w:tc>
      </w:tr>
      <w:tr w:rsidR="00B709A9" w14:paraId="75924AA1" w14:textId="77777777" w:rsidTr="00B709A9">
        <w:tc>
          <w:tcPr>
            <w:tcW w:w="4788" w:type="dxa"/>
            <w:hideMark/>
          </w:tcPr>
          <w:p w14:paraId="47D1C649" w14:textId="77777777" w:rsidR="00B709A9" w:rsidRDefault="00B709A9">
            <w:pPr>
              <w:pStyle w:val="Texto"/>
              <w:spacing w:line="256" w:lineRule="exact"/>
              <w:ind w:firstLine="0"/>
              <w:rPr>
                <w:rFonts w:ascii="Verdana" w:hAnsi="Verdana"/>
                <w:sz w:val="16"/>
                <w:szCs w:val="16"/>
              </w:rPr>
            </w:pPr>
            <w:r>
              <w:rPr>
                <w:rFonts w:ascii="Verdana" w:hAnsi="Verdana"/>
                <w:sz w:val="16"/>
                <w:szCs w:val="16"/>
              </w:rPr>
              <w:t xml:space="preserve">Las marcas adicionales admitidas por la autoridad competente no habrán de impedir que se identifiquen </w:t>
            </w:r>
            <w:r>
              <w:rPr>
                <w:rFonts w:ascii="Verdana" w:hAnsi="Verdana"/>
                <w:sz w:val="16"/>
                <w:szCs w:val="16"/>
              </w:rPr>
              <w:lastRenderedPageBreak/>
              <w:t>correctamente las partes de la marca al tenor de lo especificado en el numeral 6.3.4.</w:t>
            </w:r>
          </w:p>
        </w:tc>
        <w:tc>
          <w:tcPr>
            <w:tcW w:w="4788" w:type="dxa"/>
            <w:hideMark/>
          </w:tcPr>
          <w:p w14:paraId="55B0AAB8" w14:textId="77777777" w:rsidR="00B709A9" w:rsidRDefault="00B709A9">
            <w:pPr>
              <w:pStyle w:val="Texto"/>
              <w:spacing w:line="256" w:lineRule="exact"/>
              <w:ind w:firstLine="0"/>
              <w:rPr>
                <w:rFonts w:ascii="Verdana" w:hAnsi="Verdana"/>
                <w:sz w:val="16"/>
                <w:szCs w:val="16"/>
                <w:lang w:val="en-US"/>
              </w:rPr>
            </w:pPr>
            <w:r>
              <w:rPr>
                <w:rFonts w:ascii="Verdana" w:hAnsi="Verdana"/>
                <w:sz w:val="16"/>
                <w:szCs w:val="16"/>
                <w:lang w:val="en-US"/>
              </w:rPr>
              <w:lastRenderedPageBreak/>
              <w:t xml:space="preserve">The additional marks admitted by the appropriate authority shall not prevent the parts of the mark from </w:t>
            </w:r>
            <w:r>
              <w:rPr>
                <w:rFonts w:ascii="Verdana" w:hAnsi="Verdana"/>
                <w:sz w:val="16"/>
                <w:szCs w:val="16"/>
                <w:lang w:val="en-US"/>
              </w:rPr>
              <w:lastRenderedPageBreak/>
              <w:t>being correctly identified in accordance with what is specified in section 6.3.4.</w:t>
            </w:r>
          </w:p>
        </w:tc>
      </w:tr>
      <w:tr w:rsidR="00B709A9" w14:paraId="52F19885" w14:textId="77777777" w:rsidTr="00B709A9">
        <w:tc>
          <w:tcPr>
            <w:tcW w:w="4788" w:type="dxa"/>
            <w:hideMark/>
          </w:tcPr>
          <w:p w14:paraId="0845F103" w14:textId="77777777" w:rsidR="00B709A9" w:rsidRDefault="00B709A9">
            <w:pPr>
              <w:pStyle w:val="Texto"/>
              <w:ind w:firstLine="0"/>
              <w:rPr>
                <w:rFonts w:ascii="Verdana" w:hAnsi="Verdana"/>
                <w:sz w:val="16"/>
                <w:szCs w:val="16"/>
              </w:rPr>
            </w:pPr>
            <w:r>
              <w:rPr>
                <w:rFonts w:ascii="Verdana" w:hAnsi="Verdana"/>
                <w:b/>
                <w:sz w:val="16"/>
                <w:szCs w:val="16"/>
              </w:rPr>
              <w:lastRenderedPageBreak/>
              <w:t>6.4</w:t>
            </w:r>
            <w:r>
              <w:rPr>
                <w:rFonts w:ascii="Verdana" w:hAnsi="Verdana"/>
                <w:sz w:val="16"/>
                <w:szCs w:val="16"/>
              </w:rPr>
              <w:t xml:space="preserve"> Ejemplo de marca.</w:t>
            </w:r>
          </w:p>
        </w:tc>
        <w:tc>
          <w:tcPr>
            <w:tcW w:w="4788" w:type="dxa"/>
            <w:hideMark/>
          </w:tcPr>
          <w:p w14:paraId="7E3BB091" w14:textId="77777777" w:rsidR="00B709A9" w:rsidRDefault="00B709A9">
            <w:pPr>
              <w:pStyle w:val="Texto"/>
              <w:ind w:firstLine="0"/>
              <w:rPr>
                <w:rFonts w:ascii="Verdana" w:hAnsi="Verdana"/>
                <w:b/>
                <w:sz w:val="16"/>
                <w:szCs w:val="16"/>
                <w:lang w:val="en-US"/>
              </w:rPr>
            </w:pPr>
            <w:r>
              <w:rPr>
                <w:rFonts w:ascii="Verdana" w:hAnsi="Verdana"/>
                <w:b/>
                <w:sz w:val="16"/>
                <w:szCs w:val="16"/>
                <w:lang w:val="en-US"/>
              </w:rPr>
              <w:t xml:space="preserve">6.4 </w:t>
            </w:r>
            <w:r>
              <w:rPr>
                <w:rFonts w:ascii="Verdana" w:hAnsi="Verdana"/>
                <w:sz w:val="16"/>
                <w:szCs w:val="16"/>
                <w:lang w:val="en-US"/>
              </w:rPr>
              <w:t>Brand example.</w:t>
            </w:r>
          </w:p>
        </w:tc>
      </w:tr>
    </w:tbl>
    <w:p w14:paraId="19750B3F" w14:textId="56B360F8" w:rsidR="00B709A9" w:rsidRDefault="00B709A9" w:rsidP="00B709A9">
      <w:pPr>
        <w:pStyle w:val="Texto"/>
        <w:spacing w:line="240" w:lineRule="auto"/>
        <w:jc w:val="center"/>
        <w:rPr>
          <w:rFonts w:ascii="Verdana" w:hAnsi="Verdana"/>
          <w:b/>
          <w:sz w:val="16"/>
          <w:szCs w:val="16"/>
        </w:rPr>
      </w:pPr>
      <w:r>
        <w:rPr>
          <w:noProof/>
        </w:rPr>
        <w:drawing>
          <wp:inline distT="0" distB="0" distL="0" distR="0" wp14:anchorId="620AF8D5" wp14:editId="58412849">
            <wp:extent cx="3950335" cy="1591310"/>
            <wp:effectExtent l="0" t="0" r="0" b="8890"/>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 application, Wor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34689" t="36932" r="32185" b="39372"/>
                    <a:stretch>
                      <a:fillRect/>
                    </a:stretch>
                  </pic:blipFill>
                  <pic:spPr bwMode="auto">
                    <a:xfrm>
                      <a:off x="0" y="0"/>
                      <a:ext cx="3950335" cy="1591310"/>
                    </a:xfrm>
                    <a:prstGeom prst="rect">
                      <a:avLst/>
                    </a:prstGeom>
                    <a:noFill/>
                    <a:ln>
                      <a:noFill/>
                    </a:ln>
                  </pic:spPr>
                </pic:pic>
              </a:graphicData>
            </a:graphic>
          </wp:inline>
        </w:drawing>
      </w:r>
    </w:p>
    <w:tbl>
      <w:tblPr>
        <w:tblW w:w="0" w:type="auto"/>
        <w:tblLook w:val="04A0" w:firstRow="1" w:lastRow="0" w:firstColumn="1" w:lastColumn="0" w:noHBand="0" w:noVBand="1"/>
      </w:tblPr>
      <w:tblGrid>
        <w:gridCol w:w="4686"/>
        <w:gridCol w:w="4674"/>
      </w:tblGrid>
      <w:tr w:rsidR="00B709A9" w14:paraId="26ABDA65" w14:textId="77777777" w:rsidTr="00B709A9">
        <w:tc>
          <w:tcPr>
            <w:tcW w:w="4788" w:type="dxa"/>
            <w:hideMark/>
          </w:tcPr>
          <w:p w14:paraId="3A3D3D10"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w:t>
            </w:r>
            <w:r>
              <w:rPr>
                <w:rFonts w:ascii="Verdana" w:hAnsi="Verdana"/>
                <w:sz w:val="16"/>
                <w:szCs w:val="16"/>
              </w:rPr>
              <w:t xml:space="preserve"> Especificaciones relativas a los ensayos (pruebas) de los envases y embalajes.</w:t>
            </w:r>
          </w:p>
        </w:tc>
        <w:tc>
          <w:tcPr>
            <w:tcW w:w="4788" w:type="dxa"/>
            <w:hideMark/>
          </w:tcPr>
          <w:p w14:paraId="5A5C6C19"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 </w:t>
            </w:r>
            <w:r>
              <w:rPr>
                <w:rFonts w:ascii="Verdana" w:hAnsi="Verdana"/>
                <w:sz w:val="16"/>
                <w:szCs w:val="16"/>
                <w:lang w:val="en-US"/>
              </w:rPr>
              <w:t>Specifications relating to the trials (tests) of containers and packaging.</w:t>
            </w:r>
          </w:p>
        </w:tc>
      </w:tr>
      <w:tr w:rsidR="00B709A9" w14:paraId="5527A303" w14:textId="77777777" w:rsidTr="00B709A9">
        <w:tc>
          <w:tcPr>
            <w:tcW w:w="4788" w:type="dxa"/>
            <w:hideMark/>
          </w:tcPr>
          <w:p w14:paraId="29E609F8"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6.5.1</w:t>
            </w:r>
            <w:r>
              <w:rPr>
                <w:rFonts w:ascii="Verdana" w:hAnsi="Verdana"/>
                <w:sz w:val="16"/>
                <w:szCs w:val="16"/>
              </w:rPr>
              <w:t xml:space="preserve"> Realización y frecuencia de los ensayos (pruebas).</w:t>
            </w:r>
          </w:p>
        </w:tc>
        <w:tc>
          <w:tcPr>
            <w:tcW w:w="4788" w:type="dxa"/>
            <w:hideMark/>
          </w:tcPr>
          <w:p w14:paraId="79192830"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 </w:t>
            </w:r>
            <w:r>
              <w:rPr>
                <w:rFonts w:ascii="Verdana" w:hAnsi="Verdana"/>
                <w:sz w:val="16"/>
                <w:szCs w:val="16"/>
                <w:lang w:val="en-US"/>
              </w:rPr>
              <w:t>Performance and frequency of trials (tests).</w:t>
            </w:r>
          </w:p>
        </w:tc>
      </w:tr>
      <w:tr w:rsidR="00B709A9" w14:paraId="4567C875" w14:textId="77777777" w:rsidTr="00B709A9">
        <w:tc>
          <w:tcPr>
            <w:tcW w:w="4788" w:type="dxa"/>
            <w:hideMark/>
          </w:tcPr>
          <w:p w14:paraId="6CA58161"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6.5.1.1</w:t>
            </w:r>
            <w:r>
              <w:rPr>
                <w:rFonts w:ascii="Verdana" w:hAnsi="Verdana"/>
                <w:sz w:val="16"/>
                <w:szCs w:val="16"/>
              </w:rPr>
              <w:t xml:space="preserve"> Cada modelo tipo de envase y/o embalaje debe ser sometido a los ensayos (pruebas) que se establecen en esta sección, con arreglo a los procedimientos establecidos por la autoridad competente.</w:t>
            </w:r>
          </w:p>
        </w:tc>
        <w:tc>
          <w:tcPr>
            <w:tcW w:w="4788" w:type="dxa"/>
            <w:hideMark/>
          </w:tcPr>
          <w:p w14:paraId="24615788"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6.5.1.1 </w:t>
            </w:r>
            <w:r>
              <w:rPr>
                <w:rFonts w:ascii="Verdana" w:hAnsi="Verdana"/>
                <w:sz w:val="16"/>
                <w:szCs w:val="16"/>
                <w:lang w:val="en-US"/>
              </w:rPr>
              <w:t>Each model type of container and/or packaging must be subjected to the trials (tests) established in this section, in accordance with the procedures established by the appropriate authority.</w:t>
            </w:r>
          </w:p>
        </w:tc>
      </w:tr>
      <w:tr w:rsidR="00B709A9" w14:paraId="7BA8FD85" w14:textId="77777777" w:rsidTr="00B709A9">
        <w:tc>
          <w:tcPr>
            <w:tcW w:w="4788" w:type="dxa"/>
            <w:hideMark/>
          </w:tcPr>
          <w:p w14:paraId="3982185B"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6.5.1.2</w:t>
            </w:r>
            <w:r>
              <w:rPr>
                <w:rFonts w:ascii="Verdana" w:hAnsi="Verdana"/>
                <w:sz w:val="16"/>
                <w:szCs w:val="16"/>
              </w:rPr>
              <w:t xml:space="preserve"> Antes de que vaya a utilizarse un envase y/o embalaje, el modelo tipo correspondiente tendrá que haber superado los ensayos (pruebas) especificados en la presente Norma Oficial Mexicana. Cada modelo tipo de envase y/o embalaje se define por su diseño, su tamaño, los materiales utilizados y su espesor, sus características de construcción y de envasado y embalado, pero puede también incluir diversos tratamientos de superficie. A este modelo tipo corresponderán igualmente los envases y/o embalajes que sólo difieran de él por su menor altura.</w:t>
            </w:r>
          </w:p>
        </w:tc>
        <w:tc>
          <w:tcPr>
            <w:tcW w:w="4788" w:type="dxa"/>
            <w:hideMark/>
          </w:tcPr>
          <w:p w14:paraId="4EED2B75"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6.5.1.2 </w:t>
            </w:r>
            <w:r>
              <w:rPr>
                <w:rFonts w:ascii="Verdana" w:hAnsi="Verdana"/>
                <w:sz w:val="16"/>
                <w:szCs w:val="16"/>
                <w:lang w:val="en-US"/>
              </w:rPr>
              <w:t>Before a container and/or packaging is to be used, the corresponding model type must have passed the trials (tests) specified in this Official Mexican Standard. Each type of container and/or packaging model is defined by its design, its size, the materials used and its thickness, its construction and packaging characteristics, but it may also include various surface treatments. Containers and/or packaging that only differ from it by their lower height will also correspond to this standard model.</w:t>
            </w:r>
          </w:p>
        </w:tc>
      </w:tr>
      <w:tr w:rsidR="00B709A9" w14:paraId="5CDDE7D9" w14:textId="77777777" w:rsidTr="00B709A9">
        <w:tc>
          <w:tcPr>
            <w:tcW w:w="4788" w:type="dxa"/>
            <w:hideMark/>
          </w:tcPr>
          <w:p w14:paraId="1D12C53D"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6.5.1.3</w:t>
            </w:r>
            <w:r>
              <w:rPr>
                <w:rFonts w:ascii="Verdana" w:hAnsi="Verdana"/>
                <w:sz w:val="16"/>
                <w:szCs w:val="16"/>
              </w:rPr>
              <w:t xml:space="preserve"> Los ensayos (pruebas) se repetirán con muestras de producción a intervalos fijados por la autoridad competente.</w:t>
            </w:r>
          </w:p>
        </w:tc>
        <w:tc>
          <w:tcPr>
            <w:tcW w:w="4788" w:type="dxa"/>
            <w:hideMark/>
          </w:tcPr>
          <w:p w14:paraId="74257A9E"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6.5.1.3 </w:t>
            </w:r>
            <w:r>
              <w:rPr>
                <w:rFonts w:ascii="Verdana" w:hAnsi="Verdana"/>
                <w:sz w:val="16"/>
                <w:szCs w:val="16"/>
                <w:lang w:val="en-US"/>
              </w:rPr>
              <w:t>The trials (tests) will be repeated with production samples at intervals set by the appropriate authority.</w:t>
            </w:r>
          </w:p>
        </w:tc>
      </w:tr>
      <w:tr w:rsidR="00B709A9" w14:paraId="412F0D1D" w14:textId="77777777" w:rsidTr="00B709A9">
        <w:tc>
          <w:tcPr>
            <w:tcW w:w="4788" w:type="dxa"/>
            <w:hideMark/>
          </w:tcPr>
          <w:p w14:paraId="481451C3"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6.5.1.4</w:t>
            </w:r>
            <w:r>
              <w:rPr>
                <w:rFonts w:ascii="Verdana" w:hAnsi="Verdana"/>
                <w:sz w:val="16"/>
                <w:szCs w:val="16"/>
              </w:rPr>
              <w:t xml:space="preserve"> Los ensayos (pruebas) se repetirán también después de cada modificación que altere el diseño, el material o el modo de construcción de un envase y/o embalaje.</w:t>
            </w:r>
          </w:p>
        </w:tc>
        <w:tc>
          <w:tcPr>
            <w:tcW w:w="4788" w:type="dxa"/>
            <w:hideMark/>
          </w:tcPr>
          <w:p w14:paraId="4E918F30"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6.5.1.4 </w:t>
            </w:r>
            <w:r>
              <w:rPr>
                <w:rFonts w:ascii="Verdana" w:hAnsi="Verdana"/>
                <w:sz w:val="16"/>
                <w:szCs w:val="16"/>
                <w:lang w:val="en-US"/>
              </w:rPr>
              <w:t xml:space="preserve">The trials (tests) will also be repeated after each modification that alters the design, the </w:t>
            </w:r>
            <w:proofErr w:type="gramStart"/>
            <w:r>
              <w:rPr>
                <w:rFonts w:ascii="Verdana" w:hAnsi="Verdana"/>
                <w:sz w:val="16"/>
                <w:szCs w:val="16"/>
                <w:lang w:val="en-US"/>
              </w:rPr>
              <w:t>material</w:t>
            </w:r>
            <w:proofErr w:type="gramEnd"/>
            <w:r>
              <w:rPr>
                <w:rFonts w:ascii="Verdana" w:hAnsi="Verdana"/>
                <w:sz w:val="16"/>
                <w:szCs w:val="16"/>
                <w:lang w:val="en-US"/>
              </w:rPr>
              <w:t xml:space="preserve"> or the method of construction of a container and/or packaging.</w:t>
            </w:r>
          </w:p>
        </w:tc>
      </w:tr>
      <w:tr w:rsidR="00B709A9" w14:paraId="484AB322" w14:textId="77777777" w:rsidTr="00B709A9">
        <w:tc>
          <w:tcPr>
            <w:tcW w:w="4788" w:type="dxa"/>
            <w:hideMark/>
          </w:tcPr>
          <w:p w14:paraId="4516E1DC"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t>6.5.1.5</w:t>
            </w:r>
            <w:r>
              <w:rPr>
                <w:rFonts w:ascii="Verdana" w:hAnsi="Verdana"/>
                <w:sz w:val="16"/>
                <w:szCs w:val="16"/>
              </w:rPr>
              <w:t xml:space="preserve"> La autoridad competente puede permitir que se sometan a ensayos (pruebas) selectivos envases y/o embalajes que sólo difieren en aspectos poco importantes de un modelo ya ensayado (probado), como la menor masa neta de los recipientes primarios, o envases y/o embalajes como bidones y cajas con una o varias de sus dimensiones exteriores ligeramente reducidas.</w:t>
            </w:r>
          </w:p>
        </w:tc>
        <w:tc>
          <w:tcPr>
            <w:tcW w:w="4788" w:type="dxa"/>
            <w:hideMark/>
          </w:tcPr>
          <w:p w14:paraId="19E383F9"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6.5.1.5 </w:t>
            </w:r>
            <w:r>
              <w:rPr>
                <w:rFonts w:ascii="Verdana" w:hAnsi="Verdana"/>
                <w:sz w:val="16"/>
                <w:szCs w:val="16"/>
                <w:lang w:val="en-US"/>
              </w:rPr>
              <w:t>The appropriate authority may allow containers and/or packaging to be subjected to selective trials (tests) that differ only in minor aspects from an already tested (proven) model, such as the lower net mass of the primary containers, or packages and/or packaging such as drums and boxes with one or more of their external dimensions slightly reduced.</w:t>
            </w:r>
          </w:p>
        </w:tc>
      </w:tr>
      <w:tr w:rsidR="00B709A9" w14:paraId="18F32BC4" w14:textId="77777777" w:rsidTr="00B709A9">
        <w:tc>
          <w:tcPr>
            <w:tcW w:w="4788" w:type="dxa"/>
            <w:hideMark/>
          </w:tcPr>
          <w:p w14:paraId="74C70AB9" w14:textId="77777777" w:rsidR="00B709A9" w:rsidRDefault="00B709A9">
            <w:pPr>
              <w:pStyle w:val="Texto"/>
              <w:spacing w:line="242" w:lineRule="exact"/>
              <w:ind w:firstLine="0"/>
              <w:rPr>
                <w:rFonts w:ascii="Verdana" w:hAnsi="Verdana"/>
                <w:sz w:val="16"/>
                <w:szCs w:val="16"/>
              </w:rPr>
            </w:pPr>
            <w:r>
              <w:rPr>
                <w:rFonts w:ascii="Verdana" w:hAnsi="Verdana"/>
                <w:b/>
                <w:sz w:val="16"/>
                <w:szCs w:val="16"/>
              </w:rPr>
              <w:lastRenderedPageBreak/>
              <w:t>6.5.1.6</w:t>
            </w:r>
            <w:r>
              <w:rPr>
                <w:rFonts w:ascii="Verdana" w:hAnsi="Verdana"/>
                <w:sz w:val="16"/>
                <w:szCs w:val="16"/>
              </w:rPr>
              <w:t xml:space="preserve"> Los recipientes primarios de todos los tipos pueden reunirse dentro de un envase y/o embalaje secundario y transportarse sin ser sometidos a ensayo (prueba) en el envase y embalaje exterior rígido, en las siguientes condiciones:</w:t>
            </w:r>
          </w:p>
        </w:tc>
        <w:tc>
          <w:tcPr>
            <w:tcW w:w="4788" w:type="dxa"/>
            <w:hideMark/>
          </w:tcPr>
          <w:p w14:paraId="12F34037" w14:textId="77777777" w:rsidR="00B709A9" w:rsidRDefault="00B709A9">
            <w:pPr>
              <w:pStyle w:val="Texto"/>
              <w:spacing w:line="242" w:lineRule="exact"/>
              <w:ind w:firstLine="0"/>
              <w:rPr>
                <w:rFonts w:ascii="Verdana" w:hAnsi="Verdana"/>
                <w:b/>
                <w:sz w:val="16"/>
                <w:szCs w:val="16"/>
                <w:lang w:val="en-US"/>
              </w:rPr>
            </w:pPr>
            <w:r>
              <w:rPr>
                <w:rFonts w:ascii="Verdana" w:hAnsi="Verdana"/>
                <w:b/>
                <w:sz w:val="16"/>
                <w:szCs w:val="16"/>
                <w:lang w:val="en-US"/>
              </w:rPr>
              <w:t xml:space="preserve">6.5.1.6 </w:t>
            </w:r>
            <w:r>
              <w:rPr>
                <w:rFonts w:ascii="Verdana" w:hAnsi="Verdana"/>
                <w:sz w:val="16"/>
                <w:szCs w:val="16"/>
                <w:lang w:val="en-US"/>
              </w:rPr>
              <w:t>Primary receptacles of all types may be assembled within a container and/or secondary packaging and transported without being tested (proof) in the rigid outer container and packaging, under the following conditions:</w:t>
            </w:r>
          </w:p>
        </w:tc>
      </w:tr>
      <w:tr w:rsidR="00B709A9" w14:paraId="1657CB7A" w14:textId="77777777" w:rsidTr="00B709A9">
        <w:tc>
          <w:tcPr>
            <w:tcW w:w="4788" w:type="dxa"/>
            <w:hideMark/>
          </w:tcPr>
          <w:p w14:paraId="43E2B101" w14:textId="77777777" w:rsidR="00B709A9" w:rsidRDefault="00B709A9">
            <w:pPr>
              <w:pStyle w:val="ROMANOS"/>
              <w:spacing w:line="242" w:lineRule="exact"/>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El embalaje exterior rígido deberá haber sido sometido con éxito a los ensayos (pruebas) de caída del 6.5.2.2 con recipientes primarios frágiles (de vidrio o porcelana);</w:t>
            </w:r>
          </w:p>
        </w:tc>
        <w:tc>
          <w:tcPr>
            <w:tcW w:w="4788" w:type="dxa"/>
            <w:hideMark/>
          </w:tcPr>
          <w:p w14:paraId="6AAD530B" w14:textId="77777777" w:rsidR="00B709A9" w:rsidRDefault="00B709A9">
            <w:pPr>
              <w:pStyle w:val="ROMANOS"/>
              <w:spacing w:line="242" w:lineRule="exact"/>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The rigid outer packaging shall have been successfully subjected to the drop tests of 6.5.2.2 with fragile primary containers (glass or porcelain);</w:t>
            </w:r>
          </w:p>
        </w:tc>
      </w:tr>
      <w:tr w:rsidR="00B709A9" w14:paraId="1761E0EF" w14:textId="77777777" w:rsidTr="00B709A9">
        <w:tc>
          <w:tcPr>
            <w:tcW w:w="4788" w:type="dxa"/>
            <w:hideMark/>
          </w:tcPr>
          <w:p w14:paraId="4125D22D" w14:textId="77777777" w:rsidR="00B709A9" w:rsidRDefault="00B709A9">
            <w:pPr>
              <w:pStyle w:val="ROMANOS"/>
              <w:spacing w:line="242"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La masa bruta combinada total de los recipientes primarios no deberá ser superior a la mitad de la masa bruta de los recipientes primarios utilizados para los ensayos (pruebas) de caída a que se refiere el apartado a) anterior;</w:t>
            </w:r>
          </w:p>
        </w:tc>
        <w:tc>
          <w:tcPr>
            <w:tcW w:w="4788" w:type="dxa"/>
            <w:hideMark/>
          </w:tcPr>
          <w:p w14:paraId="62FCCD6E" w14:textId="77777777" w:rsidR="00B709A9" w:rsidRDefault="00B709A9">
            <w:pPr>
              <w:pStyle w:val="ROMANOS"/>
              <w:spacing w:line="242" w:lineRule="exact"/>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The total combined gross mass of the primary containers must not exceed half the gross mass of the primary containers used for the drop tests referred to in section a) above;</w:t>
            </w:r>
          </w:p>
        </w:tc>
      </w:tr>
      <w:tr w:rsidR="00B709A9" w14:paraId="61C13EAC" w14:textId="77777777" w:rsidTr="00B709A9">
        <w:tc>
          <w:tcPr>
            <w:tcW w:w="4788" w:type="dxa"/>
            <w:hideMark/>
          </w:tcPr>
          <w:p w14:paraId="20FF00DA" w14:textId="77777777" w:rsidR="00B709A9" w:rsidRDefault="00B709A9">
            <w:pPr>
              <w:pStyle w:val="ROMANOS"/>
              <w:spacing w:line="242"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El espesor del material de amortiguamiento entre los recipientes primarios entre sí y entre éstos y el exterior del envase y/o embalaje secundario no deberá ser inferior a los espesores correspondientes del envase y/o embalaje que ha superado los ensayos (pruebas) iniciales;</w:t>
            </w:r>
          </w:p>
        </w:tc>
        <w:tc>
          <w:tcPr>
            <w:tcW w:w="4788" w:type="dxa"/>
            <w:hideMark/>
          </w:tcPr>
          <w:p w14:paraId="71D05E5E" w14:textId="77777777" w:rsidR="00B709A9" w:rsidRDefault="00B709A9">
            <w:pPr>
              <w:pStyle w:val="ROMANOS"/>
              <w:spacing w:line="242"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The thickness of the cushioning material between the primary containers and between them and the outside of the container and/or secondary packaging must not be less than the corresponding thickness of the container and/or packaging that has passed the initial tests;</w:t>
            </w:r>
          </w:p>
        </w:tc>
      </w:tr>
      <w:tr w:rsidR="00B709A9" w14:paraId="6F12436C" w14:textId="77777777" w:rsidTr="00B709A9">
        <w:tc>
          <w:tcPr>
            <w:tcW w:w="4788" w:type="dxa"/>
            <w:hideMark/>
          </w:tcPr>
          <w:p w14:paraId="4D8E3682" w14:textId="77777777" w:rsidR="00B709A9" w:rsidRDefault="00B709A9">
            <w:pPr>
              <w:pStyle w:val="ROMANOS"/>
              <w:spacing w:line="242" w:lineRule="exact"/>
              <w:ind w:left="0" w:firstLine="0"/>
              <w:rPr>
                <w:rFonts w:ascii="Verdana" w:hAnsi="Verdana"/>
                <w:sz w:val="16"/>
                <w:szCs w:val="16"/>
              </w:rPr>
            </w:pPr>
            <w:r>
              <w:rPr>
                <w:rFonts w:ascii="Verdana" w:hAnsi="Verdana"/>
                <w:sz w:val="16"/>
                <w:szCs w:val="16"/>
                <w:lang w:val="en-US"/>
              </w:rPr>
              <w:tab/>
            </w:r>
            <w:r>
              <w:rPr>
                <w:rFonts w:ascii="Verdana" w:hAnsi="Verdana"/>
                <w:sz w:val="16"/>
                <w:szCs w:val="16"/>
              </w:rPr>
              <w:t>Si se ha utilizado un solo recipiente primario en el ensayo (prueba) inicial, el espesor del material de amortiguamiento entre los recipientes primarios no deberá ser inferior al del material de amortiguamiento colocado entre el exterior del envase y/o embalaje secundario y el recipiente primario en el ensayo (prueba) inicial. Si se usan recipientes primarios en menor número o de tamaño más pequeño que en el ensayo (prueba) de caída, se utilizará material de amortiguamiento suplementario para rellenar los espacios huecos;</w:t>
            </w:r>
          </w:p>
        </w:tc>
        <w:tc>
          <w:tcPr>
            <w:tcW w:w="4788" w:type="dxa"/>
            <w:hideMark/>
          </w:tcPr>
          <w:p w14:paraId="63CDF3E3" w14:textId="77777777" w:rsidR="00B709A9" w:rsidRDefault="00B709A9">
            <w:pPr>
              <w:pStyle w:val="ROMANOS"/>
              <w:spacing w:line="242" w:lineRule="exact"/>
              <w:ind w:left="0" w:firstLine="0"/>
              <w:rPr>
                <w:rFonts w:ascii="Verdana" w:hAnsi="Verdana"/>
                <w:sz w:val="16"/>
                <w:szCs w:val="16"/>
                <w:lang w:val="en-US"/>
              </w:rPr>
            </w:pPr>
            <w:r w:rsidRPr="00B709A9">
              <w:rPr>
                <w:rFonts w:ascii="Verdana" w:hAnsi="Verdana"/>
                <w:sz w:val="16"/>
                <w:szCs w:val="16"/>
                <w:lang w:val="es-MX"/>
              </w:rPr>
              <w:tab/>
            </w:r>
            <w:r>
              <w:rPr>
                <w:rFonts w:ascii="Verdana" w:hAnsi="Verdana"/>
                <w:sz w:val="16"/>
                <w:szCs w:val="16"/>
                <w:lang w:val="en-US"/>
              </w:rPr>
              <w:t>If a single primary container has been used in the initial trial (test), the thickness of the cushioning material between the primary containers shall not be less than that of the cushioning material placed between the outside of the secondary container and/or packaging and the primary container in the initial trial. If fewer or smaller primary containers are used than in the drop trial (test), supplemental cushioning material will be used to fill void spaces;</w:t>
            </w:r>
          </w:p>
        </w:tc>
      </w:tr>
      <w:tr w:rsidR="00B709A9" w14:paraId="43CCD7A3" w14:textId="77777777" w:rsidTr="00B709A9">
        <w:tc>
          <w:tcPr>
            <w:tcW w:w="4788" w:type="dxa"/>
            <w:hideMark/>
          </w:tcPr>
          <w:p w14:paraId="2AB17F05" w14:textId="77777777" w:rsidR="00B709A9" w:rsidRDefault="00B709A9">
            <w:pPr>
              <w:pStyle w:val="ROMANOS"/>
              <w:spacing w:line="242" w:lineRule="exact"/>
              <w:ind w:left="0" w:firstLine="0"/>
              <w:rPr>
                <w:rFonts w:ascii="Verdana" w:hAnsi="Verdana"/>
                <w:sz w:val="16"/>
                <w:szCs w:val="16"/>
              </w:rPr>
            </w:pPr>
            <w:r>
              <w:rPr>
                <w:rFonts w:ascii="Verdana" w:hAnsi="Verdana"/>
                <w:b/>
                <w:sz w:val="16"/>
                <w:szCs w:val="16"/>
              </w:rPr>
              <w:t>d)</w:t>
            </w:r>
            <w:r>
              <w:rPr>
                <w:rFonts w:ascii="Verdana" w:hAnsi="Verdana"/>
                <w:b/>
                <w:sz w:val="16"/>
                <w:szCs w:val="16"/>
              </w:rPr>
              <w:tab/>
            </w:r>
            <w:r>
              <w:rPr>
                <w:rFonts w:ascii="Verdana" w:hAnsi="Verdana"/>
                <w:sz w:val="16"/>
                <w:szCs w:val="16"/>
              </w:rPr>
              <w:t>El envase y/o embalaje exterior rígido deberá haber sido sometido con éxito al ensayo (prueba) de apilamiento de la Norma Oficial Mexicana NOM-024-SCT2-2010 en vacío. La masa total de los embalajes idénticos deberá ser en función de la masa combinada de los envases y/o embalajes utilizados en el ensayo (prueba) de caída del apartado a) anterior;</w:t>
            </w:r>
          </w:p>
        </w:tc>
        <w:tc>
          <w:tcPr>
            <w:tcW w:w="4788" w:type="dxa"/>
            <w:hideMark/>
          </w:tcPr>
          <w:p w14:paraId="7662B529" w14:textId="77777777" w:rsidR="00B709A9" w:rsidRDefault="00B709A9">
            <w:pPr>
              <w:pStyle w:val="ROMANOS"/>
              <w:spacing w:line="242" w:lineRule="exact"/>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b/>
                <w:sz w:val="16"/>
                <w:szCs w:val="16"/>
                <w:lang w:val="en-US"/>
              </w:rPr>
              <w:tab/>
            </w:r>
            <w:r>
              <w:rPr>
                <w:rFonts w:ascii="Verdana" w:hAnsi="Verdana"/>
                <w:sz w:val="16"/>
                <w:szCs w:val="16"/>
                <w:lang w:val="en-US"/>
              </w:rPr>
              <w:t>The container and/or rigid outer packaging must have been successfully subjected to the empty stacking trial (test) of the Official Mexican Standard NOM-024-SCT2-2010. The total mass of the identical packages must be based on the combined mass of the containers and/or packages used in the drop trial (test) of section a) above;</w:t>
            </w:r>
          </w:p>
        </w:tc>
      </w:tr>
      <w:tr w:rsidR="00B709A9" w14:paraId="6F909EBC" w14:textId="77777777" w:rsidTr="00B709A9">
        <w:tc>
          <w:tcPr>
            <w:tcW w:w="4788" w:type="dxa"/>
            <w:hideMark/>
          </w:tcPr>
          <w:p w14:paraId="247957DE" w14:textId="77777777" w:rsidR="00B709A9" w:rsidRDefault="00B709A9">
            <w:pPr>
              <w:pStyle w:val="ROMANOS"/>
              <w:spacing w:line="242" w:lineRule="exact"/>
              <w:ind w:left="0" w:firstLine="0"/>
              <w:rPr>
                <w:rFonts w:ascii="Verdana" w:hAnsi="Verdana"/>
                <w:sz w:val="16"/>
                <w:szCs w:val="16"/>
              </w:rPr>
            </w:pPr>
            <w:r>
              <w:rPr>
                <w:rFonts w:ascii="Verdana" w:hAnsi="Verdana"/>
                <w:b/>
                <w:sz w:val="16"/>
                <w:szCs w:val="16"/>
              </w:rPr>
              <w:t>e)</w:t>
            </w:r>
            <w:r>
              <w:rPr>
                <w:rFonts w:ascii="Verdana" w:hAnsi="Verdana"/>
                <w:b/>
                <w:sz w:val="16"/>
                <w:szCs w:val="16"/>
              </w:rPr>
              <w:tab/>
            </w:r>
            <w:r>
              <w:rPr>
                <w:rFonts w:ascii="Verdana" w:hAnsi="Verdana"/>
                <w:sz w:val="16"/>
                <w:szCs w:val="16"/>
              </w:rPr>
              <w:t>Los recipientes primarios que contienen líquidos deberán estar rodeados de una cantidad suficiente de material absorbente para absorber la totalidad del líquido contenido en los recipientes primarios;</w:t>
            </w:r>
          </w:p>
        </w:tc>
        <w:tc>
          <w:tcPr>
            <w:tcW w:w="4788" w:type="dxa"/>
            <w:hideMark/>
          </w:tcPr>
          <w:p w14:paraId="5E2C9658" w14:textId="77777777" w:rsidR="00B709A9" w:rsidRDefault="00B709A9">
            <w:pPr>
              <w:pStyle w:val="ROMANOS"/>
              <w:spacing w:line="242" w:lineRule="exact"/>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b/>
                <w:sz w:val="16"/>
                <w:szCs w:val="16"/>
                <w:lang w:val="en-US"/>
              </w:rPr>
              <w:tab/>
            </w:r>
            <w:r>
              <w:rPr>
                <w:rFonts w:ascii="Verdana" w:hAnsi="Verdana"/>
                <w:sz w:val="16"/>
                <w:szCs w:val="16"/>
                <w:lang w:val="en-US"/>
              </w:rPr>
              <w:t xml:space="preserve">Primary containers containing liquids must be surrounded by </w:t>
            </w:r>
            <w:proofErr w:type="gramStart"/>
            <w:r>
              <w:rPr>
                <w:rFonts w:ascii="Verdana" w:hAnsi="Verdana"/>
                <w:sz w:val="16"/>
                <w:szCs w:val="16"/>
                <w:lang w:val="en-US"/>
              </w:rPr>
              <w:t>a sufficient amount of</w:t>
            </w:r>
            <w:proofErr w:type="gramEnd"/>
            <w:r>
              <w:rPr>
                <w:rFonts w:ascii="Verdana" w:hAnsi="Verdana"/>
                <w:sz w:val="16"/>
                <w:szCs w:val="16"/>
                <w:lang w:val="en-US"/>
              </w:rPr>
              <w:t xml:space="preserve"> absorbent material to absorb all of the liquid contained in the primary containers;</w:t>
            </w:r>
          </w:p>
        </w:tc>
      </w:tr>
      <w:tr w:rsidR="00B709A9" w14:paraId="02EE78B2" w14:textId="77777777" w:rsidTr="00B709A9">
        <w:tc>
          <w:tcPr>
            <w:tcW w:w="4788" w:type="dxa"/>
            <w:hideMark/>
          </w:tcPr>
          <w:p w14:paraId="1A267A4D" w14:textId="77777777" w:rsidR="00B709A9" w:rsidRDefault="00B709A9">
            <w:pPr>
              <w:pStyle w:val="ROMANOS"/>
              <w:spacing w:after="60"/>
              <w:ind w:left="0" w:firstLine="0"/>
              <w:rPr>
                <w:rFonts w:ascii="Verdana" w:hAnsi="Verdana"/>
                <w:sz w:val="16"/>
                <w:szCs w:val="16"/>
              </w:rPr>
            </w:pPr>
            <w:r>
              <w:rPr>
                <w:rFonts w:ascii="Verdana" w:hAnsi="Verdana"/>
                <w:b/>
                <w:sz w:val="16"/>
                <w:szCs w:val="16"/>
              </w:rPr>
              <w:t>f)</w:t>
            </w:r>
            <w:r>
              <w:rPr>
                <w:rFonts w:ascii="Verdana" w:hAnsi="Verdana"/>
                <w:b/>
                <w:sz w:val="16"/>
                <w:szCs w:val="16"/>
              </w:rPr>
              <w:tab/>
            </w:r>
            <w:r>
              <w:rPr>
                <w:rFonts w:ascii="Verdana" w:hAnsi="Verdana"/>
                <w:sz w:val="16"/>
                <w:szCs w:val="16"/>
              </w:rPr>
              <w:t xml:space="preserve">Si el envase y/o embalaje exterior rígido está destinado a contener recipientes primarios para líquidos y no es estanco a los líquidos, o si está destinado a contener recipientes primarios para sólidos y no es estanco a los pulverulentos, deberá estar provisto de un dispositivo destinado a impedir cualquier derramamiento de líquido o sólido en caso de fuga, bajo </w:t>
            </w:r>
            <w:r>
              <w:rPr>
                <w:rFonts w:ascii="Verdana" w:hAnsi="Verdana"/>
                <w:sz w:val="16"/>
                <w:szCs w:val="16"/>
              </w:rPr>
              <w:lastRenderedPageBreak/>
              <w:t>la forma de forro estanco, saco de material plástico o de cualquier otro medio de retención de igual eficacia;</w:t>
            </w:r>
          </w:p>
        </w:tc>
        <w:tc>
          <w:tcPr>
            <w:tcW w:w="4788" w:type="dxa"/>
            <w:hideMark/>
          </w:tcPr>
          <w:p w14:paraId="512E93F2" w14:textId="77777777" w:rsidR="00B709A9" w:rsidRDefault="00B709A9">
            <w:pPr>
              <w:pStyle w:val="ROMANOS"/>
              <w:spacing w:after="60"/>
              <w:ind w:left="0" w:firstLine="0"/>
              <w:rPr>
                <w:rFonts w:ascii="Verdana" w:hAnsi="Verdana"/>
                <w:b/>
                <w:sz w:val="16"/>
                <w:szCs w:val="16"/>
                <w:lang w:val="en-US"/>
              </w:rPr>
            </w:pPr>
            <w:r>
              <w:rPr>
                <w:rFonts w:ascii="Verdana" w:hAnsi="Verdana"/>
                <w:b/>
                <w:sz w:val="16"/>
                <w:szCs w:val="16"/>
                <w:lang w:val="en-US"/>
              </w:rPr>
              <w:lastRenderedPageBreak/>
              <w:t xml:space="preserve">f) </w:t>
            </w:r>
            <w:r>
              <w:rPr>
                <w:rFonts w:ascii="Verdana" w:hAnsi="Verdana"/>
                <w:b/>
                <w:sz w:val="16"/>
                <w:szCs w:val="16"/>
                <w:lang w:val="en-US"/>
              </w:rPr>
              <w:tab/>
            </w:r>
            <w:r>
              <w:rPr>
                <w:rFonts w:ascii="Verdana" w:hAnsi="Verdana"/>
                <w:sz w:val="16"/>
                <w:szCs w:val="16"/>
                <w:lang w:val="en-US"/>
              </w:rPr>
              <w:t xml:space="preserve">If the rigid outer container and/or packaging is intended to contain primary containers for liquids and is not liquid-tight, or if it is intended to contain primary containers for solids and is not powder-tight, it must be provided with a device designed to prevent any spillage of liquid or solid in the event of a leak, in the form of a </w:t>
            </w:r>
            <w:r>
              <w:rPr>
                <w:rFonts w:ascii="Verdana" w:hAnsi="Verdana"/>
                <w:sz w:val="16"/>
                <w:szCs w:val="16"/>
                <w:lang w:val="en-US"/>
              </w:rPr>
              <w:lastRenderedPageBreak/>
              <w:t>watertight lining, a plastic bag or any other equally effective means of retention;</w:t>
            </w:r>
          </w:p>
        </w:tc>
      </w:tr>
      <w:tr w:rsidR="00B709A9" w14:paraId="20A141BB" w14:textId="77777777" w:rsidTr="00B709A9">
        <w:tc>
          <w:tcPr>
            <w:tcW w:w="4788" w:type="dxa"/>
            <w:hideMark/>
          </w:tcPr>
          <w:p w14:paraId="1198E69C" w14:textId="77777777" w:rsidR="00B709A9" w:rsidRDefault="00B709A9">
            <w:pPr>
              <w:pStyle w:val="ROMANOS"/>
              <w:spacing w:after="60"/>
              <w:ind w:left="0" w:firstLine="0"/>
              <w:rPr>
                <w:rFonts w:ascii="Verdana" w:hAnsi="Verdana"/>
                <w:sz w:val="16"/>
                <w:szCs w:val="16"/>
              </w:rPr>
            </w:pPr>
            <w:r>
              <w:rPr>
                <w:rFonts w:ascii="Verdana" w:hAnsi="Verdana"/>
                <w:b/>
                <w:sz w:val="16"/>
                <w:szCs w:val="16"/>
              </w:rPr>
              <w:lastRenderedPageBreak/>
              <w:t>g)</w:t>
            </w:r>
            <w:r>
              <w:rPr>
                <w:rFonts w:ascii="Verdana" w:hAnsi="Verdana"/>
                <w:b/>
                <w:sz w:val="16"/>
                <w:szCs w:val="16"/>
              </w:rPr>
              <w:tab/>
            </w:r>
            <w:r>
              <w:rPr>
                <w:rFonts w:ascii="Verdana" w:hAnsi="Verdana"/>
                <w:sz w:val="16"/>
                <w:szCs w:val="16"/>
              </w:rPr>
              <w:t>Además de las marcas prescritas en 6.3.5 a) a f), los envases y/o embalajes se marcarán de conformidad con lo dispuesto en 6.3.5 g).</w:t>
            </w:r>
          </w:p>
        </w:tc>
        <w:tc>
          <w:tcPr>
            <w:tcW w:w="4788" w:type="dxa"/>
            <w:hideMark/>
          </w:tcPr>
          <w:p w14:paraId="31D3AD04" w14:textId="77777777" w:rsidR="00B709A9" w:rsidRDefault="00B709A9">
            <w:pPr>
              <w:pStyle w:val="ROMANOS"/>
              <w:spacing w:after="60"/>
              <w:ind w:left="0" w:firstLine="0"/>
              <w:rPr>
                <w:rFonts w:ascii="Verdana" w:hAnsi="Verdana"/>
                <w:b/>
                <w:sz w:val="16"/>
                <w:szCs w:val="16"/>
                <w:lang w:val="en-US"/>
              </w:rPr>
            </w:pPr>
            <w:r>
              <w:rPr>
                <w:rFonts w:ascii="Verdana" w:hAnsi="Verdana"/>
                <w:b/>
                <w:sz w:val="16"/>
                <w:szCs w:val="16"/>
                <w:lang w:val="en-US"/>
              </w:rPr>
              <w:t xml:space="preserve">g) </w:t>
            </w:r>
            <w:r>
              <w:rPr>
                <w:rFonts w:ascii="Verdana" w:hAnsi="Verdana"/>
                <w:b/>
                <w:sz w:val="16"/>
                <w:szCs w:val="16"/>
                <w:lang w:val="en-US"/>
              </w:rPr>
              <w:tab/>
            </w:r>
            <w:r>
              <w:rPr>
                <w:rFonts w:ascii="Verdana" w:hAnsi="Verdana"/>
                <w:sz w:val="16"/>
                <w:szCs w:val="16"/>
                <w:lang w:val="en-US"/>
              </w:rPr>
              <w:t>In addition to the marks prescribed in 6.3.5 a) to f), containers and/or packaging shall be marked in accordance with the provisions of 6.3.5 g).</w:t>
            </w:r>
          </w:p>
        </w:tc>
      </w:tr>
      <w:tr w:rsidR="00B709A9" w14:paraId="11B7247A" w14:textId="77777777" w:rsidTr="00B709A9">
        <w:tc>
          <w:tcPr>
            <w:tcW w:w="4788" w:type="dxa"/>
            <w:hideMark/>
          </w:tcPr>
          <w:p w14:paraId="65635D27" w14:textId="77777777" w:rsidR="00B709A9" w:rsidRDefault="00B709A9">
            <w:pPr>
              <w:pStyle w:val="Texto"/>
              <w:spacing w:after="60"/>
              <w:ind w:firstLine="0"/>
              <w:rPr>
                <w:rFonts w:ascii="Verdana" w:hAnsi="Verdana"/>
                <w:sz w:val="16"/>
                <w:szCs w:val="16"/>
              </w:rPr>
            </w:pPr>
            <w:r>
              <w:rPr>
                <w:rFonts w:ascii="Verdana" w:hAnsi="Verdana"/>
                <w:b/>
                <w:sz w:val="16"/>
                <w:szCs w:val="16"/>
              </w:rPr>
              <w:t>6.5.1.7</w:t>
            </w:r>
            <w:r>
              <w:rPr>
                <w:rFonts w:ascii="Verdana" w:hAnsi="Verdana"/>
                <w:sz w:val="16"/>
                <w:szCs w:val="16"/>
              </w:rPr>
              <w:t xml:space="preserve"> La autoridad competente puede solicitar en cualquier momento que se demuestre, mediante la ejecución de los ensayos (pruebas) indicados en la presente Norma Oficial Mexicana, de que los envases y/o embalajes producidos en serie satisfacen los ensayos (pruebas) superados por el modelo tipo.</w:t>
            </w:r>
          </w:p>
        </w:tc>
        <w:tc>
          <w:tcPr>
            <w:tcW w:w="4788" w:type="dxa"/>
            <w:hideMark/>
          </w:tcPr>
          <w:p w14:paraId="2FF9802E"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6.5.1.7 </w:t>
            </w:r>
            <w:r>
              <w:rPr>
                <w:rFonts w:ascii="Verdana" w:hAnsi="Verdana"/>
                <w:sz w:val="16"/>
                <w:szCs w:val="16"/>
                <w:lang w:val="en-US"/>
              </w:rPr>
              <w:t>The appropriate authority may request at any time that it be demonstrated, through the execution of the trials (tests) indicated in this Official Mexican Standard, that the containers and/or packaging produced in series satisfy the trials (tests) passed. for the model type.</w:t>
            </w:r>
          </w:p>
        </w:tc>
      </w:tr>
      <w:tr w:rsidR="00B709A9" w14:paraId="061995CC" w14:textId="77777777" w:rsidTr="00B709A9">
        <w:tc>
          <w:tcPr>
            <w:tcW w:w="4788" w:type="dxa"/>
            <w:hideMark/>
          </w:tcPr>
          <w:p w14:paraId="39FF25E7" w14:textId="77777777" w:rsidR="00B709A9" w:rsidRDefault="00B709A9">
            <w:pPr>
              <w:pStyle w:val="Texto"/>
              <w:spacing w:after="60"/>
              <w:ind w:firstLine="0"/>
              <w:rPr>
                <w:rFonts w:ascii="Verdana" w:hAnsi="Verdana"/>
                <w:b/>
                <w:sz w:val="16"/>
                <w:szCs w:val="16"/>
              </w:rPr>
            </w:pPr>
            <w:r>
              <w:rPr>
                <w:rFonts w:ascii="Verdana" w:hAnsi="Verdana"/>
                <w:b/>
                <w:sz w:val="16"/>
                <w:szCs w:val="16"/>
              </w:rPr>
              <w:t>6.5.1.8</w:t>
            </w:r>
            <w:r>
              <w:rPr>
                <w:rFonts w:ascii="Verdana" w:hAnsi="Verdana"/>
                <w:sz w:val="16"/>
                <w:szCs w:val="16"/>
              </w:rPr>
              <w:t xml:space="preserve"> Pueden efectuarse varios ensayos (pruebas) con una misma muestra, siempre y cuando la validez de los resultados de los ensayos (pruebas) no quede afectada por ello y se cuente con la aprobación de la autoridad competente.</w:t>
            </w:r>
          </w:p>
        </w:tc>
        <w:tc>
          <w:tcPr>
            <w:tcW w:w="4788" w:type="dxa"/>
            <w:hideMark/>
          </w:tcPr>
          <w:p w14:paraId="0C5DD0A2"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6.5.1.8 </w:t>
            </w:r>
            <w:r>
              <w:rPr>
                <w:rFonts w:ascii="Verdana" w:hAnsi="Verdana"/>
                <w:sz w:val="16"/>
                <w:szCs w:val="16"/>
                <w:lang w:val="en-US"/>
              </w:rPr>
              <w:t xml:space="preserve">Several trials (tests) can be carried out with the same sample, </w:t>
            </w:r>
            <w:proofErr w:type="gramStart"/>
            <w:r>
              <w:rPr>
                <w:rFonts w:ascii="Verdana" w:hAnsi="Verdana"/>
                <w:sz w:val="16"/>
                <w:szCs w:val="16"/>
                <w:lang w:val="en-US"/>
              </w:rPr>
              <w:t>as long as</w:t>
            </w:r>
            <w:proofErr w:type="gramEnd"/>
            <w:r>
              <w:rPr>
                <w:rFonts w:ascii="Verdana" w:hAnsi="Verdana"/>
                <w:sz w:val="16"/>
                <w:szCs w:val="16"/>
                <w:lang w:val="en-US"/>
              </w:rPr>
              <w:t xml:space="preserve"> the validity of the results of the trials (tests) is not affected by it and the approval of the appropriate authority is available.</w:t>
            </w:r>
          </w:p>
        </w:tc>
      </w:tr>
      <w:tr w:rsidR="00B709A9" w14:paraId="54967E43" w14:textId="77777777" w:rsidTr="00B709A9">
        <w:tc>
          <w:tcPr>
            <w:tcW w:w="4788" w:type="dxa"/>
            <w:hideMark/>
          </w:tcPr>
          <w:p w14:paraId="1E945667" w14:textId="77777777" w:rsidR="00B709A9" w:rsidRDefault="00B709A9">
            <w:pPr>
              <w:pStyle w:val="Texto"/>
              <w:spacing w:after="60"/>
              <w:ind w:firstLine="0"/>
              <w:rPr>
                <w:rFonts w:ascii="Verdana" w:hAnsi="Verdana"/>
                <w:sz w:val="16"/>
                <w:szCs w:val="16"/>
              </w:rPr>
            </w:pPr>
            <w:r>
              <w:rPr>
                <w:rFonts w:ascii="Verdana" w:hAnsi="Verdana"/>
                <w:b/>
                <w:sz w:val="16"/>
                <w:szCs w:val="16"/>
              </w:rPr>
              <w:t>6.5.2</w:t>
            </w:r>
            <w:r>
              <w:rPr>
                <w:rFonts w:ascii="Verdana" w:hAnsi="Verdana"/>
                <w:sz w:val="16"/>
                <w:szCs w:val="16"/>
              </w:rPr>
              <w:t xml:space="preserve"> Preparación de los envases y/o embalajes para los ensayos (pruebas).</w:t>
            </w:r>
          </w:p>
        </w:tc>
        <w:tc>
          <w:tcPr>
            <w:tcW w:w="4788" w:type="dxa"/>
            <w:hideMark/>
          </w:tcPr>
          <w:p w14:paraId="3BC37619"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6.5.2 </w:t>
            </w:r>
            <w:r>
              <w:rPr>
                <w:rFonts w:ascii="Verdana" w:hAnsi="Verdana"/>
                <w:sz w:val="16"/>
                <w:szCs w:val="16"/>
                <w:lang w:val="en-US"/>
              </w:rPr>
              <w:t>Preparation of the containers and/or packaging for the trials (tests).</w:t>
            </w:r>
          </w:p>
        </w:tc>
      </w:tr>
      <w:tr w:rsidR="00B709A9" w14:paraId="61C0A214" w14:textId="77777777" w:rsidTr="00B709A9">
        <w:tc>
          <w:tcPr>
            <w:tcW w:w="4788" w:type="dxa"/>
            <w:hideMark/>
          </w:tcPr>
          <w:p w14:paraId="2C76C0BC" w14:textId="77777777" w:rsidR="00B709A9" w:rsidRDefault="00B709A9">
            <w:pPr>
              <w:pStyle w:val="Texto"/>
              <w:spacing w:after="60"/>
              <w:ind w:firstLine="0"/>
              <w:rPr>
                <w:rFonts w:ascii="Verdana" w:hAnsi="Verdana"/>
                <w:sz w:val="16"/>
                <w:szCs w:val="16"/>
              </w:rPr>
            </w:pPr>
            <w:r>
              <w:rPr>
                <w:rFonts w:ascii="Verdana" w:hAnsi="Verdana"/>
                <w:b/>
                <w:sz w:val="16"/>
                <w:szCs w:val="16"/>
              </w:rPr>
              <w:t>6.5.2.1</w:t>
            </w:r>
            <w:r>
              <w:rPr>
                <w:rFonts w:ascii="Verdana" w:hAnsi="Verdana"/>
                <w:sz w:val="16"/>
                <w:szCs w:val="16"/>
              </w:rPr>
              <w:t xml:space="preserve"> Las muestras de cada uno de los envases y/o embalajes se prepararán en la forma en que se presentan para el transporte, a menos que se trate de una substancia infecciosa líquida o sólida, en cuyo caso se le sustituirá por agua o, en los casos en que se especifica el acondicionamiento a -18°C, (a menos 18 grados centígrados) por una mezcla de agua con anticongelante. Cada uno de los recipientes primarios se llenará, como mínimo, al 98% de su capacidad.</w:t>
            </w:r>
          </w:p>
        </w:tc>
        <w:tc>
          <w:tcPr>
            <w:tcW w:w="4788" w:type="dxa"/>
            <w:hideMark/>
          </w:tcPr>
          <w:p w14:paraId="62CCB174"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6.5.2.1 </w:t>
            </w:r>
            <w:r>
              <w:rPr>
                <w:rFonts w:ascii="Verdana" w:hAnsi="Verdana"/>
                <w:sz w:val="16"/>
                <w:szCs w:val="16"/>
                <w:lang w:val="en-US"/>
              </w:rPr>
              <w:t>The samples of each one of the containers and/or packages will be prepared in the form in which they are presented for transport, unless it is a liquid or solid infectious substance, in which case it will be replaced by water or, in cases where conditioning is specified at -18°C, (minus 18 degrees Celsius) by a mixture of water with antifreeze. Each of the primary containers will be filled to a minimum of 98% capacity.</w:t>
            </w:r>
          </w:p>
        </w:tc>
      </w:tr>
      <w:tr w:rsidR="00B709A9" w14:paraId="25B1F46E" w14:textId="77777777" w:rsidTr="00B709A9">
        <w:tc>
          <w:tcPr>
            <w:tcW w:w="4788" w:type="dxa"/>
            <w:hideMark/>
          </w:tcPr>
          <w:p w14:paraId="3616CB88" w14:textId="77777777" w:rsidR="00B709A9" w:rsidRDefault="00B709A9">
            <w:pPr>
              <w:pStyle w:val="Texto"/>
              <w:spacing w:after="60"/>
              <w:ind w:firstLine="0"/>
              <w:rPr>
                <w:rFonts w:ascii="Verdana" w:hAnsi="Verdana"/>
                <w:sz w:val="16"/>
                <w:szCs w:val="16"/>
              </w:rPr>
            </w:pPr>
            <w:r>
              <w:rPr>
                <w:rFonts w:ascii="Verdana" w:hAnsi="Verdana"/>
                <w:b/>
                <w:sz w:val="16"/>
                <w:szCs w:val="16"/>
              </w:rPr>
              <w:t xml:space="preserve">6.5.2.1.1 </w:t>
            </w:r>
            <w:r>
              <w:rPr>
                <w:rFonts w:ascii="Verdana" w:hAnsi="Verdana"/>
                <w:sz w:val="16"/>
                <w:szCs w:val="16"/>
              </w:rPr>
              <w:t>Por "agua" se entiende también las soluciones agua/anticongelante con una densidad relativa mínima de 0,95 para los ensayos (pruebas) a -18°C (a menos 18 grados centígrados).</w:t>
            </w:r>
          </w:p>
        </w:tc>
        <w:tc>
          <w:tcPr>
            <w:tcW w:w="4788" w:type="dxa"/>
            <w:hideMark/>
          </w:tcPr>
          <w:p w14:paraId="238AFA52"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6.5.2.1.1 </w:t>
            </w:r>
            <w:r>
              <w:rPr>
                <w:rFonts w:ascii="Verdana" w:hAnsi="Verdana"/>
                <w:sz w:val="16"/>
                <w:szCs w:val="16"/>
                <w:lang w:val="en-US"/>
              </w:rPr>
              <w:t>"Water" also means water/antifreeze solutions with a minimum relative density of 0.95 for trials (tests) at -18°C (minus 18 degrees centigrade).</w:t>
            </w:r>
          </w:p>
        </w:tc>
      </w:tr>
      <w:tr w:rsidR="00B709A9" w14:paraId="657ACC80" w14:textId="77777777" w:rsidTr="00B709A9">
        <w:tc>
          <w:tcPr>
            <w:tcW w:w="4788" w:type="dxa"/>
            <w:hideMark/>
          </w:tcPr>
          <w:p w14:paraId="36FAF53B" w14:textId="77777777" w:rsidR="00B709A9" w:rsidRDefault="00B709A9">
            <w:pPr>
              <w:pStyle w:val="Texto"/>
              <w:spacing w:after="60"/>
              <w:ind w:firstLine="0"/>
              <w:rPr>
                <w:rFonts w:ascii="Verdana" w:hAnsi="Verdana"/>
                <w:sz w:val="16"/>
                <w:szCs w:val="16"/>
              </w:rPr>
            </w:pPr>
            <w:r>
              <w:rPr>
                <w:rFonts w:ascii="Verdana" w:hAnsi="Verdana"/>
                <w:b/>
                <w:sz w:val="16"/>
                <w:szCs w:val="16"/>
              </w:rPr>
              <w:t>6.5.2.2</w:t>
            </w:r>
            <w:r>
              <w:rPr>
                <w:rFonts w:ascii="Verdana" w:hAnsi="Verdana"/>
                <w:sz w:val="16"/>
                <w:szCs w:val="16"/>
              </w:rPr>
              <w:t xml:space="preserve"> Ensayos (pruebas) y número de muestras necesarias.</w:t>
            </w:r>
          </w:p>
        </w:tc>
        <w:tc>
          <w:tcPr>
            <w:tcW w:w="4788" w:type="dxa"/>
            <w:hideMark/>
          </w:tcPr>
          <w:p w14:paraId="549EA708"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6.5.2.2 </w:t>
            </w:r>
            <w:r>
              <w:rPr>
                <w:rFonts w:ascii="Verdana" w:hAnsi="Verdana"/>
                <w:sz w:val="16"/>
                <w:szCs w:val="16"/>
                <w:lang w:val="en-US"/>
              </w:rPr>
              <w:t>Trials (tests) and number of samples required.</w:t>
            </w:r>
          </w:p>
        </w:tc>
      </w:tr>
      <w:tr w:rsidR="00B709A9" w14:paraId="291FD280" w14:textId="77777777" w:rsidTr="00B709A9">
        <w:tc>
          <w:tcPr>
            <w:tcW w:w="4788" w:type="dxa"/>
            <w:hideMark/>
          </w:tcPr>
          <w:p w14:paraId="3304283D" w14:textId="77777777" w:rsidR="00B709A9" w:rsidRDefault="00B709A9">
            <w:pPr>
              <w:pStyle w:val="Texto"/>
              <w:spacing w:after="60"/>
              <w:ind w:firstLine="0"/>
              <w:rPr>
                <w:rFonts w:ascii="Verdana" w:hAnsi="Verdana"/>
                <w:sz w:val="16"/>
                <w:szCs w:val="16"/>
              </w:rPr>
            </w:pPr>
            <w:r>
              <w:rPr>
                <w:rFonts w:ascii="Verdana" w:hAnsi="Verdana"/>
                <w:b/>
                <w:sz w:val="16"/>
                <w:szCs w:val="16"/>
              </w:rPr>
              <w:t>6.5.2.2.1</w:t>
            </w:r>
            <w:r>
              <w:rPr>
                <w:rFonts w:ascii="Verdana" w:hAnsi="Verdana"/>
                <w:sz w:val="16"/>
                <w:szCs w:val="16"/>
              </w:rPr>
              <w:t xml:space="preserve"> Ensayos (pruebas) necesarios según los tipos de envases y/o embalajes.</w:t>
            </w:r>
          </w:p>
        </w:tc>
        <w:tc>
          <w:tcPr>
            <w:tcW w:w="4788" w:type="dxa"/>
            <w:hideMark/>
          </w:tcPr>
          <w:p w14:paraId="4188688D" w14:textId="77777777" w:rsidR="00B709A9" w:rsidRDefault="00B709A9">
            <w:pPr>
              <w:pStyle w:val="Texto"/>
              <w:spacing w:after="60"/>
              <w:ind w:firstLine="0"/>
              <w:rPr>
                <w:rFonts w:ascii="Verdana" w:hAnsi="Verdana"/>
                <w:b/>
                <w:sz w:val="16"/>
                <w:szCs w:val="16"/>
                <w:lang w:val="en-US"/>
              </w:rPr>
            </w:pPr>
            <w:r>
              <w:rPr>
                <w:rFonts w:ascii="Verdana" w:hAnsi="Verdana"/>
                <w:b/>
                <w:sz w:val="16"/>
                <w:szCs w:val="16"/>
                <w:lang w:val="en-US"/>
              </w:rPr>
              <w:t xml:space="preserve">6.5.2.2.1 </w:t>
            </w:r>
            <w:r>
              <w:rPr>
                <w:rFonts w:ascii="Verdana" w:hAnsi="Verdana"/>
                <w:sz w:val="16"/>
                <w:szCs w:val="16"/>
                <w:lang w:val="en-US"/>
              </w:rPr>
              <w:t>Necessary trials (tests) according to the types of containers and/or packaging.</w:t>
            </w:r>
          </w:p>
        </w:tc>
      </w:tr>
    </w:tbl>
    <w:p w14:paraId="44DB33D8" w14:textId="77777777" w:rsidR="00B709A9" w:rsidRDefault="00B709A9" w:rsidP="00B709A9">
      <w:pPr>
        <w:pStyle w:val="Texto"/>
        <w:spacing w:after="60"/>
        <w:rPr>
          <w:rFonts w:ascii="Verdana" w:hAnsi="Verdana"/>
          <w:sz w:val="16"/>
          <w:szCs w:val="16"/>
          <w:lang w:val="en-US"/>
        </w:rPr>
      </w:pPr>
    </w:p>
    <w:p w14:paraId="2860B9EA" w14:textId="77777777" w:rsidR="00B709A9" w:rsidRDefault="00B709A9" w:rsidP="00B709A9">
      <w:pPr>
        <w:pStyle w:val="Texto"/>
        <w:spacing w:after="60"/>
        <w:rPr>
          <w:rFonts w:ascii="Verdana" w:hAnsi="Verdana"/>
          <w:sz w:val="16"/>
          <w:szCs w:val="16"/>
          <w:lang w:val="en-US"/>
        </w:rPr>
      </w:pPr>
    </w:p>
    <w:p w14:paraId="21C914AF" w14:textId="77777777" w:rsidR="00B709A9" w:rsidRDefault="00B709A9" w:rsidP="00B709A9">
      <w:pPr>
        <w:pStyle w:val="Texto"/>
        <w:spacing w:after="60"/>
        <w:rPr>
          <w:rFonts w:ascii="Verdana" w:hAnsi="Verdana"/>
          <w:sz w:val="16"/>
          <w:szCs w:val="16"/>
          <w:lang w:val="en-US"/>
        </w:rPr>
      </w:pPr>
    </w:p>
    <w:p w14:paraId="3A2B4CC6" w14:textId="77777777" w:rsidR="00B709A9" w:rsidRDefault="00B709A9" w:rsidP="00B709A9">
      <w:pPr>
        <w:pStyle w:val="Texto"/>
        <w:spacing w:after="60"/>
        <w:rPr>
          <w:rFonts w:ascii="Verdana" w:hAnsi="Verdana"/>
          <w:sz w:val="16"/>
          <w:szCs w:val="16"/>
          <w:lang w:val="en-US"/>
        </w:rPr>
      </w:pPr>
    </w:p>
    <w:p w14:paraId="2A2D218C" w14:textId="77777777" w:rsidR="00B709A9" w:rsidRDefault="00B709A9" w:rsidP="00B709A9">
      <w:pPr>
        <w:pStyle w:val="Texto"/>
        <w:spacing w:after="60"/>
        <w:rPr>
          <w:rFonts w:ascii="Verdana" w:hAnsi="Verdana"/>
          <w:sz w:val="16"/>
          <w:szCs w:val="16"/>
          <w:lang w:val="en-US"/>
        </w:rPr>
      </w:pPr>
    </w:p>
    <w:p w14:paraId="206CB4A1" w14:textId="77777777" w:rsidR="00B709A9" w:rsidRDefault="00B709A9" w:rsidP="00B709A9">
      <w:pPr>
        <w:pStyle w:val="Texto"/>
        <w:spacing w:after="60"/>
        <w:rPr>
          <w:rFonts w:ascii="Verdana" w:hAnsi="Verdana"/>
          <w:sz w:val="16"/>
          <w:szCs w:val="16"/>
          <w:lang w:val="en-US"/>
        </w:rPr>
      </w:pPr>
    </w:p>
    <w:p w14:paraId="055A43E2" w14:textId="77777777" w:rsidR="00B709A9" w:rsidRDefault="00B709A9" w:rsidP="00B709A9">
      <w:pPr>
        <w:pStyle w:val="Texto"/>
        <w:spacing w:after="60"/>
        <w:rPr>
          <w:rFonts w:ascii="Verdana" w:hAnsi="Verdana"/>
          <w:sz w:val="16"/>
          <w:szCs w:val="16"/>
          <w:lang w:val="en-US"/>
        </w:rPr>
      </w:pPr>
    </w:p>
    <w:p w14:paraId="72EADBD6" w14:textId="77777777" w:rsidR="00B709A9" w:rsidRDefault="00B709A9" w:rsidP="00B709A9">
      <w:pPr>
        <w:pStyle w:val="Texto"/>
        <w:spacing w:after="60"/>
        <w:rPr>
          <w:rFonts w:ascii="Verdana" w:hAnsi="Verdana"/>
          <w:sz w:val="16"/>
          <w:szCs w:val="16"/>
          <w:lang w:val="en-US"/>
        </w:rPr>
      </w:pPr>
    </w:p>
    <w:tbl>
      <w:tblPr>
        <w:tblW w:w="8715" w:type="dxa"/>
        <w:tblInd w:w="144" w:type="dxa"/>
        <w:tblLayout w:type="fixed"/>
        <w:tblCellMar>
          <w:left w:w="72" w:type="dxa"/>
          <w:right w:w="72" w:type="dxa"/>
        </w:tblCellMar>
        <w:tblLook w:val="04A0" w:firstRow="1" w:lastRow="0" w:firstColumn="1" w:lastColumn="0" w:noHBand="0" w:noVBand="1"/>
      </w:tblPr>
      <w:tblGrid>
        <w:gridCol w:w="1081"/>
        <w:gridCol w:w="718"/>
        <w:gridCol w:w="544"/>
        <w:gridCol w:w="1168"/>
        <w:gridCol w:w="1362"/>
        <w:gridCol w:w="845"/>
        <w:gridCol w:w="1188"/>
        <w:gridCol w:w="884"/>
        <w:gridCol w:w="925"/>
      </w:tblGrid>
      <w:tr w:rsidR="00B709A9" w14:paraId="2DA41BAA" w14:textId="77777777" w:rsidTr="00B709A9">
        <w:trPr>
          <w:trHeight w:val="20"/>
        </w:trPr>
        <w:tc>
          <w:tcPr>
            <w:tcW w:w="8712" w:type="dxa"/>
            <w:gridSpan w:val="9"/>
            <w:tcBorders>
              <w:top w:val="single" w:sz="6" w:space="0" w:color="auto"/>
              <w:left w:val="single" w:sz="6" w:space="0" w:color="auto"/>
              <w:bottom w:val="single" w:sz="6" w:space="0" w:color="auto"/>
              <w:right w:val="single" w:sz="6" w:space="0" w:color="auto"/>
            </w:tcBorders>
            <w:vAlign w:val="center"/>
            <w:hideMark/>
          </w:tcPr>
          <w:p w14:paraId="37009D6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Cuadro No. 2</w:t>
            </w:r>
          </w:p>
        </w:tc>
      </w:tr>
      <w:tr w:rsidR="00B709A9" w14:paraId="585187ED" w14:textId="77777777" w:rsidTr="00B709A9">
        <w:trPr>
          <w:trHeight w:val="20"/>
        </w:trPr>
        <w:tc>
          <w:tcPr>
            <w:tcW w:w="2340" w:type="dxa"/>
            <w:gridSpan w:val="3"/>
            <w:tcBorders>
              <w:top w:val="single" w:sz="6" w:space="0" w:color="auto"/>
              <w:left w:val="single" w:sz="6" w:space="0" w:color="auto"/>
              <w:bottom w:val="single" w:sz="6" w:space="0" w:color="auto"/>
              <w:right w:val="single" w:sz="6" w:space="0" w:color="auto"/>
            </w:tcBorders>
            <w:vAlign w:val="center"/>
            <w:hideMark/>
          </w:tcPr>
          <w:p w14:paraId="0BC62406"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 xml:space="preserve">Tipo de envase y/o embalaje </w:t>
            </w:r>
            <w:r>
              <w:rPr>
                <w:rFonts w:ascii="Verdana" w:hAnsi="Verdana"/>
                <w:b/>
                <w:sz w:val="16"/>
                <w:szCs w:val="16"/>
                <w:vertAlign w:val="superscript"/>
              </w:rPr>
              <w:t>a</w:t>
            </w:r>
          </w:p>
        </w:tc>
        <w:tc>
          <w:tcPr>
            <w:tcW w:w="6372" w:type="dxa"/>
            <w:gridSpan w:val="6"/>
            <w:tcBorders>
              <w:top w:val="single" w:sz="6" w:space="0" w:color="auto"/>
              <w:left w:val="single" w:sz="6" w:space="0" w:color="auto"/>
              <w:bottom w:val="single" w:sz="6" w:space="0" w:color="auto"/>
              <w:right w:val="single" w:sz="6" w:space="0" w:color="auto"/>
            </w:tcBorders>
            <w:vAlign w:val="center"/>
            <w:hideMark/>
          </w:tcPr>
          <w:p w14:paraId="4B60B6C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Ensayos (pruebas) necesarios</w:t>
            </w:r>
          </w:p>
        </w:tc>
      </w:tr>
      <w:tr w:rsidR="00B709A9" w14:paraId="62DD95BD" w14:textId="77777777" w:rsidTr="00B709A9">
        <w:trPr>
          <w:trHeight w:val="20"/>
        </w:trPr>
        <w:tc>
          <w:tcPr>
            <w:tcW w:w="1080" w:type="dxa"/>
            <w:vMerge w:val="restart"/>
            <w:tcBorders>
              <w:top w:val="single" w:sz="6" w:space="0" w:color="auto"/>
              <w:left w:val="single" w:sz="6" w:space="0" w:color="auto"/>
              <w:bottom w:val="single" w:sz="6" w:space="0" w:color="auto"/>
              <w:right w:val="single" w:sz="6" w:space="0" w:color="auto"/>
            </w:tcBorders>
            <w:vAlign w:val="center"/>
            <w:hideMark/>
          </w:tcPr>
          <w:p w14:paraId="4AD8647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Embalaje exterior rígido</w:t>
            </w:r>
          </w:p>
        </w:tc>
        <w:tc>
          <w:tcPr>
            <w:tcW w:w="1260" w:type="dxa"/>
            <w:gridSpan w:val="2"/>
            <w:tcBorders>
              <w:top w:val="single" w:sz="6" w:space="0" w:color="auto"/>
              <w:left w:val="single" w:sz="6" w:space="0" w:color="auto"/>
              <w:bottom w:val="single" w:sz="6" w:space="0" w:color="auto"/>
              <w:right w:val="single" w:sz="6" w:space="0" w:color="auto"/>
            </w:tcBorders>
            <w:vAlign w:val="center"/>
            <w:hideMark/>
          </w:tcPr>
          <w:p w14:paraId="6A92189E"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Recipiente primario</w:t>
            </w:r>
          </w:p>
        </w:tc>
        <w:tc>
          <w:tcPr>
            <w:tcW w:w="1168" w:type="dxa"/>
            <w:tcBorders>
              <w:top w:val="single" w:sz="6" w:space="0" w:color="auto"/>
              <w:left w:val="single" w:sz="6" w:space="0" w:color="auto"/>
              <w:bottom w:val="single" w:sz="6" w:space="0" w:color="auto"/>
              <w:right w:val="single" w:sz="6" w:space="0" w:color="auto"/>
            </w:tcBorders>
            <w:vAlign w:val="center"/>
            <w:hideMark/>
          </w:tcPr>
          <w:p w14:paraId="01C74FE0"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Aspersión de Agua 6.5.3.6.1.</w:t>
            </w:r>
          </w:p>
        </w:tc>
        <w:tc>
          <w:tcPr>
            <w:tcW w:w="1362" w:type="dxa"/>
            <w:tcBorders>
              <w:top w:val="single" w:sz="6" w:space="0" w:color="auto"/>
              <w:left w:val="single" w:sz="6" w:space="0" w:color="auto"/>
              <w:bottom w:val="single" w:sz="6" w:space="0" w:color="auto"/>
              <w:right w:val="single" w:sz="6" w:space="0" w:color="auto"/>
            </w:tcBorders>
            <w:vAlign w:val="center"/>
            <w:hideMark/>
          </w:tcPr>
          <w:p w14:paraId="564FFC1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Acondicionamiento en frío 6.5.3.6.2</w:t>
            </w:r>
          </w:p>
        </w:tc>
        <w:tc>
          <w:tcPr>
            <w:tcW w:w="845" w:type="dxa"/>
            <w:tcBorders>
              <w:top w:val="single" w:sz="6" w:space="0" w:color="auto"/>
              <w:left w:val="single" w:sz="6" w:space="0" w:color="auto"/>
              <w:bottom w:val="single" w:sz="6" w:space="0" w:color="auto"/>
              <w:right w:val="single" w:sz="6" w:space="0" w:color="auto"/>
            </w:tcBorders>
            <w:vAlign w:val="center"/>
            <w:hideMark/>
          </w:tcPr>
          <w:p w14:paraId="5588107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Caída 6.5.3</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FEDC3C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Caída Adicional 6.5.3.6.3</w:t>
            </w:r>
          </w:p>
        </w:tc>
        <w:tc>
          <w:tcPr>
            <w:tcW w:w="884" w:type="dxa"/>
            <w:tcBorders>
              <w:top w:val="single" w:sz="6" w:space="0" w:color="auto"/>
              <w:left w:val="single" w:sz="6" w:space="0" w:color="auto"/>
              <w:bottom w:val="single" w:sz="6" w:space="0" w:color="auto"/>
              <w:right w:val="single" w:sz="6" w:space="0" w:color="auto"/>
            </w:tcBorders>
            <w:vAlign w:val="center"/>
            <w:hideMark/>
          </w:tcPr>
          <w:p w14:paraId="3F7DB6B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Perforación 6.5.4</w:t>
            </w:r>
          </w:p>
        </w:tc>
        <w:tc>
          <w:tcPr>
            <w:tcW w:w="925" w:type="dxa"/>
            <w:vMerge w:val="restart"/>
            <w:tcBorders>
              <w:top w:val="single" w:sz="6" w:space="0" w:color="auto"/>
              <w:left w:val="single" w:sz="6" w:space="0" w:color="auto"/>
              <w:bottom w:val="single" w:sz="6" w:space="0" w:color="auto"/>
              <w:right w:val="single" w:sz="6" w:space="0" w:color="auto"/>
            </w:tcBorders>
            <w:vAlign w:val="center"/>
            <w:hideMark/>
          </w:tcPr>
          <w:p w14:paraId="54D74E24"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Apilado 6.5.1.6</w:t>
            </w:r>
          </w:p>
        </w:tc>
      </w:tr>
      <w:tr w:rsidR="00B709A9" w14:paraId="50B20372" w14:textId="77777777" w:rsidTr="00B709A9">
        <w:trPr>
          <w:trHeight w:val="20"/>
        </w:trPr>
        <w:tc>
          <w:tcPr>
            <w:tcW w:w="8712" w:type="dxa"/>
            <w:vMerge/>
            <w:tcBorders>
              <w:top w:val="single" w:sz="6" w:space="0" w:color="auto"/>
              <w:left w:val="single" w:sz="6" w:space="0" w:color="auto"/>
              <w:bottom w:val="single" w:sz="6" w:space="0" w:color="auto"/>
              <w:right w:val="single" w:sz="6" w:space="0" w:color="auto"/>
            </w:tcBorders>
            <w:vAlign w:val="center"/>
            <w:hideMark/>
          </w:tcPr>
          <w:p w14:paraId="69C66B9E" w14:textId="77777777" w:rsidR="00B709A9" w:rsidRDefault="00B709A9">
            <w:pPr>
              <w:rPr>
                <w:rFonts w:ascii="Verdana" w:hAnsi="Verdana" w:cs="Arial"/>
                <w:b/>
                <w:sz w:val="16"/>
                <w:szCs w:val="16"/>
                <w:lang w:val="es-ES" w:eastAsia="es-ES"/>
              </w:rPr>
            </w:pPr>
          </w:p>
        </w:tc>
        <w:tc>
          <w:tcPr>
            <w:tcW w:w="717" w:type="dxa"/>
            <w:tcBorders>
              <w:top w:val="single" w:sz="6" w:space="0" w:color="auto"/>
              <w:left w:val="single" w:sz="6" w:space="0" w:color="auto"/>
              <w:bottom w:val="single" w:sz="6" w:space="0" w:color="auto"/>
              <w:right w:val="single" w:sz="6" w:space="0" w:color="auto"/>
            </w:tcBorders>
            <w:vAlign w:val="center"/>
            <w:hideMark/>
          </w:tcPr>
          <w:p w14:paraId="7C1B852E"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Plástico</w:t>
            </w:r>
          </w:p>
        </w:tc>
        <w:tc>
          <w:tcPr>
            <w:tcW w:w="543" w:type="dxa"/>
            <w:tcBorders>
              <w:top w:val="single" w:sz="6" w:space="0" w:color="auto"/>
              <w:left w:val="single" w:sz="6" w:space="0" w:color="auto"/>
              <w:bottom w:val="single" w:sz="6" w:space="0" w:color="auto"/>
              <w:right w:val="single" w:sz="6" w:space="0" w:color="auto"/>
            </w:tcBorders>
            <w:vAlign w:val="center"/>
            <w:hideMark/>
          </w:tcPr>
          <w:p w14:paraId="46D12E6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Otros</w:t>
            </w:r>
          </w:p>
        </w:tc>
        <w:tc>
          <w:tcPr>
            <w:tcW w:w="1168" w:type="dxa"/>
            <w:tcBorders>
              <w:top w:val="single" w:sz="6" w:space="0" w:color="auto"/>
              <w:left w:val="single" w:sz="6" w:space="0" w:color="auto"/>
              <w:bottom w:val="single" w:sz="6" w:space="0" w:color="auto"/>
              <w:right w:val="single" w:sz="6" w:space="0" w:color="auto"/>
            </w:tcBorders>
            <w:vAlign w:val="center"/>
            <w:hideMark/>
          </w:tcPr>
          <w:p w14:paraId="61EEB0A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No. muestras</w:t>
            </w:r>
          </w:p>
        </w:tc>
        <w:tc>
          <w:tcPr>
            <w:tcW w:w="1362" w:type="dxa"/>
            <w:tcBorders>
              <w:top w:val="single" w:sz="6" w:space="0" w:color="auto"/>
              <w:left w:val="single" w:sz="6" w:space="0" w:color="auto"/>
              <w:bottom w:val="single" w:sz="6" w:space="0" w:color="auto"/>
              <w:right w:val="single" w:sz="6" w:space="0" w:color="auto"/>
            </w:tcBorders>
            <w:vAlign w:val="center"/>
            <w:hideMark/>
          </w:tcPr>
          <w:p w14:paraId="1CFD2668"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No. muestras</w:t>
            </w:r>
          </w:p>
        </w:tc>
        <w:tc>
          <w:tcPr>
            <w:tcW w:w="845" w:type="dxa"/>
            <w:tcBorders>
              <w:top w:val="single" w:sz="6" w:space="0" w:color="auto"/>
              <w:left w:val="single" w:sz="6" w:space="0" w:color="auto"/>
              <w:bottom w:val="single" w:sz="6" w:space="0" w:color="auto"/>
              <w:right w:val="single" w:sz="6" w:space="0" w:color="auto"/>
            </w:tcBorders>
            <w:vAlign w:val="center"/>
            <w:hideMark/>
          </w:tcPr>
          <w:p w14:paraId="36B72EC9"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No. muestras</w:t>
            </w:r>
          </w:p>
        </w:tc>
        <w:tc>
          <w:tcPr>
            <w:tcW w:w="1188" w:type="dxa"/>
            <w:tcBorders>
              <w:top w:val="single" w:sz="6" w:space="0" w:color="auto"/>
              <w:left w:val="single" w:sz="6" w:space="0" w:color="auto"/>
              <w:bottom w:val="single" w:sz="6" w:space="0" w:color="auto"/>
              <w:right w:val="single" w:sz="6" w:space="0" w:color="auto"/>
            </w:tcBorders>
            <w:vAlign w:val="center"/>
            <w:hideMark/>
          </w:tcPr>
          <w:p w14:paraId="2C8AA80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No. muestras</w:t>
            </w:r>
          </w:p>
        </w:tc>
        <w:tc>
          <w:tcPr>
            <w:tcW w:w="884" w:type="dxa"/>
            <w:tcBorders>
              <w:top w:val="single" w:sz="6" w:space="0" w:color="auto"/>
              <w:left w:val="single" w:sz="6" w:space="0" w:color="auto"/>
              <w:bottom w:val="single" w:sz="6" w:space="0" w:color="auto"/>
              <w:right w:val="single" w:sz="6" w:space="0" w:color="auto"/>
            </w:tcBorders>
            <w:vAlign w:val="center"/>
            <w:hideMark/>
          </w:tcPr>
          <w:p w14:paraId="5E5D6B5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No. muestras</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40EC9F8F" w14:textId="77777777" w:rsidR="00B709A9" w:rsidRDefault="00B709A9">
            <w:pPr>
              <w:rPr>
                <w:rFonts w:ascii="Verdana" w:hAnsi="Verdana" w:cs="Arial"/>
                <w:b/>
                <w:sz w:val="16"/>
                <w:szCs w:val="16"/>
                <w:lang w:val="es-ES" w:eastAsia="es-ES"/>
              </w:rPr>
            </w:pPr>
          </w:p>
        </w:tc>
      </w:tr>
      <w:tr w:rsidR="00B709A9" w:rsidRPr="00B709A9" w14:paraId="385BC344"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583B05BA" w14:textId="77777777" w:rsidR="00B709A9" w:rsidRDefault="00B709A9">
            <w:pPr>
              <w:pStyle w:val="Texto"/>
              <w:spacing w:before="20" w:after="20" w:line="240" w:lineRule="auto"/>
              <w:ind w:firstLine="0"/>
              <w:rPr>
                <w:rFonts w:ascii="Verdana" w:hAnsi="Verdana"/>
                <w:b/>
                <w:sz w:val="16"/>
                <w:szCs w:val="16"/>
              </w:rPr>
            </w:pPr>
            <w:r>
              <w:rPr>
                <w:rFonts w:ascii="Verdana" w:hAnsi="Verdana"/>
                <w:sz w:val="16"/>
                <w:szCs w:val="16"/>
              </w:rPr>
              <w:lastRenderedPageBreak/>
              <w:t>Caja de cartón</w:t>
            </w:r>
          </w:p>
        </w:tc>
        <w:tc>
          <w:tcPr>
            <w:tcW w:w="717" w:type="dxa"/>
            <w:tcBorders>
              <w:top w:val="single" w:sz="6" w:space="0" w:color="auto"/>
              <w:left w:val="single" w:sz="6" w:space="0" w:color="auto"/>
              <w:bottom w:val="single" w:sz="6" w:space="0" w:color="auto"/>
              <w:right w:val="single" w:sz="6" w:space="0" w:color="auto"/>
            </w:tcBorders>
            <w:vAlign w:val="center"/>
            <w:hideMark/>
          </w:tcPr>
          <w:p w14:paraId="6B579E30"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543" w:type="dxa"/>
            <w:tcBorders>
              <w:top w:val="single" w:sz="6" w:space="0" w:color="auto"/>
              <w:left w:val="single" w:sz="6" w:space="0" w:color="auto"/>
              <w:bottom w:val="single" w:sz="6" w:space="0" w:color="auto"/>
              <w:right w:val="single" w:sz="6" w:space="0" w:color="auto"/>
            </w:tcBorders>
            <w:vAlign w:val="center"/>
          </w:tcPr>
          <w:p w14:paraId="1B5C8DAD" w14:textId="77777777" w:rsidR="00B709A9" w:rsidRDefault="00B709A9">
            <w:pPr>
              <w:pStyle w:val="Texto"/>
              <w:spacing w:before="20" w:after="20" w:line="240" w:lineRule="auto"/>
              <w:ind w:firstLine="0"/>
              <w:jc w:val="center"/>
              <w:rPr>
                <w:rFonts w:ascii="Verdana" w:hAnsi="Verdana"/>
                <w:b/>
                <w:sz w:val="16"/>
                <w:szCs w:val="16"/>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48B3F19A"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362" w:type="dxa"/>
            <w:tcBorders>
              <w:top w:val="single" w:sz="6" w:space="0" w:color="auto"/>
              <w:left w:val="single" w:sz="6" w:space="0" w:color="auto"/>
              <w:bottom w:val="single" w:sz="6" w:space="0" w:color="auto"/>
              <w:right w:val="single" w:sz="6" w:space="0" w:color="auto"/>
            </w:tcBorders>
            <w:vAlign w:val="center"/>
            <w:hideMark/>
          </w:tcPr>
          <w:p w14:paraId="3A486CE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07877A9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10</w:t>
            </w:r>
          </w:p>
        </w:tc>
        <w:tc>
          <w:tcPr>
            <w:tcW w:w="1188" w:type="dxa"/>
            <w:vMerge w:val="restart"/>
            <w:tcBorders>
              <w:top w:val="single" w:sz="6" w:space="0" w:color="auto"/>
              <w:left w:val="single" w:sz="6" w:space="0" w:color="auto"/>
              <w:bottom w:val="single" w:sz="6" w:space="0" w:color="auto"/>
              <w:right w:val="single" w:sz="6" w:space="0" w:color="auto"/>
            </w:tcBorders>
            <w:vAlign w:val="center"/>
            <w:hideMark/>
          </w:tcPr>
          <w:p w14:paraId="7377D3EA" w14:textId="77777777" w:rsidR="00B709A9" w:rsidRDefault="00B709A9">
            <w:pPr>
              <w:pStyle w:val="Texto"/>
              <w:spacing w:before="20" w:after="20" w:line="240" w:lineRule="auto"/>
              <w:ind w:firstLine="0"/>
              <w:jc w:val="center"/>
              <w:rPr>
                <w:rFonts w:ascii="Verdana" w:hAnsi="Verdana"/>
                <w:sz w:val="16"/>
                <w:szCs w:val="16"/>
              </w:rPr>
            </w:pPr>
            <w:r>
              <w:rPr>
                <w:rFonts w:ascii="Verdana" w:hAnsi="Verdana"/>
                <w:sz w:val="16"/>
                <w:szCs w:val="16"/>
              </w:rPr>
              <w:t>Necesario en una muestra si está previsto que el envase/embalaje contenga hielo seco</w:t>
            </w:r>
          </w:p>
        </w:tc>
        <w:tc>
          <w:tcPr>
            <w:tcW w:w="884" w:type="dxa"/>
            <w:tcBorders>
              <w:top w:val="single" w:sz="6" w:space="0" w:color="auto"/>
              <w:left w:val="single" w:sz="6" w:space="0" w:color="auto"/>
              <w:bottom w:val="single" w:sz="6" w:space="0" w:color="auto"/>
              <w:right w:val="single" w:sz="6" w:space="0" w:color="auto"/>
            </w:tcBorders>
            <w:vAlign w:val="center"/>
            <w:hideMark/>
          </w:tcPr>
          <w:p w14:paraId="5709B403"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val="restart"/>
            <w:tcBorders>
              <w:top w:val="single" w:sz="6" w:space="0" w:color="auto"/>
              <w:left w:val="single" w:sz="6" w:space="0" w:color="auto"/>
              <w:bottom w:val="single" w:sz="6" w:space="0" w:color="auto"/>
              <w:right w:val="single" w:sz="6" w:space="0" w:color="auto"/>
            </w:tcBorders>
            <w:vAlign w:val="center"/>
            <w:hideMark/>
          </w:tcPr>
          <w:p w14:paraId="2A4BC89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sz w:val="16"/>
                <w:szCs w:val="16"/>
              </w:rPr>
              <w:t>Necesario en tres muestras si se somete a ensayo un envase y/o embalaje con la marca "U" definido en 6.5.1.6 para disposiciones específicas</w:t>
            </w:r>
          </w:p>
        </w:tc>
      </w:tr>
      <w:tr w:rsidR="00B709A9" w14:paraId="7A799001" w14:textId="77777777" w:rsidTr="00B709A9">
        <w:trPr>
          <w:trHeight w:val="20"/>
        </w:trPr>
        <w:tc>
          <w:tcPr>
            <w:tcW w:w="1080" w:type="dxa"/>
            <w:tcBorders>
              <w:top w:val="nil"/>
              <w:left w:val="single" w:sz="6" w:space="0" w:color="auto"/>
              <w:bottom w:val="single" w:sz="6" w:space="0" w:color="auto"/>
              <w:right w:val="single" w:sz="6" w:space="0" w:color="auto"/>
            </w:tcBorders>
          </w:tcPr>
          <w:p w14:paraId="335EE331" w14:textId="77777777" w:rsidR="00B709A9" w:rsidRDefault="00B709A9">
            <w:pPr>
              <w:pStyle w:val="Texto"/>
              <w:spacing w:before="20" w:after="20" w:line="240" w:lineRule="auto"/>
              <w:ind w:firstLine="0"/>
              <w:rPr>
                <w:rFonts w:ascii="Verdana" w:hAnsi="Verdana"/>
                <w:sz w:val="16"/>
                <w:szCs w:val="16"/>
              </w:rPr>
            </w:pPr>
          </w:p>
        </w:tc>
        <w:tc>
          <w:tcPr>
            <w:tcW w:w="717" w:type="dxa"/>
            <w:tcBorders>
              <w:top w:val="single" w:sz="6" w:space="0" w:color="auto"/>
              <w:left w:val="single" w:sz="6" w:space="0" w:color="auto"/>
              <w:bottom w:val="single" w:sz="6" w:space="0" w:color="auto"/>
              <w:right w:val="single" w:sz="6" w:space="0" w:color="auto"/>
            </w:tcBorders>
            <w:vAlign w:val="center"/>
          </w:tcPr>
          <w:p w14:paraId="5A3EA052" w14:textId="77777777" w:rsidR="00B709A9" w:rsidRDefault="00B709A9">
            <w:pPr>
              <w:pStyle w:val="Texto"/>
              <w:spacing w:before="20" w:after="20" w:line="240" w:lineRule="auto"/>
              <w:ind w:firstLine="0"/>
              <w:jc w:val="center"/>
              <w:rPr>
                <w:rFonts w:ascii="Verdana" w:hAnsi="Verdana"/>
                <w:b/>
                <w:sz w:val="16"/>
                <w:szCs w:val="16"/>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2F995B9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295C1FC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362" w:type="dxa"/>
            <w:tcBorders>
              <w:top w:val="single" w:sz="6" w:space="0" w:color="auto"/>
              <w:left w:val="single" w:sz="6" w:space="0" w:color="auto"/>
              <w:bottom w:val="single" w:sz="6" w:space="0" w:color="auto"/>
              <w:right w:val="single" w:sz="6" w:space="0" w:color="auto"/>
            </w:tcBorders>
            <w:vAlign w:val="center"/>
            <w:hideMark/>
          </w:tcPr>
          <w:p w14:paraId="4E3BE04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6A1896A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4C578238"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42B6F1E"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2152A466" w14:textId="77777777" w:rsidR="00B709A9" w:rsidRDefault="00B709A9">
            <w:pPr>
              <w:rPr>
                <w:rFonts w:ascii="Verdana" w:hAnsi="Verdana" w:cs="Arial"/>
                <w:b/>
                <w:sz w:val="16"/>
                <w:szCs w:val="16"/>
                <w:lang w:val="es-ES" w:eastAsia="es-ES"/>
              </w:rPr>
            </w:pPr>
          </w:p>
        </w:tc>
      </w:tr>
      <w:tr w:rsidR="00B709A9" w14:paraId="0B662160"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249663FC" w14:textId="77777777" w:rsidR="00B709A9" w:rsidRDefault="00B709A9">
            <w:pPr>
              <w:pStyle w:val="Texto"/>
              <w:spacing w:before="20" w:after="20" w:line="240" w:lineRule="auto"/>
              <w:ind w:firstLine="0"/>
              <w:jc w:val="left"/>
              <w:rPr>
                <w:rFonts w:ascii="Verdana" w:hAnsi="Verdana"/>
                <w:sz w:val="16"/>
                <w:szCs w:val="16"/>
              </w:rPr>
            </w:pPr>
            <w:r>
              <w:rPr>
                <w:rFonts w:ascii="Verdana" w:hAnsi="Verdana"/>
                <w:sz w:val="16"/>
                <w:szCs w:val="16"/>
              </w:rPr>
              <w:t>Bidón de Cartón</w:t>
            </w:r>
          </w:p>
        </w:tc>
        <w:tc>
          <w:tcPr>
            <w:tcW w:w="717" w:type="dxa"/>
            <w:tcBorders>
              <w:top w:val="single" w:sz="6" w:space="0" w:color="auto"/>
              <w:left w:val="single" w:sz="6" w:space="0" w:color="auto"/>
              <w:bottom w:val="single" w:sz="6" w:space="0" w:color="auto"/>
              <w:right w:val="single" w:sz="6" w:space="0" w:color="auto"/>
            </w:tcBorders>
            <w:vAlign w:val="center"/>
            <w:hideMark/>
          </w:tcPr>
          <w:p w14:paraId="38868A7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543" w:type="dxa"/>
            <w:tcBorders>
              <w:top w:val="single" w:sz="6" w:space="0" w:color="auto"/>
              <w:left w:val="single" w:sz="6" w:space="0" w:color="auto"/>
              <w:bottom w:val="single" w:sz="6" w:space="0" w:color="auto"/>
              <w:right w:val="single" w:sz="6" w:space="0" w:color="auto"/>
            </w:tcBorders>
            <w:vAlign w:val="center"/>
          </w:tcPr>
          <w:p w14:paraId="1C7BFCB6" w14:textId="77777777" w:rsidR="00B709A9" w:rsidRDefault="00B709A9">
            <w:pPr>
              <w:pStyle w:val="Texto"/>
              <w:spacing w:before="20" w:after="20" w:line="240" w:lineRule="auto"/>
              <w:ind w:firstLine="0"/>
              <w:jc w:val="center"/>
              <w:rPr>
                <w:rFonts w:ascii="Verdana" w:hAnsi="Verdana"/>
                <w:b/>
                <w:sz w:val="16"/>
                <w:szCs w:val="16"/>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5B9A8C09"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362" w:type="dxa"/>
            <w:tcBorders>
              <w:top w:val="single" w:sz="6" w:space="0" w:color="auto"/>
              <w:left w:val="single" w:sz="6" w:space="0" w:color="auto"/>
              <w:bottom w:val="single" w:sz="6" w:space="0" w:color="auto"/>
              <w:right w:val="single" w:sz="6" w:space="0" w:color="auto"/>
            </w:tcBorders>
            <w:vAlign w:val="center"/>
            <w:hideMark/>
          </w:tcPr>
          <w:p w14:paraId="52FB1EC5"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06D83BD2"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6</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307B8902"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0E43E18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5D2FBCAD" w14:textId="77777777" w:rsidR="00B709A9" w:rsidRDefault="00B709A9">
            <w:pPr>
              <w:rPr>
                <w:rFonts w:ascii="Verdana" w:hAnsi="Verdana" w:cs="Arial"/>
                <w:b/>
                <w:sz w:val="16"/>
                <w:szCs w:val="16"/>
                <w:lang w:val="es-ES" w:eastAsia="es-ES"/>
              </w:rPr>
            </w:pPr>
          </w:p>
        </w:tc>
      </w:tr>
      <w:tr w:rsidR="00B709A9" w14:paraId="21746D23" w14:textId="77777777" w:rsidTr="00B709A9">
        <w:trPr>
          <w:trHeight w:val="20"/>
        </w:trPr>
        <w:tc>
          <w:tcPr>
            <w:tcW w:w="1080" w:type="dxa"/>
            <w:tcBorders>
              <w:top w:val="nil"/>
              <w:left w:val="single" w:sz="6" w:space="0" w:color="auto"/>
              <w:bottom w:val="single" w:sz="6" w:space="0" w:color="auto"/>
              <w:right w:val="single" w:sz="6" w:space="0" w:color="auto"/>
            </w:tcBorders>
          </w:tcPr>
          <w:p w14:paraId="681B2242" w14:textId="77777777" w:rsidR="00B709A9" w:rsidRDefault="00B709A9">
            <w:pPr>
              <w:pStyle w:val="Texto"/>
              <w:spacing w:before="20" w:after="20" w:line="240" w:lineRule="auto"/>
              <w:ind w:firstLine="0"/>
              <w:rPr>
                <w:rFonts w:ascii="Verdana" w:hAnsi="Verdana"/>
                <w:b/>
                <w:sz w:val="16"/>
                <w:szCs w:val="16"/>
              </w:rPr>
            </w:pPr>
          </w:p>
        </w:tc>
        <w:tc>
          <w:tcPr>
            <w:tcW w:w="717" w:type="dxa"/>
            <w:tcBorders>
              <w:top w:val="single" w:sz="6" w:space="0" w:color="auto"/>
              <w:left w:val="single" w:sz="6" w:space="0" w:color="auto"/>
              <w:bottom w:val="single" w:sz="6" w:space="0" w:color="auto"/>
              <w:right w:val="single" w:sz="6" w:space="0" w:color="auto"/>
            </w:tcBorders>
            <w:vAlign w:val="center"/>
          </w:tcPr>
          <w:p w14:paraId="73FE3BA1" w14:textId="77777777" w:rsidR="00B709A9" w:rsidRDefault="00B709A9">
            <w:pPr>
              <w:pStyle w:val="Texto"/>
              <w:spacing w:before="20" w:after="20" w:line="240" w:lineRule="auto"/>
              <w:ind w:firstLine="0"/>
              <w:jc w:val="center"/>
              <w:rPr>
                <w:rFonts w:ascii="Verdana" w:hAnsi="Verdana"/>
                <w:b/>
                <w:sz w:val="16"/>
                <w:szCs w:val="16"/>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7B4280C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415344B5"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362" w:type="dxa"/>
            <w:tcBorders>
              <w:top w:val="single" w:sz="6" w:space="0" w:color="auto"/>
              <w:left w:val="single" w:sz="6" w:space="0" w:color="auto"/>
              <w:bottom w:val="single" w:sz="6" w:space="0" w:color="auto"/>
              <w:right w:val="single" w:sz="6" w:space="0" w:color="auto"/>
            </w:tcBorders>
            <w:vAlign w:val="center"/>
            <w:hideMark/>
          </w:tcPr>
          <w:p w14:paraId="327FBBAE"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694FD993"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375AD4AA"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329D45B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56875929" w14:textId="77777777" w:rsidR="00B709A9" w:rsidRDefault="00B709A9">
            <w:pPr>
              <w:rPr>
                <w:rFonts w:ascii="Verdana" w:hAnsi="Verdana" w:cs="Arial"/>
                <w:b/>
                <w:sz w:val="16"/>
                <w:szCs w:val="16"/>
                <w:lang w:val="es-ES" w:eastAsia="es-ES"/>
              </w:rPr>
            </w:pPr>
          </w:p>
        </w:tc>
      </w:tr>
      <w:tr w:rsidR="00B709A9" w14:paraId="0C14CB67"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0A8B9921" w14:textId="77777777" w:rsidR="00B709A9" w:rsidRDefault="00B709A9">
            <w:pPr>
              <w:pStyle w:val="Texto"/>
              <w:spacing w:before="20" w:after="20" w:line="240" w:lineRule="auto"/>
              <w:ind w:firstLine="0"/>
              <w:rPr>
                <w:rFonts w:ascii="Verdana" w:hAnsi="Verdana"/>
                <w:sz w:val="16"/>
                <w:szCs w:val="16"/>
              </w:rPr>
            </w:pPr>
            <w:r>
              <w:rPr>
                <w:rFonts w:ascii="Verdana" w:hAnsi="Verdana"/>
                <w:sz w:val="16"/>
                <w:szCs w:val="16"/>
              </w:rPr>
              <w:t>Caja de plástico</w:t>
            </w:r>
          </w:p>
        </w:tc>
        <w:tc>
          <w:tcPr>
            <w:tcW w:w="717" w:type="dxa"/>
            <w:tcBorders>
              <w:top w:val="single" w:sz="6" w:space="0" w:color="auto"/>
              <w:left w:val="single" w:sz="6" w:space="0" w:color="auto"/>
              <w:bottom w:val="single" w:sz="6" w:space="0" w:color="auto"/>
              <w:right w:val="single" w:sz="6" w:space="0" w:color="auto"/>
            </w:tcBorders>
            <w:vAlign w:val="center"/>
            <w:hideMark/>
          </w:tcPr>
          <w:p w14:paraId="287E506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543" w:type="dxa"/>
            <w:tcBorders>
              <w:top w:val="single" w:sz="6" w:space="0" w:color="auto"/>
              <w:left w:val="single" w:sz="6" w:space="0" w:color="auto"/>
              <w:bottom w:val="single" w:sz="6" w:space="0" w:color="auto"/>
              <w:right w:val="single" w:sz="6" w:space="0" w:color="auto"/>
            </w:tcBorders>
            <w:vAlign w:val="center"/>
          </w:tcPr>
          <w:p w14:paraId="10DFF303" w14:textId="77777777" w:rsidR="00B709A9" w:rsidRDefault="00B709A9">
            <w:pPr>
              <w:pStyle w:val="Texto"/>
              <w:spacing w:before="20" w:after="20" w:line="240" w:lineRule="auto"/>
              <w:ind w:firstLine="0"/>
              <w:jc w:val="center"/>
              <w:rPr>
                <w:rFonts w:ascii="Verdana" w:hAnsi="Verdana"/>
                <w:b/>
                <w:sz w:val="16"/>
                <w:szCs w:val="16"/>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7A7A8145"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48BE2356"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415E6A0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5E16ECA1"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3080C504"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5712ECD7" w14:textId="77777777" w:rsidR="00B709A9" w:rsidRDefault="00B709A9">
            <w:pPr>
              <w:rPr>
                <w:rFonts w:ascii="Verdana" w:hAnsi="Verdana" w:cs="Arial"/>
                <w:b/>
                <w:sz w:val="16"/>
                <w:szCs w:val="16"/>
                <w:lang w:val="es-ES" w:eastAsia="es-ES"/>
              </w:rPr>
            </w:pPr>
          </w:p>
        </w:tc>
      </w:tr>
      <w:tr w:rsidR="00B709A9" w14:paraId="69F2A988" w14:textId="77777777" w:rsidTr="00B709A9">
        <w:trPr>
          <w:trHeight w:val="20"/>
        </w:trPr>
        <w:tc>
          <w:tcPr>
            <w:tcW w:w="1080" w:type="dxa"/>
            <w:tcBorders>
              <w:top w:val="nil"/>
              <w:left w:val="single" w:sz="6" w:space="0" w:color="auto"/>
              <w:bottom w:val="single" w:sz="6" w:space="0" w:color="auto"/>
              <w:right w:val="single" w:sz="6" w:space="0" w:color="auto"/>
            </w:tcBorders>
          </w:tcPr>
          <w:p w14:paraId="14CBD2FC" w14:textId="77777777" w:rsidR="00B709A9" w:rsidRDefault="00B709A9">
            <w:pPr>
              <w:pStyle w:val="Texto"/>
              <w:spacing w:before="20" w:after="20" w:line="240" w:lineRule="auto"/>
              <w:ind w:firstLine="0"/>
              <w:rPr>
                <w:rFonts w:ascii="Verdana" w:hAnsi="Verdana"/>
                <w:sz w:val="16"/>
                <w:szCs w:val="16"/>
              </w:rPr>
            </w:pPr>
          </w:p>
        </w:tc>
        <w:tc>
          <w:tcPr>
            <w:tcW w:w="717" w:type="dxa"/>
            <w:tcBorders>
              <w:top w:val="single" w:sz="6" w:space="0" w:color="auto"/>
              <w:left w:val="single" w:sz="6" w:space="0" w:color="auto"/>
              <w:bottom w:val="single" w:sz="6" w:space="0" w:color="auto"/>
              <w:right w:val="single" w:sz="6" w:space="0" w:color="auto"/>
            </w:tcBorders>
            <w:vAlign w:val="center"/>
          </w:tcPr>
          <w:p w14:paraId="6A69D999" w14:textId="77777777" w:rsidR="00B709A9" w:rsidRDefault="00B709A9">
            <w:pPr>
              <w:pStyle w:val="Texto"/>
              <w:spacing w:before="20" w:after="20" w:line="240" w:lineRule="auto"/>
              <w:ind w:firstLine="0"/>
              <w:jc w:val="center"/>
              <w:rPr>
                <w:rFonts w:ascii="Verdana" w:hAnsi="Verdana"/>
                <w:b/>
                <w:sz w:val="16"/>
                <w:szCs w:val="16"/>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79CDAA6E"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621034B8"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22C3734D"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3F2B1F7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746432C2"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2FC44B2"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62E44331" w14:textId="77777777" w:rsidR="00B709A9" w:rsidRDefault="00B709A9">
            <w:pPr>
              <w:rPr>
                <w:rFonts w:ascii="Verdana" w:hAnsi="Verdana" w:cs="Arial"/>
                <w:b/>
                <w:sz w:val="16"/>
                <w:szCs w:val="16"/>
                <w:lang w:val="es-ES" w:eastAsia="es-ES"/>
              </w:rPr>
            </w:pPr>
          </w:p>
        </w:tc>
      </w:tr>
      <w:tr w:rsidR="00B709A9" w14:paraId="1F3EA3CD"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1D5EB47A" w14:textId="77777777" w:rsidR="00B709A9" w:rsidRDefault="00B709A9">
            <w:pPr>
              <w:pStyle w:val="Texto"/>
              <w:spacing w:before="20" w:after="20" w:line="240" w:lineRule="auto"/>
              <w:ind w:firstLine="0"/>
              <w:jc w:val="left"/>
              <w:rPr>
                <w:rFonts w:ascii="Verdana" w:hAnsi="Verdana"/>
                <w:sz w:val="16"/>
                <w:szCs w:val="16"/>
              </w:rPr>
            </w:pPr>
            <w:r>
              <w:rPr>
                <w:rFonts w:ascii="Verdana" w:hAnsi="Verdana"/>
                <w:sz w:val="16"/>
                <w:szCs w:val="16"/>
              </w:rPr>
              <w:t>Bidón de plástico-</w:t>
            </w:r>
            <w:proofErr w:type="spellStart"/>
            <w:r>
              <w:rPr>
                <w:rFonts w:ascii="Verdana" w:hAnsi="Verdana"/>
                <w:sz w:val="16"/>
                <w:szCs w:val="16"/>
              </w:rPr>
              <w:t>jerrican</w:t>
            </w:r>
            <w:proofErr w:type="spellEnd"/>
            <w:r>
              <w:rPr>
                <w:rFonts w:ascii="Verdana" w:hAnsi="Verdana"/>
                <w:sz w:val="16"/>
                <w:szCs w:val="16"/>
              </w:rPr>
              <w:t xml:space="preserve"> </w:t>
            </w:r>
          </w:p>
        </w:tc>
        <w:tc>
          <w:tcPr>
            <w:tcW w:w="717" w:type="dxa"/>
            <w:tcBorders>
              <w:top w:val="single" w:sz="6" w:space="0" w:color="auto"/>
              <w:left w:val="single" w:sz="6" w:space="0" w:color="auto"/>
              <w:bottom w:val="single" w:sz="6" w:space="0" w:color="auto"/>
              <w:right w:val="single" w:sz="6" w:space="0" w:color="auto"/>
            </w:tcBorders>
            <w:vAlign w:val="center"/>
            <w:hideMark/>
          </w:tcPr>
          <w:p w14:paraId="553E7FA4"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543" w:type="dxa"/>
            <w:tcBorders>
              <w:top w:val="single" w:sz="6" w:space="0" w:color="auto"/>
              <w:left w:val="single" w:sz="6" w:space="0" w:color="auto"/>
              <w:bottom w:val="single" w:sz="6" w:space="0" w:color="auto"/>
              <w:right w:val="single" w:sz="6" w:space="0" w:color="auto"/>
            </w:tcBorders>
            <w:vAlign w:val="center"/>
          </w:tcPr>
          <w:p w14:paraId="59B38FD1" w14:textId="77777777" w:rsidR="00B709A9" w:rsidRDefault="00B709A9">
            <w:pPr>
              <w:pStyle w:val="Texto"/>
              <w:spacing w:before="20" w:after="20" w:line="240" w:lineRule="auto"/>
              <w:ind w:firstLine="0"/>
              <w:jc w:val="center"/>
              <w:rPr>
                <w:rFonts w:ascii="Verdana" w:hAnsi="Verdana"/>
                <w:b/>
                <w:sz w:val="16"/>
                <w:szCs w:val="16"/>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58A12B94"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3A11A0C3"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5151241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30E1881A"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72F24D0"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46A41176" w14:textId="77777777" w:rsidR="00B709A9" w:rsidRDefault="00B709A9">
            <w:pPr>
              <w:rPr>
                <w:rFonts w:ascii="Verdana" w:hAnsi="Verdana" w:cs="Arial"/>
                <w:b/>
                <w:sz w:val="16"/>
                <w:szCs w:val="16"/>
                <w:lang w:val="es-ES" w:eastAsia="es-ES"/>
              </w:rPr>
            </w:pPr>
          </w:p>
        </w:tc>
      </w:tr>
      <w:tr w:rsidR="00B709A9" w14:paraId="615E889B" w14:textId="77777777" w:rsidTr="00B709A9">
        <w:trPr>
          <w:trHeight w:val="20"/>
        </w:trPr>
        <w:tc>
          <w:tcPr>
            <w:tcW w:w="1080" w:type="dxa"/>
            <w:tcBorders>
              <w:top w:val="nil"/>
              <w:left w:val="single" w:sz="6" w:space="0" w:color="auto"/>
              <w:bottom w:val="single" w:sz="6" w:space="0" w:color="auto"/>
              <w:right w:val="single" w:sz="6" w:space="0" w:color="auto"/>
            </w:tcBorders>
          </w:tcPr>
          <w:p w14:paraId="411EB156" w14:textId="77777777" w:rsidR="00B709A9" w:rsidRDefault="00B709A9">
            <w:pPr>
              <w:pStyle w:val="Texto"/>
              <w:spacing w:before="20" w:after="20" w:line="240" w:lineRule="auto"/>
              <w:ind w:firstLine="0"/>
              <w:rPr>
                <w:rFonts w:ascii="Verdana" w:hAnsi="Verdana"/>
                <w:sz w:val="16"/>
                <w:szCs w:val="16"/>
              </w:rPr>
            </w:pPr>
          </w:p>
        </w:tc>
        <w:tc>
          <w:tcPr>
            <w:tcW w:w="717" w:type="dxa"/>
            <w:tcBorders>
              <w:top w:val="single" w:sz="6" w:space="0" w:color="auto"/>
              <w:left w:val="single" w:sz="6" w:space="0" w:color="auto"/>
              <w:bottom w:val="single" w:sz="6" w:space="0" w:color="auto"/>
              <w:right w:val="single" w:sz="6" w:space="0" w:color="auto"/>
            </w:tcBorders>
            <w:vAlign w:val="center"/>
          </w:tcPr>
          <w:p w14:paraId="5185FD1E" w14:textId="77777777" w:rsidR="00B709A9" w:rsidRDefault="00B709A9">
            <w:pPr>
              <w:pStyle w:val="Texto"/>
              <w:spacing w:before="20" w:after="20" w:line="240" w:lineRule="auto"/>
              <w:ind w:firstLine="0"/>
              <w:jc w:val="center"/>
              <w:rPr>
                <w:rFonts w:ascii="Verdana" w:hAnsi="Verdana"/>
                <w:b/>
                <w:sz w:val="16"/>
                <w:szCs w:val="16"/>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1C4C4FAD"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3699694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3668A2EF"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673F720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08057FA3"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5FE3993"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14F3A06F" w14:textId="77777777" w:rsidR="00B709A9" w:rsidRDefault="00B709A9">
            <w:pPr>
              <w:rPr>
                <w:rFonts w:ascii="Verdana" w:hAnsi="Verdana" w:cs="Arial"/>
                <w:b/>
                <w:sz w:val="16"/>
                <w:szCs w:val="16"/>
                <w:lang w:val="es-ES" w:eastAsia="es-ES"/>
              </w:rPr>
            </w:pPr>
          </w:p>
        </w:tc>
      </w:tr>
      <w:tr w:rsidR="00B709A9" w14:paraId="03F06040"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02AB8AB0" w14:textId="77777777" w:rsidR="00B709A9" w:rsidRDefault="00B709A9">
            <w:pPr>
              <w:pStyle w:val="Texto"/>
              <w:spacing w:before="20" w:after="20" w:line="240" w:lineRule="auto"/>
              <w:ind w:firstLine="0"/>
              <w:rPr>
                <w:rFonts w:ascii="Verdana" w:hAnsi="Verdana"/>
                <w:sz w:val="16"/>
                <w:szCs w:val="16"/>
              </w:rPr>
            </w:pPr>
            <w:r>
              <w:rPr>
                <w:rFonts w:ascii="Verdana" w:hAnsi="Verdana"/>
                <w:sz w:val="16"/>
                <w:szCs w:val="16"/>
              </w:rPr>
              <w:t>Cajas de otros materiales</w:t>
            </w:r>
          </w:p>
        </w:tc>
        <w:tc>
          <w:tcPr>
            <w:tcW w:w="717" w:type="dxa"/>
            <w:tcBorders>
              <w:top w:val="single" w:sz="6" w:space="0" w:color="auto"/>
              <w:left w:val="single" w:sz="6" w:space="0" w:color="auto"/>
              <w:bottom w:val="single" w:sz="6" w:space="0" w:color="auto"/>
              <w:right w:val="single" w:sz="6" w:space="0" w:color="auto"/>
            </w:tcBorders>
            <w:vAlign w:val="center"/>
            <w:hideMark/>
          </w:tcPr>
          <w:p w14:paraId="09F43664"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543" w:type="dxa"/>
            <w:tcBorders>
              <w:top w:val="single" w:sz="6" w:space="0" w:color="auto"/>
              <w:left w:val="single" w:sz="6" w:space="0" w:color="auto"/>
              <w:bottom w:val="single" w:sz="6" w:space="0" w:color="auto"/>
              <w:right w:val="single" w:sz="6" w:space="0" w:color="auto"/>
            </w:tcBorders>
            <w:vAlign w:val="center"/>
          </w:tcPr>
          <w:p w14:paraId="78D7537F" w14:textId="77777777" w:rsidR="00B709A9" w:rsidRDefault="00B709A9">
            <w:pPr>
              <w:pStyle w:val="Texto"/>
              <w:spacing w:before="20" w:after="20" w:line="240" w:lineRule="auto"/>
              <w:ind w:firstLine="0"/>
              <w:jc w:val="center"/>
              <w:rPr>
                <w:rFonts w:ascii="Verdana" w:hAnsi="Verdana"/>
                <w:b/>
                <w:sz w:val="16"/>
                <w:szCs w:val="16"/>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77AB36A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7E5D45AA"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5B467B39"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39F22C46"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1A9948D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058CC1B8" w14:textId="77777777" w:rsidR="00B709A9" w:rsidRDefault="00B709A9">
            <w:pPr>
              <w:rPr>
                <w:rFonts w:ascii="Verdana" w:hAnsi="Verdana" w:cs="Arial"/>
                <w:b/>
                <w:sz w:val="16"/>
                <w:szCs w:val="16"/>
                <w:lang w:val="es-ES" w:eastAsia="es-ES"/>
              </w:rPr>
            </w:pPr>
          </w:p>
        </w:tc>
      </w:tr>
      <w:tr w:rsidR="00B709A9" w14:paraId="730E5C5F" w14:textId="77777777" w:rsidTr="00B709A9">
        <w:trPr>
          <w:trHeight w:val="20"/>
        </w:trPr>
        <w:tc>
          <w:tcPr>
            <w:tcW w:w="1080" w:type="dxa"/>
            <w:tcBorders>
              <w:top w:val="nil"/>
              <w:left w:val="single" w:sz="6" w:space="0" w:color="auto"/>
              <w:bottom w:val="single" w:sz="6" w:space="0" w:color="auto"/>
              <w:right w:val="single" w:sz="6" w:space="0" w:color="auto"/>
            </w:tcBorders>
          </w:tcPr>
          <w:p w14:paraId="37A937C4" w14:textId="77777777" w:rsidR="00B709A9" w:rsidRDefault="00B709A9">
            <w:pPr>
              <w:pStyle w:val="Texto"/>
              <w:spacing w:before="20" w:after="20" w:line="240" w:lineRule="auto"/>
              <w:ind w:firstLine="0"/>
              <w:rPr>
                <w:rFonts w:ascii="Verdana" w:hAnsi="Verdana"/>
                <w:sz w:val="16"/>
                <w:szCs w:val="16"/>
              </w:rPr>
            </w:pPr>
          </w:p>
        </w:tc>
        <w:tc>
          <w:tcPr>
            <w:tcW w:w="717" w:type="dxa"/>
            <w:tcBorders>
              <w:top w:val="single" w:sz="6" w:space="0" w:color="auto"/>
              <w:left w:val="single" w:sz="6" w:space="0" w:color="auto"/>
              <w:bottom w:val="single" w:sz="6" w:space="0" w:color="auto"/>
              <w:right w:val="single" w:sz="6" w:space="0" w:color="auto"/>
            </w:tcBorders>
            <w:vAlign w:val="center"/>
          </w:tcPr>
          <w:p w14:paraId="71CD1CBD" w14:textId="77777777" w:rsidR="00B709A9" w:rsidRDefault="00B709A9">
            <w:pPr>
              <w:pStyle w:val="Texto"/>
              <w:spacing w:before="20" w:after="20" w:line="240" w:lineRule="auto"/>
              <w:ind w:firstLine="0"/>
              <w:jc w:val="center"/>
              <w:rPr>
                <w:rFonts w:ascii="Verdana" w:hAnsi="Verdana"/>
                <w:b/>
                <w:sz w:val="16"/>
                <w:szCs w:val="16"/>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64D463E3"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4308E49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473648A0"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088CFED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24183F7D"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14874A7"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63B00721" w14:textId="77777777" w:rsidR="00B709A9" w:rsidRDefault="00B709A9">
            <w:pPr>
              <w:rPr>
                <w:rFonts w:ascii="Verdana" w:hAnsi="Verdana" w:cs="Arial"/>
                <w:b/>
                <w:sz w:val="16"/>
                <w:szCs w:val="16"/>
                <w:lang w:val="es-ES" w:eastAsia="es-ES"/>
              </w:rPr>
            </w:pPr>
          </w:p>
        </w:tc>
      </w:tr>
      <w:tr w:rsidR="00B709A9" w14:paraId="18A7DE3F"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08FA8B1F" w14:textId="77777777" w:rsidR="00B709A9" w:rsidRDefault="00B709A9">
            <w:pPr>
              <w:pStyle w:val="Texto"/>
              <w:spacing w:before="20" w:after="20" w:line="240" w:lineRule="auto"/>
              <w:ind w:firstLine="0"/>
              <w:rPr>
                <w:rFonts w:ascii="Verdana" w:hAnsi="Verdana"/>
                <w:b/>
                <w:sz w:val="16"/>
                <w:szCs w:val="16"/>
              </w:rPr>
            </w:pPr>
            <w:r>
              <w:rPr>
                <w:rFonts w:ascii="Verdana" w:hAnsi="Verdana"/>
                <w:sz w:val="16"/>
                <w:szCs w:val="16"/>
              </w:rPr>
              <w:t>Bidones-</w:t>
            </w:r>
            <w:proofErr w:type="spellStart"/>
            <w:r>
              <w:rPr>
                <w:rFonts w:ascii="Verdana" w:hAnsi="Verdana"/>
                <w:sz w:val="16"/>
                <w:szCs w:val="16"/>
              </w:rPr>
              <w:t>jerricanes</w:t>
            </w:r>
            <w:proofErr w:type="spellEnd"/>
            <w:r>
              <w:rPr>
                <w:rFonts w:ascii="Verdana" w:hAnsi="Verdana"/>
                <w:sz w:val="16"/>
                <w:szCs w:val="16"/>
              </w:rPr>
              <w:t xml:space="preserve"> de otros materiales</w:t>
            </w:r>
          </w:p>
        </w:tc>
        <w:tc>
          <w:tcPr>
            <w:tcW w:w="717" w:type="dxa"/>
            <w:tcBorders>
              <w:top w:val="single" w:sz="6" w:space="0" w:color="auto"/>
              <w:left w:val="single" w:sz="6" w:space="0" w:color="auto"/>
              <w:bottom w:val="single" w:sz="6" w:space="0" w:color="auto"/>
              <w:right w:val="single" w:sz="6" w:space="0" w:color="auto"/>
            </w:tcBorders>
            <w:vAlign w:val="center"/>
            <w:hideMark/>
          </w:tcPr>
          <w:p w14:paraId="0EB7D93D"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543" w:type="dxa"/>
            <w:tcBorders>
              <w:top w:val="single" w:sz="6" w:space="0" w:color="auto"/>
              <w:left w:val="single" w:sz="6" w:space="0" w:color="auto"/>
              <w:bottom w:val="single" w:sz="6" w:space="0" w:color="auto"/>
              <w:right w:val="single" w:sz="6" w:space="0" w:color="auto"/>
            </w:tcBorders>
            <w:vAlign w:val="center"/>
          </w:tcPr>
          <w:p w14:paraId="3E15BCBF" w14:textId="77777777" w:rsidR="00B709A9" w:rsidRDefault="00B709A9">
            <w:pPr>
              <w:pStyle w:val="Texto"/>
              <w:spacing w:before="20" w:after="20" w:line="240" w:lineRule="auto"/>
              <w:ind w:firstLine="0"/>
              <w:jc w:val="center"/>
              <w:rPr>
                <w:rFonts w:ascii="Verdana" w:hAnsi="Verdana"/>
                <w:b/>
                <w:sz w:val="16"/>
                <w:szCs w:val="16"/>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62F6BF14"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2F0D5E59"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2EE94E61"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4770B51B"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9E0ACCB"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4B51B55F" w14:textId="77777777" w:rsidR="00B709A9" w:rsidRDefault="00B709A9">
            <w:pPr>
              <w:rPr>
                <w:rFonts w:ascii="Verdana" w:hAnsi="Verdana" w:cs="Arial"/>
                <w:b/>
                <w:sz w:val="16"/>
                <w:szCs w:val="16"/>
                <w:lang w:val="es-ES" w:eastAsia="es-ES"/>
              </w:rPr>
            </w:pPr>
          </w:p>
        </w:tc>
      </w:tr>
      <w:tr w:rsidR="00B709A9" w14:paraId="5FD8B63D" w14:textId="77777777" w:rsidTr="00B709A9">
        <w:trPr>
          <w:trHeight w:val="20"/>
        </w:trPr>
        <w:tc>
          <w:tcPr>
            <w:tcW w:w="1080" w:type="dxa"/>
            <w:tcBorders>
              <w:top w:val="nil"/>
              <w:left w:val="single" w:sz="6" w:space="0" w:color="auto"/>
              <w:bottom w:val="single" w:sz="6" w:space="0" w:color="auto"/>
              <w:right w:val="single" w:sz="6" w:space="0" w:color="auto"/>
            </w:tcBorders>
          </w:tcPr>
          <w:p w14:paraId="7B05DD77" w14:textId="77777777" w:rsidR="00B709A9" w:rsidRDefault="00B709A9">
            <w:pPr>
              <w:pStyle w:val="Texto"/>
              <w:spacing w:before="20" w:after="20" w:line="240" w:lineRule="auto"/>
              <w:ind w:firstLine="0"/>
              <w:rPr>
                <w:rFonts w:ascii="Verdana" w:hAnsi="Verdana"/>
                <w:sz w:val="16"/>
                <w:szCs w:val="16"/>
              </w:rPr>
            </w:pPr>
          </w:p>
        </w:tc>
        <w:tc>
          <w:tcPr>
            <w:tcW w:w="717" w:type="dxa"/>
            <w:tcBorders>
              <w:top w:val="single" w:sz="6" w:space="0" w:color="auto"/>
              <w:left w:val="single" w:sz="6" w:space="0" w:color="auto"/>
              <w:bottom w:val="single" w:sz="6" w:space="0" w:color="auto"/>
              <w:right w:val="single" w:sz="6" w:space="0" w:color="auto"/>
            </w:tcBorders>
            <w:vAlign w:val="center"/>
          </w:tcPr>
          <w:p w14:paraId="2B0E227B" w14:textId="77777777" w:rsidR="00B709A9" w:rsidRDefault="00B709A9">
            <w:pPr>
              <w:pStyle w:val="Texto"/>
              <w:spacing w:before="20" w:after="20" w:line="240" w:lineRule="auto"/>
              <w:ind w:firstLine="0"/>
              <w:jc w:val="center"/>
              <w:rPr>
                <w:rFonts w:ascii="Verdana" w:hAnsi="Verdana"/>
                <w:b/>
                <w:sz w:val="16"/>
                <w:szCs w:val="16"/>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584D9316"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33109AFE"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1F16E09C"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4BB38E72"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426C9A15" w14:textId="77777777" w:rsidR="00B709A9" w:rsidRDefault="00B709A9">
            <w:pPr>
              <w:rPr>
                <w:rFonts w:ascii="Verdana" w:hAnsi="Verdana" w:cs="Arial"/>
                <w:sz w:val="16"/>
                <w:szCs w:val="16"/>
                <w:lang w:val="es-ES"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B5FFC55" w14:textId="77777777" w:rsidR="00B709A9" w:rsidRDefault="00B709A9">
            <w:pPr>
              <w:pStyle w:val="Texto"/>
              <w:spacing w:before="20" w:after="20" w:line="240" w:lineRule="auto"/>
              <w:ind w:firstLine="0"/>
              <w:jc w:val="center"/>
              <w:rPr>
                <w:rFonts w:ascii="Verdana" w:hAnsi="Verdana"/>
                <w:b/>
                <w:sz w:val="16"/>
                <w:szCs w:val="16"/>
              </w:rPr>
            </w:pPr>
            <w:r>
              <w:rPr>
                <w:rFonts w:ascii="Verdana" w:hAnsi="Verdana"/>
                <w:b/>
                <w:sz w:val="16"/>
                <w:szCs w:val="16"/>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0C602784" w14:textId="77777777" w:rsidR="00B709A9" w:rsidRDefault="00B709A9">
            <w:pPr>
              <w:rPr>
                <w:rFonts w:ascii="Verdana" w:hAnsi="Verdana" w:cs="Arial"/>
                <w:b/>
                <w:sz w:val="16"/>
                <w:szCs w:val="16"/>
                <w:lang w:val="es-ES" w:eastAsia="es-ES"/>
              </w:rPr>
            </w:pPr>
          </w:p>
        </w:tc>
      </w:tr>
    </w:tbl>
    <w:p w14:paraId="17D42059" w14:textId="77777777" w:rsidR="00B709A9" w:rsidRDefault="00B709A9" w:rsidP="00B709A9">
      <w:pPr>
        <w:pStyle w:val="Texto"/>
        <w:rPr>
          <w:rFonts w:ascii="Verdana" w:hAnsi="Verdana"/>
          <w:b/>
          <w:sz w:val="16"/>
          <w:szCs w:val="16"/>
        </w:rPr>
      </w:pPr>
    </w:p>
    <w:p w14:paraId="3FE9B62C" w14:textId="77777777" w:rsidR="00B709A9" w:rsidRDefault="00B709A9" w:rsidP="00B709A9">
      <w:pPr>
        <w:pStyle w:val="Texto"/>
        <w:spacing w:after="60"/>
        <w:rPr>
          <w:rFonts w:ascii="Verdana" w:hAnsi="Verdana"/>
          <w:sz w:val="16"/>
          <w:szCs w:val="16"/>
        </w:rPr>
      </w:pPr>
    </w:p>
    <w:tbl>
      <w:tblPr>
        <w:tblW w:w="5000" w:type="pct"/>
        <w:tblLayout w:type="fixed"/>
        <w:tblCellMar>
          <w:left w:w="72" w:type="dxa"/>
          <w:right w:w="72" w:type="dxa"/>
        </w:tblCellMar>
        <w:tblLook w:val="04A0" w:firstRow="1" w:lastRow="0" w:firstColumn="1" w:lastColumn="0" w:noHBand="0" w:noVBand="1"/>
      </w:tblPr>
      <w:tblGrid>
        <w:gridCol w:w="1159"/>
        <w:gridCol w:w="769"/>
        <w:gridCol w:w="582"/>
        <w:gridCol w:w="1253"/>
        <w:gridCol w:w="1461"/>
        <w:gridCol w:w="906"/>
        <w:gridCol w:w="1274"/>
        <w:gridCol w:w="948"/>
        <w:gridCol w:w="992"/>
      </w:tblGrid>
      <w:tr w:rsidR="00B709A9" w14:paraId="567BF35C" w14:textId="77777777" w:rsidTr="00B709A9">
        <w:trPr>
          <w:trHeight w:val="20"/>
        </w:trPr>
        <w:tc>
          <w:tcPr>
            <w:tcW w:w="8712" w:type="dxa"/>
            <w:gridSpan w:val="9"/>
            <w:tcBorders>
              <w:top w:val="single" w:sz="6" w:space="0" w:color="auto"/>
              <w:left w:val="single" w:sz="6" w:space="0" w:color="auto"/>
              <w:bottom w:val="single" w:sz="6" w:space="0" w:color="auto"/>
              <w:right w:val="single" w:sz="6" w:space="0" w:color="auto"/>
            </w:tcBorders>
            <w:vAlign w:val="center"/>
            <w:hideMark/>
          </w:tcPr>
          <w:p w14:paraId="03FE8689"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Box No. 2</w:t>
            </w:r>
          </w:p>
        </w:tc>
      </w:tr>
      <w:tr w:rsidR="00B709A9" w14:paraId="44FD4D34" w14:textId="77777777" w:rsidTr="00B709A9">
        <w:trPr>
          <w:trHeight w:val="20"/>
        </w:trPr>
        <w:tc>
          <w:tcPr>
            <w:tcW w:w="2340" w:type="dxa"/>
            <w:gridSpan w:val="3"/>
            <w:tcBorders>
              <w:top w:val="single" w:sz="6" w:space="0" w:color="auto"/>
              <w:left w:val="single" w:sz="6" w:space="0" w:color="auto"/>
              <w:bottom w:val="single" w:sz="6" w:space="0" w:color="auto"/>
              <w:right w:val="single" w:sz="6" w:space="0" w:color="auto"/>
            </w:tcBorders>
            <w:vAlign w:val="center"/>
            <w:hideMark/>
          </w:tcPr>
          <w:p w14:paraId="6C33F619"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Container and/or packaging</w:t>
            </w:r>
          </w:p>
        </w:tc>
        <w:tc>
          <w:tcPr>
            <w:tcW w:w="6372" w:type="dxa"/>
            <w:gridSpan w:val="6"/>
            <w:tcBorders>
              <w:top w:val="single" w:sz="6" w:space="0" w:color="auto"/>
              <w:left w:val="single" w:sz="6" w:space="0" w:color="auto"/>
              <w:bottom w:val="single" w:sz="6" w:space="0" w:color="auto"/>
              <w:right w:val="single" w:sz="6" w:space="0" w:color="auto"/>
            </w:tcBorders>
            <w:vAlign w:val="center"/>
            <w:hideMark/>
          </w:tcPr>
          <w:p w14:paraId="2075099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Trials (tests) needed</w:t>
            </w:r>
          </w:p>
        </w:tc>
      </w:tr>
      <w:tr w:rsidR="00B709A9" w14:paraId="18EF3276" w14:textId="77777777" w:rsidTr="00B709A9">
        <w:trPr>
          <w:trHeight w:val="20"/>
        </w:trPr>
        <w:tc>
          <w:tcPr>
            <w:tcW w:w="1080" w:type="dxa"/>
            <w:vMerge w:val="restart"/>
            <w:tcBorders>
              <w:top w:val="single" w:sz="6" w:space="0" w:color="auto"/>
              <w:left w:val="single" w:sz="6" w:space="0" w:color="auto"/>
              <w:bottom w:val="single" w:sz="6" w:space="0" w:color="auto"/>
              <w:right w:val="single" w:sz="6" w:space="0" w:color="auto"/>
            </w:tcBorders>
            <w:vAlign w:val="center"/>
            <w:hideMark/>
          </w:tcPr>
          <w:p w14:paraId="4487A6F2"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Rigid outer packaging</w:t>
            </w:r>
          </w:p>
        </w:tc>
        <w:tc>
          <w:tcPr>
            <w:tcW w:w="1260" w:type="dxa"/>
            <w:gridSpan w:val="2"/>
            <w:tcBorders>
              <w:top w:val="single" w:sz="6" w:space="0" w:color="auto"/>
              <w:left w:val="single" w:sz="6" w:space="0" w:color="auto"/>
              <w:bottom w:val="single" w:sz="6" w:space="0" w:color="auto"/>
              <w:right w:val="single" w:sz="6" w:space="0" w:color="auto"/>
            </w:tcBorders>
            <w:vAlign w:val="center"/>
            <w:hideMark/>
          </w:tcPr>
          <w:p w14:paraId="231C70B3"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Primary container</w:t>
            </w:r>
          </w:p>
        </w:tc>
        <w:tc>
          <w:tcPr>
            <w:tcW w:w="1168" w:type="dxa"/>
            <w:tcBorders>
              <w:top w:val="single" w:sz="6" w:space="0" w:color="auto"/>
              <w:left w:val="single" w:sz="6" w:space="0" w:color="auto"/>
              <w:bottom w:val="single" w:sz="6" w:space="0" w:color="auto"/>
              <w:right w:val="single" w:sz="6" w:space="0" w:color="auto"/>
            </w:tcBorders>
            <w:vAlign w:val="center"/>
            <w:hideMark/>
          </w:tcPr>
          <w:p w14:paraId="151C544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Water Spray 6.5.3.6.1.</w:t>
            </w:r>
          </w:p>
        </w:tc>
        <w:tc>
          <w:tcPr>
            <w:tcW w:w="1362" w:type="dxa"/>
            <w:tcBorders>
              <w:top w:val="single" w:sz="6" w:space="0" w:color="auto"/>
              <w:left w:val="single" w:sz="6" w:space="0" w:color="auto"/>
              <w:bottom w:val="single" w:sz="6" w:space="0" w:color="auto"/>
              <w:right w:val="single" w:sz="6" w:space="0" w:color="auto"/>
            </w:tcBorders>
            <w:vAlign w:val="center"/>
            <w:hideMark/>
          </w:tcPr>
          <w:p w14:paraId="7AD8F13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Cold conditioning 6.5.3.6.2</w:t>
            </w:r>
          </w:p>
        </w:tc>
        <w:tc>
          <w:tcPr>
            <w:tcW w:w="845" w:type="dxa"/>
            <w:tcBorders>
              <w:top w:val="single" w:sz="6" w:space="0" w:color="auto"/>
              <w:left w:val="single" w:sz="6" w:space="0" w:color="auto"/>
              <w:bottom w:val="single" w:sz="6" w:space="0" w:color="auto"/>
              <w:right w:val="single" w:sz="6" w:space="0" w:color="auto"/>
            </w:tcBorders>
            <w:vAlign w:val="center"/>
            <w:hideMark/>
          </w:tcPr>
          <w:p w14:paraId="6FA9CBC0" w14:textId="77777777" w:rsidR="00B709A9" w:rsidRDefault="00B709A9">
            <w:pPr>
              <w:pStyle w:val="Texto"/>
              <w:spacing w:before="20" w:after="20" w:line="240" w:lineRule="auto"/>
              <w:ind w:firstLine="0"/>
              <w:jc w:val="center"/>
              <w:rPr>
                <w:rFonts w:ascii="Verdana" w:hAnsi="Verdana"/>
                <w:b/>
                <w:sz w:val="14"/>
                <w:szCs w:val="14"/>
                <w:lang w:val="en-US"/>
              </w:rPr>
            </w:pPr>
            <w:proofErr w:type="gramStart"/>
            <w:r>
              <w:rPr>
                <w:rFonts w:ascii="Verdana" w:hAnsi="Verdana"/>
                <w:b/>
                <w:sz w:val="14"/>
                <w:szCs w:val="14"/>
                <w:lang w:val="en-US"/>
              </w:rPr>
              <w:t>Drop  6</w:t>
            </w:r>
            <w:proofErr w:type="gramEnd"/>
            <w:r>
              <w:rPr>
                <w:rFonts w:ascii="Verdana" w:hAnsi="Verdana"/>
                <w:b/>
                <w:sz w:val="14"/>
                <w:szCs w:val="14"/>
                <w:lang w:val="en-US"/>
              </w:rPr>
              <w:t>.5.3</w:t>
            </w:r>
          </w:p>
        </w:tc>
        <w:tc>
          <w:tcPr>
            <w:tcW w:w="1188" w:type="dxa"/>
            <w:tcBorders>
              <w:top w:val="single" w:sz="6" w:space="0" w:color="auto"/>
              <w:left w:val="single" w:sz="6" w:space="0" w:color="auto"/>
              <w:bottom w:val="single" w:sz="6" w:space="0" w:color="auto"/>
              <w:right w:val="single" w:sz="6" w:space="0" w:color="auto"/>
            </w:tcBorders>
            <w:vAlign w:val="center"/>
            <w:hideMark/>
          </w:tcPr>
          <w:p w14:paraId="5FFA74C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Additional Drop 6.5.3.6.3</w:t>
            </w:r>
          </w:p>
        </w:tc>
        <w:tc>
          <w:tcPr>
            <w:tcW w:w="884" w:type="dxa"/>
            <w:tcBorders>
              <w:top w:val="single" w:sz="6" w:space="0" w:color="auto"/>
              <w:left w:val="single" w:sz="6" w:space="0" w:color="auto"/>
              <w:bottom w:val="single" w:sz="6" w:space="0" w:color="auto"/>
              <w:right w:val="single" w:sz="6" w:space="0" w:color="auto"/>
            </w:tcBorders>
            <w:vAlign w:val="center"/>
            <w:hideMark/>
          </w:tcPr>
          <w:p w14:paraId="265E7253"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Perforation 6.5.4</w:t>
            </w:r>
          </w:p>
        </w:tc>
        <w:tc>
          <w:tcPr>
            <w:tcW w:w="925" w:type="dxa"/>
            <w:vMerge w:val="restart"/>
            <w:tcBorders>
              <w:top w:val="single" w:sz="6" w:space="0" w:color="auto"/>
              <w:left w:val="single" w:sz="6" w:space="0" w:color="auto"/>
              <w:bottom w:val="single" w:sz="6" w:space="0" w:color="auto"/>
              <w:right w:val="single" w:sz="6" w:space="0" w:color="auto"/>
            </w:tcBorders>
            <w:vAlign w:val="center"/>
            <w:hideMark/>
          </w:tcPr>
          <w:p w14:paraId="10549BF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Stacked 6.5.1.6</w:t>
            </w:r>
          </w:p>
        </w:tc>
      </w:tr>
      <w:tr w:rsidR="00B709A9" w14:paraId="38C9FA66" w14:textId="77777777" w:rsidTr="00B709A9">
        <w:trPr>
          <w:trHeight w:val="20"/>
        </w:trPr>
        <w:tc>
          <w:tcPr>
            <w:tcW w:w="8712" w:type="dxa"/>
            <w:vMerge/>
            <w:tcBorders>
              <w:top w:val="single" w:sz="6" w:space="0" w:color="auto"/>
              <w:left w:val="single" w:sz="6" w:space="0" w:color="auto"/>
              <w:bottom w:val="single" w:sz="6" w:space="0" w:color="auto"/>
              <w:right w:val="single" w:sz="6" w:space="0" w:color="auto"/>
            </w:tcBorders>
            <w:vAlign w:val="center"/>
            <w:hideMark/>
          </w:tcPr>
          <w:p w14:paraId="2B6F9E67" w14:textId="77777777" w:rsidR="00B709A9" w:rsidRDefault="00B709A9">
            <w:pPr>
              <w:rPr>
                <w:rFonts w:ascii="Verdana" w:hAnsi="Verdana" w:cs="Arial"/>
                <w:b/>
                <w:sz w:val="14"/>
                <w:szCs w:val="14"/>
                <w:lang w:eastAsia="es-ES"/>
              </w:rPr>
            </w:pPr>
          </w:p>
        </w:tc>
        <w:tc>
          <w:tcPr>
            <w:tcW w:w="717" w:type="dxa"/>
            <w:tcBorders>
              <w:top w:val="single" w:sz="6" w:space="0" w:color="auto"/>
              <w:left w:val="single" w:sz="6" w:space="0" w:color="auto"/>
              <w:bottom w:val="single" w:sz="6" w:space="0" w:color="auto"/>
              <w:right w:val="single" w:sz="6" w:space="0" w:color="auto"/>
            </w:tcBorders>
            <w:vAlign w:val="center"/>
            <w:hideMark/>
          </w:tcPr>
          <w:p w14:paraId="741C9E78"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Plastic</w:t>
            </w:r>
          </w:p>
        </w:tc>
        <w:tc>
          <w:tcPr>
            <w:tcW w:w="543" w:type="dxa"/>
            <w:tcBorders>
              <w:top w:val="single" w:sz="6" w:space="0" w:color="auto"/>
              <w:left w:val="single" w:sz="6" w:space="0" w:color="auto"/>
              <w:bottom w:val="single" w:sz="6" w:space="0" w:color="auto"/>
              <w:right w:val="single" w:sz="6" w:space="0" w:color="auto"/>
            </w:tcBorders>
            <w:vAlign w:val="center"/>
            <w:hideMark/>
          </w:tcPr>
          <w:p w14:paraId="08F8659F"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Others</w:t>
            </w:r>
          </w:p>
        </w:tc>
        <w:tc>
          <w:tcPr>
            <w:tcW w:w="1168" w:type="dxa"/>
            <w:tcBorders>
              <w:top w:val="single" w:sz="6" w:space="0" w:color="auto"/>
              <w:left w:val="single" w:sz="6" w:space="0" w:color="auto"/>
              <w:bottom w:val="single" w:sz="6" w:space="0" w:color="auto"/>
              <w:right w:val="single" w:sz="6" w:space="0" w:color="auto"/>
            </w:tcBorders>
            <w:vAlign w:val="center"/>
            <w:hideMark/>
          </w:tcPr>
          <w:p w14:paraId="3C5F3A56"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No. of samples</w:t>
            </w:r>
          </w:p>
        </w:tc>
        <w:tc>
          <w:tcPr>
            <w:tcW w:w="1362" w:type="dxa"/>
            <w:tcBorders>
              <w:top w:val="single" w:sz="6" w:space="0" w:color="auto"/>
              <w:left w:val="single" w:sz="6" w:space="0" w:color="auto"/>
              <w:bottom w:val="single" w:sz="6" w:space="0" w:color="auto"/>
              <w:right w:val="single" w:sz="6" w:space="0" w:color="auto"/>
            </w:tcBorders>
            <w:vAlign w:val="center"/>
            <w:hideMark/>
          </w:tcPr>
          <w:p w14:paraId="2C4DCA36"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No. of samples</w:t>
            </w:r>
          </w:p>
        </w:tc>
        <w:tc>
          <w:tcPr>
            <w:tcW w:w="845" w:type="dxa"/>
            <w:tcBorders>
              <w:top w:val="single" w:sz="6" w:space="0" w:color="auto"/>
              <w:left w:val="single" w:sz="6" w:space="0" w:color="auto"/>
              <w:bottom w:val="single" w:sz="6" w:space="0" w:color="auto"/>
              <w:right w:val="single" w:sz="6" w:space="0" w:color="auto"/>
            </w:tcBorders>
            <w:vAlign w:val="center"/>
            <w:hideMark/>
          </w:tcPr>
          <w:p w14:paraId="3F5352B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No. of samples</w:t>
            </w:r>
          </w:p>
        </w:tc>
        <w:tc>
          <w:tcPr>
            <w:tcW w:w="1188" w:type="dxa"/>
            <w:tcBorders>
              <w:top w:val="single" w:sz="6" w:space="0" w:color="auto"/>
              <w:left w:val="single" w:sz="6" w:space="0" w:color="auto"/>
              <w:bottom w:val="single" w:sz="6" w:space="0" w:color="auto"/>
              <w:right w:val="single" w:sz="6" w:space="0" w:color="auto"/>
            </w:tcBorders>
            <w:vAlign w:val="center"/>
            <w:hideMark/>
          </w:tcPr>
          <w:p w14:paraId="7A98C277"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No. of samples</w:t>
            </w:r>
          </w:p>
        </w:tc>
        <w:tc>
          <w:tcPr>
            <w:tcW w:w="884" w:type="dxa"/>
            <w:tcBorders>
              <w:top w:val="single" w:sz="6" w:space="0" w:color="auto"/>
              <w:left w:val="single" w:sz="6" w:space="0" w:color="auto"/>
              <w:bottom w:val="single" w:sz="6" w:space="0" w:color="auto"/>
              <w:right w:val="single" w:sz="6" w:space="0" w:color="auto"/>
            </w:tcBorders>
            <w:vAlign w:val="center"/>
            <w:hideMark/>
          </w:tcPr>
          <w:p w14:paraId="516951D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No. of samples</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507522EF" w14:textId="77777777" w:rsidR="00B709A9" w:rsidRDefault="00B709A9">
            <w:pPr>
              <w:rPr>
                <w:rFonts w:ascii="Verdana" w:hAnsi="Verdana" w:cs="Arial"/>
                <w:b/>
                <w:sz w:val="14"/>
                <w:szCs w:val="14"/>
                <w:lang w:eastAsia="es-ES"/>
              </w:rPr>
            </w:pPr>
          </w:p>
        </w:tc>
      </w:tr>
      <w:tr w:rsidR="00B709A9" w14:paraId="3A61F0B9"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3797F126" w14:textId="77777777" w:rsidR="00B709A9" w:rsidRDefault="00B709A9">
            <w:pPr>
              <w:pStyle w:val="Texto"/>
              <w:spacing w:before="20" w:after="20" w:line="240" w:lineRule="auto"/>
              <w:ind w:firstLine="0"/>
              <w:rPr>
                <w:rFonts w:ascii="Verdana" w:hAnsi="Verdana"/>
                <w:b/>
                <w:sz w:val="14"/>
                <w:szCs w:val="14"/>
                <w:lang w:val="en-US"/>
              </w:rPr>
            </w:pPr>
            <w:r>
              <w:rPr>
                <w:rFonts w:ascii="Verdana" w:hAnsi="Verdana"/>
                <w:sz w:val="14"/>
                <w:szCs w:val="14"/>
                <w:lang w:val="en-US"/>
              </w:rPr>
              <w:t>Carton box</w:t>
            </w:r>
          </w:p>
        </w:tc>
        <w:tc>
          <w:tcPr>
            <w:tcW w:w="717" w:type="dxa"/>
            <w:tcBorders>
              <w:top w:val="single" w:sz="6" w:space="0" w:color="auto"/>
              <w:left w:val="single" w:sz="6" w:space="0" w:color="auto"/>
              <w:bottom w:val="single" w:sz="6" w:space="0" w:color="auto"/>
              <w:right w:val="single" w:sz="6" w:space="0" w:color="auto"/>
            </w:tcBorders>
            <w:vAlign w:val="center"/>
            <w:hideMark/>
          </w:tcPr>
          <w:p w14:paraId="5B0B0D5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543" w:type="dxa"/>
            <w:tcBorders>
              <w:top w:val="single" w:sz="6" w:space="0" w:color="auto"/>
              <w:left w:val="single" w:sz="6" w:space="0" w:color="auto"/>
              <w:bottom w:val="single" w:sz="6" w:space="0" w:color="auto"/>
              <w:right w:val="single" w:sz="6" w:space="0" w:color="auto"/>
            </w:tcBorders>
            <w:vAlign w:val="center"/>
          </w:tcPr>
          <w:p w14:paraId="520B3724" w14:textId="77777777" w:rsidR="00B709A9" w:rsidRDefault="00B709A9">
            <w:pPr>
              <w:pStyle w:val="Texto"/>
              <w:spacing w:before="20" w:after="20" w:line="240" w:lineRule="auto"/>
              <w:ind w:firstLine="0"/>
              <w:jc w:val="center"/>
              <w:rPr>
                <w:rFonts w:ascii="Verdana" w:hAnsi="Verdana"/>
                <w:b/>
                <w:sz w:val="14"/>
                <w:szCs w:val="14"/>
                <w:lang w:val="en-US"/>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134F41F0"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362" w:type="dxa"/>
            <w:tcBorders>
              <w:top w:val="single" w:sz="6" w:space="0" w:color="auto"/>
              <w:left w:val="single" w:sz="6" w:space="0" w:color="auto"/>
              <w:bottom w:val="single" w:sz="6" w:space="0" w:color="auto"/>
              <w:right w:val="single" w:sz="6" w:space="0" w:color="auto"/>
            </w:tcBorders>
            <w:vAlign w:val="center"/>
            <w:hideMark/>
          </w:tcPr>
          <w:p w14:paraId="62A1503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618EC7AF"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10</w:t>
            </w:r>
          </w:p>
        </w:tc>
        <w:tc>
          <w:tcPr>
            <w:tcW w:w="1188" w:type="dxa"/>
            <w:vMerge w:val="restart"/>
            <w:tcBorders>
              <w:top w:val="single" w:sz="6" w:space="0" w:color="auto"/>
              <w:left w:val="single" w:sz="6" w:space="0" w:color="auto"/>
              <w:bottom w:val="single" w:sz="6" w:space="0" w:color="auto"/>
              <w:right w:val="single" w:sz="6" w:space="0" w:color="auto"/>
            </w:tcBorders>
            <w:vAlign w:val="center"/>
            <w:hideMark/>
          </w:tcPr>
          <w:p w14:paraId="3D8F7AE3" w14:textId="77777777" w:rsidR="00B709A9" w:rsidRDefault="00B709A9">
            <w:pPr>
              <w:pStyle w:val="Texto"/>
              <w:spacing w:before="20" w:after="20" w:line="240" w:lineRule="auto"/>
              <w:ind w:firstLine="0"/>
              <w:jc w:val="center"/>
              <w:rPr>
                <w:rFonts w:ascii="Verdana" w:hAnsi="Verdana"/>
                <w:sz w:val="14"/>
                <w:szCs w:val="14"/>
                <w:lang w:val="en-US"/>
              </w:rPr>
            </w:pPr>
            <w:r>
              <w:rPr>
                <w:rFonts w:ascii="Verdana" w:hAnsi="Verdana"/>
                <w:sz w:val="14"/>
                <w:szCs w:val="14"/>
                <w:lang w:val="en-US"/>
              </w:rPr>
              <w:t>Required in a sample if the container/packaging is intended to contain dry ice</w:t>
            </w:r>
          </w:p>
        </w:tc>
        <w:tc>
          <w:tcPr>
            <w:tcW w:w="884" w:type="dxa"/>
            <w:tcBorders>
              <w:top w:val="single" w:sz="6" w:space="0" w:color="auto"/>
              <w:left w:val="single" w:sz="6" w:space="0" w:color="auto"/>
              <w:bottom w:val="single" w:sz="6" w:space="0" w:color="auto"/>
              <w:right w:val="single" w:sz="6" w:space="0" w:color="auto"/>
            </w:tcBorders>
            <w:vAlign w:val="center"/>
            <w:hideMark/>
          </w:tcPr>
          <w:p w14:paraId="446A2909"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val="restart"/>
            <w:tcBorders>
              <w:top w:val="single" w:sz="6" w:space="0" w:color="auto"/>
              <w:left w:val="single" w:sz="6" w:space="0" w:color="auto"/>
              <w:bottom w:val="single" w:sz="6" w:space="0" w:color="auto"/>
              <w:right w:val="single" w:sz="6" w:space="0" w:color="auto"/>
            </w:tcBorders>
            <w:vAlign w:val="center"/>
            <w:hideMark/>
          </w:tcPr>
          <w:p w14:paraId="37B51E8E"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sz w:val="14"/>
                <w:szCs w:val="14"/>
                <w:lang w:val="en-US"/>
              </w:rPr>
              <w:t>Required in three samples if a container and/or packaging marked "U" defined in 6.5.1.6 for specific provisions is tested</w:t>
            </w:r>
          </w:p>
        </w:tc>
      </w:tr>
      <w:tr w:rsidR="00B709A9" w14:paraId="506F1516" w14:textId="77777777" w:rsidTr="00B709A9">
        <w:trPr>
          <w:trHeight w:val="20"/>
        </w:trPr>
        <w:tc>
          <w:tcPr>
            <w:tcW w:w="1080" w:type="dxa"/>
            <w:tcBorders>
              <w:top w:val="nil"/>
              <w:left w:val="single" w:sz="6" w:space="0" w:color="auto"/>
              <w:bottom w:val="single" w:sz="6" w:space="0" w:color="auto"/>
              <w:right w:val="single" w:sz="6" w:space="0" w:color="auto"/>
            </w:tcBorders>
          </w:tcPr>
          <w:p w14:paraId="5A5CB974" w14:textId="77777777" w:rsidR="00B709A9" w:rsidRDefault="00B709A9">
            <w:pPr>
              <w:pStyle w:val="Texto"/>
              <w:spacing w:before="20" w:after="20" w:line="240" w:lineRule="auto"/>
              <w:ind w:firstLine="0"/>
              <w:rPr>
                <w:rFonts w:ascii="Verdana" w:hAnsi="Verdana"/>
                <w:sz w:val="14"/>
                <w:szCs w:val="14"/>
                <w:lang w:val="en-US"/>
              </w:rPr>
            </w:pPr>
          </w:p>
        </w:tc>
        <w:tc>
          <w:tcPr>
            <w:tcW w:w="717" w:type="dxa"/>
            <w:tcBorders>
              <w:top w:val="single" w:sz="6" w:space="0" w:color="auto"/>
              <w:left w:val="single" w:sz="6" w:space="0" w:color="auto"/>
              <w:bottom w:val="single" w:sz="6" w:space="0" w:color="auto"/>
              <w:right w:val="single" w:sz="6" w:space="0" w:color="auto"/>
            </w:tcBorders>
            <w:vAlign w:val="center"/>
          </w:tcPr>
          <w:p w14:paraId="32438596" w14:textId="77777777" w:rsidR="00B709A9" w:rsidRDefault="00B709A9">
            <w:pPr>
              <w:pStyle w:val="Texto"/>
              <w:spacing w:before="20" w:after="20" w:line="240" w:lineRule="auto"/>
              <w:ind w:firstLine="0"/>
              <w:jc w:val="center"/>
              <w:rPr>
                <w:rFonts w:ascii="Verdana" w:hAnsi="Verdana"/>
                <w:b/>
                <w:sz w:val="14"/>
                <w:szCs w:val="14"/>
                <w:lang w:val="en-US"/>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63689B4A"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3F1A50E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362" w:type="dxa"/>
            <w:tcBorders>
              <w:top w:val="single" w:sz="6" w:space="0" w:color="auto"/>
              <w:left w:val="single" w:sz="6" w:space="0" w:color="auto"/>
              <w:bottom w:val="single" w:sz="6" w:space="0" w:color="auto"/>
              <w:right w:val="single" w:sz="6" w:space="0" w:color="auto"/>
            </w:tcBorders>
            <w:vAlign w:val="center"/>
            <w:hideMark/>
          </w:tcPr>
          <w:p w14:paraId="6F9DB043"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0F7FE318"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3837C0CC"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DEC2AF9"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78397CA1" w14:textId="77777777" w:rsidR="00B709A9" w:rsidRDefault="00B709A9">
            <w:pPr>
              <w:rPr>
                <w:rFonts w:ascii="Verdana" w:hAnsi="Verdana" w:cs="Arial"/>
                <w:b/>
                <w:sz w:val="14"/>
                <w:szCs w:val="14"/>
                <w:lang w:eastAsia="es-ES"/>
              </w:rPr>
            </w:pPr>
          </w:p>
        </w:tc>
      </w:tr>
      <w:tr w:rsidR="00B709A9" w14:paraId="35921D80"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5088DCB6" w14:textId="77777777" w:rsidR="00B709A9" w:rsidRDefault="00B709A9">
            <w:pPr>
              <w:pStyle w:val="Texto"/>
              <w:spacing w:before="20" w:after="20" w:line="240" w:lineRule="auto"/>
              <w:ind w:firstLine="0"/>
              <w:jc w:val="left"/>
              <w:rPr>
                <w:rFonts w:ascii="Verdana" w:hAnsi="Verdana"/>
                <w:sz w:val="14"/>
                <w:szCs w:val="14"/>
                <w:lang w:val="en-US"/>
              </w:rPr>
            </w:pPr>
            <w:r>
              <w:rPr>
                <w:rFonts w:ascii="Verdana" w:hAnsi="Verdana"/>
                <w:sz w:val="14"/>
                <w:szCs w:val="14"/>
                <w:lang w:val="en-US"/>
              </w:rPr>
              <w:t>Cardboard Drum</w:t>
            </w:r>
          </w:p>
        </w:tc>
        <w:tc>
          <w:tcPr>
            <w:tcW w:w="717" w:type="dxa"/>
            <w:tcBorders>
              <w:top w:val="single" w:sz="6" w:space="0" w:color="auto"/>
              <w:left w:val="single" w:sz="6" w:space="0" w:color="auto"/>
              <w:bottom w:val="single" w:sz="6" w:space="0" w:color="auto"/>
              <w:right w:val="single" w:sz="6" w:space="0" w:color="auto"/>
            </w:tcBorders>
            <w:vAlign w:val="center"/>
            <w:hideMark/>
          </w:tcPr>
          <w:p w14:paraId="2D88054A"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543" w:type="dxa"/>
            <w:tcBorders>
              <w:top w:val="single" w:sz="6" w:space="0" w:color="auto"/>
              <w:left w:val="single" w:sz="6" w:space="0" w:color="auto"/>
              <w:bottom w:val="single" w:sz="6" w:space="0" w:color="auto"/>
              <w:right w:val="single" w:sz="6" w:space="0" w:color="auto"/>
            </w:tcBorders>
            <w:vAlign w:val="center"/>
          </w:tcPr>
          <w:p w14:paraId="563FB32F" w14:textId="77777777" w:rsidR="00B709A9" w:rsidRDefault="00B709A9">
            <w:pPr>
              <w:pStyle w:val="Texto"/>
              <w:spacing w:before="20" w:after="20" w:line="240" w:lineRule="auto"/>
              <w:ind w:firstLine="0"/>
              <w:jc w:val="center"/>
              <w:rPr>
                <w:rFonts w:ascii="Verdana" w:hAnsi="Verdana"/>
                <w:b/>
                <w:sz w:val="14"/>
                <w:szCs w:val="14"/>
                <w:lang w:val="en-US"/>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64CA00F7"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362" w:type="dxa"/>
            <w:tcBorders>
              <w:top w:val="single" w:sz="6" w:space="0" w:color="auto"/>
              <w:left w:val="single" w:sz="6" w:space="0" w:color="auto"/>
              <w:bottom w:val="single" w:sz="6" w:space="0" w:color="auto"/>
              <w:right w:val="single" w:sz="6" w:space="0" w:color="auto"/>
            </w:tcBorders>
            <w:vAlign w:val="center"/>
            <w:hideMark/>
          </w:tcPr>
          <w:p w14:paraId="3493FD57"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2C6AC4E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6</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170FB027"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FE5756D"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30D6A559" w14:textId="77777777" w:rsidR="00B709A9" w:rsidRDefault="00B709A9">
            <w:pPr>
              <w:rPr>
                <w:rFonts w:ascii="Verdana" w:hAnsi="Verdana" w:cs="Arial"/>
                <w:b/>
                <w:sz w:val="14"/>
                <w:szCs w:val="14"/>
                <w:lang w:eastAsia="es-ES"/>
              </w:rPr>
            </w:pPr>
          </w:p>
        </w:tc>
      </w:tr>
      <w:tr w:rsidR="00B709A9" w14:paraId="305BA095" w14:textId="77777777" w:rsidTr="00B709A9">
        <w:trPr>
          <w:trHeight w:val="20"/>
        </w:trPr>
        <w:tc>
          <w:tcPr>
            <w:tcW w:w="1080" w:type="dxa"/>
            <w:tcBorders>
              <w:top w:val="nil"/>
              <w:left w:val="single" w:sz="6" w:space="0" w:color="auto"/>
              <w:bottom w:val="single" w:sz="6" w:space="0" w:color="auto"/>
              <w:right w:val="single" w:sz="6" w:space="0" w:color="auto"/>
            </w:tcBorders>
          </w:tcPr>
          <w:p w14:paraId="41828CFE" w14:textId="77777777" w:rsidR="00B709A9" w:rsidRDefault="00B709A9">
            <w:pPr>
              <w:pStyle w:val="Texto"/>
              <w:spacing w:before="20" w:after="20" w:line="240" w:lineRule="auto"/>
              <w:ind w:firstLine="0"/>
              <w:rPr>
                <w:rFonts w:ascii="Verdana" w:hAnsi="Verdana"/>
                <w:b/>
                <w:sz w:val="14"/>
                <w:szCs w:val="14"/>
                <w:lang w:val="en-US"/>
              </w:rPr>
            </w:pPr>
          </w:p>
        </w:tc>
        <w:tc>
          <w:tcPr>
            <w:tcW w:w="717" w:type="dxa"/>
            <w:tcBorders>
              <w:top w:val="single" w:sz="6" w:space="0" w:color="auto"/>
              <w:left w:val="single" w:sz="6" w:space="0" w:color="auto"/>
              <w:bottom w:val="single" w:sz="6" w:space="0" w:color="auto"/>
              <w:right w:val="single" w:sz="6" w:space="0" w:color="auto"/>
            </w:tcBorders>
            <w:vAlign w:val="center"/>
          </w:tcPr>
          <w:p w14:paraId="4867CFC7" w14:textId="77777777" w:rsidR="00B709A9" w:rsidRDefault="00B709A9">
            <w:pPr>
              <w:pStyle w:val="Texto"/>
              <w:spacing w:before="20" w:after="20" w:line="240" w:lineRule="auto"/>
              <w:ind w:firstLine="0"/>
              <w:jc w:val="center"/>
              <w:rPr>
                <w:rFonts w:ascii="Verdana" w:hAnsi="Verdana"/>
                <w:b/>
                <w:sz w:val="14"/>
                <w:szCs w:val="14"/>
                <w:lang w:val="en-US"/>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519AE786"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3EB0DE8A"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362" w:type="dxa"/>
            <w:tcBorders>
              <w:top w:val="single" w:sz="6" w:space="0" w:color="auto"/>
              <w:left w:val="single" w:sz="6" w:space="0" w:color="auto"/>
              <w:bottom w:val="single" w:sz="6" w:space="0" w:color="auto"/>
              <w:right w:val="single" w:sz="6" w:space="0" w:color="auto"/>
            </w:tcBorders>
            <w:vAlign w:val="center"/>
            <w:hideMark/>
          </w:tcPr>
          <w:p w14:paraId="22562C53"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5EEF3DF9"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1B2960C9"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1D72C50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56FC83DD" w14:textId="77777777" w:rsidR="00B709A9" w:rsidRDefault="00B709A9">
            <w:pPr>
              <w:rPr>
                <w:rFonts w:ascii="Verdana" w:hAnsi="Verdana" w:cs="Arial"/>
                <w:b/>
                <w:sz w:val="14"/>
                <w:szCs w:val="14"/>
                <w:lang w:eastAsia="es-ES"/>
              </w:rPr>
            </w:pPr>
          </w:p>
        </w:tc>
      </w:tr>
      <w:tr w:rsidR="00B709A9" w14:paraId="2A6938C3"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462C522A" w14:textId="77777777" w:rsidR="00B709A9" w:rsidRDefault="00B709A9">
            <w:pPr>
              <w:pStyle w:val="Texto"/>
              <w:spacing w:before="20" w:after="20" w:line="240" w:lineRule="auto"/>
              <w:ind w:firstLine="0"/>
              <w:rPr>
                <w:rFonts w:ascii="Verdana" w:hAnsi="Verdana"/>
                <w:sz w:val="14"/>
                <w:szCs w:val="14"/>
                <w:lang w:val="en-US"/>
              </w:rPr>
            </w:pPr>
            <w:r>
              <w:rPr>
                <w:rFonts w:ascii="Verdana" w:hAnsi="Verdana"/>
                <w:sz w:val="14"/>
                <w:szCs w:val="14"/>
                <w:lang w:val="en-US"/>
              </w:rPr>
              <w:t>Plastic box</w:t>
            </w:r>
          </w:p>
        </w:tc>
        <w:tc>
          <w:tcPr>
            <w:tcW w:w="717" w:type="dxa"/>
            <w:tcBorders>
              <w:top w:val="single" w:sz="6" w:space="0" w:color="auto"/>
              <w:left w:val="single" w:sz="6" w:space="0" w:color="auto"/>
              <w:bottom w:val="single" w:sz="6" w:space="0" w:color="auto"/>
              <w:right w:val="single" w:sz="6" w:space="0" w:color="auto"/>
            </w:tcBorders>
            <w:vAlign w:val="center"/>
            <w:hideMark/>
          </w:tcPr>
          <w:p w14:paraId="2D58ED86"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543" w:type="dxa"/>
            <w:tcBorders>
              <w:top w:val="single" w:sz="6" w:space="0" w:color="auto"/>
              <w:left w:val="single" w:sz="6" w:space="0" w:color="auto"/>
              <w:bottom w:val="single" w:sz="6" w:space="0" w:color="auto"/>
              <w:right w:val="single" w:sz="6" w:space="0" w:color="auto"/>
            </w:tcBorders>
            <w:vAlign w:val="center"/>
          </w:tcPr>
          <w:p w14:paraId="479D0678" w14:textId="77777777" w:rsidR="00B709A9" w:rsidRDefault="00B709A9">
            <w:pPr>
              <w:pStyle w:val="Texto"/>
              <w:spacing w:before="20" w:after="20" w:line="240" w:lineRule="auto"/>
              <w:ind w:firstLine="0"/>
              <w:jc w:val="center"/>
              <w:rPr>
                <w:rFonts w:ascii="Verdana" w:hAnsi="Verdana"/>
                <w:b/>
                <w:sz w:val="14"/>
                <w:szCs w:val="14"/>
                <w:lang w:val="en-US"/>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6E0E0CCC"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2C0DDAD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2A90E670"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13E50DFD"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556585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6C87A246" w14:textId="77777777" w:rsidR="00B709A9" w:rsidRDefault="00B709A9">
            <w:pPr>
              <w:rPr>
                <w:rFonts w:ascii="Verdana" w:hAnsi="Verdana" w:cs="Arial"/>
                <w:b/>
                <w:sz w:val="14"/>
                <w:szCs w:val="14"/>
                <w:lang w:eastAsia="es-ES"/>
              </w:rPr>
            </w:pPr>
          </w:p>
        </w:tc>
      </w:tr>
      <w:tr w:rsidR="00B709A9" w14:paraId="1E845062" w14:textId="77777777" w:rsidTr="00B709A9">
        <w:trPr>
          <w:trHeight w:val="20"/>
        </w:trPr>
        <w:tc>
          <w:tcPr>
            <w:tcW w:w="1080" w:type="dxa"/>
            <w:tcBorders>
              <w:top w:val="nil"/>
              <w:left w:val="single" w:sz="6" w:space="0" w:color="auto"/>
              <w:bottom w:val="single" w:sz="6" w:space="0" w:color="auto"/>
              <w:right w:val="single" w:sz="6" w:space="0" w:color="auto"/>
            </w:tcBorders>
          </w:tcPr>
          <w:p w14:paraId="21B368E2" w14:textId="77777777" w:rsidR="00B709A9" w:rsidRDefault="00B709A9">
            <w:pPr>
              <w:pStyle w:val="Texto"/>
              <w:spacing w:before="20" w:after="20" w:line="240" w:lineRule="auto"/>
              <w:ind w:firstLine="0"/>
              <w:rPr>
                <w:rFonts w:ascii="Verdana" w:hAnsi="Verdana"/>
                <w:sz w:val="14"/>
                <w:szCs w:val="14"/>
                <w:lang w:val="en-US"/>
              </w:rPr>
            </w:pPr>
          </w:p>
        </w:tc>
        <w:tc>
          <w:tcPr>
            <w:tcW w:w="717" w:type="dxa"/>
            <w:tcBorders>
              <w:top w:val="single" w:sz="6" w:space="0" w:color="auto"/>
              <w:left w:val="single" w:sz="6" w:space="0" w:color="auto"/>
              <w:bottom w:val="single" w:sz="6" w:space="0" w:color="auto"/>
              <w:right w:val="single" w:sz="6" w:space="0" w:color="auto"/>
            </w:tcBorders>
            <w:vAlign w:val="center"/>
          </w:tcPr>
          <w:p w14:paraId="7ACB69FC" w14:textId="77777777" w:rsidR="00B709A9" w:rsidRDefault="00B709A9">
            <w:pPr>
              <w:pStyle w:val="Texto"/>
              <w:spacing w:before="20" w:after="20" w:line="240" w:lineRule="auto"/>
              <w:ind w:firstLine="0"/>
              <w:jc w:val="center"/>
              <w:rPr>
                <w:rFonts w:ascii="Verdana" w:hAnsi="Verdana"/>
                <w:b/>
                <w:sz w:val="14"/>
                <w:szCs w:val="14"/>
                <w:lang w:val="en-US"/>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68ADD81D"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7048BC3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316917C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27C1A43A"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4AC61FBC"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2DBC40E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2A12639D" w14:textId="77777777" w:rsidR="00B709A9" w:rsidRDefault="00B709A9">
            <w:pPr>
              <w:rPr>
                <w:rFonts w:ascii="Verdana" w:hAnsi="Verdana" w:cs="Arial"/>
                <w:b/>
                <w:sz w:val="14"/>
                <w:szCs w:val="14"/>
                <w:lang w:eastAsia="es-ES"/>
              </w:rPr>
            </w:pPr>
          </w:p>
        </w:tc>
      </w:tr>
      <w:tr w:rsidR="00B709A9" w14:paraId="45AC7414"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550C8AFA" w14:textId="77777777" w:rsidR="00B709A9" w:rsidRDefault="00B709A9">
            <w:pPr>
              <w:pStyle w:val="Texto"/>
              <w:spacing w:before="20" w:after="20" w:line="240" w:lineRule="auto"/>
              <w:ind w:firstLine="0"/>
              <w:jc w:val="left"/>
              <w:rPr>
                <w:rFonts w:ascii="Verdana" w:hAnsi="Verdana"/>
                <w:sz w:val="14"/>
                <w:szCs w:val="14"/>
                <w:lang w:val="en-US"/>
              </w:rPr>
            </w:pPr>
            <w:r>
              <w:rPr>
                <w:rFonts w:ascii="Verdana" w:hAnsi="Verdana"/>
                <w:sz w:val="14"/>
                <w:szCs w:val="14"/>
                <w:lang w:val="en-US"/>
              </w:rPr>
              <w:t xml:space="preserve">Plastic drum- jerrican </w:t>
            </w:r>
          </w:p>
        </w:tc>
        <w:tc>
          <w:tcPr>
            <w:tcW w:w="717" w:type="dxa"/>
            <w:tcBorders>
              <w:top w:val="single" w:sz="6" w:space="0" w:color="auto"/>
              <w:left w:val="single" w:sz="6" w:space="0" w:color="auto"/>
              <w:bottom w:val="single" w:sz="6" w:space="0" w:color="auto"/>
              <w:right w:val="single" w:sz="6" w:space="0" w:color="auto"/>
            </w:tcBorders>
            <w:vAlign w:val="center"/>
            <w:hideMark/>
          </w:tcPr>
          <w:p w14:paraId="5D3C8EAE"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543" w:type="dxa"/>
            <w:tcBorders>
              <w:top w:val="single" w:sz="6" w:space="0" w:color="auto"/>
              <w:left w:val="single" w:sz="6" w:space="0" w:color="auto"/>
              <w:bottom w:val="single" w:sz="6" w:space="0" w:color="auto"/>
              <w:right w:val="single" w:sz="6" w:space="0" w:color="auto"/>
            </w:tcBorders>
            <w:vAlign w:val="center"/>
          </w:tcPr>
          <w:p w14:paraId="773A9EB2" w14:textId="77777777" w:rsidR="00B709A9" w:rsidRDefault="00B709A9">
            <w:pPr>
              <w:pStyle w:val="Texto"/>
              <w:spacing w:before="20" w:after="20" w:line="240" w:lineRule="auto"/>
              <w:ind w:firstLine="0"/>
              <w:jc w:val="center"/>
              <w:rPr>
                <w:rFonts w:ascii="Verdana" w:hAnsi="Verdana"/>
                <w:b/>
                <w:sz w:val="14"/>
                <w:szCs w:val="14"/>
                <w:lang w:val="en-US"/>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1EE70BAD"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20B7ACD0"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416D6D8C"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1E10605D"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754D94B7"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3C4F34E1" w14:textId="77777777" w:rsidR="00B709A9" w:rsidRDefault="00B709A9">
            <w:pPr>
              <w:rPr>
                <w:rFonts w:ascii="Verdana" w:hAnsi="Verdana" w:cs="Arial"/>
                <w:b/>
                <w:sz w:val="14"/>
                <w:szCs w:val="14"/>
                <w:lang w:eastAsia="es-ES"/>
              </w:rPr>
            </w:pPr>
          </w:p>
        </w:tc>
      </w:tr>
      <w:tr w:rsidR="00B709A9" w14:paraId="318FD8A2" w14:textId="77777777" w:rsidTr="00B709A9">
        <w:trPr>
          <w:trHeight w:val="20"/>
        </w:trPr>
        <w:tc>
          <w:tcPr>
            <w:tcW w:w="1080" w:type="dxa"/>
            <w:tcBorders>
              <w:top w:val="nil"/>
              <w:left w:val="single" w:sz="6" w:space="0" w:color="auto"/>
              <w:bottom w:val="single" w:sz="6" w:space="0" w:color="auto"/>
              <w:right w:val="single" w:sz="6" w:space="0" w:color="auto"/>
            </w:tcBorders>
          </w:tcPr>
          <w:p w14:paraId="03EE0307" w14:textId="77777777" w:rsidR="00B709A9" w:rsidRDefault="00B709A9">
            <w:pPr>
              <w:pStyle w:val="Texto"/>
              <w:spacing w:before="20" w:after="20" w:line="240" w:lineRule="auto"/>
              <w:ind w:firstLine="0"/>
              <w:rPr>
                <w:rFonts w:ascii="Verdana" w:hAnsi="Verdana"/>
                <w:sz w:val="14"/>
                <w:szCs w:val="14"/>
                <w:lang w:val="en-US"/>
              </w:rPr>
            </w:pPr>
          </w:p>
        </w:tc>
        <w:tc>
          <w:tcPr>
            <w:tcW w:w="717" w:type="dxa"/>
            <w:tcBorders>
              <w:top w:val="single" w:sz="6" w:space="0" w:color="auto"/>
              <w:left w:val="single" w:sz="6" w:space="0" w:color="auto"/>
              <w:bottom w:val="single" w:sz="6" w:space="0" w:color="auto"/>
              <w:right w:val="single" w:sz="6" w:space="0" w:color="auto"/>
            </w:tcBorders>
            <w:vAlign w:val="center"/>
          </w:tcPr>
          <w:p w14:paraId="5CF6DC43" w14:textId="77777777" w:rsidR="00B709A9" w:rsidRDefault="00B709A9">
            <w:pPr>
              <w:pStyle w:val="Texto"/>
              <w:spacing w:before="20" w:after="20" w:line="240" w:lineRule="auto"/>
              <w:ind w:firstLine="0"/>
              <w:jc w:val="center"/>
              <w:rPr>
                <w:rFonts w:ascii="Verdana" w:hAnsi="Verdana"/>
                <w:b/>
                <w:sz w:val="14"/>
                <w:szCs w:val="14"/>
                <w:lang w:val="en-US"/>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056CE370"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3D5E0526"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5AF844E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0177C09D"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6A24FC15"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27E7A28C"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7C53AFE5" w14:textId="77777777" w:rsidR="00B709A9" w:rsidRDefault="00B709A9">
            <w:pPr>
              <w:rPr>
                <w:rFonts w:ascii="Verdana" w:hAnsi="Verdana" w:cs="Arial"/>
                <w:b/>
                <w:sz w:val="14"/>
                <w:szCs w:val="14"/>
                <w:lang w:eastAsia="es-ES"/>
              </w:rPr>
            </w:pPr>
          </w:p>
        </w:tc>
      </w:tr>
      <w:tr w:rsidR="00B709A9" w14:paraId="68C53418"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76767CD0" w14:textId="77777777" w:rsidR="00B709A9" w:rsidRDefault="00B709A9">
            <w:pPr>
              <w:pStyle w:val="Texto"/>
              <w:spacing w:before="20" w:after="20" w:line="240" w:lineRule="auto"/>
              <w:ind w:firstLine="0"/>
              <w:rPr>
                <w:rFonts w:ascii="Verdana" w:hAnsi="Verdana"/>
                <w:sz w:val="14"/>
                <w:szCs w:val="14"/>
                <w:lang w:val="en-US"/>
              </w:rPr>
            </w:pPr>
            <w:r>
              <w:rPr>
                <w:rFonts w:ascii="Verdana" w:hAnsi="Verdana"/>
                <w:sz w:val="14"/>
                <w:szCs w:val="14"/>
                <w:lang w:val="en-US"/>
              </w:rPr>
              <w:t>Boxes of other materials</w:t>
            </w:r>
          </w:p>
        </w:tc>
        <w:tc>
          <w:tcPr>
            <w:tcW w:w="717" w:type="dxa"/>
            <w:tcBorders>
              <w:top w:val="single" w:sz="6" w:space="0" w:color="auto"/>
              <w:left w:val="single" w:sz="6" w:space="0" w:color="auto"/>
              <w:bottom w:val="single" w:sz="6" w:space="0" w:color="auto"/>
              <w:right w:val="single" w:sz="6" w:space="0" w:color="auto"/>
            </w:tcBorders>
            <w:vAlign w:val="center"/>
            <w:hideMark/>
          </w:tcPr>
          <w:p w14:paraId="3A9F401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543" w:type="dxa"/>
            <w:tcBorders>
              <w:top w:val="single" w:sz="6" w:space="0" w:color="auto"/>
              <w:left w:val="single" w:sz="6" w:space="0" w:color="auto"/>
              <w:bottom w:val="single" w:sz="6" w:space="0" w:color="auto"/>
              <w:right w:val="single" w:sz="6" w:space="0" w:color="auto"/>
            </w:tcBorders>
            <w:vAlign w:val="center"/>
          </w:tcPr>
          <w:p w14:paraId="0A6A3DAC" w14:textId="77777777" w:rsidR="00B709A9" w:rsidRDefault="00B709A9">
            <w:pPr>
              <w:pStyle w:val="Texto"/>
              <w:spacing w:before="20" w:after="20" w:line="240" w:lineRule="auto"/>
              <w:ind w:firstLine="0"/>
              <w:jc w:val="center"/>
              <w:rPr>
                <w:rFonts w:ascii="Verdana" w:hAnsi="Verdana"/>
                <w:b/>
                <w:sz w:val="14"/>
                <w:szCs w:val="14"/>
                <w:lang w:val="en-US"/>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28CCB35F"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500A0CB7"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845" w:type="dxa"/>
            <w:tcBorders>
              <w:top w:val="single" w:sz="6" w:space="0" w:color="auto"/>
              <w:left w:val="single" w:sz="6" w:space="0" w:color="auto"/>
              <w:bottom w:val="single" w:sz="6" w:space="0" w:color="auto"/>
              <w:right w:val="single" w:sz="6" w:space="0" w:color="auto"/>
            </w:tcBorders>
            <w:vAlign w:val="center"/>
            <w:hideMark/>
          </w:tcPr>
          <w:p w14:paraId="2C96B41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2C8736D0"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5A4E9158"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132AB743" w14:textId="77777777" w:rsidR="00B709A9" w:rsidRDefault="00B709A9">
            <w:pPr>
              <w:rPr>
                <w:rFonts w:ascii="Verdana" w:hAnsi="Verdana" w:cs="Arial"/>
                <w:b/>
                <w:sz w:val="14"/>
                <w:szCs w:val="14"/>
                <w:lang w:eastAsia="es-ES"/>
              </w:rPr>
            </w:pPr>
          </w:p>
        </w:tc>
      </w:tr>
      <w:tr w:rsidR="00B709A9" w14:paraId="163DFF7C" w14:textId="77777777" w:rsidTr="00B709A9">
        <w:trPr>
          <w:trHeight w:val="20"/>
        </w:trPr>
        <w:tc>
          <w:tcPr>
            <w:tcW w:w="1080" w:type="dxa"/>
            <w:tcBorders>
              <w:top w:val="nil"/>
              <w:left w:val="single" w:sz="6" w:space="0" w:color="auto"/>
              <w:bottom w:val="single" w:sz="6" w:space="0" w:color="auto"/>
              <w:right w:val="single" w:sz="6" w:space="0" w:color="auto"/>
            </w:tcBorders>
          </w:tcPr>
          <w:p w14:paraId="706C63BE" w14:textId="77777777" w:rsidR="00B709A9" w:rsidRDefault="00B709A9">
            <w:pPr>
              <w:pStyle w:val="Texto"/>
              <w:spacing w:before="20" w:after="20" w:line="240" w:lineRule="auto"/>
              <w:ind w:firstLine="0"/>
              <w:rPr>
                <w:rFonts w:ascii="Verdana" w:hAnsi="Verdana"/>
                <w:sz w:val="14"/>
                <w:szCs w:val="14"/>
                <w:lang w:val="en-US"/>
              </w:rPr>
            </w:pPr>
          </w:p>
        </w:tc>
        <w:tc>
          <w:tcPr>
            <w:tcW w:w="717" w:type="dxa"/>
            <w:tcBorders>
              <w:top w:val="single" w:sz="6" w:space="0" w:color="auto"/>
              <w:left w:val="single" w:sz="6" w:space="0" w:color="auto"/>
              <w:bottom w:val="single" w:sz="6" w:space="0" w:color="auto"/>
              <w:right w:val="single" w:sz="6" w:space="0" w:color="auto"/>
            </w:tcBorders>
            <w:vAlign w:val="center"/>
          </w:tcPr>
          <w:p w14:paraId="093B66DD" w14:textId="77777777" w:rsidR="00B709A9" w:rsidRDefault="00B709A9">
            <w:pPr>
              <w:pStyle w:val="Texto"/>
              <w:spacing w:before="20" w:after="20" w:line="240" w:lineRule="auto"/>
              <w:ind w:firstLine="0"/>
              <w:jc w:val="center"/>
              <w:rPr>
                <w:rFonts w:ascii="Verdana" w:hAnsi="Verdana"/>
                <w:b/>
                <w:sz w:val="14"/>
                <w:szCs w:val="14"/>
                <w:lang w:val="en-US"/>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46E5E30F"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7C4487D1"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6C1B672B"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7251BB67"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5</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448F5614"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9E61A40"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1B89F30D" w14:textId="77777777" w:rsidR="00B709A9" w:rsidRDefault="00B709A9">
            <w:pPr>
              <w:rPr>
                <w:rFonts w:ascii="Verdana" w:hAnsi="Verdana" w:cs="Arial"/>
                <w:b/>
                <w:sz w:val="14"/>
                <w:szCs w:val="14"/>
                <w:lang w:eastAsia="es-ES"/>
              </w:rPr>
            </w:pPr>
          </w:p>
        </w:tc>
      </w:tr>
      <w:tr w:rsidR="00B709A9" w14:paraId="6C69D340" w14:textId="77777777" w:rsidTr="00B709A9">
        <w:trPr>
          <w:trHeight w:val="20"/>
        </w:trPr>
        <w:tc>
          <w:tcPr>
            <w:tcW w:w="1080" w:type="dxa"/>
            <w:tcBorders>
              <w:top w:val="single" w:sz="6" w:space="0" w:color="auto"/>
              <w:left w:val="single" w:sz="6" w:space="0" w:color="auto"/>
              <w:bottom w:val="nil"/>
              <w:right w:val="single" w:sz="6" w:space="0" w:color="auto"/>
            </w:tcBorders>
            <w:hideMark/>
          </w:tcPr>
          <w:p w14:paraId="637EEFA4" w14:textId="77777777" w:rsidR="00B709A9" w:rsidRDefault="00B709A9">
            <w:pPr>
              <w:pStyle w:val="Texto"/>
              <w:spacing w:before="20" w:after="20" w:line="240" w:lineRule="auto"/>
              <w:ind w:firstLine="0"/>
              <w:rPr>
                <w:rFonts w:ascii="Verdana" w:hAnsi="Verdana"/>
                <w:b/>
                <w:sz w:val="14"/>
                <w:szCs w:val="14"/>
                <w:lang w:val="en-US"/>
              </w:rPr>
            </w:pPr>
            <w:r>
              <w:rPr>
                <w:rFonts w:ascii="Verdana" w:hAnsi="Verdana"/>
                <w:sz w:val="14"/>
                <w:szCs w:val="14"/>
                <w:lang w:val="en-US"/>
              </w:rPr>
              <w:t>Drums - jerricans of other materials</w:t>
            </w:r>
          </w:p>
        </w:tc>
        <w:tc>
          <w:tcPr>
            <w:tcW w:w="717" w:type="dxa"/>
            <w:tcBorders>
              <w:top w:val="single" w:sz="6" w:space="0" w:color="auto"/>
              <w:left w:val="single" w:sz="6" w:space="0" w:color="auto"/>
              <w:bottom w:val="single" w:sz="6" w:space="0" w:color="auto"/>
              <w:right w:val="single" w:sz="6" w:space="0" w:color="auto"/>
            </w:tcBorders>
            <w:vAlign w:val="center"/>
            <w:hideMark/>
          </w:tcPr>
          <w:p w14:paraId="17BC5E3E"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543" w:type="dxa"/>
            <w:tcBorders>
              <w:top w:val="single" w:sz="6" w:space="0" w:color="auto"/>
              <w:left w:val="single" w:sz="6" w:space="0" w:color="auto"/>
              <w:bottom w:val="single" w:sz="6" w:space="0" w:color="auto"/>
              <w:right w:val="single" w:sz="6" w:space="0" w:color="auto"/>
            </w:tcBorders>
            <w:vAlign w:val="center"/>
          </w:tcPr>
          <w:p w14:paraId="30782713" w14:textId="77777777" w:rsidR="00B709A9" w:rsidRDefault="00B709A9">
            <w:pPr>
              <w:pStyle w:val="Texto"/>
              <w:spacing w:before="20" w:after="20" w:line="240" w:lineRule="auto"/>
              <w:ind w:firstLine="0"/>
              <w:jc w:val="center"/>
              <w:rPr>
                <w:rFonts w:ascii="Verdana" w:hAnsi="Verdana"/>
                <w:b/>
                <w:sz w:val="14"/>
                <w:szCs w:val="14"/>
                <w:lang w:val="en-US"/>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0C7FC05F"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1C03C66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845" w:type="dxa"/>
            <w:tcBorders>
              <w:top w:val="single" w:sz="6" w:space="0" w:color="auto"/>
              <w:left w:val="single" w:sz="6" w:space="0" w:color="auto"/>
              <w:bottom w:val="single" w:sz="6" w:space="0" w:color="auto"/>
              <w:right w:val="single" w:sz="6" w:space="0" w:color="auto"/>
            </w:tcBorders>
            <w:vAlign w:val="center"/>
            <w:hideMark/>
          </w:tcPr>
          <w:p w14:paraId="57DEC7EA"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18A830D4"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0766002C"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6F215293" w14:textId="77777777" w:rsidR="00B709A9" w:rsidRDefault="00B709A9">
            <w:pPr>
              <w:rPr>
                <w:rFonts w:ascii="Verdana" w:hAnsi="Verdana" w:cs="Arial"/>
                <w:b/>
                <w:sz w:val="14"/>
                <w:szCs w:val="14"/>
                <w:lang w:eastAsia="es-ES"/>
              </w:rPr>
            </w:pPr>
          </w:p>
        </w:tc>
      </w:tr>
      <w:tr w:rsidR="00B709A9" w14:paraId="21AABCD2" w14:textId="77777777" w:rsidTr="00B709A9">
        <w:trPr>
          <w:trHeight w:val="20"/>
        </w:trPr>
        <w:tc>
          <w:tcPr>
            <w:tcW w:w="1080" w:type="dxa"/>
            <w:tcBorders>
              <w:top w:val="nil"/>
              <w:left w:val="single" w:sz="6" w:space="0" w:color="auto"/>
              <w:bottom w:val="single" w:sz="6" w:space="0" w:color="auto"/>
              <w:right w:val="single" w:sz="6" w:space="0" w:color="auto"/>
            </w:tcBorders>
          </w:tcPr>
          <w:p w14:paraId="32DA3636" w14:textId="77777777" w:rsidR="00B709A9" w:rsidRDefault="00B709A9">
            <w:pPr>
              <w:pStyle w:val="Texto"/>
              <w:spacing w:before="20" w:after="20" w:line="240" w:lineRule="auto"/>
              <w:ind w:firstLine="0"/>
              <w:rPr>
                <w:rFonts w:ascii="Verdana" w:hAnsi="Verdana"/>
                <w:sz w:val="14"/>
                <w:szCs w:val="14"/>
                <w:lang w:val="en-US"/>
              </w:rPr>
            </w:pPr>
          </w:p>
        </w:tc>
        <w:tc>
          <w:tcPr>
            <w:tcW w:w="717" w:type="dxa"/>
            <w:tcBorders>
              <w:top w:val="single" w:sz="6" w:space="0" w:color="auto"/>
              <w:left w:val="single" w:sz="6" w:space="0" w:color="auto"/>
              <w:bottom w:val="single" w:sz="6" w:space="0" w:color="auto"/>
              <w:right w:val="single" w:sz="6" w:space="0" w:color="auto"/>
            </w:tcBorders>
            <w:vAlign w:val="center"/>
          </w:tcPr>
          <w:p w14:paraId="785E881C" w14:textId="77777777" w:rsidR="00B709A9" w:rsidRDefault="00B709A9">
            <w:pPr>
              <w:pStyle w:val="Texto"/>
              <w:spacing w:before="20" w:after="20" w:line="240" w:lineRule="auto"/>
              <w:ind w:firstLine="0"/>
              <w:jc w:val="center"/>
              <w:rPr>
                <w:rFonts w:ascii="Verdana" w:hAnsi="Verdana"/>
                <w:b/>
                <w:sz w:val="14"/>
                <w:szCs w:val="14"/>
                <w:lang w:val="en-US"/>
              </w:rPr>
            </w:pPr>
          </w:p>
        </w:tc>
        <w:tc>
          <w:tcPr>
            <w:tcW w:w="543" w:type="dxa"/>
            <w:tcBorders>
              <w:top w:val="single" w:sz="6" w:space="0" w:color="auto"/>
              <w:left w:val="single" w:sz="6" w:space="0" w:color="auto"/>
              <w:bottom w:val="single" w:sz="6" w:space="0" w:color="auto"/>
              <w:right w:val="single" w:sz="6" w:space="0" w:color="auto"/>
            </w:tcBorders>
            <w:vAlign w:val="center"/>
            <w:hideMark/>
          </w:tcPr>
          <w:p w14:paraId="5D9899D9"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X</w:t>
            </w:r>
          </w:p>
        </w:tc>
        <w:tc>
          <w:tcPr>
            <w:tcW w:w="1168" w:type="dxa"/>
            <w:tcBorders>
              <w:top w:val="single" w:sz="6" w:space="0" w:color="auto"/>
              <w:left w:val="single" w:sz="6" w:space="0" w:color="auto"/>
              <w:bottom w:val="single" w:sz="6" w:space="0" w:color="auto"/>
              <w:right w:val="single" w:sz="6" w:space="0" w:color="auto"/>
            </w:tcBorders>
            <w:vAlign w:val="center"/>
            <w:hideMark/>
          </w:tcPr>
          <w:p w14:paraId="42530774"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1362" w:type="dxa"/>
            <w:tcBorders>
              <w:top w:val="single" w:sz="6" w:space="0" w:color="auto"/>
              <w:left w:val="single" w:sz="6" w:space="0" w:color="auto"/>
              <w:bottom w:val="single" w:sz="6" w:space="0" w:color="auto"/>
              <w:right w:val="single" w:sz="6" w:space="0" w:color="auto"/>
            </w:tcBorders>
            <w:vAlign w:val="center"/>
            <w:hideMark/>
          </w:tcPr>
          <w:p w14:paraId="0651BD05"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0</w:t>
            </w:r>
          </w:p>
        </w:tc>
        <w:tc>
          <w:tcPr>
            <w:tcW w:w="845" w:type="dxa"/>
            <w:tcBorders>
              <w:top w:val="single" w:sz="6" w:space="0" w:color="auto"/>
              <w:left w:val="single" w:sz="6" w:space="0" w:color="auto"/>
              <w:bottom w:val="single" w:sz="6" w:space="0" w:color="auto"/>
              <w:right w:val="single" w:sz="6" w:space="0" w:color="auto"/>
            </w:tcBorders>
            <w:vAlign w:val="center"/>
            <w:hideMark/>
          </w:tcPr>
          <w:p w14:paraId="08CD0E0F"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3</w:t>
            </w:r>
          </w:p>
        </w:tc>
        <w:tc>
          <w:tcPr>
            <w:tcW w:w="1188" w:type="dxa"/>
            <w:vMerge/>
            <w:tcBorders>
              <w:top w:val="single" w:sz="6" w:space="0" w:color="auto"/>
              <w:left w:val="single" w:sz="6" w:space="0" w:color="auto"/>
              <w:bottom w:val="single" w:sz="6" w:space="0" w:color="auto"/>
              <w:right w:val="single" w:sz="6" w:space="0" w:color="auto"/>
            </w:tcBorders>
            <w:vAlign w:val="center"/>
            <w:hideMark/>
          </w:tcPr>
          <w:p w14:paraId="3DA1137E" w14:textId="77777777" w:rsidR="00B709A9" w:rsidRDefault="00B709A9">
            <w:pPr>
              <w:rPr>
                <w:rFonts w:ascii="Verdana" w:hAnsi="Verdana" w:cs="Arial"/>
                <w:sz w:val="14"/>
                <w:szCs w:val="14"/>
                <w:lang w:eastAsia="es-ES"/>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67758B88" w14:textId="77777777" w:rsidR="00B709A9" w:rsidRDefault="00B709A9">
            <w:pPr>
              <w:pStyle w:val="Texto"/>
              <w:spacing w:before="20" w:after="20" w:line="240" w:lineRule="auto"/>
              <w:ind w:firstLine="0"/>
              <w:jc w:val="center"/>
              <w:rPr>
                <w:rFonts w:ascii="Verdana" w:hAnsi="Verdana"/>
                <w:b/>
                <w:sz w:val="14"/>
                <w:szCs w:val="14"/>
                <w:lang w:val="en-US"/>
              </w:rPr>
            </w:pPr>
            <w:r>
              <w:rPr>
                <w:rFonts w:ascii="Verdana" w:hAnsi="Verdana"/>
                <w:b/>
                <w:sz w:val="14"/>
                <w:szCs w:val="14"/>
                <w:lang w:val="en-US"/>
              </w:rPr>
              <w:t>2</w:t>
            </w:r>
          </w:p>
        </w:tc>
        <w:tc>
          <w:tcPr>
            <w:tcW w:w="925" w:type="dxa"/>
            <w:vMerge/>
            <w:tcBorders>
              <w:top w:val="single" w:sz="6" w:space="0" w:color="auto"/>
              <w:left w:val="single" w:sz="6" w:space="0" w:color="auto"/>
              <w:bottom w:val="single" w:sz="6" w:space="0" w:color="auto"/>
              <w:right w:val="single" w:sz="6" w:space="0" w:color="auto"/>
            </w:tcBorders>
            <w:vAlign w:val="center"/>
            <w:hideMark/>
          </w:tcPr>
          <w:p w14:paraId="2376DA8B" w14:textId="77777777" w:rsidR="00B709A9" w:rsidRDefault="00B709A9">
            <w:pPr>
              <w:rPr>
                <w:rFonts w:ascii="Verdana" w:hAnsi="Verdana" w:cs="Arial"/>
                <w:b/>
                <w:sz w:val="14"/>
                <w:szCs w:val="14"/>
                <w:lang w:eastAsia="es-ES"/>
              </w:rPr>
            </w:pPr>
          </w:p>
        </w:tc>
      </w:tr>
    </w:tbl>
    <w:p w14:paraId="2E1A9237" w14:textId="77777777" w:rsidR="00B709A9" w:rsidRDefault="00B709A9" w:rsidP="00B709A9">
      <w:pPr>
        <w:pStyle w:val="Texto"/>
        <w:rPr>
          <w:rFonts w:ascii="Verdana" w:hAnsi="Verdana"/>
          <w:b/>
          <w:sz w:val="16"/>
          <w:szCs w:val="16"/>
        </w:rPr>
      </w:pPr>
    </w:p>
    <w:tbl>
      <w:tblPr>
        <w:tblW w:w="0" w:type="auto"/>
        <w:tblLook w:val="04A0" w:firstRow="1" w:lastRow="0" w:firstColumn="1" w:lastColumn="0" w:noHBand="0" w:noVBand="1"/>
      </w:tblPr>
      <w:tblGrid>
        <w:gridCol w:w="4688"/>
        <w:gridCol w:w="4672"/>
      </w:tblGrid>
      <w:tr w:rsidR="00B709A9" w14:paraId="5D094A01" w14:textId="77777777" w:rsidTr="00B709A9">
        <w:tc>
          <w:tcPr>
            <w:tcW w:w="4788" w:type="dxa"/>
            <w:hideMark/>
          </w:tcPr>
          <w:p w14:paraId="4C681E39" w14:textId="77777777" w:rsidR="00B709A9" w:rsidRDefault="00B709A9">
            <w:pPr>
              <w:pStyle w:val="Texto"/>
              <w:spacing w:after="86"/>
              <w:ind w:firstLine="0"/>
              <w:rPr>
                <w:rFonts w:ascii="Verdana" w:hAnsi="Verdana"/>
                <w:sz w:val="16"/>
                <w:szCs w:val="16"/>
              </w:rPr>
            </w:pPr>
            <w:r>
              <w:rPr>
                <w:rFonts w:ascii="Verdana" w:hAnsi="Verdana"/>
                <w:b/>
                <w:sz w:val="16"/>
                <w:szCs w:val="16"/>
                <w:vertAlign w:val="superscript"/>
              </w:rPr>
              <w:t>a</w:t>
            </w:r>
            <w:r>
              <w:rPr>
                <w:rFonts w:ascii="Verdana" w:hAnsi="Verdana"/>
                <w:sz w:val="16"/>
                <w:szCs w:val="16"/>
              </w:rPr>
              <w:t xml:space="preserve"> “El tipo de envase y/o embalaje" sirve para clasificarlos, a los efectos de los ensayos (pruebas), según ese tipo y las características de sus materiales.</w:t>
            </w:r>
          </w:p>
        </w:tc>
        <w:tc>
          <w:tcPr>
            <w:tcW w:w="4788" w:type="dxa"/>
            <w:hideMark/>
          </w:tcPr>
          <w:p w14:paraId="515C4D2B" w14:textId="77777777" w:rsidR="00B709A9" w:rsidRDefault="00B709A9">
            <w:pPr>
              <w:pStyle w:val="Texto"/>
              <w:spacing w:after="86"/>
              <w:ind w:firstLine="0"/>
              <w:rPr>
                <w:rFonts w:ascii="Verdana" w:hAnsi="Verdana"/>
                <w:b/>
                <w:sz w:val="16"/>
                <w:szCs w:val="16"/>
                <w:vertAlign w:val="superscript"/>
                <w:lang w:val="en-US"/>
              </w:rPr>
            </w:pPr>
            <w:r>
              <w:rPr>
                <w:rFonts w:ascii="Verdana" w:hAnsi="Verdana"/>
                <w:b/>
                <w:sz w:val="16"/>
                <w:szCs w:val="16"/>
                <w:vertAlign w:val="superscript"/>
                <w:lang w:val="en-US"/>
              </w:rPr>
              <w:t xml:space="preserve">a </w:t>
            </w:r>
            <w:r>
              <w:rPr>
                <w:rFonts w:ascii="Verdana" w:hAnsi="Verdana"/>
                <w:sz w:val="16"/>
                <w:szCs w:val="16"/>
                <w:lang w:val="en-US"/>
              </w:rPr>
              <w:t>"The type of container and/or packaging" is used to classify them, for the purposes of trials (tests), according to that type and the characteristics of their materials.</w:t>
            </w:r>
          </w:p>
        </w:tc>
      </w:tr>
      <w:tr w:rsidR="00B709A9" w14:paraId="4E28F0E9" w14:textId="77777777" w:rsidTr="00B709A9">
        <w:tc>
          <w:tcPr>
            <w:tcW w:w="4788" w:type="dxa"/>
            <w:hideMark/>
          </w:tcPr>
          <w:p w14:paraId="4868EAF8" w14:textId="77777777" w:rsidR="00B709A9" w:rsidRDefault="00B709A9">
            <w:pPr>
              <w:pStyle w:val="Texto"/>
              <w:spacing w:after="86"/>
              <w:ind w:firstLine="0"/>
              <w:rPr>
                <w:rFonts w:ascii="Verdana" w:hAnsi="Verdana"/>
                <w:sz w:val="16"/>
                <w:szCs w:val="16"/>
              </w:rPr>
            </w:pPr>
            <w:r>
              <w:rPr>
                <w:rFonts w:ascii="Verdana" w:hAnsi="Verdana"/>
                <w:b/>
                <w:sz w:val="16"/>
                <w:szCs w:val="16"/>
              </w:rPr>
              <w:t>6.5.2.2.2</w:t>
            </w:r>
            <w:r>
              <w:rPr>
                <w:rFonts w:ascii="Verdana" w:hAnsi="Verdana"/>
                <w:sz w:val="16"/>
                <w:szCs w:val="16"/>
              </w:rPr>
              <w:t xml:space="preserve"> En los casos en que el recipiente primario esté construido con dos materiales diferentes, el ensayo </w:t>
            </w:r>
            <w:r>
              <w:rPr>
                <w:rFonts w:ascii="Verdana" w:hAnsi="Verdana"/>
                <w:sz w:val="16"/>
                <w:szCs w:val="16"/>
              </w:rPr>
              <w:lastRenderedPageBreak/>
              <w:t>(prueba) adecuado será el determinado por el material más susceptible de sufrir daños.</w:t>
            </w:r>
          </w:p>
        </w:tc>
        <w:tc>
          <w:tcPr>
            <w:tcW w:w="4788" w:type="dxa"/>
            <w:hideMark/>
          </w:tcPr>
          <w:p w14:paraId="7C0B076E" w14:textId="77777777" w:rsidR="00B709A9" w:rsidRDefault="00B709A9">
            <w:pPr>
              <w:pStyle w:val="Texto"/>
              <w:spacing w:after="86"/>
              <w:ind w:firstLine="0"/>
              <w:rPr>
                <w:rFonts w:ascii="Verdana" w:hAnsi="Verdana"/>
                <w:b/>
                <w:sz w:val="16"/>
                <w:szCs w:val="16"/>
                <w:lang w:val="en-US"/>
              </w:rPr>
            </w:pPr>
            <w:r>
              <w:rPr>
                <w:rFonts w:ascii="Verdana" w:hAnsi="Verdana"/>
                <w:b/>
                <w:sz w:val="16"/>
                <w:szCs w:val="16"/>
                <w:lang w:val="en-US"/>
              </w:rPr>
              <w:lastRenderedPageBreak/>
              <w:t xml:space="preserve">6.5.2.2.2 </w:t>
            </w:r>
            <w:r>
              <w:rPr>
                <w:rFonts w:ascii="Verdana" w:hAnsi="Verdana"/>
                <w:sz w:val="16"/>
                <w:szCs w:val="16"/>
                <w:lang w:val="en-US"/>
              </w:rPr>
              <w:t xml:space="preserve">In cases where the primary container is made of two different materials, the adequate trial (test) will </w:t>
            </w:r>
            <w:r>
              <w:rPr>
                <w:rFonts w:ascii="Verdana" w:hAnsi="Verdana"/>
                <w:sz w:val="16"/>
                <w:szCs w:val="16"/>
                <w:lang w:val="en-US"/>
              </w:rPr>
              <w:lastRenderedPageBreak/>
              <w:t>be the one determined by the material most susceptible to damage.</w:t>
            </w:r>
          </w:p>
        </w:tc>
      </w:tr>
      <w:tr w:rsidR="00B709A9" w14:paraId="5334F6FB" w14:textId="77777777" w:rsidTr="00B709A9">
        <w:tc>
          <w:tcPr>
            <w:tcW w:w="4788" w:type="dxa"/>
            <w:hideMark/>
          </w:tcPr>
          <w:p w14:paraId="13AEEE7E" w14:textId="77777777" w:rsidR="00B709A9" w:rsidRDefault="00B709A9">
            <w:pPr>
              <w:pStyle w:val="Texto"/>
              <w:spacing w:after="86"/>
              <w:ind w:firstLine="0"/>
              <w:rPr>
                <w:rFonts w:ascii="Verdana" w:hAnsi="Verdana"/>
                <w:sz w:val="16"/>
                <w:szCs w:val="16"/>
              </w:rPr>
            </w:pPr>
            <w:r>
              <w:rPr>
                <w:rFonts w:ascii="Verdana" w:hAnsi="Verdana"/>
                <w:b/>
                <w:sz w:val="16"/>
                <w:szCs w:val="16"/>
              </w:rPr>
              <w:lastRenderedPageBreak/>
              <w:t>6.5.2.2.3</w:t>
            </w:r>
            <w:r>
              <w:rPr>
                <w:rFonts w:ascii="Verdana" w:hAnsi="Verdana"/>
                <w:sz w:val="16"/>
                <w:szCs w:val="16"/>
              </w:rPr>
              <w:t xml:space="preserve"> El material de los envases y/o embalajes secundarios no se tendrá en cuenta al seleccionar el ensayo (prueba) o el acondicionamiento para el ensayo (prueba).</w:t>
            </w:r>
          </w:p>
        </w:tc>
        <w:tc>
          <w:tcPr>
            <w:tcW w:w="4788" w:type="dxa"/>
            <w:hideMark/>
          </w:tcPr>
          <w:p w14:paraId="39001511" w14:textId="77777777" w:rsidR="00B709A9" w:rsidRDefault="00B709A9">
            <w:pPr>
              <w:pStyle w:val="Texto"/>
              <w:spacing w:after="86"/>
              <w:ind w:firstLine="0"/>
              <w:rPr>
                <w:rFonts w:ascii="Verdana" w:hAnsi="Verdana"/>
                <w:b/>
                <w:sz w:val="16"/>
                <w:szCs w:val="16"/>
                <w:lang w:val="en-US"/>
              </w:rPr>
            </w:pPr>
            <w:r>
              <w:rPr>
                <w:rFonts w:ascii="Verdana" w:hAnsi="Verdana"/>
                <w:b/>
                <w:sz w:val="16"/>
                <w:szCs w:val="16"/>
                <w:lang w:val="en-US"/>
              </w:rPr>
              <w:t xml:space="preserve">6.5.2.2.3 </w:t>
            </w:r>
            <w:r>
              <w:rPr>
                <w:rFonts w:ascii="Verdana" w:hAnsi="Verdana"/>
                <w:sz w:val="16"/>
                <w:szCs w:val="16"/>
                <w:lang w:val="en-US"/>
              </w:rPr>
              <w:t xml:space="preserve">The material of the containers and/or secondary packaging will not be </w:t>
            </w:r>
            <w:proofErr w:type="gramStart"/>
            <w:r>
              <w:rPr>
                <w:rFonts w:ascii="Verdana" w:hAnsi="Verdana"/>
                <w:sz w:val="16"/>
                <w:szCs w:val="16"/>
                <w:lang w:val="en-US"/>
              </w:rPr>
              <w:t>taken into account</w:t>
            </w:r>
            <w:proofErr w:type="gramEnd"/>
            <w:r>
              <w:rPr>
                <w:rFonts w:ascii="Verdana" w:hAnsi="Verdana"/>
                <w:sz w:val="16"/>
                <w:szCs w:val="16"/>
                <w:lang w:val="en-US"/>
              </w:rPr>
              <w:t xml:space="preserve"> when selecting the trial (test) or the packaging for the trial (test).</w:t>
            </w:r>
          </w:p>
        </w:tc>
      </w:tr>
      <w:tr w:rsidR="00B709A9" w14:paraId="1A32734A" w14:textId="77777777" w:rsidTr="00B709A9">
        <w:tc>
          <w:tcPr>
            <w:tcW w:w="4788" w:type="dxa"/>
            <w:hideMark/>
          </w:tcPr>
          <w:p w14:paraId="31F3D1CD" w14:textId="77777777" w:rsidR="00B709A9" w:rsidRDefault="00B709A9">
            <w:pPr>
              <w:pStyle w:val="Texto"/>
              <w:spacing w:after="86"/>
              <w:ind w:firstLine="0"/>
              <w:rPr>
                <w:rFonts w:ascii="Verdana" w:hAnsi="Verdana"/>
                <w:sz w:val="16"/>
                <w:szCs w:val="16"/>
              </w:rPr>
            </w:pPr>
            <w:r>
              <w:rPr>
                <w:rFonts w:ascii="Verdana" w:hAnsi="Verdana"/>
                <w:b/>
                <w:sz w:val="16"/>
                <w:szCs w:val="16"/>
              </w:rPr>
              <w:t>6.5.2.2.4</w:t>
            </w:r>
            <w:r>
              <w:rPr>
                <w:rFonts w:ascii="Verdana" w:hAnsi="Verdana"/>
                <w:sz w:val="16"/>
                <w:szCs w:val="16"/>
              </w:rPr>
              <w:t xml:space="preserve"> Explicación para el uso del cuadro No. 2.</w:t>
            </w:r>
          </w:p>
        </w:tc>
        <w:tc>
          <w:tcPr>
            <w:tcW w:w="4788" w:type="dxa"/>
            <w:hideMark/>
          </w:tcPr>
          <w:p w14:paraId="71C47E69" w14:textId="77777777" w:rsidR="00B709A9" w:rsidRDefault="00B709A9">
            <w:pPr>
              <w:pStyle w:val="Texto"/>
              <w:spacing w:after="86"/>
              <w:ind w:firstLine="0"/>
              <w:rPr>
                <w:rFonts w:ascii="Verdana" w:hAnsi="Verdana"/>
                <w:b/>
                <w:sz w:val="16"/>
                <w:szCs w:val="16"/>
                <w:lang w:val="en-US"/>
              </w:rPr>
            </w:pPr>
            <w:r>
              <w:rPr>
                <w:rFonts w:ascii="Verdana" w:hAnsi="Verdana"/>
                <w:b/>
                <w:sz w:val="16"/>
                <w:szCs w:val="16"/>
                <w:lang w:val="en-US"/>
              </w:rPr>
              <w:t xml:space="preserve">6.5.2.2.4 </w:t>
            </w:r>
            <w:r>
              <w:rPr>
                <w:rFonts w:ascii="Verdana" w:hAnsi="Verdana"/>
                <w:sz w:val="16"/>
                <w:szCs w:val="16"/>
                <w:lang w:val="en-US"/>
              </w:rPr>
              <w:t>Explanation for the use of Table number 2.</w:t>
            </w:r>
          </w:p>
        </w:tc>
      </w:tr>
      <w:tr w:rsidR="00B709A9" w14:paraId="2FFC2A5D" w14:textId="77777777" w:rsidTr="00B709A9">
        <w:tc>
          <w:tcPr>
            <w:tcW w:w="4788" w:type="dxa"/>
            <w:hideMark/>
          </w:tcPr>
          <w:p w14:paraId="1C7D9C27" w14:textId="77777777" w:rsidR="00B709A9" w:rsidRDefault="00B709A9">
            <w:pPr>
              <w:pStyle w:val="Texto"/>
              <w:spacing w:after="86"/>
              <w:ind w:firstLine="0"/>
              <w:rPr>
                <w:rFonts w:ascii="Verdana" w:hAnsi="Verdana"/>
                <w:sz w:val="16"/>
                <w:szCs w:val="16"/>
              </w:rPr>
            </w:pPr>
            <w:r>
              <w:rPr>
                <w:rFonts w:ascii="Verdana" w:hAnsi="Verdana"/>
                <w:b/>
                <w:sz w:val="16"/>
                <w:szCs w:val="16"/>
              </w:rPr>
              <w:t>6.5.2.2.4.1</w:t>
            </w:r>
            <w:r>
              <w:rPr>
                <w:rFonts w:ascii="Verdana" w:hAnsi="Verdana"/>
                <w:sz w:val="16"/>
                <w:szCs w:val="16"/>
              </w:rPr>
              <w:t xml:space="preserve"> Si el envase y/o embalaje que haya de ser sometido a ensayo (prueba) consiste en una caja exterior de cartón con un recipiente primario de plástico, cinco muestras deben someterse al ensayo (pruebas) de aspersión de agua (véase 6.5.3.6.1) antes de someterse al ensayo (prueba) de caída y otras cinco deberán acondicionarse a -18°C (a menos 18 grados centígrados) (véase 6.5.2.1) antes de someterse al ensayo (prueba) de caída. Si el envase y/o embalaje</w:t>
            </w:r>
            <w:r>
              <w:rPr>
                <w:rFonts w:ascii="Verdana" w:hAnsi="Verdana"/>
                <w:i/>
                <w:sz w:val="16"/>
                <w:szCs w:val="16"/>
              </w:rPr>
              <w:t xml:space="preserve"> </w:t>
            </w:r>
            <w:r>
              <w:rPr>
                <w:rFonts w:ascii="Verdana" w:hAnsi="Verdana"/>
                <w:sz w:val="16"/>
                <w:szCs w:val="16"/>
              </w:rPr>
              <w:t>ha de contener hielo seco, una muestra más deberá someterse al ensayo (prueba) de caída cinco veces después de ser acondicionada con arreglo al numeral 6.5.3.</w:t>
            </w:r>
          </w:p>
        </w:tc>
        <w:tc>
          <w:tcPr>
            <w:tcW w:w="4788" w:type="dxa"/>
            <w:hideMark/>
          </w:tcPr>
          <w:p w14:paraId="19DC3579" w14:textId="77777777" w:rsidR="00B709A9" w:rsidRDefault="00B709A9">
            <w:pPr>
              <w:pStyle w:val="Texto"/>
              <w:spacing w:after="86"/>
              <w:ind w:firstLine="0"/>
              <w:rPr>
                <w:rFonts w:ascii="Verdana" w:hAnsi="Verdana"/>
                <w:b/>
                <w:sz w:val="16"/>
                <w:szCs w:val="16"/>
                <w:lang w:val="en-US"/>
              </w:rPr>
            </w:pPr>
            <w:r>
              <w:rPr>
                <w:rFonts w:ascii="Verdana" w:hAnsi="Verdana"/>
                <w:b/>
                <w:sz w:val="16"/>
                <w:szCs w:val="16"/>
                <w:lang w:val="en-US"/>
              </w:rPr>
              <w:t xml:space="preserve">6.5.2.2.4.1 </w:t>
            </w:r>
            <w:r>
              <w:rPr>
                <w:rFonts w:ascii="Verdana" w:hAnsi="Verdana"/>
                <w:sz w:val="16"/>
                <w:szCs w:val="16"/>
                <w:lang w:val="en-US"/>
              </w:rPr>
              <w:t xml:space="preserve">If the container and/or packaging that </w:t>
            </w:r>
            <w:proofErr w:type="gramStart"/>
            <w:r>
              <w:rPr>
                <w:rFonts w:ascii="Verdana" w:hAnsi="Verdana"/>
                <w:sz w:val="16"/>
                <w:szCs w:val="16"/>
                <w:lang w:val="en-US"/>
              </w:rPr>
              <w:t>has to</w:t>
            </w:r>
            <w:proofErr w:type="gramEnd"/>
            <w:r>
              <w:rPr>
                <w:rFonts w:ascii="Verdana" w:hAnsi="Verdana"/>
                <w:sz w:val="16"/>
                <w:szCs w:val="16"/>
                <w:lang w:val="en-US"/>
              </w:rPr>
              <w:t xml:space="preserve"> be submitted to trial (test) consists of an outer cardboard box with a primary plastic container, five samples must be subjected to the water spray trial (tests) (see 6.5.3.6.1) before being dropped (tested) and another five shall be conditioned to -18°C (minus 18 degrees centigrade) (see 6.5.2.1) before being drop trial (tested). If the container and/or packaging</w:t>
            </w:r>
            <w:r>
              <w:rPr>
                <w:rFonts w:ascii="Verdana" w:hAnsi="Verdana"/>
                <w:i/>
                <w:sz w:val="16"/>
                <w:szCs w:val="16"/>
                <w:lang w:val="en-US"/>
              </w:rPr>
              <w:t xml:space="preserve"> </w:t>
            </w:r>
            <w:r>
              <w:rPr>
                <w:rFonts w:ascii="Verdana" w:hAnsi="Verdana"/>
                <w:sz w:val="16"/>
                <w:szCs w:val="16"/>
                <w:lang w:val="en-US"/>
              </w:rPr>
              <w:t>is to contain dry ice, a further sample shall be dropped tested five times after being conditioned in accordance with 6.5.3.</w:t>
            </w:r>
          </w:p>
        </w:tc>
      </w:tr>
      <w:tr w:rsidR="00B709A9" w14:paraId="5668B9C7" w14:textId="77777777" w:rsidTr="00B709A9">
        <w:tc>
          <w:tcPr>
            <w:tcW w:w="4788" w:type="dxa"/>
            <w:hideMark/>
          </w:tcPr>
          <w:p w14:paraId="77F20F98"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6.5.2.2.4.2</w:t>
            </w:r>
            <w:r>
              <w:rPr>
                <w:rFonts w:ascii="Verdana" w:hAnsi="Verdana"/>
                <w:sz w:val="16"/>
                <w:szCs w:val="16"/>
              </w:rPr>
              <w:t xml:space="preserve"> Los envases y/o embalajes preparados para el transporte se someterán a los ensayos (pruebas) especificados en los numerales 6.5.3 y 6.5.4. Con respecto a los envases y/o embalajes exteriores, los epígrafes del cuadro No. 2, hacen referencia al cartón o materiales similares, cuyo comportamiento puede ser modificado rápidamente por efecto de la humedad, así como a los plásticos, que pueden tornarse quebradizos a bajas temperaturas, y a otros materiales, como el metal, cuyo comportamiento no se ve modificado por efecto de la humedad o de la temperatura.</w:t>
            </w:r>
          </w:p>
        </w:tc>
        <w:tc>
          <w:tcPr>
            <w:tcW w:w="4788" w:type="dxa"/>
            <w:hideMark/>
          </w:tcPr>
          <w:p w14:paraId="1C4D23F2"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6.5.2.2.4.2 </w:t>
            </w:r>
            <w:r>
              <w:rPr>
                <w:rFonts w:ascii="Verdana" w:hAnsi="Verdana"/>
                <w:sz w:val="16"/>
                <w:szCs w:val="16"/>
                <w:lang w:val="en-US"/>
              </w:rPr>
              <w:t xml:space="preserve">The containers and/or packages prepared for transport will be submitted to the trials (tests) specified in numerals 6.5.3 and 6.5.4. </w:t>
            </w:r>
            <w:proofErr w:type="gramStart"/>
            <w:r>
              <w:rPr>
                <w:rFonts w:ascii="Verdana" w:hAnsi="Verdana"/>
                <w:sz w:val="16"/>
                <w:szCs w:val="16"/>
                <w:lang w:val="en-US"/>
              </w:rPr>
              <w:t>With regard to</w:t>
            </w:r>
            <w:proofErr w:type="gramEnd"/>
            <w:r>
              <w:rPr>
                <w:rFonts w:ascii="Verdana" w:hAnsi="Verdana"/>
                <w:sz w:val="16"/>
                <w:szCs w:val="16"/>
                <w:lang w:val="en-US"/>
              </w:rPr>
              <w:t xml:space="preserve"> outer containers and/or packaging, the headings in Table number 2 refer to cardboard or similar materials, whose behavior can be quickly modified by the effect of humidity, as well as plastics, which can become brittle when exposed to moisture. low temperatures, and other materials, such as metal, whose behavior is not modified by the effect of humidity or temperature.</w:t>
            </w:r>
          </w:p>
        </w:tc>
      </w:tr>
      <w:tr w:rsidR="00B709A9" w14:paraId="30326260" w14:textId="77777777" w:rsidTr="00B709A9">
        <w:tc>
          <w:tcPr>
            <w:tcW w:w="4788" w:type="dxa"/>
            <w:hideMark/>
          </w:tcPr>
          <w:p w14:paraId="0AABF059"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w:t>
            </w:r>
            <w:r>
              <w:rPr>
                <w:rFonts w:ascii="Verdana" w:hAnsi="Verdana"/>
                <w:sz w:val="16"/>
                <w:szCs w:val="16"/>
              </w:rPr>
              <w:t xml:space="preserve"> Ensayo de caída.</w:t>
            </w:r>
          </w:p>
        </w:tc>
        <w:tc>
          <w:tcPr>
            <w:tcW w:w="4788" w:type="dxa"/>
            <w:hideMark/>
          </w:tcPr>
          <w:p w14:paraId="01302CC6" w14:textId="77777777" w:rsidR="00B709A9" w:rsidRDefault="00B709A9">
            <w:pPr>
              <w:pStyle w:val="Texto"/>
              <w:spacing w:line="224" w:lineRule="exact"/>
              <w:ind w:firstLine="0"/>
              <w:rPr>
                <w:rFonts w:ascii="Verdana" w:hAnsi="Verdana"/>
                <w:b/>
                <w:sz w:val="16"/>
                <w:szCs w:val="16"/>
              </w:rPr>
            </w:pPr>
            <w:r>
              <w:rPr>
                <w:rFonts w:ascii="Verdana" w:hAnsi="Verdana"/>
                <w:b/>
                <w:sz w:val="16"/>
                <w:szCs w:val="16"/>
              </w:rPr>
              <w:t xml:space="preserve">6.5.3 </w:t>
            </w:r>
            <w:proofErr w:type="spellStart"/>
            <w:r>
              <w:rPr>
                <w:rFonts w:ascii="Verdana" w:hAnsi="Verdana"/>
                <w:sz w:val="16"/>
                <w:szCs w:val="16"/>
              </w:rPr>
              <w:t>Drop</w:t>
            </w:r>
            <w:proofErr w:type="spellEnd"/>
            <w:r>
              <w:rPr>
                <w:rFonts w:ascii="Verdana" w:hAnsi="Verdana"/>
                <w:sz w:val="16"/>
                <w:szCs w:val="16"/>
              </w:rPr>
              <w:t xml:space="preserve"> test.</w:t>
            </w:r>
          </w:p>
        </w:tc>
      </w:tr>
      <w:tr w:rsidR="00B709A9" w14:paraId="09BCA3A4" w14:textId="77777777" w:rsidTr="00B709A9">
        <w:tc>
          <w:tcPr>
            <w:tcW w:w="4788" w:type="dxa"/>
            <w:hideMark/>
          </w:tcPr>
          <w:p w14:paraId="17F4CA6E"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6.5.3.1</w:t>
            </w:r>
            <w:r>
              <w:rPr>
                <w:rFonts w:ascii="Verdana" w:hAnsi="Verdana"/>
                <w:sz w:val="16"/>
                <w:szCs w:val="16"/>
              </w:rPr>
              <w:t xml:space="preserve"> Las muestras se someterán a ensayos (pruebas) de caída libre sobre una superficie horizontal rígida, maciza, no elástica y plana desde una altura de 9 m según lo dispuesto en la Norma Oficial Mexicana NOM-024-SCT2-2010.</w:t>
            </w:r>
          </w:p>
        </w:tc>
        <w:tc>
          <w:tcPr>
            <w:tcW w:w="4788" w:type="dxa"/>
            <w:hideMark/>
          </w:tcPr>
          <w:p w14:paraId="25069CDD"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6.5.3.1 </w:t>
            </w:r>
            <w:r>
              <w:rPr>
                <w:rFonts w:ascii="Verdana" w:hAnsi="Verdana"/>
                <w:sz w:val="16"/>
                <w:szCs w:val="16"/>
                <w:lang w:val="en-US"/>
              </w:rPr>
              <w:t>The samples will be subjected to free fall trials (tests) on a rigid, solid, non-elastic and flat horizontal surface from a height of 9 m according to the provisions of the Official Mexican Standard NOM-024-SCT2-2010.</w:t>
            </w:r>
          </w:p>
        </w:tc>
      </w:tr>
      <w:tr w:rsidR="00B709A9" w14:paraId="580566E8" w14:textId="77777777" w:rsidTr="00B709A9">
        <w:tc>
          <w:tcPr>
            <w:tcW w:w="4788" w:type="dxa"/>
            <w:hideMark/>
          </w:tcPr>
          <w:p w14:paraId="24DE8224"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6.5.3.2</w:t>
            </w:r>
            <w:r>
              <w:rPr>
                <w:rFonts w:ascii="Verdana" w:hAnsi="Verdana"/>
                <w:sz w:val="16"/>
                <w:szCs w:val="16"/>
              </w:rPr>
              <w:t xml:space="preserve"> Si las muestras tienen forma de caja, se dejarán caer cinco de ellas sucesivamente, una en cada una de las siguientes posiciones:</w:t>
            </w:r>
          </w:p>
        </w:tc>
        <w:tc>
          <w:tcPr>
            <w:tcW w:w="4788" w:type="dxa"/>
            <w:hideMark/>
          </w:tcPr>
          <w:p w14:paraId="073359B7"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6.5.3.2 </w:t>
            </w:r>
            <w:r>
              <w:rPr>
                <w:rFonts w:ascii="Verdana" w:hAnsi="Verdana"/>
                <w:sz w:val="16"/>
                <w:szCs w:val="16"/>
                <w:lang w:val="en-US"/>
              </w:rPr>
              <w:t>If the samples are box-shaped, five of them will be dropped successively, one in each of the following positions:</w:t>
            </w:r>
          </w:p>
        </w:tc>
      </w:tr>
      <w:tr w:rsidR="00B709A9" w14:paraId="09339E4E" w14:textId="77777777" w:rsidTr="00B709A9">
        <w:tc>
          <w:tcPr>
            <w:tcW w:w="4788" w:type="dxa"/>
            <w:hideMark/>
          </w:tcPr>
          <w:p w14:paraId="6249B4EC"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a)</w:t>
            </w:r>
            <w:r>
              <w:rPr>
                <w:rFonts w:ascii="Verdana" w:hAnsi="Verdana"/>
                <w:sz w:val="16"/>
                <w:szCs w:val="16"/>
              </w:rPr>
              <w:tab/>
              <w:t>de plano sobre la base;</w:t>
            </w:r>
          </w:p>
        </w:tc>
        <w:tc>
          <w:tcPr>
            <w:tcW w:w="4788" w:type="dxa"/>
            <w:hideMark/>
          </w:tcPr>
          <w:p w14:paraId="40AEB3C7" w14:textId="77777777" w:rsidR="00B709A9" w:rsidRDefault="00B709A9">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flat on the base;</w:t>
            </w:r>
          </w:p>
        </w:tc>
      </w:tr>
      <w:tr w:rsidR="00B709A9" w14:paraId="104932E6" w14:textId="77777777" w:rsidTr="00B709A9">
        <w:tc>
          <w:tcPr>
            <w:tcW w:w="4788" w:type="dxa"/>
            <w:hideMark/>
          </w:tcPr>
          <w:p w14:paraId="1C4CD4FA"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b)</w:t>
            </w:r>
            <w:r>
              <w:rPr>
                <w:rFonts w:ascii="Verdana" w:hAnsi="Verdana"/>
                <w:sz w:val="16"/>
                <w:szCs w:val="16"/>
              </w:rPr>
              <w:tab/>
              <w:t>de plano sobre la parte superior;</w:t>
            </w:r>
          </w:p>
        </w:tc>
        <w:tc>
          <w:tcPr>
            <w:tcW w:w="4788" w:type="dxa"/>
            <w:hideMark/>
          </w:tcPr>
          <w:p w14:paraId="4A934EF7" w14:textId="77777777" w:rsidR="00B709A9" w:rsidRDefault="00B709A9">
            <w:pPr>
              <w:pStyle w:val="ROMANOS"/>
              <w:spacing w:line="224" w:lineRule="exact"/>
              <w:ind w:left="0" w:firstLine="0"/>
              <w:rPr>
                <w:rFonts w:ascii="Verdana" w:hAnsi="Verdana"/>
                <w:b/>
                <w:sz w:val="16"/>
                <w:szCs w:val="16"/>
              </w:rPr>
            </w:pPr>
            <w:r>
              <w:rPr>
                <w:rFonts w:ascii="Verdana" w:hAnsi="Verdana"/>
                <w:b/>
                <w:sz w:val="16"/>
                <w:szCs w:val="16"/>
              </w:rPr>
              <w:t xml:space="preserve">b) </w:t>
            </w:r>
            <w:r>
              <w:rPr>
                <w:rFonts w:ascii="Verdana" w:hAnsi="Verdana"/>
                <w:sz w:val="16"/>
                <w:szCs w:val="16"/>
              </w:rPr>
              <w:tab/>
              <w:t xml:space="preserve">flat </w:t>
            </w:r>
            <w:proofErr w:type="spellStart"/>
            <w:r>
              <w:rPr>
                <w:rFonts w:ascii="Verdana" w:hAnsi="Verdana"/>
                <w:sz w:val="16"/>
                <w:szCs w:val="16"/>
              </w:rPr>
              <w:t>on</w:t>
            </w:r>
            <w:proofErr w:type="spellEnd"/>
            <w:r>
              <w:rPr>
                <w:rFonts w:ascii="Verdana" w:hAnsi="Verdana"/>
                <w:sz w:val="16"/>
                <w:szCs w:val="16"/>
              </w:rPr>
              <w:t xml:space="preserve"> top;</w:t>
            </w:r>
          </w:p>
        </w:tc>
      </w:tr>
      <w:tr w:rsidR="00B709A9" w14:paraId="138C7BA1" w14:textId="77777777" w:rsidTr="00B709A9">
        <w:tc>
          <w:tcPr>
            <w:tcW w:w="4788" w:type="dxa"/>
            <w:hideMark/>
          </w:tcPr>
          <w:p w14:paraId="63325ADF"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c)</w:t>
            </w:r>
            <w:r>
              <w:rPr>
                <w:rFonts w:ascii="Verdana" w:hAnsi="Verdana"/>
                <w:sz w:val="16"/>
                <w:szCs w:val="16"/>
              </w:rPr>
              <w:tab/>
              <w:t>de plano sobre el lado más largo;</w:t>
            </w:r>
          </w:p>
        </w:tc>
        <w:tc>
          <w:tcPr>
            <w:tcW w:w="4788" w:type="dxa"/>
            <w:hideMark/>
          </w:tcPr>
          <w:p w14:paraId="1DD51B7E" w14:textId="77777777" w:rsidR="00B709A9" w:rsidRDefault="00B709A9">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flat on the longest side;</w:t>
            </w:r>
          </w:p>
        </w:tc>
      </w:tr>
      <w:tr w:rsidR="00B709A9" w14:paraId="0BFEF01E" w14:textId="77777777" w:rsidTr="00B709A9">
        <w:tc>
          <w:tcPr>
            <w:tcW w:w="4788" w:type="dxa"/>
            <w:hideMark/>
          </w:tcPr>
          <w:p w14:paraId="0F6F9493"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d)</w:t>
            </w:r>
            <w:r>
              <w:rPr>
                <w:rFonts w:ascii="Verdana" w:hAnsi="Verdana"/>
                <w:sz w:val="16"/>
                <w:szCs w:val="16"/>
              </w:rPr>
              <w:tab/>
              <w:t>de plano sobre el lado más corto;</w:t>
            </w:r>
          </w:p>
        </w:tc>
        <w:tc>
          <w:tcPr>
            <w:tcW w:w="4788" w:type="dxa"/>
            <w:hideMark/>
          </w:tcPr>
          <w:p w14:paraId="46A39103" w14:textId="77777777" w:rsidR="00B709A9" w:rsidRDefault="00B709A9">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flat on the shorter side;</w:t>
            </w:r>
          </w:p>
        </w:tc>
      </w:tr>
      <w:tr w:rsidR="00B709A9" w14:paraId="3C8702B0" w14:textId="77777777" w:rsidTr="00B709A9">
        <w:tc>
          <w:tcPr>
            <w:tcW w:w="4788" w:type="dxa"/>
            <w:hideMark/>
          </w:tcPr>
          <w:p w14:paraId="4E4E6213"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e)</w:t>
            </w:r>
            <w:r>
              <w:rPr>
                <w:rFonts w:ascii="Verdana" w:hAnsi="Verdana"/>
                <w:sz w:val="16"/>
                <w:szCs w:val="16"/>
              </w:rPr>
              <w:tab/>
              <w:t>sobre una esquina.</w:t>
            </w:r>
          </w:p>
        </w:tc>
        <w:tc>
          <w:tcPr>
            <w:tcW w:w="4788" w:type="dxa"/>
            <w:hideMark/>
          </w:tcPr>
          <w:p w14:paraId="30154F11" w14:textId="77777777" w:rsidR="00B709A9" w:rsidRDefault="00B709A9">
            <w:pPr>
              <w:pStyle w:val="ROMANOS"/>
              <w:spacing w:line="224" w:lineRule="exact"/>
              <w:ind w:left="0" w:firstLine="0"/>
              <w:rPr>
                <w:rFonts w:ascii="Verdana" w:hAnsi="Verdana"/>
                <w:b/>
                <w:sz w:val="16"/>
                <w:szCs w:val="16"/>
              </w:rPr>
            </w:pPr>
            <w:r>
              <w:rPr>
                <w:rFonts w:ascii="Verdana" w:hAnsi="Verdana"/>
                <w:b/>
                <w:sz w:val="16"/>
                <w:szCs w:val="16"/>
              </w:rPr>
              <w:t xml:space="preserve">e) </w:t>
            </w:r>
            <w:r>
              <w:rPr>
                <w:rFonts w:ascii="Verdana" w:hAnsi="Verdana"/>
                <w:sz w:val="16"/>
                <w:szCs w:val="16"/>
              </w:rPr>
              <w:tab/>
            </w:r>
            <w:proofErr w:type="spellStart"/>
            <w:r>
              <w:rPr>
                <w:rFonts w:ascii="Verdana" w:hAnsi="Verdana"/>
                <w:sz w:val="16"/>
                <w:szCs w:val="16"/>
              </w:rPr>
              <w:t>on</w:t>
            </w:r>
            <w:proofErr w:type="spellEnd"/>
            <w:r>
              <w:rPr>
                <w:rFonts w:ascii="Verdana" w:hAnsi="Verdana"/>
                <w:sz w:val="16"/>
                <w:szCs w:val="16"/>
              </w:rPr>
              <w:t xml:space="preserve"> a </w:t>
            </w:r>
            <w:proofErr w:type="spellStart"/>
            <w:r>
              <w:rPr>
                <w:rFonts w:ascii="Verdana" w:hAnsi="Verdana"/>
                <w:sz w:val="16"/>
                <w:szCs w:val="16"/>
              </w:rPr>
              <w:t>corner</w:t>
            </w:r>
            <w:proofErr w:type="spellEnd"/>
            <w:r>
              <w:rPr>
                <w:rFonts w:ascii="Verdana" w:hAnsi="Verdana"/>
                <w:sz w:val="16"/>
                <w:szCs w:val="16"/>
              </w:rPr>
              <w:t>.</w:t>
            </w:r>
          </w:p>
        </w:tc>
      </w:tr>
      <w:tr w:rsidR="00B709A9" w14:paraId="07D27C42" w14:textId="77777777" w:rsidTr="00B709A9">
        <w:tc>
          <w:tcPr>
            <w:tcW w:w="4788" w:type="dxa"/>
            <w:hideMark/>
          </w:tcPr>
          <w:p w14:paraId="227EE6AB"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6.5.3.3</w:t>
            </w:r>
            <w:r>
              <w:rPr>
                <w:rFonts w:ascii="Verdana" w:hAnsi="Verdana"/>
                <w:sz w:val="16"/>
                <w:szCs w:val="16"/>
              </w:rPr>
              <w:t xml:space="preserve"> Si las muestras tienen forma de bidón, se dejarán caer tres de ellas sucesivamente, una en cada una de las siguientes posiciones:</w:t>
            </w:r>
          </w:p>
        </w:tc>
        <w:tc>
          <w:tcPr>
            <w:tcW w:w="4788" w:type="dxa"/>
            <w:hideMark/>
          </w:tcPr>
          <w:p w14:paraId="7963E198"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6.5.3.3 </w:t>
            </w:r>
            <w:r>
              <w:rPr>
                <w:rFonts w:ascii="Verdana" w:hAnsi="Verdana"/>
                <w:sz w:val="16"/>
                <w:szCs w:val="16"/>
                <w:lang w:val="en-US"/>
              </w:rPr>
              <w:t>If the samples are drum-shaped, three of them will be dropped successively, one in each of the following positions:</w:t>
            </w:r>
          </w:p>
        </w:tc>
      </w:tr>
      <w:tr w:rsidR="00B709A9" w14:paraId="1ED0DF64" w14:textId="77777777" w:rsidTr="00B709A9">
        <w:tc>
          <w:tcPr>
            <w:tcW w:w="4788" w:type="dxa"/>
            <w:hideMark/>
          </w:tcPr>
          <w:p w14:paraId="30F5A327"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lastRenderedPageBreak/>
              <w:t>a)</w:t>
            </w:r>
            <w:r>
              <w:rPr>
                <w:rFonts w:ascii="Verdana" w:hAnsi="Verdana"/>
                <w:b/>
                <w:sz w:val="16"/>
                <w:szCs w:val="16"/>
              </w:rPr>
              <w:tab/>
            </w:r>
            <w:r>
              <w:rPr>
                <w:rFonts w:ascii="Verdana" w:hAnsi="Verdana"/>
                <w:sz w:val="16"/>
                <w:szCs w:val="16"/>
              </w:rPr>
              <w:t>Diagonalmente sobre el reborde de la parte superior, con el centro de gravedad en la vertical del punto de impacto;</w:t>
            </w:r>
          </w:p>
        </w:tc>
        <w:tc>
          <w:tcPr>
            <w:tcW w:w="4788" w:type="dxa"/>
            <w:hideMark/>
          </w:tcPr>
          <w:p w14:paraId="5A80EB54" w14:textId="77777777" w:rsidR="00B709A9" w:rsidRDefault="00B709A9">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Diagonally over the top rim, with the center of gravity vertical to the point of impact;</w:t>
            </w:r>
          </w:p>
        </w:tc>
      </w:tr>
      <w:tr w:rsidR="00B709A9" w14:paraId="000C6BC6" w14:textId="77777777" w:rsidTr="00B709A9">
        <w:tc>
          <w:tcPr>
            <w:tcW w:w="4788" w:type="dxa"/>
            <w:hideMark/>
          </w:tcPr>
          <w:p w14:paraId="4E16CC0E"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Diagonalmente sobre el reborde de la base;</w:t>
            </w:r>
          </w:p>
        </w:tc>
        <w:tc>
          <w:tcPr>
            <w:tcW w:w="4788" w:type="dxa"/>
            <w:hideMark/>
          </w:tcPr>
          <w:p w14:paraId="5B9F0EEC" w14:textId="77777777" w:rsidR="00B709A9" w:rsidRDefault="00B709A9">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Diagonally over the rim of the base;</w:t>
            </w:r>
          </w:p>
        </w:tc>
      </w:tr>
      <w:tr w:rsidR="00B709A9" w14:paraId="7850E6F8" w14:textId="77777777" w:rsidTr="00B709A9">
        <w:tc>
          <w:tcPr>
            <w:tcW w:w="4788" w:type="dxa"/>
            <w:hideMark/>
          </w:tcPr>
          <w:p w14:paraId="778F3DF4" w14:textId="77777777" w:rsidR="00B709A9" w:rsidRDefault="00B709A9">
            <w:pPr>
              <w:pStyle w:val="ROMANOS"/>
              <w:spacing w:line="224" w:lineRule="exact"/>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De plano sobre el costado.</w:t>
            </w:r>
          </w:p>
        </w:tc>
        <w:tc>
          <w:tcPr>
            <w:tcW w:w="4788" w:type="dxa"/>
            <w:hideMark/>
          </w:tcPr>
          <w:p w14:paraId="4D48AE3B" w14:textId="77777777" w:rsidR="00B709A9" w:rsidRDefault="00B709A9">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Flat on the side.</w:t>
            </w:r>
          </w:p>
        </w:tc>
      </w:tr>
      <w:tr w:rsidR="00B709A9" w14:paraId="3DF6EEE6" w14:textId="77777777" w:rsidTr="00B709A9">
        <w:tc>
          <w:tcPr>
            <w:tcW w:w="4788" w:type="dxa"/>
            <w:hideMark/>
          </w:tcPr>
          <w:p w14:paraId="52B9BA9E"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6.5.3.4</w:t>
            </w:r>
            <w:r>
              <w:rPr>
                <w:rFonts w:ascii="Verdana" w:hAnsi="Verdana"/>
                <w:sz w:val="16"/>
                <w:szCs w:val="16"/>
              </w:rPr>
              <w:t xml:space="preserve"> En cada caso, la muestra se dejará caer con la orientación indicada, si bien se admite que, por razones de aerodinámica, puede no producirse el impacto en la posición prevista.</w:t>
            </w:r>
          </w:p>
        </w:tc>
        <w:tc>
          <w:tcPr>
            <w:tcW w:w="4788" w:type="dxa"/>
            <w:hideMark/>
          </w:tcPr>
          <w:p w14:paraId="3A39296C"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6.5.3.4 </w:t>
            </w:r>
            <w:r>
              <w:rPr>
                <w:rFonts w:ascii="Verdana" w:hAnsi="Verdana"/>
                <w:sz w:val="16"/>
                <w:szCs w:val="16"/>
                <w:lang w:val="en-US"/>
              </w:rPr>
              <w:t>In each case, the sample shall be dropped in the orientation indicated, although it is recognized that, for aerodynamic reasons, the impact in the intended position may not occur.</w:t>
            </w:r>
          </w:p>
        </w:tc>
      </w:tr>
      <w:tr w:rsidR="00B709A9" w14:paraId="37EF2C34" w14:textId="77777777" w:rsidTr="00B709A9">
        <w:tc>
          <w:tcPr>
            <w:tcW w:w="4788" w:type="dxa"/>
            <w:hideMark/>
          </w:tcPr>
          <w:p w14:paraId="4537BF27"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6.5.3.5</w:t>
            </w:r>
            <w:r>
              <w:rPr>
                <w:rFonts w:ascii="Verdana" w:hAnsi="Verdana"/>
                <w:sz w:val="16"/>
                <w:szCs w:val="16"/>
              </w:rPr>
              <w:t xml:space="preserve"> Después del ensayo (prueba) de caída no deberán apreciarse fugas de los recipientes primarios, y que deberán permanecer protegidos por material absorbente en el envase y/o embalaje secundario.</w:t>
            </w:r>
          </w:p>
        </w:tc>
        <w:tc>
          <w:tcPr>
            <w:tcW w:w="4788" w:type="dxa"/>
            <w:hideMark/>
          </w:tcPr>
          <w:p w14:paraId="06AD0D98"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6.5.3.5 </w:t>
            </w:r>
            <w:r>
              <w:rPr>
                <w:rFonts w:ascii="Verdana" w:hAnsi="Verdana"/>
                <w:sz w:val="16"/>
                <w:szCs w:val="16"/>
                <w:lang w:val="en-US"/>
              </w:rPr>
              <w:t>After the drop test, there should be no leaks from the primary containers, and they should remain protected by absorbent material in the container and/or secondary packaging.</w:t>
            </w:r>
          </w:p>
        </w:tc>
      </w:tr>
      <w:tr w:rsidR="00B709A9" w14:paraId="7822F9DF" w14:textId="77777777" w:rsidTr="00B709A9">
        <w:tc>
          <w:tcPr>
            <w:tcW w:w="4788" w:type="dxa"/>
            <w:hideMark/>
          </w:tcPr>
          <w:p w14:paraId="6D7F9244"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6.5.3.6</w:t>
            </w:r>
            <w:r>
              <w:rPr>
                <w:rFonts w:ascii="Verdana" w:hAnsi="Verdana"/>
                <w:sz w:val="16"/>
                <w:szCs w:val="16"/>
              </w:rPr>
              <w:t xml:space="preserve"> Preparación especial de las muestras para el ensayo (prueba) de caída.</w:t>
            </w:r>
          </w:p>
        </w:tc>
        <w:tc>
          <w:tcPr>
            <w:tcW w:w="4788" w:type="dxa"/>
            <w:hideMark/>
          </w:tcPr>
          <w:p w14:paraId="521B3091"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6.5.3.6 </w:t>
            </w:r>
            <w:r>
              <w:rPr>
                <w:rFonts w:ascii="Verdana" w:hAnsi="Verdana"/>
                <w:sz w:val="16"/>
                <w:szCs w:val="16"/>
                <w:lang w:val="en-US"/>
              </w:rPr>
              <w:t>Special preparation of the samples for the drop test.</w:t>
            </w:r>
          </w:p>
        </w:tc>
      </w:tr>
      <w:tr w:rsidR="00B709A9" w14:paraId="1EDAF576" w14:textId="77777777" w:rsidTr="00B709A9">
        <w:tc>
          <w:tcPr>
            <w:tcW w:w="4788" w:type="dxa"/>
            <w:hideMark/>
          </w:tcPr>
          <w:p w14:paraId="70D8DFFD"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6.5.3.6.1</w:t>
            </w:r>
            <w:r>
              <w:rPr>
                <w:rFonts w:ascii="Verdana" w:hAnsi="Verdana"/>
                <w:sz w:val="16"/>
                <w:szCs w:val="16"/>
              </w:rPr>
              <w:t xml:space="preserve"> Cartón – Ensayos (pruebas) de aspersión de agua.</w:t>
            </w:r>
          </w:p>
        </w:tc>
        <w:tc>
          <w:tcPr>
            <w:tcW w:w="4788" w:type="dxa"/>
            <w:hideMark/>
          </w:tcPr>
          <w:p w14:paraId="4B15D00A" w14:textId="77777777" w:rsidR="00B709A9" w:rsidRDefault="00B709A9">
            <w:pPr>
              <w:pStyle w:val="Texto"/>
              <w:spacing w:line="224" w:lineRule="exact"/>
              <w:ind w:firstLine="0"/>
              <w:rPr>
                <w:rFonts w:ascii="Verdana" w:hAnsi="Verdana"/>
                <w:b/>
                <w:sz w:val="16"/>
                <w:szCs w:val="16"/>
              </w:rPr>
            </w:pPr>
            <w:r>
              <w:rPr>
                <w:rFonts w:ascii="Verdana" w:hAnsi="Verdana"/>
                <w:b/>
                <w:sz w:val="16"/>
                <w:szCs w:val="16"/>
              </w:rPr>
              <w:t xml:space="preserve">6.5.3.6.1 </w:t>
            </w:r>
            <w:proofErr w:type="spellStart"/>
            <w:r>
              <w:rPr>
                <w:rFonts w:ascii="Verdana" w:hAnsi="Verdana"/>
                <w:sz w:val="16"/>
                <w:szCs w:val="16"/>
              </w:rPr>
              <w:t>Cardboard</w:t>
            </w:r>
            <w:proofErr w:type="spellEnd"/>
            <w:r>
              <w:rPr>
                <w:rFonts w:ascii="Verdana" w:hAnsi="Verdana"/>
                <w:sz w:val="16"/>
                <w:szCs w:val="16"/>
              </w:rPr>
              <w:t xml:space="preserve"> - </w:t>
            </w:r>
            <w:proofErr w:type="spellStart"/>
            <w:r>
              <w:rPr>
                <w:rFonts w:ascii="Verdana" w:hAnsi="Verdana"/>
                <w:sz w:val="16"/>
                <w:szCs w:val="16"/>
              </w:rPr>
              <w:t>Water</w:t>
            </w:r>
            <w:proofErr w:type="spellEnd"/>
            <w:r>
              <w:rPr>
                <w:rFonts w:ascii="Verdana" w:hAnsi="Verdana"/>
                <w:sz w:val="16"/>
                <w:szCs w:val="16"/>
              </w:rPr>
              <w:t xml:space="preserve"> </w:t>
            </w:r>
            <w:proofErr w:type="gramStart"/>
            <w:r>
              <w:rPr>
                <w:rFonts w:ascii="Verdana" w:hAnsi="Verdana"/>
                <w:sz w:val="16"/>
                <w:szCs w:val="16"/>
              </w:rPr>
              <w:t>Spray</w:t>
            </w:r>
            <w:proofErr w:type="gramEnd"/>
            <w:r>
              <w:rPr>
                <w:rFonts w:ascii="Verdana" w:hAnsi="Verdana"/>
                <w:sz w:val="16"/>
                <w:szCs w:val="16"/>
              </w:rPr>
              <w:t xml:space="preserve"> </w:t>
            </w:r>
            <w:proofErr w:type="spellStart"/>
            <w:r>
              <w:rPr>
                <w:rFonts w:ascii="Verdana" w:hAnsi="Verdana"/>
                <w:sz w:val="16"/>
                <w:szCs w:val="16"/>
              </w:rPr>
              <w:t>Tests</w:t>
            </w:r>
            <w:proofErr w:type="spellEnd"/>
            <w:r>
              <w:rPr>
                <w:rFonts w:ascii="Verdana" w:hAnsi="Verdana"/>
                <w:sz w:val="16"/>
                <w:szCs w:val="16"/>
              </w:rPr>
              <w:t>.</w:t>
            </w:r>
          </w:p>
        </w:tc>
      </w:tr>
      <w:tr w:rsidR="00B709A9" w14:paraId="21477369" w14:textId="77777777" w:rsidTr="00B709A9">
        <w:tc>
          <w:tcPr>
            <w:tcW w:w="4788" w:type="dxa"/>
            <w:hideMark/>
          </w:tcPr>
          <w:p w14:paraId="510783F0" w14:textId="77777777" w:rsidR="00B709A9" w:rsidRDefault="00B709A9">
            <w:pPr>
              <w:pStyle w:val="Texto"/>
              <w:spacing w:line="224" w:lineRule="exact"/>
              <w:ind w:firstLine="0"/>
              <w:rPr>
                <w:rFonts w:ascii="Verdana" w:hAnsi="Verdana"/>
                <w:sz w:val="16"/>
                <w:szCs w:val="16"/>
              </w:rPr>
            </w:pPr>
            <w:r>
              <w:rPr>
                <w:rFonts w:ascii="Verdana" w:hAnsi="Verdana"/>
                <w:sz w:val="16"/>
                <w:szCs w:val="16"/>
              </w:rPr>
              <w:t xml:space="preserve">Envase y/o embalaje exterior de cartón: la muestra se someterá por lo menos, una hora a una aspersión de agua que simule la exposición a una precipitación de 5 cm por hora. A </w:t>
            </w:r>
            <w:proofErr w:type="gramStart"/>
            <w:r>
              <w:rPr>
                <w:rFonts w:ascii="Verdana" w:hAnsi="Verdana"/>
                <w:sz w:val="16"/>
                <w:szCs w:val="16"/>
              </w:rPr>
              <w:t>continuación</w:t>
            </w:r>
            <w:proofErr w:type="gramEnd"/>
            <w:r>
              <w:rPr>
                <w:rFonts w:ascii="Verdana" w:hAnsi="Verdana"/>
                <w:sz w:val="16"/>
                <w:szCs w:val="16"/>
              </w:rPr>
              <w:t xml:space="preserve"> se someterá al ensayo (prueba) especificado en el numeral 6.5.3.1.</w:t>
            </w:r>
          </w:p>
        </w:tc>
        <w:tc>
          <w:tcPr>
            <w:tcW w:w="4788" w:type="dxa"/>
            <w:hideMark/>
          </w:tcPr>
          <w:p w14:paraId="285D6063" w14:textId="77777777" w:rsidR="00B709A9" w:rsidRDefault="00B709A9">
            <w:pPr>
              <w:pStyle w:val="Texto"/>
              <w:spacing w:line="224" w:lineRule="exact"/>
              <w:ind w:firstLine="0"/>
              <w:rPr>
                <w:rFonts w:ascii="Verdana" w:hAnsi="Verdana"/>
                <w:sz w:val="16"/>
                <w:szCs w:val="16"/>
                <w:lang w:val="en-US"/>
              </w:rPr>
            </w:pPr>
            <w:r>
              <w:rPr>
                <w:rFonts w:ascii="Verdana" w:hAnsi="Verdana"/>
                <w:sz w:val="16"/>
                <w:szCs w:val="16"/>
                <w:lang w:val="en-US"/>
              </w:rPr>
              <w:t>Container and/or outer cardboard packaging: the sample will be subjected to a spray of water for at least one hour that simulates exposure to precipitation of 5 cm per hour. Next, it will be submitted to the trial (test) specified in numeral 6.5.3.1.</w:t>
            </w:r>
          </w:p>
        </w:tc>
      </w:tr>
      <w:tr w:rsidR="00B709A9" w14:paraId="31BB3DC7" w14:textId="77777777" w:rsidTr="00B709A9">
        <w:tc>
          <w:tcPr>
            <w:tcW w:w="4788" w:type="dxa"/>
            <w:hideMark/>
          </w:tcPr>
          <w:p w14:paraId="4D233486"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6.5.3.6.2</w:t>
            </w:r>
            <w:r>
              <w:rPr>
                <w:rFonts w:ascii="Verdana" w:hAnsi="Verdana"/>
                <w:sz w:val="16"/>
                <w:szCs w:val="16"/>
              </w:rPr>
              <w:t xml:space="preserve"> Materiales plásticos - Acondicionamiento en frío.</w:t>
            </w:r>
          </w:p>
        </w:tc>
        <w:tc>
          <w:tcPr>
            <w:tcW w:w="4788" w:type="dxa"/>
            <w:hideMark/>
          </w:tcPr>
          <w:p w14:paraId="5AA2C70E" w14:textId="77777777" w:rsidR="00B709A9" w:rsidRDefault="00B709A9">
            <w:pPr>
              <w:pStyle w:val="Texto"/>
              <w:spacing w:line="224" w:lineRule="exact"/>
              <w:ind w:firstLine="0"/>
              <w:rPr>
                <w:rFonts w:ascii="Verdana" w:hAnsi="Verdana"/>
                <w:b/>
                <w:sz w:val="16"/>
                <w:szCs w:val="16"/>
              </w:rPr>
            </w:pPr>
            <w:r>
              <w:rPr>
                <w:rFonts w:ascii="Verdana" w:hAnsi="Verdana"/>
                <w:b/>
                <w:sz w:val="16"/>
                <w:szCs w:val="16"/>
              </w:rPr>
              <w:t xml:space="preserve">6.5.3.6.2 </w:t>
            </w:r>
            <w:proofErr w:type="spellStart"/>
            <w:r>
              <w:rPr>
                <w:rFonts w:ascii="Verdana" w:hAnsi="Verdana"/>
                <w:sz w:val="16"/>
                <w:szCs w:val="16"/>
              </w:rPr>
              <w:t>Plastic</w:t>
            </w:r>
            <w:proofErr w:type="spellEnd"/>
            <w:r>
              <w:rPr>
                <w:rFonts w:ascii="Verdana" w:hAnsi="Verdana"/>
                <w:sz w:val="16"/>
                <w:szCs w:val="16"/>
              </w:rPr>
              <w:t xml:space="preserve"> </w:t>
            </w:r>
            <w:proofErr w:type="spellStart"/>
            <w:r>
              <w:rPr>
                <w:rFonts w:ascii="Verdana" w:hAnsi="Verdana"/>
                <w:sz w:val="16"/>
                <w:szCs w:val="16"/>
              </w:rPr>
              <w:t>materials</w:t>
            </w:r>
            <w:proofErr w:type="spellEnd"/>
            <w:r>
              <w:rPr>
                <w:rFonts w:ascii="Verdana" w:hAnsi="Verdana"/>
                <w:sz w:val="16"/>
                <w:szCs w:val="16"/>
              </w:rPr>
              <w:t xml:space="preserve"> - </w:t>
            </w:r>
            <w:proofErr w:type="spellStart"/>
            <w:r>
              <w:rPr>
                <w:rFonts w:ascii="Verdana" w:hAnsi="Verdana"/>
                <w:sz w:val="16"/>
                <w:szCs w:val="16"/>
              </w:rPr>
              <w:t>Cold</w:t>
            </w:r>
            <w:proofErr w:type="spellEnd"/>
            <w:r>
              <w:rPr>
                <w:rFonts w:ascii="Verdana" w:hAnsi="Verdana"/>
                <w:sz w:val="16"/>
                <w:szCs w:val="16"/>
              </w:rPr>
              <w:t xml:space="preserve"> </w:t>
            </w:r>
            <w:proofErr w:type="spellStart"/>
            <w:r>
              <w:rPr>
                <w:rFonts w:ascii="Verdana" w:hAnsi="Verdana"/>
                <w:sz w:val="16"/>
                <w:szCs w:val="16"/>
              </w:rPr>
              <w:t>conditioning</w:t>
            </w:r>
            <w:proofErr w:type="spellEnd"/>
            <w:r>
              <w:rPr>
                <w:rFonts w:ascii="Verdana" w:hAnsi="Verdana"/>
                <w:sz w:val="16"/>
                <w:szCs w:val="16"/>
              </w:rPr>
              <w:t>.</w:t>
            </w:r>
          </w:p>
        </w:tc>
      </w:tr>
      <w:tr w:rsidR="00B709A9" w14:paraId="36F4F8E6" w14:textId="77777777" w:rsidTr="00B709A9">
        <w:tc>
          <w:tcPr>
            <w:tcW w:w="4788" w:type="dxa"/>
            <w:hideMark/>
          </w:tcPr>
          <w:p w14:paraId="773DBF06" w14:textId="77777777" w:rsidR="00B709A9" w:rsidRDefault="00B709A9">
            <w:pPr>
              <w:pStyle w:val="Texto"/>
              <w:spacing w:line="224" w:lineRule="exact"/>
              <w:ind w:firstLine="0"/>
              <w:rPr>
                <w:rFonts w:ascii="Verdana" w:hAnsi="Verdana"/>
                <w:sz w:val="16"/>
                <w:szCs w:val="16"/>
              </w:rPr>
            </w:pPr>
            <w:r>
              <w:rPr>
                <w:rFonts w:ascii="Verdana" w:hAnsi="Verdana"/>
                <w:sz w:val="16"/>
                <w:szCs w:val="16"/>
              </w:rPr>
              <w:t>Recipientes primarios o envases y/o embalajes exteriores de plástico: la muestra será acondicionada durante 24 horas como mínimo en una atmósfera con temperatura igual o inferior a –18°C (a menos 18 grados centígrados), y a los 15 minutos de ser retirada de esa atmósfera se someterá al ensayo (prueba) especificado en el numeral 6.5.3.1. Si la muestra contiene hielo seco el periodo de acondicionamiento se podrá reducir a 4 horas.</w:t>
            </w:r>
          </w:p>
        </w:tc>
        <w:tc>
          <w:tcPr>
            <w:tcW w:w="4788" w:type="dxa"/>
            <w:hideMark/>
          </w:tcPr>
          <w:p w14:paraId="16D6512D" w14:textId="77777777" w:rsidR="00B709A9" w:rsidRDefault="00B709A9">
            <w:pPr>
              <w:pStyle w:val="Texto"/>
              <w:spacing w:line="224" w:lineRule="exact"/>
              <w:ind w:firstLine="0"/>
              <w:rPr>
                <w:rFonts w:ascii="Verdana" w:hAnsi="Verdana"/>
                <w:sz w:val="16"/>
                <w:szCs w:val="16"/>
                <w:lang w:val="en-US"/>
              </w:rPr>
            </w:pPr>
            <w:r>
              <w:rPr>
                <w:rFonts w:ascii="Verdana" w:hAnsi="Verdana"/>
                <w:sz w:val="16"/>
                <w:szCs w:val="16"/>
                <w:lang w:val="en-US"/>
              </w:rPr>
              <w:t>Primary containers or outer plastic containers and/or packaging: the sample will be conditioned for at least 24 hours in an atmosphere with a temperature equal to or less than –18°C (minus 18 degrees Celsius), and 15 minutes after being removed from that atmosphere will be submitted to the test specified in numeral 6.5.3.1. If the sample contains dry ice, the conditioning period may be reduced to 4 hours.</w:t>
            </w:r>
          </w:p>
        </w:tc>
      </w:tr>
      <w:tr w:rsidR="00B709A9" w14:paraId="3EB0745C" w14:textId="77777777" w:rsidTr="00B709A9">
        <w:tc>
          <w:tcPr>
            <w:tcW w:w="4788" w:type="dxa"/>
            <w:hideMark/>
          </w:tcPr>
          <w:p w14:paraId="6EFD6951"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6.5.3.6.3</w:t>
            </w:r>
            <w:r>
              <w:rPr>
                <w:rFonts w:ascii="Verdana" w:hAnsi="Verdana"/>
                <w:sz w:val="16"/>
                <w:szCs w:val="16"/>
              </w:rPr>
              <w:t xml:space="preserve"> Envases y/o embalajes destinados a contener hielo seco. Ensayo (prueba) de caída adicional.</w:t>
            </w:r>
          </w:p>
        </w:tc>
        <w:tc>
          <w:tcPr>
            <w:tcW w:w="4788" w:type="dxa"/>
            <w:hideMark/>
          </w:tcPr>
          <w:p w14:paraId="0ABE397F" w14:textId="77777777" w:rsidR="00B709A9" w:rsidRDefault="00B709A9">
            <w:pPr>
              <w:pStyle w:val="Texto"/>
              <w:spacing w:line="224" w:lineRule="exact"/>
              <w:ind w:firstLine="0"/>
              <w:rPr>
                <w:rFonts w:ascii="Verdana" w:hAnsi="Verdana"/>
                <w:b/>
                <w:sz w:val="16"/>
                <w:szCs w:val="16"/>
              </w:rPr>
            </w:pPr>
            <w:r>
              <w:rPr>
                <w:rFonts w:ascii="Verdana" w:hAnsi="Verdana"/>
                <w:b/>
                <w:sz w:val="16"/>
                <w:szCs w:val="16"/>
                <w:lang w:val="en-US"/>
              </w:rPr>
              <w:t xml:space="preserve">6.5.3.6.3 </w:t>
            </w:r>
            <w:r>
              <w:rPr>
                <w:rFonts w:ascii="Verdana" w:hAnsi="Verdana"/>
                <w:sz w:val="16"/>
                <w:szCs w:val="16"/>
                <w:lang w:val="en-US"/>
              </w:rPr>
              <w:t xml:space="preserve">Containers and/or packages destined to contain dry ice. </w:t>
            </w:r>
            <w:proofErr w:type="spellStart"/>
            <w:r>
              <w:rPr>
                <w:rFonts w:ascii="Verdana" w:hAnsi="Verdana"/>
                <w:sz w:val="16"/>
                <w:szCs w:val="16"/>
              </w:rPr>
              <w:t>Additional</w:t>
            </w:r>
            <w:proofErr w:type="spellEnd"/>
            <w:r>
              <w:rPr>
                <w:rFonts w:ascii="Verdana" w:hAnsi="Verdana"/>
                <w:sz w:val="16"/>
                <w:szCs w:val="16"/>
              </w:rPr>
              <w:t xml:space="preserve"> </w:t>
            </w:r>
            <w:proofErr w:type="spellStart"/>
            <w:r>
              <w:rPr>
                <w:rFonts w:ascii="Verdana" w:hAnsi="Verdana"/>
                <w:sz w:val="16"/>
                <w:szCs w:val="16"/>
              </w:rPr>
              <w:t>drop</w:t>
            </w:r>
            <w:proofErr w:type="spellEnd"/>
            <w:r>
              <w:rPr>
                <w:rFonts w:ascii="Verdana" w:hAnsi="Verdana"/>
                <w:sz w:val="16"/>
                <w:szCs w:val="16"/>
              </w:rPr>
              <w:t xml:space="preserve"> test.</w:t>
            </w:r>
          </w:p>
        </w:tc>
      </w:tr>
      <w:tr w:rsidR="00B709A9" w14:paraId="39E8C0CE" w14:textId="77777777" w:rsidTr="00B709A9">
        <w:tc>
          <w:tcPr>
            <w:tcW w:w="4788" w:type="dxa"/>
            <w:hideMark/>
          </w:tcPr>
          <w:p w14:paraId="126CC23E" w14:textId="77777777" w:rsidR="00B709A9" w:rsidRDefault="00B709A9">
            <w:pPr>
              <w:pStyle w:val="Texto"/>
              <w:spacing w:line="224" w:lineRule="exact"/>
              <w:ind w:firstLine="0"/>
              <w:rPr>
                <w:rFonts w:ascii="Verdana" w:hAnsi="Verdana"/>
                <w:sz w:val="16"/>
                <w:szCs w:val="16"/>
              </w:rPr>
            </w:pPr>
            <w:r>
              <w:rPr>
                <w:rFonts w:ascii="Verdana" w:hAnsi="Verdana"/>
                <w:sz w:val="16"/>
                <w:szCs w:val="16"/>
              </w:rPr>
              <w:t>Si está previsto que los envases y/o embalajes contengan hielo seco, se efectuará un ensayo (prueba) adicional a los especificados en 6.5.3.1 y, en su caso, en 6.5.3.6.1 o 6.5.3.6.2. Se guardará la muestra en reserva hasta que se disipe por completo el hielo seco, y se dejará caer en la posición, de las descritas 6.5.3.2, en la que sea más probable que no supere el ensayo.</w:t>
            </w:r>
          </w:p>
        </w:tc>
        <w:tc>
          <w:tcPr>
            <w:tcW w:w="4788" w:type="dxa"/>
            <w:hideMark/>
          </w:tcPr>
          <w:p w14:paraId="71648FAC" w14:textId="77777777" w:rsidR="00B709A9" w:rsidRDefault="00B709A9">
            <w:pPr>
              <w:pStyle w:val="Texto"/>
              <w:spacing w:line="224" w:lineRule="exact"/>
              <w:ind w:firstLine="0"/>
              <w:rPr>
                <w:rFonts w:ascii="Verdana" w:hAnsi="Verdana"/>
                <w:sz w:val="16"/>
                <w:szCs w:val="16"/>
                <w:lang w:val="en-US"/>
              </w:rPr>
            </w:pPr>
            <w:r>
              <w:rPr>
                <w:rFonts w:ascii="Verdana" w:hAnsi="Verdana"/>
                <w:sz w:val="16"/>
                <w:szCs w:val="16"/>
                <w:lang w:val="en-US"/>
              </w:rPr>
              <w:t>If the packages and/or packages are expected to contain dry ice, an additional trial (test) will be carried out to those specified in 6.5.3.1 and, where appropriate, in 6.5.3.6.1 or 6.5.3.6.2. The sample shall be kept in reserve until the dry ice has completely dissipated, and shall be dropped in the position, described in 6.5.3.2, in which it is most likely to fail the test.</w:t>
            </w:r>
          </w:p>
        </w:tc>
      </w:tr>
      <w:tr w:rsidR="00B709A9" w14:paraId="2AB8F315" w14:textId="77777777" w:rsidTr="00B709A9">
        <w:tc>
          <w:tcPr>
            <w:tcW w:w="4788" w:type="dxa"/>
            <w:hideMark/>
          </w:tcPr>
          <w:p w14:paraId="31397A79"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6.5.4</w:t>
            </w:r>
            <w:r>
              <w:rPr>
                <w:rFonts w:ascii="Verdana" w:hAnsi="Verdana"/>
                <w:sz w:val="16"/>
                <w:szCs w:val="16"/>
              </w:rPr>
              <w:t xml:space="preserve"> Ensayo (prueba) de perforación.</w:t>
            </w:r>
          </w:p>
        </w:tc>
        <w:tc>
          <w:tcPr>
            <w:tcW w:w="4788" w:type="dxa"/>
            <w:hideMark/>
          </w:tcPr>
          <w:p w14:paraId="051C536B"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6.5.4 </w:t>
            </w:r>
            <w:r>
              <w:rPr>
                <w:rFonts w:ascii="Verdana" w:hAnsi="Verdana"/>
                <w:sz w:val="16"/>
                <w:szCs w:val="16"/>
                <w:lang w:val="en-US"/>
              </w:rPr>
              <w:t>Perforation test.</w:t>
            </w:r>
          </w:p>
        </w:tc>
      </w:tr>
      <w:tr w:rsidR="00B709A9" w14:paraId="605BFEEB" w14:textId="77777777" w:rsidTr="00B709A9">
        <w:tc>
          <w:tcPr>
            <w:tcW w:w="4788" w:type="dxa"/>
            <w:hideMark/>
          </w:tcPr>
          <w:p w14:paraId="145243D9" w14:textId="77777777" w:rsidR="00B709A9" w:rsidRDefault="00B709A9">
            <w:pPr>
              <w:pStyle w:val="Texto"/>
              <w:spacing w:line="224" w:lineRule="exact"/>
              <w:ind w:firstLine="0"/>
              <w:rPr>
                <w:rFonts w:ascii="Verdana" w:hAnsi="Verdana"/>
                <w:sz w:val="16"/>
                <w:szCs w:val="16"/>
              </w:rPr>
            </w:pPr>
            <w:r>
              <w:rPr>
                <w:rFonts w:ascii="Verdana" w:hAnsi="Verdana"/>
                <w:b/>
                <w:sz w:val="16"/>
                <w:szCs w:val="16"/>
              </w:rPr>
              <w:t>6.5.4.1</w:t>
            </w:r>
            <w:r>
              <w:rPr>
                <w:rFonts w:ascii="Verdana" w:hAnsi="Verdana"/>
                <w:sz w:val="16"/>
                <w:szCs w:val="16"/>
              </w:rPr>
              <w:t xml:space="preserve"> Envases y/o embalajes de una masa bruta de 7 kg (kilogramos) o menos.</w:t>
            </w:r>
          </w:p>
        </w:tc>
        <w:tc>
          <w:tcPr>
            <w:tcW w:w="4788" w:type="dxa"/>
            <w:hideMark/>
          </w:tcPr>
          <w:p w14:paraId="33019FCB" w14:textId="77777777" w:rsidR="00B709A9" w:rsidRDefault="00B709A9">
            <w:pPr>
              <w:pStyle w:val="Texto"/>
              <w:spacing w:line="224" w:lineRule="exact"/>
              <w:ind w:firstLine="0"/>
              <w:rPr>
                <w:rFonts w:ascii="Verdana" w:hAnsi="Verdana"/>
                <w:b/>
                <w:sz w:val="16"/>
                <w:szCs w:val="16"/>
                <w:lang w:val="en-US"/>
              </w:rPr>
            </w:pPr>
            <w:r>
              <w:rPr>
                <w:rFonts w:ascii="Verdana" w:hAnsi="Verdana"/>
                <w:b/>
                <w:sz w:val="16"/>
                <w:szCs w:val="16"/>
                <w:lang w:val="en-US"/>
              </w:rPr>
              <w:t xml:space="preserve">6.5.4.1 </w:t>
            </w:r>
            <w:r>
              <w:rPr>
                <w:rFonts w:ascii="Verdana" w:hAnsi="Verdana"/>
                <w:sz w:val="16"/>
                <w:szCs w:val="16"/>
                <w:lang w:val="en-US"/>
              </w:rPr>
              <w:t>Containers and/or packages with a gross mass of 7 kg (kilograms) or less.</w:t>
            </w:r>
          </w:p>
        </w:tc>
      </w:tr>
      <w:tr w:rsidR="00B709A9" w14:paraId="10DC2C60" w14:textId="77777777" w:rsidTr="00B709A9">
        <w:tc>
          <w:tcPr>
            <w:tcW w:w="4788" w:type="dxa"/>
            <w:hideMark/>
          </w:tcPr>
          <w:p w14:paraId="444F64D9" w14:textId="77777777" w:rsidR="00B709A9" w:rsidRDefault="00B709A9">
            <w:pPr>
              <w:pStyle w:val="Texto"/>
              <w:ind w:firstLine="0"/>
              <w:rPr>
                <w:rFonts w:ascii="Verdana" w:hAnsi="Verdana"/>
                <w:sz w:val="16"/>
                <w:szCs w:val="16"/>
              </w:rPr>
            </w:pPr>
            <w:r>
              <w:rPr>
                <w:rFonts w:ascii="Verdana" w:hAnsi="Verdana"/>
                <w:sz w:val="16"/>
                <w:szCs w:val="16"/>
              </w:rPr>
              <w:t xml:space="preserve">Se colocarán las muestras sobre una superficie dura y plana. Se dejará caer verticalmente en caída libre una barra cilíndrica de acero de una masa de 7 kg (kilogramos) por lo menos y un diámetro de 38 mm </w:t>
            </w:r>
            <w:r>
              <w:rPr>
                <w:rFonts w:ascii="Verdana" w:hAnsi="Verdana"/>
                <w:sz w:val="16"/>
                <w:szCs w:val="16"/>
              </w:rPr>
              <w:lastRenderedPageBreak/>
              <w:t>(milímetros), y cuya extremidad de impacto tenga un radio que no exceda de 6 mm (véase la Figura No. 1), desde una altura de 1 metro medida desde la extremidad de impacto hasta la superficie de impacto de la muestra. Una de las muestras se colocará sobre su base. Otra de las muestras será colocada en dirección perpendicular a la de la primera muestra. En ambos ensayos se dejará caer la barra de acero orientándola de modo que pueda chocar con el recipiente primario. Tras cada impacto se considerará aceptable que el envase y/o embalaje secundario resulte perforado, siempre que no haya derrame del recipiente o los recipientes primarios.</w:t>
            </w:r>
          </w:p>
        </w:tc>
        <w:tc>
          <w:tcPr>
            <w:tcW w:w="4788" w:type="dxa"/>
            <w:hideMark/>
          </w:tcPr>
          <w:p w14:paraId="34DCACC1" w14:textId="77777777" w:rsidR="00B709A9" w:rsidRDefault="00B709A9">
            <w:pPr>
              <w:pStyle w:val="Texto"/>
              <w:ind w:firstLine="0"/>
              <w:rPr>
                <w:rFonts w:ascii="Verdana" w:hAnsi="Verdana"/>
                <w:sz w:val="16"/>
                <w:szCs w:val="16"/>
                <w:lang w:val="en-US"/>
              </w:rPr>
            </w:pPr>
            <w:r>
              <w:rPr>
                <w:rFonts w:ascii="Verdana" w:hAnsi="Verdana"/>
                <w:sz w:val="16"/>
                <w:szCs w:val="16"/>
                <w:lang w:val="en-US"/>
              </w:rPr>
              <w:lastRenderedPageBreak/>
              <w:t xml:space="preserve">The samples will be placed on a hard and flat surface. A cylindrical steel bar with a mass of at least 7 kg (kilograms) and a diameter of 38 mm (millimeters), and the impact end of which has a radius not exceeding 6 </w:t>
            </w:r>
            <w:r>
              <w:rPr>
                <w:rFonts w:ascii="Verdana" w:hAnsi="Verdana"/>
                <w:sz w:val="16"/>
                <w:szCs w:val="16"/>
                <w:lang w:val="en-US"/>
              </w:rPr>
              <w:lastRenderedPageBreak/>
              <w:t xml:space="preserve">mm, shall be dropped vertically in free fall (see Figure No. 1), from a height of 1 meter measured from the impact extremity to the impact surface of the sample. One of the samples will be placed on its base. Another of the samples will be placed in a direction perpendicular to that of the first sample. In both tests, the steel bar will be dropped, oriented so that it can collide with the primary container. After each impact, it will be considered acceptable that the container and/or secondary packaging is punctured, </w:t>
            </w:r>
            <w:proofErr w:type="gramStart"/>
            <w:r>
              <w:rPr>
                <w:rFonts w:ascii="Verdana" w:hAnsi="Verdana"/>
                <w:sz w:val="16"/>
                <w:szCs w:val="16"/>
                <w:lang w:val="en-US"/>
              </w:rPr>
              <w:t>provided that</w:t>
            </w:r>
            <w:proofErr w:type="gramEnd"/>
            <w:r>
              <w:rPr>
                <w:rFonts w:ascii="Verdana" w:hAnsi="Verdana"/>
                <w:sz w:val="16"/>
                <w:szCs w:val="16"/>
                <w:lang w:val="en-US"/>
              </w:rPr>
              <w:t xml:space="preserve"> there is no spillage from the primary container or containers.</w:t>
            </w:r>
          </w:p>
        </w:tc>
      </w:tr>
      <w:tr w:rsidR="00B709A9" w14:paraId="5442EAF8" w14:textId="77777777" w:rsidTr="00B709A9">
        <w:tc>
          <w:tcPr>
            <w:tcW w:w="4788" w:type="dxa"/>
            <w:hideMark/>
          </w:tcPr>
          <w:p w14:paraId="699F248E"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lastRenderedPageBreak/>
              <w:t>6.5.4.2</w:t>
            </w:r>
            <w:r>
              <w:rPr>
                <w:rFonts w:ascii="Verdana" w:hAnsi="Verdana"/>
                <w:sz w:val="16"/>
                <w:szCs w:val="16"/>
              </w:rPr>
              <w:t xml:space="preserve"> Envases y/o embalajes de una masa bruta de más de 7 kg (kilogramos).</w:t>
            </w:r>
          </w:p>
        </w:tc>
        <w:tc>
          <w:tcPr>
            <w:tcW w:w="4788" w:type="dxa"/>
            <w:hideMark/>
          </w:tcPr>
          <w:p w14:paraId="194A58F2"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6.5.4.2 </w:t>
            </w:r>
            <w:r>
              <w:rPr>
                <w:rFonts w:ascii="Verdana" w:hAnsi="Verdana"/>
                <w:sz w:val="16"/>
                <w:szCs w:val="16"/>
                <w:lang w:val="en-US"/>
              </w:rPr>
              <w:t>Containers and/or packages with a gross mass of more than 7 kg (kilograms).</w:t>
            </w:r>
          </w:p>
        </w:tc>
      </w:tr>
      <w:tr w:rsidR="00B709A9" w14:paraId="03578C98" w14:textId="77777777" w:rsidTr="00B709A9">
        <w:tc>
          <w:tcPr>
            <w:tcW w:w="4788" w:type="dxa"/>
            <w:hideMark/>
          </w:tcPr>
          <w:p w14:paraId="263D08A2" w14:textId="77777777" w:rsidR="00B709A9" w:rsidRDefault="00B709A9">
            <w:pPr>
              <w:pStyle w:val="Texto"/>
              <w:spacing w:after="90" w:line="232" w:lineRule="exact"/>
              <w:ind w:firstLine="0"/>
              <w:rPr>
                <w:rFonts w:ascii="Verdana" w:hAnsi="Verdana"/>
                <w:sz w:val="16"/>
                <w:szCs w:val="16"/>
              </w:rPr>
            </w:pPr>
            <w:r>
              <w:rPr>
                <w:rFonts w:ascii="Verdana" w:hAnsi="Verdana"/>
                <w:sz w:val="16"/>
                <w:szCs w:val="16"/>
              </w:rPr>
              <w:t>Se dejarán caer las muestras sobre el extremo superior de una barra cilíndrica de acero, que estará fija, en posición vertical, en una superficie dura y plana y tendrá 38 mm (milímetros) de diámetro, sin que exceda de 6 mm (milímetros) el radio de su extremo superior (véase la Figura No. 1). La barra sobresaldrá de la superficie hasta una distancia que por lo menos sea igual a la existente entre el centro del recipiente o los recipientes primarios y la superficie exterior, pero que no habrá de ser inferior a 200 mm (milímetros). Se dejará caer una muestra con la cara superior hacia abajo, en caída libre vertical, desde una altura de 1 metro medida desde el extremo superior de la barra de acero. Desde esa misma altura se dejará caer una segunda muestra en posición perpendicular a la de la primera muestra. En ambos ensayos se dejará caer el embalaje orientándolo de modo que la barra de acero pueda perforar el recipiente o los recipientes primarios. Tras cada impacto, se considerará aceptable que el envase y/o embalaje secundario resulte perforado, siempre que no haya derrames procedentes del recipiente o los recipientes primarios.</w:t>
            </w:r>
          </w:p>
        </w:tc>
        <w:tc>
          <w:tcPr>
            <w:tcW w:w="4788" w:type="dxa"/>
            <w:hideMark/>
          </w:tcPr>
          <w:p w14:paraId="0E80EED8" w14:textId="77777777" w:rsidR="00B709A9" w:rsidRDefault="00B709A9">
            <w:pPr>
              <w:pStyle w:val="Texto"/>
              <w:spacing w:after="90" w:line="232" w:lineRule="exact"/>
              <w:ind w:firstLine="0"/>
              <w:rPr>
                <w:rFonts w:ascii="Verdana" w:hAnsi="Verdana"/>
                <w:sz w:val="16"/>
                <w:szCs w:val="16"/>
                <w:lang w:val="en-US"/>
              </w:rPr>
            </w:pPr>
            <w:r>
              <w:rPr>
                <w:rFonts w:ascii="Verdana" w:hAnsi="Verdana"/>
                <w:sz w:val="16"/>
                <w:szCs w:val="16"/>
                <w:lang w:val="en-US"/>
              </w:rPr>
              <w:t xml:space="preserve">The samples shall be dropped onto the upper end of a cylindrical steel bar, which shall be fixed, in a vertical position, on a hard, flat surface and shall be 38 mm (millimeters) in diameter, the radius of its upper end (see Figure No. 1) not exceeding 6 mm (millimeters) in diameter (see Figure No. 1). The bar shall protrude from the surface to a distance at least equal to the distance between the center of the primary container(s) and the outer surface, but not less than 200 mm (millimeters). A sample shall be dropped with the upper face downwards, in vertical free fall, from a height of 1 meter measured from the upper end of the steel bar. From that same height a second sample will be dropped in a position perpendicular to that of the first sample. In both tests, the packaging shall be dropped in such a way that the steel bar can pierce the primary container(s). After each impact, it will be considered acceptable for the container and/or secondary packaging to be punctured, </w:t>
            </w:r>
            <w:proofErr w:type="gramStart"/>
            <w:r>
              <w:rPr>
                <w:rFonts w:ascii="Verdana" w:hAnsi="Verdana"/>
                <w:sz w:val="16"/>
                <w:szCs w:val="16"/>
                <w:lang w:val="en-US"/>
              </w:rPr>
              <w:t>provided that</w:t>
            </w:r>
            <w:proofErr w:type="gramEnd"/>
            <w:r>
              <w:rPr>
                <w:rFonts w:ascii="Verdana" w:hAnsi="Verdana"/>
                <w:sz w:val="16"/>
                <w:szCs w:val="16"/>
                <w:lang w:val="en-US"/>
              </w:rPr>
              <w:t xml:space="preserve"> there are no spills from the primary container(s).</w:t>
            </w:r>
          </w:p>
        </w:tc>
      </w:tr>
    </w:tbl>
    <w:p w14:paraId="50B95891" w14:textId="77777777" w:rsidR="00B709A9" w:rsidRPr="00B709A9" w:rsidRDefault="00B709A9" w:rsidP="00B709A9">
      <w:pPr>
        <w:pStyle w:val="Texto"/>
        <w:ind w:firstLine="0"/>
        <w:jc w:val="center"/>
        <w:rPr>
          <w:rFonts w:ascii="Verdana" w:hAnsi="Verdana"/>
          <w:sz w:val="16"/>
          <w:szCs w:val="16"/>
          <w:lang w:val="en-US"/>
        </w:rPr>
      </w:pPr>
    </w:p>
    <w:p w14:paraId="7187991A" w14:textId="77777777" w:rsidR="00B709A9" w:rsidRPr="00B709A9" w:rsidRDefault="00B709A9" w:rsidP="00B709A9">
      <w:pPr>
        <w:pStyle w:val="Texto"/>
        <w:ind w:firstLine="0"/>
        <w:jc w:val="center"/>
        <w:rPr>
          <w:rFonts w:ascii="Verdana" w:hAnsi="Verdana"/>
          <w:sz w:val="16"/>
          <w:szCs w:val="16"/>
          <w:lang w:val="en-US"/>
        </w:rPr>
      </w:pPr>
    </w:p>
    <w:p w14:paraId="7A095FE5" w14:textId="77777777" w:rsidR="00B709A9" w:rsidRPr="00B709A9" w:rsidRDefault="00B709A9" w:rsidP="00B709A9">
      <w:pPr>
        <w:pStyle w:val="Texto"/>
        <w:ind w:firstLine="0"/>
        <w:jc w:val="center"/>
        <w:rPr>
          <w:rFonts w:ascii="Verdana" w:hAnsi="Verdana"/>
          <w:sz w:val="16"/>
          <w:szCs w:val="16"/>
          <w:lang w:val="en-US"/>
        </w:rPr>
      </w:pPr>
    </w:p>
    <w:p w14:paraId="54B0D24B" w14:textId="77777777" w:rsidR="00B709A9" w:rsidRPr="00B709A9" w:rsidRDefault="00B709A9" w:rsidP="00B709A9">
      <w:pPr>
        <w:pStyle w:val="Texto"/>
        <w:ind w:firstLine="0"/>
        <w:jc w:val="center"/>
        <w:rPr>
          <w:rFonts w:ascii="Verdana" w:hAnsi="Verdana"/>
          <w:sz w:val="16"/>
          <w:szCs w:val="16"/>
          <w:lang w:val="en-US"/>
        </w:rPr>
      </w:pPr>
    </w:p>
    <w:p w14:paraId="1E807C10" w14:textId="77777777" w:rsidR="00B709A9" w:rsidRPr="00B709A9" w:rsidRDefault="00B709A9" w:rsidP="00B709A9">
      <w:pPr>
        <w:pStyle w:val="Texto"/>
        <w:ind w:firstLine="0"/>
        <w:jc w:val="center"/>
        <w:rPr>
          <w:rFonts w:ascii="Verdana" w:hAnsi="Verdana"/>
          <w:sz w:val="16"/>
          <w:szCs w:val="16"/>
          <w:lang w:val="en-US"/>
        </w:rPr>
      </w:pPr>
    </w:p>
    <w:p w14:paraId="42242C1B" w14:textId="77777777" w:rsidR="00B709A9" w:rsidRPr="00B709A9" w:rsidRDefault="00B709A9" w:rsidP="00B709A9">
      <w:pPr>
        <w:pStyle w:val="Texto"/>
        <w:ind w:firstLine="0"/>
        <w:jc w:val="center"/>
        <w:rPr>
          <w:rFonts w:ascii="Verdana" w:hAnsi="Verdana"/>
          <w:sz w:val="16"/>
          <w:szCs w:val="16"/>
          <w:lang w:val="en-US"/>
        </w:rPr>
      </w:pPr>
    </w:p>
    <w:p w14:paraId="00BCEDCA" w14:textId="77777777" w:rsidR="00B709A9" w:rsidRPr="00B709A9" w:rsidRDefault="00B709A9" w:rsidP="00B709A9">
      <w:pPr>
        <w:pStyle w:val="Texto"/>
        <w:ind w:firstLine="0"/>
        <w:jc w:val="center"/>
        <w:rPr>
          <w:rFonts w:ascii="Verdana" w:hAnsi="Verdana"/>
          <w:sz w:val="16"/>
          <w:szCs w:val="16"/>
          <w:lang w:val="en-US"/>
        </w:rPr>
      </w:pPr>
    </w:p>
    <w:p w14:paraId="6AFB1A06" w14:textId="77777777" w:rsidR="00B709A9" w:rsidRPr="00B709A9" w:rsidRDefault="00B709A9" w:rsidP="00B709A9">
      <w:pPr>
        <w:pStyle w:val="Texto"/>
        <w:ind w:firstLine="0"/>
        <w:jc w:val="center"/>
        <w:rPr>
          <w:rFonts w:ascii="Verdana" w:hAnsi="Verdana"/>
          <w:sz w:val="16"/>
          <w:szCs w:val="16"/>
          <w:lang w:val="en-US"/>
        </w:rPr>
      </w:pPr>
    </w:p>
    <w:p w14:paraId="3E224880" w14:textId="77777777" w:rsidR="00B709A9" w:rsidRPr="00B709A9" w:rsidRDefault="00B709A9" w:rsidP="00B709A9">
      <w:pPr>
        <w:pStyle w:val="Texto"/>
        <w:ind w:firstLine="0"/>
        <w:jc w:val="center"/>
        <w:rPr>
          <w:rFonts w:ascii="Verdana" w:hAnsi="Verdana"/>
          <w:sz w:val="16"/>
          <w:szCs w:val="16"/>
          <w:lang w:val="en-US"/>
        </w:rPr>
      </w:pPr>
    </w:p>
    <w:p w14:paraId="4444204E" w14:textId="77777777" w:rsidR="00B709A9" w:rsidRPr="00B709A9" w:rsidRDefault="00B709A9" w:rsidP="00B709A9">
      <w:pPr>
        <w:pStyle w:val="Texto"/>
        <w:ind w:firstLine="0"/>
        <w:jc w:val="center"/>
        <w:rPr>
          <w:rFonts w:ascii="Verdana" w:hAnsi="Verdana"/>
          <w:sz w:val="16"/>
          <w:szCs w:val="16"/>
          <w:lang w:val="en-US"/>
        </w:rPr>
      </w:pPr>
    </w:p>
    <w:p w14:paraId="049826F5" w14:textId="77777777" w:rsidR="00B709A9" w:rsidRPr="00B709A9" w:rsidRDefault="00B709A9" w:rsidP="00B709A9">
      <w:pPr>
        <w:pStyle w:val="Texto"/>
        <w:ind w:firstLine="0"/>
        <w:jc w:val="center"/>
        <w:rPr>
          <w:rFonts w:ascii="Verdana" w:hAnsi="Verdana"/>
          <w:sz w:val="16"/>
          <w:szCs w:val="16"/>
          <w:lang w:val="en-US"/>
        </w:rPr>
      </w:pPr>
    </w:p>
    <w:p w14:paraId="5C1B3794" w14:textId="77777777" w:rsidR="00B709A9" w:rsidRPr="00B709A9" w:rsidRDefault="00B709A9" w:rsidP="00B709A9">
      <w:pPr>
        <w:pStyle w:val="Texto"/>
        <w:ind w:firstLine="0"/>
        <w:jc w:val="center"/>
        <w:rPr>
          <w:rFonts w:ascii="Verdana" w:hAnsi="Verdana"/>
          <w:sz w:val="16"/>
          <w:szCs w:val="16"/>
          <w:lang w:val="en-US"/>
        </w:rPr>
      </w:pPr>
    </w:p>
    <w:p w14:paraId="1B3019E9" w14:textId="77777777" w:rsidR="00B709A9" w:rsidRPr="00B709A9" w:rsidRDefault="00B709A9" w:rsidP="00B709A9">
      <w:pPr>
        <w:pStyle w:val="Texto"/>
        <w:ind w:firstLine="0"/>
        <w:jc w:val="center"/>
        <w:rPr>
          <w:rFonts w:ascii="Verdana" w:hAnsi="Verdana"/>
          <w:sz w:val="16"/>
          <w:szCs w:val="16"/>
          <w:lang w:val="en-US"/>
        </w:rPr>
      </w:pPr>
    </w:p>
    <w:p w14:paraId="1F5EBDC3" w14:textId="77777777" w:rsidR="00B709A9" w:rsidRDefault="00B709A9" w:rsidP="00B709A9">
      <w:pPr>
        <w:pStyle w:val="Texto"/>
        <w:ind w:firstLine="0"/>
        <w:jc w:val="center"/>
        <w:rPr>
          <w:rFonts w:ascii="Verdana" w:hAnsi="Verdana"/>
          <w:sz w:val="16"/>
          <w:szCs w:val="16"/>
        </w:rPr>
      </w:pPr>
      <w:r>
        <w:rPr>
          <w:rFonts w:ascii="Verdana" w:hAnsi="Verdana"/>
          <w:sz w:val="16"/>
          <w:szCs w:val="16"/>
        </w:rPr>
        <w:t>FIGURA No. 1 – FIGURE NUMBER 1</w:t>
      </w:r>
    </w:p>
    <w:p w14:paraId="10A2AB93" w14:textId="56B091F8" w:rsidR="00B709A9" w:rsidRDefault="00B709A9" w:rsidP="00B709A9">
      <w:pPr>
        <w:pStyle w:val="Texto"/>
        <w:spacing w:line="240" w:lineRule="auto"/>
        <w:ind w:firstLine="0"/>
        <w:jc w:val="center"/>
        <w:rPr>
          <w:rFonts w:ascii="Verdana" w:hAnsi="Verdana"/>
          <w:sz w:val="16"/>
          <w:szCs w:val="16"/>
        </w:rPr>
      </w:pPr>
      <w:r>
        <w:rPr>
          <w:noProof/>
        </w:rPr>
        <w:drawing>
          <wp:inline distT="0" distB="0" distL="0" distR="0" wp14:anchorId="59F8E89B" wp14:editId="4471A415">
            <wp:extent cx="3474720" cy="3200400"/>
            <wp:effectExtent l="0" t="0" r="0" b="0"/>
            <wp:docPr id="2" name="Picture 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application, Wo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35277" t="30661" r="34438" b="19331"/>
                    <a:stretch>
                      <a:fillRect/>
                    </a:stretch>
                  </pic:blipFill>
                  <pic:spPr bwMode="auto">
                    <a:xfrm>
                      <a:off x="0" y="0"/>
                      <a:ext cx="3474720" cy="3200400"/>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B709A9" w14:paraId="5F4D7A67" w14:textId="77777777" w:rsidTr="00B709A9">
        <w:tc>
          <w:tcPr>
            <w:tcW w:w="4788" w:type="dxa"/>
            <w:hideMark/>
          </w:tcPr>
          <w:p w14:paraId="4B9CCFB0"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t>6.5.5</w:t>
            </w:r>
            <w:r>
              <w:rPr>
                <w:rFonts w:ascii="Verdana" w:hAnsi="Verdana"/>
                <w:sz w:val="16"/>
                <w:szCs w:val="16"/>
              </w:rPr>
              <w:t xml:space="preserve"> Informe de ensayo (prueba).</w:t>
            </w:r>
          </w:p>
        </w:tc>
        <w:tc>
          <w:tcPr>
            <w:tcW w:w="4788" w:type="dxa"/>
            <w:hideMark/>
          </w:tcPr>
          <w:p w14:paraId="59D86FFF"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6.5.5 </w:t>
            </w:r>
            <w:r>
              <w:rPr>
                <w:rFonts w:ascii="Verdana" w:hAnsi="Verdana"/>
                <w:sz w:val="16"/>
                <w:szCs w:val="16"/>
                <w:lang w:val="en-US"/>
              </w:rPr>
              <w:t>Report of the trial (test).</w:t>
            </w:r>
          </w:p>
        </w:tc>
      </w:tr>
      <w:tr w:rsidR="00B709A9" w14:paraId="4F2D5B07" w14:textId="77777777" w:rsidTr="00B709A9">
        <w:tc>
          <w:tcPr>
            <w:tcW w:w="4788" w:type="dxa"/>
            <w:hideMark/>
          </w:tcPr>
          <w:p w14:paraId="3A5DA96B" w14:textId="77777777" w:rsidR="00B709A9" w:rsidRDefault="00B709A9">
            <w:pPr>
              <w:pStyle w:val="Texto"/>
              <w:spacing w:after="80" w:line="230" w:lineRule="exact"/>
              <w:ind w:firstLine="0"/>
              <w:rPr>
                <w:rFonts w:ascii="Verdana" w:hAnsi="Verdana"/>
                <w:sz w:val="16"/>
                <w:szCs w:val="16"/>
              </w:rPr>
            </w:pPr>
            <w:r>
              <w:rPr>
                <w:rFonts w:ascii="Verdana" w:hAnsi="Verdana"/>
                <w:b/>
                <w:sz w:val="16"/>
                <w:szCs w:val="16"/>
              </w:rPr>
              <w:t>6.5.5.1</w:t>
            </w:r>
            <w:r>
              <w:rPr>
                <w:rFonts w:ascii="Verdana" w:hAnsi="Verdana"/>
                <w:sz w:val="16"/>
                <w:szCs w:val="16"/>
              </w:rPr>
              <w:t xml:space="preserve"> Se preparará un informe escrito de ensayo (prueba) que estará a la disposición de los usuarios de los envases y/o embalajes y en el que constarán, por lo menos, los datos siguientes:</w:t>
            </w:r>
          </w:p>
        </w:tc>
        <w:tc>
          <w:tcPr>
            <w:tcW w:w="4788" w:type="dxa"/>
            <w:hideMark/>
          </w:tcPr>
          <w:p w14:paraId="36394C35" w14:textId="77777777" w:rsidR="00B709A9" w:rsidRDefault="00B709A9">
            <w:pPr>
              <w:pStyle w:val="Texto"/>
              <w:spacing w:after="80" w:line="230" w:lineRule="exact"/>
              <w:ind w:firstLine="0"/>
              <w:rPr>
                <w:rFonts w:ascii="Verdana" w:hAnsi="Verdana"/>
                <w:b/>
                <w:sz w:val="16"/>
                <w:szCs w:val="16"/>
                <w:lang w:val="en-US"/>
              </w:rPr>
            </w:pPr>
            <w:r>
              <w:rPr>
                <w:rFonts w:ascii="Verdana" w:hAnsi="Verdana"/>
                <w:b/>
                <w:sz w:val="16"/>
                <w:szCs w:val="16"/>
                <w:lang w:val="en-US"/>
              </w:rPr>
              <w:t xml:space="preserve">6.5.5.1 </w:t>
            </w:r>
            <w:r>
              <w:rPr>
                <w:rFonts w:ascii="Verdana" w:hAnsi="Verdana"/>
                <w:sz w:val="16"/>
                <w:szCs w:val="16"/>
                <w:lang w:val="en-US"/>
              </w:rPr>
              <w:t>A written report of the trial (test) will be prepared that will be available to the users of the containers and/or packaging and which will contain, at least, the following data:</w:t>
            </w:r>
          </w:p>
        </w:tc>
      </w:tr>
      <w:tr w:rsidR="00B709A9" w14:paraId="60648E6C" w14:textId="77777777" w:rsidTr="00B709A9">
        <w:tc>
          <w:tcPr>
            <w:tcW w:w="4788" w:type="dxa"/>
            <w:hideMark/>
          </w:tcPr>
          <w:p w14:paraId="1A0A0A37"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1.</w:t>
            </w:r>
            <w:r>
              <w:rPr>
                <w:rFonts w:ascii="Verdana" w:hAnsi="Verdana"/>
                <w:b/>
                <w:sz w:val="16"/>
                <w:szCs w:val="16"/>
              </w:rPr>
              <w:tab/>
            </w:r>
            <w:r>
              <w:rPr>
                <w:rFonts w:ascii="Verdana" w:hAnsi="Verdana"/>
                <w:sz w:val="16"/>
                <w:szCs w:val="16"/>
              </w:rPr>
              <w:t>Nombre y dirección del establecimiento en que se efectuó el ensayo (prueba);</w:t>
            </w:r>
          </w:p>
        </w:tc>
        <w:tc>
          <w:tcPr>
            <w:tcW w:w="4788" w:type="dxa"/>
            <w:hideMark/>
          </w:tcPr>
          <w:p w14:paraId="0E369E53"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1. </w:t>
            </w:r>
            <w:r>
              <w:rPr>
                <w:rFonts w:ascii="Verdana" w:hAnsi="Verdana"/>
                <w:b/>
                <w:sz w:val="16"/>
                <w:szCs w:val="16"/>
                <w:lang w:val="en-US"/>
              </w:rPr>
              <w:tab/>
            </w:r>
            <w:r>
              <w:rPr>
                <w:rFonts w:ascii="Verdana" w:hAnsi="Verdana"/>
                <w:sz w:val="16"/>
                <w:szCs w:val="16"/>
                <w:lang w:val="en-US"/>
              </w:rPr>
              <w:t>Name and address of the establishment where the trial (test) was carried out;</w:t>
            </w:r>
          </w:p>
        </w:tc>
      </w:tr>
      <w:tr w:rsidR="00B709A9" w14:paraId="1270C0BA" w14:textId="77777777" w:rsidTr="00B709A9">
        <w:tc>
          <w:tcPr>
            <w:tcW w:w="4788" w:type="dxa"/>
            <w:hideMark/>
          </w:tcPr>
          <w:p w14:paraId="0CB8AEE3"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2.</w:t>
            </w:r>
            <w:r>
              <w:rPr>
                <w:rFonts w:ascii="Verdana" w:hAnsi="Verdana"/>
                <w:b/>
                <w:sz w:val="16"/>
                <w:szCs w:val="16"/>
              </w:rPr>
              <w:tab/>
            </w:r>
            <w:r>
              <w:rPr>
                <w:rFonts w:ascii="Verdana" w:hAnsi="Verdana"/>
                <w:sz w:val="16"/>
                <w:szCs w:val="16"/>
              </w:rPr>
              <w:t>Nombre y dirección del solicitante (cuando proceda);</w:t>
            </w:r>
          </w:p>
        </w:tc>
        <w:tc>
          <w:tcPr>
            <w:tcW w:w="4788" w:type="dxa"/>
            <w:hideMark/>
          </w:tcPr>
          <w:p w14:paraId="2419F24A"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2. </w:t>
            </w:r>
            <w:r>
              <w:rPr>
                <w:rFonts w:ascii="Verdana" w:hAnsi="Verdana"/>
                <w:b/>
                <w:sz w:val="16"/>
                <w:szCs w:val="16"/>
                <w:lang w:val="en-US"/>
              </w:rPr>
              <w:tab/>
            </w:r>
            <w:r>
              <w:rPr>
                <w:rFonts w:ascii="Verdana" w:hAnsi="Verdana"/>
                <w:sz w:val="16"/>
                <w:szCs w:val="16"/>
                <w:lang w:val="en-US"/>
              </w:rPr>
              <w:t>Applicant's name and address (where applicable);</w:t>
            </w:r>
          </w:p>
        </w:tc>
      </w:tr>
      <w:tr w:rsidR="00B709A9" w14:paraId="574C52DA" w14:textId="77777777" w:rsidTr="00B709A9">
        <w:tc>
          <w:tcPr>
            <w:tcW w:w="4788" w:type="dxa"/>
            <w:hideMark/>
          </w:tcPr>
          <w:p w14:paraId="0A9E49C2"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3.</w:t>
            </w:r>
            <w:r>
              <w:rPr>
                <w:rFonts w:ascii="Verdana" w:hAnsi="Verdana"/>
                <w:b/>
                <w:sz w:val="16"/>
                <w:szCs w:val="16"/>
              </w:rPr>
              <w:tab/>
            </w:r>
            <w:r>
              <w:rPr>
                <w:rFonts w:ascii="Verdana" w:hAnsi="Verdana"/>
                <w:sz w:val="16"/>
                <w:szCs w:val="16"/>
              </w:rPr>
              <w:t>Identificación única (referencia) del informe de ensayo (prueba);</w:t>
            </w:r>
          </w:p>
        </w:tc>
        <w:tc>
          <w:tcPr>
            <w:tcW w:w="4788" w:type="dxa"/>
            <w:hideMark/>
          </w:tcPr>
          <w:p w14:paraId="75805511"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3. </w:t>
            </w:r>
            <w:r>
              <w:rPr>
                <w:rFonts w:ascii="Verdana" w:hAnsi="Verdana"/>
                <w:b/>
                <w:sz w:val="16"/>
                <w:szCs w:val="16"/>
                <w:lang w:val="en-US"/>
              </w:rPr>
              <w:tab/>
            </w:r>
            <w:r>
              <w:rPr>
                <w:rFonts w:ascii="Verdana" w:hAnsi="Verdana"/>
                <w:sz w:val="16"/>
                <w:szCs w:val="16"/>
                <w:lang w:val="en-US"/>
              </w:rPr>
              <w:t>Unique identification (reference) of the Report of the trial (test).</w:t>
            </w:r>
          </w:p>
        </w:tc>
      </w:tr>
      <w:tr w:rsidR="00B709A9" w14:paraId="51D1A89B" w14:textId="77777777" w:rsidTr="00B709A9">
        <w:tc>
          <w:tcPr>
            <w:tcW w:w="4788" w:type="dxa"/>
            <w:hideMark/>
          </w:tcPr>
          <w:p w14:paraId="261361C5"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4.</w:t>
            </w:r>
            <w:r>
              <w:rPr>
                <w:rFonts w:ascii="Verdana" w:hAnsi="Verdana"/>
                <w:b/>
                <w:sz w:val="16"/>
                <w:szCs w:val="16"/>
              </w:rPr>
              <w:tab/>
            </w:r>
            <w:r>
              <w:rPr>
                <w:rFonts w:ascii="Verdana" w:hAnsi="Verdana"/>
                <w:sz w:val="16"/>
                <w:szCs w:val="16"/>
              </w:rPr>
              <w:t>Fecha del informe y del ensayo (prueba);</w:t>
            </w:r>
          </w:p>
        </w:tc>
        <w:tc>
          <w:tcPr>
            <w:tcW w:w="4788" w:type="dxa"/>
            <w:hideMark/>
          </w:tcPr>
          <w:p w14:paraId="509A7D9C"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4. </w:t>
            </w:r>
            <w:r>
              <w:rPr>
                <w:rFonts w:ascii="Verdana" w:hAnsi="Verdana"/>
                <w:b/>
                <w:sz w:val="16"/>
                <w:szCs w:val="16"/>
                <w:lang w:val="en-US"/>
              </w:rPr>
              <w:tab/>
            </w:r>
            <w:r>
              <w:rPr>
                <w:rFonts w:ascii="Verdana" w:hAnsi="Verdana"/>
                <w:sz w:val="16"/>
                <w:szCs w:val="16"/>
                <w:lang w:val="en-US"/>
              </w:rPr>
              <w:t>Date of the report and of the trial (test);</w:t>
            </w:r>
          </w:p>
        </w:tc>
      </w:tr>
      <w:tr w:rsidR="00B709A9" w14:paraId="00421307" w14:textId="77777777" w:rsidTr="00B709A9">
        <w:tc>
          <w:tcPr>
            <w:tcW w:w="4788" w:type="dxa"/>
            <w:hideMark/>
          </w:tcPr>
          <w:p w14:paraId="733E2177"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5.</w:t>
            </w:r>
            <w:r>
              <w:rPr>
                <w:rFonts w:ascii="Verdana" w:hAnsi="Verdana"/>
                <w:b/>
                <w:sz w:val="16"/>
                <w:szCs w:val="16"/>
              </w:rPr>
              <w:tab/>
            </w:r>
            <w:r>
              <w:rPr>
                <w:rFonts w:ascii="Verdana" w:hAnsi="Verdana"/>
                <w:sz w:val="16"/>
                <w:szCs w:val="16"/>
              </w:rPr>
              <w:t>Constructor (Fabricante) del envase y/o embalaje;</w:t>
            </w:r>
          </w:p>
        </w:tc>
        <w:tc>
          <w:tcPr>
            <w:tcW w:w="4788" w:type="dxa"/>
            <w:hideMark/>
          </w:tcPr>
          <w:p w14:paraId="3196C64C"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5. </w:t>
            </w:r>
            <w:r>
              <w:rPr>
                <w:rFonts w:ascii="Verdana" w:hAnsi="Verdana"/>
                <w:b/>
                <w:sz w:val="16"/>
                <w:szCs w:val="16"/>
                <w:lang w:val="en-US"/>
              </w:rPr>
              <w:tab/>
            </w:r>
            <w:r>
              <w:rPr>
                <w:rFonts w:ascii="Verdana" w:hAnsi="Verdana"/>
                <w:sz w:val="16"/>
                <w:szCs w:val="16"/>
                <w:lang w:val="en-US"/>
              </w:rPr>
              <w:t>Fabricator (Manufacturer) of the container and/or packaging;</w:t>
            </w:r>
          </w:p>
        </w:tc>
      </w:tr>
      <w:tr w:rsidR="00B709A9" w14:paraId="0A04D91F" w14:textId="77777777" w:rsidTr="00B709A9">
        <w:tc>
          <w:tcPr>
            <w:tcW w:w="4788" w:type="dxa"/>
            <w:hideMark/>
          </w:tcPr>
          <w:p w14:paraId="01E0969D"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6.</w:t>
            </w:r>
            <w:r>
              <w:rPr>
                <w:rFonts w:ascii="Verdana" w:hAnsi="Verdana"/>
                <w:b/>
                <w:sz w:val="16"/>
                <w:szCs w:val="16"/>
              </w:rPr>
              <w:tab/>
            </w:r>
            <w:r>
              <w:rPr>
                <w:rFonts w:ascii="Verdana" w:hAnsi="Verdana"/>
                <w:sz w:val="16"/>
                <w:szCs w:val="16"/>
              </w:rPr>
              <w:t>Descripción del modelo tipo de envase y/o embalaje (dimensiones, materiales, cierres, espesor, etc.), incluido el método de fabricación (moldeo por soplado), puede incluirse uno o más dibujos y/o fotografías;</w:t>
            </w:r>
          </w:p>
        </w:tc>
        <w:tc>
          <w:tcPr>
            <w:tcW w:w="4788" w:type="dxa"/>
            <w:hideMark/>
          </w:tcPr>
          <w:p w14:paraId="1FFEB8D0"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6. </w:t>
            </w:r>
            <w:r>
              <w:rPr>
                <w:rFonts w:ascii="Verdana" w:hAnsi="Verdana"/>
                <w:b/>
                <w:sz w:val="16"/>
                <w:szCs w:val="16"/>
                <w:lang w:val="en-US"/>
              </w:rPr>
              <w:tab/>
            </w:r>
            <w:r>
              <w:rPr>
                <w:rFonts w:ascii="Verdana" w:hAnsi="Verdana"/>
                <w:sz w:val="16"/>
                <w:szCs w:val="16"/>
                <w:lang w:val="en-US"/>
              </w:rPr>
              <w:t>Description of the model type of container and/or packaging (dimensions, materials, closures, thickness, etc.), including the manufacturing method (blow molding), one or more drawings and/or photographs may be included;</w:t>
            </w:r>
          </w:p>
        </w:tc>
      </w:tr>
      <w:tr w:rsidR="00B709A9" w14:paraId="681371DE" w14:textId="77777777" w:rsidTr="00B709A9">
        <w:tc>
          <w:tcPr>
            <w:tcW w:w="4788" w:type="dxa"/>
            <w:hideMark/>
          </w:tcPr>
          <w:p w14:paraId="770A3E7B"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7.</w:t>
            </w:r>
            <w:r>
              <w:rPr>
                <w:rFonts w:ascii="Verdana" w:hAnsi="Verdana"/>
                <w:b/>
                <w:sz w:val="16"/>
                <w:szCs w:val="16"/>
              </w:rPr>
              <w:tab/>
            </w:r>
            <w:r>
              <w:rPr>
                <w:rFonts w:ascii="Verdana" w:hAnsi="Verdana"/>
                <w:sz w:val="16"/>
                <w:szCs w:val="16"/>
              </w:rPr>
              <w:t>Capacidad máxima;</w:t>
            </w:r>
          </w:p>
        </w:tc>
        <w:tc>
          <w:tcPr>
            <w:tcW w:w="4788" w:type="dxa"/>
            <w:hideMark/>
          </w:tcPr>
          <w:p w14:paraId="5F0BF06D"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7. </w:t>
            </w:r>
            <w:r>
              <w:rPr>
                <w:rFonts w:ascii="Verdana" w:hAnsi="Verdana"/>
                <w:b/>
                <w:sz w:val="16"/>
                <w:szCs w:val="16"/>
                <w:lang w:val="en-US"/>
              </w:rPr>
              <w:tab/>
            </w:r>
            <w:r>
              <w:rPr>
                <w:rFonts w:ascii="Verdana" w:hAnsi="Verdana"/>
                <w:sz w:val="16"/>
                <w:szCs w:val="16"/>
                <w:lang w:val="en-US"/>
              </w:rPr>
              <w:t>Maximum capacity;</w:t>
            </w:r>
          </w:p>
        </w:tc>
      </w:tr>
      <w:tr w:rsidR="00B709A9" w14:paraId="15C2AAAC" w14:textId="77777777" w:rsidTr="00B709A9">
        <w:tc>
          <w:tcPr>
            <w:tcW w:w="4788" w:type="dxa"/>
            <w:hideMark/>
          </w:tcPr>
          <w:p w14:paraId="4D043D8B"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8.</w:t>
            </w:r>
            <w:r>
              <w:rPr>
                <w:rFonts w:ascii="Verdana" w:hAnsi="Verdana"/>
                <w:b/>
                <w:sz w:val="16"/>
                <w:szCs w:val="16"/>
              </w:rPr>
              <w:tab/>
            </w:r>
            <w:r>
              <w:rPr>
                <w:rFonts w:ascii="Verdana" w:hAnsi="Verdana"/>
                <w:sz w:val="16"/>
                <w:szCs w:val="16"/>
              </w:rPr>
              <w:t>Contenido del ensayo (prueba);</w:t>
            </w:r>
          </w:p>
        </w:tc>
        <w:tc>
          <w:tcPr>
            <w:tcW w:w="4788" w:type="dxa"/>
            <w:hideMark/>
          </w:tcPr>
          <w:p w14:paraId="36B9ECEA"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8. </w:t>
            </w:r>
            <w:r>
              <w:rPr>
                <w:rFonts w:ascii="Verdana" w:hAnsi="Verdana"/>
                <w:b/>
                <w:sz w:val="16"/>
                <w:szCs w:val="16"/>
                <w:lang w:val="en-US"/>
              </w:rPr>
              <w:tab/>
            </w:r>
            <w:r>
              <w:rPr>
                <w:rFonts w:ascii="Verdana" w:hAnsi="Verdana"/>
                <w:bCs/>
                <w:sz w:val="16"/>
                <w:szCs w:val="16"/>
                <w:lang w:val="en-US"/>
              </w:rPr>
              <w:t>Content of the trial (test);</w:t>
            </w:r>
          </w:p>
        </w:tc>
      </w:tr>
      <w:tr w:rsidR="00B709A9" w14:paraId="2E63002E" w14:textId="77777777" w:rsidTr="00B709A9">
        <w:tc>
          <w:tcPr>
            <w:tcW w:w="4788" w:type="dxa"/>
            <w:hideMark/>
          </w:tcPr>
          <w:p w14:paraId="681A3DE8" w14:textId="77777777" w:rsidR="00B709A9" w:rsidRDefault="00B709A9">
            <w:pPr>
              <w:pStyle w:val="ROMANOS"/>
              <w:spacing w:after="90" w:line="230" w:lineRule="exact"/>
              <w:ind w:left="0" w:firstLine="0"/>
              <w:rPr>
                <w:rFonts w:ascii="Verdana" w:hAnsi="Verdana"/>
                <w:sz w:val="16"/>
                <w:szCs w:val="16"/>
              </w:rPr>
            </w:pPr>
            <w:r>
              <w:rPr>
                <w:rFonts w:ascii="Verdana" w:hAnsi="Verdana"/>
                <w:b/>
                <w:sz w:val="16"/>
                <w:szCs w:val="16"/>
              </w:rPr>
              <w:t>9.</w:t>
            </w:r>
            <w:r>
              <w:rPr>
                <w:rFonts w:ascii="Verdana" w:hAnsi="Verdana"/>
                <w:b/>
                <w:sz w:val="16"/>
                <w:szCs w:val="16"/>
              </w:rPr>
              <w:tab/>
            </w:r>
            <w:r>
              <w:rPr>
                <w:rFonts w:ascii="Verdana" w:hAnsi="Verdana"/>
                <w:sz w:val="16"/>
                <w:szCs w:val="16"/>
              </w:rPr>
              <w:t>Descripción y resultados del ensayo (prueba);</w:t>
            </w:r>
          </w:p>
        </w:tc>
        <w:tc>
          <w:tcPr>
            <w:tcW w:w="4788" w:type="dxa"/>
            <w:hideMark/>
          </w:tcPr>
          <w:p w14:paraId="51C5DAAD" w14:textId="77777777" w:rsidR="00B709A9" w:rsidRDefault="00B709A9">
            <w:pPr>
              <w:pStyle w:val="ROMANOS"/>
              <w:spacing w:after="90" w:line="230" w:lineRule="exact"/>
              <w:ind w:left="0" w:firstLine="0"/>
              <w:rPr>
                <w:rFonts w:ascii="Verdana" w:hAnsi="Verdana"/>
                <w:b/>
                <w:sz w:val="16"/>
                <w:szCs w:val="16"/>
                <w:lang w:val="en-US"/>
              </w:rPr>
            </w:pPr>
            <w:r>
              <w:rPr>
                <w:rFonts w:ascii="Verdana" w:hAnsi="Verdana"/>
                <w:b/>
                <w:sz w:val="16"/>
                <w:szCs w:val="16"/>
                <w:lang w:val="en-US"/>
              </w:rPr>
              <w:t xml:space="preserve">9. </w:t>
            </w:r>
            <w:r>
              <w:rPr>
                <w:rFonts w:ascii="Verdana" w:hAnsi="Verdana"/>
                <w:b/>
                <w:sz w:val="16"/>
                <w:szCs w:val="16"/>
                <w:lang w:val="en-US"/>
              </w:rPr>
              <w:tab/>
            </w:r>
            <w:r>
              <w:rPr>
                <w:rFonts w:ascii="Verdana" w:hAnsi="Verdana"/>
                <w:sz w:val="16"/>
                <w:szCs w:val="16"/>
                <w:lang w:val="en-US"/>
              </w:rPr>
              <w:t>Description and results of the trial (test);</w:t>
            </w:r>
          </w:p>
        </w:tc>
      </w:tr>
      <w:tr w:rsidR="00B709A9" w14:paraId="1344EB51" w14:textId="77777777" w:rsidTr="00B709A9">
        <w:tc>
          <w:tcPr>
            <w:tcW w:w="4788" w:type="dxa"/>
            <w:hideMark/>
          </w:tcPr>
          <w:p w14:paraId="270ABCAE" w14:textId="77777777" w:rsidR="00B709A9" w:rsidRDefault="00B709A9">
            <w:pPr>
              <w:pStyle w:val="ROMANOS"/>
              <w:spacing w:line="230" w:lineRule="exact"/>
              <w:ind w:left="0" w:firstLine="0"/>
              <w:rPr>
                <w:rFonts w:ascii="Verdana" w:hAnsi="Verdana"/>
                <w:sz w:val="16"/>
                <w:szCs w:val="16"/>
              </w:rPr>
            </w:pPr>
            <w:r>
              <w:rPr>
                <w:rFonts w:ascii="Verdana" w:hAnsi="Verdana"/>
                <w:b/>
                <w:sz w:val="16"/>
                <w:szCs w:val="16"/>
              </w:rPr>
              <w:t>10.</w:t>
            </w:r>
            <w:r>
              <w:rPr>
                <w:rFonts w:ascii="Verdana" w:hAnsi="Verdana"/>
                <w:b/>
                <w:sz w:val="16"/>
                <w:szCs w:val="16"/>
              </w:rPr>
              <w:tab/>
            </w:r>
            <w:r>
              <w:rPr>
                <w:rFonts w:ascii="Verdana" w:hAnsi="Verdana"/>
                <w:sz w:val="16"/>
                <w:szCs w:val="16"/>
              </w:rPr>
              <w:t>El informe de ensayo (prueba) estará firmado con el nombre y cargo del firmante.</w:t>
            </w:r>
          </w:p>
        </w:tc>
        <w:tc>
          <w:tcPr>
            <w:tcW w:w="4788" w:type="dxa"/>
            <w:hideMark/>
          </w:tcPr>
          <w:p w14:paraId="61F51C20" w14:textId="77777777" w:rsidR="00B709A9" w:rsidRDefault="00B709A9">
            <w:pPr>
              <w:pStyle w:val="ROMANOS"/>
              <w:spacing w:line="230" w:lineRule="exact"/>
              <w:ind w:left="0" w:firstLine="0"/>
              <w:rPr>
                <w:rFonts w:ascii="Verdana" w:hAnsi="Verdana"/>
                <w:b/>
                <w:sz w:val="16"/>
                <w:szCs w:val="16"/>
                <w:lang w:val="en-US"/>
              </w:rPr>
            </w:pPr>
            <w:r>
              <w:rPr>
                <w:rFonts w:ascii="Verdana" w:hAnsi="Verdana"/>
                <w:b/>
                <w:sz w:val="16"/>
                <w:szCs w:val="16"/>
                <w:lang w:val="en-US"/>
              </w:rPr>
              <w:t xml:space="preserve">10. </w:t>
            </w:r>
            <w:r>
              <w:rPr>
                <w:rFonts w:ascii="Verdana" w:hAnsi="Verdana"/>
                <w:b/>
                <w:sz w:val="16"/>
                <w:szCs w:val="16"/>
                <w:lang w:val="en-US"/>
              </w:rPr>
              <w:tab/>
            </w:r>
            <w:r>
              <w:rPr>
                <w:rFonts w:ascii="Verdana" w:hAnsi="Verdana"/>
                <w:sz w:val="16"/>
                <w:szCs w:val="16"/>
                <w:lang w:val="en-US"/>
              </w:rPr>
              <w:t>The Report of the trial (test) will be signed with the name and position of the signer.</w:t>
            </w:r>
          </w:p>
        </w:tc>
      </w:tr>
      <w:tr w:rsidR="00B709A9" w14:paraId="251760E1" w14:textId="77777777" w:rsidTr="00B709A9">
        <w:tc>
          <w:tcPr>
            <w:tcW w:w="4788" w:type="dxa"/>
            <w:hideMark/>
          </w:tcPr>
          <w:p w14:paraId="56044749" w14:textId="77777777" w:rsidR="00B709A9" w:rsidRDefault="00B709A9">
            <w:pPr>
              <w:pStyle w:val="Texto"/>
              <w:spacing w:line="230" w:lineRule="exact"/>
              <w:ind w:firstLine="0"/>
              <w:rPr>
                <w:rFonts w:ascii="Verdana" w:hAnsi="Verdana"/>
                <w:sz w:val="16"/>
                <w:szCs w:val="16"/>
              </w:rPr>
            </w:pPr>
            <w:r>
              <w:rPr>
                <w:rFonts w:ascii="Verdana" w:hAnsi="Verdana"/>
                <w:b/>
                <w:sz w:val="16"/>
                <w:szCs w:val="16"/>
              </w:rPr>
              <w:lastRenderedPageBreak/>
              <w:t>6.5.5.2</w:t>
            </w:r>
            <w:r>
              <w:rPr>
                <w:rFonts w:ascii="Verdana" w:hAnsi="Verdana"/>
                <w:sz w:val="16"/>
                <w:szCs w:val="16"/>
              </w:rPr>
              <w:t xml:space="preserve"> En el informe de ensayo (prueba) se declarará que el envase y/o embalaje preparado en la forma en que se presenta para el transporte, fue sometido a ensayo (prueba) de conformidad con las especificaciones de esta Norma Oficial Mexicana, indicando además que la utilización de otros métodos o elementos de envasado y/o embalado pueden invalidar dicho informe. Se facilitará un ejemplar del informe de ensayo (prueba) a la autoridad competente.</w:t>
            </w:r>
          </w:p>
        </w:tc>
        <w:tc>
          <w:tcPr>
            <w:tcW w:w="4788" w:type="dxa"/>
            <w:hideMark/>
          </w:tcPr>
          <w:p w14:paraId="7D2F9295" w14:textId="77777777" w:rsidR="00B709A9" w:rsidRDefault="00B709A9">
            <w:pPr>
              <w:pStyle w:val="Texto"/>
              <w:spacing w:line="230" w:lineRule="exact"/>
              <w:ind w:firstLine="0"/>
              <w:rPr>
                <w:rFonts w:ascii="Verdana" w:hAnsi="Verdana"/>
                <w:b/>
                <w:sz w:val="16"/>
                <w:szCs w:val="16"/>
                <w:lang w:val="en-US"/>
              </w:rPr>
            </w:pPr>
            <w:r>
              <w:rPr>
                <w:rFonts w:ascii="Verdana" w:hAnsi="Verdana"/>
                <w:b/>
                <w:sz w:val="16"/>
                <w:szCs w:val="16"/>
                <w:lang w:val="en-US"/>
              </w:rPr>
              <w:t xml:space="preserve">6.5.5.2 </w:t>
            </w:r>
            <w:r>
              <w:rPr>
                <w:rFonts w:ascii="Verdana" w:hAnsi="Verdana"/>
                <w:sz w:val="16"/>
                <w:szCs w:val="16"/>
                <w:lang w:val="en-US"/>
              </w:rPr>
              <w:t>In the Report of the trial (test), it will be declared that the container and/or packaging prepared in the form in which it is presented for transport, was subjected to the trial (test) in accordance with the specifications of this Official Mexican Standard, also indicating that the use of other packaging and/or packaging methods or elements may invalidate said report. A copy of the trial (test) report shall be provided to the appropriate authority.</w:t>
            </w:r>
          </w:p>
        </w:tc>
      </w:tr>
      <w:tr w:rsidR="00B709A9" w14:paraId="6BCC8C0B" w14:textId="77777777" w:rsidTr="00B709A9">
        <w:tc>
          <w:tcPr>
            <w:tcW w:w="4788" w:type="dxa"/>
            <w:hideMark/>
          </w:tcPr>
          <w:p w14:paraId="0CEC703B" w14:textId="77777777" w:rsidR="00B709A9" w:rsidRDefault="00B709A9">
            <w:pPr>
              <w:pStyle w:val="Texto"/>
              <w:spacing w:line="232" w:lineRule="exact"/>
              <w:ind w:firstLine="0"/>
              <w:rPr>
                <w:rFonts w:ascii="Verdana" w:hAnsi="Verdana"/>
                <w:b/>
                <w:sz w:val="16"/>
                <w:szCs w:val="16"/>
              </w:rPr>
            </w:pPr>
            <w:r>
              <w:rPr>
                <w:rFonts w:ascii="Verdana" w:hAnsi="Verdana"/>
                <w:b/>
                <w:sz w:val="16"/>
                <w:szCs w:val="16"/>
              </w:rPr>
              <w:t>7.- Evaluación de la conformidad</w:t>
            </w:r>
          </w:p>
        </w:tc>
        <w:tc>
          <w:tcPr>
            <w:tcW w:w="4788" w:type="dxa"/>
            <w:hideMark/>
          </w:tcPr>
          <w:p w14:paraId="659A4EC3"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7.- Evaluation of conformity</w:t>
            </w:r>
          </w:p>
        </w:tc>
      </w:tr>
      <w:tr w:rsidR="00B709A9" w14:paraId="2716D673" w14:textId="77777777" w:rsidTr="00B709A9">
        <w:tc>
          <w:tcPr>
            <w:tcW w:w="4788" w:type="dxa"/>
            <w:hideMark/>
          </w:tcPr>
          <w:p w14:paraId="21256FD8" w14:textId="77777777" w:rsidR="00B709A9" w:rsidRDefault="00B709A9">
            <w:pPr>
              <w:pStyle w:val="Texto"/>
              <w:spacing w:line="232" w:lineRule="exact"/>
              <w:ind w:firstLine="0"/>
              <w:rPr>
                <w:rFonts w:ascii="Verdana" w:hAnsi="Verdana"/>
                <w:sz w:val="16"/>
                <w:szCs w:val="16"/>
              </w:rPr>
            </w:pPr>
            <w:r>
              <w:rPr>
                <w:rFonts w:ascii="Verdana" w:hAnsi="Verdana"/>
                <w:sz w:val="16"/>
                <w:szCs w:val="16"/>
              </w:rPr>
              <w:t>La Evaluación de la Conformidad observará los siguientes lineamientos generales:</w:t>
            </w:r>
          </w:p>
        </w:tc>
        <w:tc>
          <w:tcPr>
            <w:tcW w:w="4788" w:type="dxa"/>
            <w:hideMark/>
          </w:tcPr>
          <w:p w14:paraId="34407009" w14:textId="77777777" w:rsidR="00B709A9" w:rsidRDefault="00B709A9">
            <w:pPr>
              <w:pStyle w:val="Texto"/>
              <w:spacing w:line="232" w:lineRule="exact"/>
              <w:ind w:firstLine="0"/>
              <w:rPr>
                <w:rFonts w:ascii="Verdana" w:hAnsi="Verdana"/>
                <w:sz w:val="16"/>
                <w:szCs w:val="16"/>
                <w:lang w:val="en-US"/>
              </w:rPr>
            </w:pPr>
            <w:r>
              <w:rPr>
                <w:rFonts w:ascii="Verdana" w:hAnsi="Verdana"/>
                <w:sz w:val="16"/>
                <w:szCs w:val="16"/>
                <w:lang w:val="en-US"/>
              </w:rPr>
              <w:t>The Evaluation of conformity will observe the following general guidelines:</w:t>
            </w:r>
          </w:p>
        </w:tc>
      </w:tr>
      <w:tr w:rsidR="00B709A9" w14:paraId="4DC098E1" w14:textId="77777777" w:rsidTr="00B709A9">
        <w:tc>
          <w:tcPr>
            <w:tcW w:w="4788" w:type="dxa"/>
            <w:hideMark/>
          </w:tcPr>
          <w:p w14:paraId="322DB0B3"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7.1</w:t>
            </w:r>
            <w:r>
              <w:rPr>
                <w:rFonts w:ascii="Verdana" w:hAnsi="Verdana"/>
                <w:sz w:val="16"/>
                <w:szCs w:val="16"/>
              </w:rPr>
              <w:t xml:space="preserve"> Todo envase y embalaje destinado a contener y transportar materiales y residuos peligrosos de la clase 6.2, agentes infecciosos, deberá ostentar, estampado las marcas UN que garantice haber superado los ensayos (pruebas) de integridad, conforme a lo establecido en la presente Norma.</w:t>
            </w:r>
          </w:p>
        </w:tc>
        <w:tc>
          <w:tcPr>
            <w:tcW w:w="4788" w:type="dxa"/>
            <w:hideMark/>
          </w:tcPr>
          <w:p w14:paraId="1DE0A257"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7.1 </w:t>
            </w:r>
            <w:r>
              <w:rPr>
                <w:rFonts w:ascii="Verdana" w:hAnsi="Verdana"/>
                <w:sz w:val="16"/>
                <w:szCs w:val="16"/>
                <w:lang w:val="en-US"/>
              </w:rPr>
              <w:t>All containers and packaging intended to contain and transport hazardous materials and wastes of class 6.2, infectious agents, must exhibit, stamped with the UN marks that guarantee having passed the trials (tests) of integrity, in accordance with the provisions of this Standard.</w:t>
            </w:r>
          </w:p>
        </w:tc>
      </w:tr>
      <w:tr w:rsidR="00B709A9" w14:paraId="226F1BF4" w14:textId="77777777" w:rsidTr="00B709A9">
        <w:tc>
          <w:tcPr>
            <w:tcW w:w="4788" w:type="dxa"/>
            <w:hideMark/>
          </w:tcPr>
          <w:p w14:paraId="70B5CF32"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7.2</w:t>
            </w:r>
            <w:r>
              <w:rPr>
                <w:rFonts w:ascii="Verdana" w:hAnsi="Verdana"/>
                <w:sz w:val="16"/>
                <w:szCs w:val="16"/>
              </w:rPr>
              <w:t xml:space="preserve"> La evaluación de la conformidad de la presente Norma será realizada por Unidades de Verificación y Laboratorios de Prueba acreditados y aprobados, o por la Secretaría de Comunicaciones y Transportes a través de la Dirección General de Autotransporte Federal.</w:t>
            </w:r>
          </w:p>
        </w:tc>
        <w:tc>
          <w:tcPr>
            <w:tcW w:w="4788" w:type="dxa"/>
            <w:hideMark/>
          </w:tcPr>
          <w:p w14:paraId="09DA9ABE"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7.2 </w:t>
            </w:r>
            <w:r>
              <w:rPr>
                <w:rFonts w:ascii="Verdana" w:hAnsi="Verdana"/>
                <w:sz w:val="16"/>
                <w:szCs w:val="16"/>
                <w:lang w:val="en-US"/>
              </w:rPr>
              <w:t>The evaluation of the conformity of this Standard will be carried out by Units of Verification and Accredited and Approved Testing Laboratories, or by the Secretary of Communications and Transportation through the General Directorate of Federal Motor Transport.</w:t>
            </w:r>
          </w:p>
        </w:tc>
      </w:tr>
      <w:tr w:rsidR="00B709A9" w14:paraId="058A2D36" w14:textId="77777777" w:rsidTr="00B709A9">
        <w:tc>
          <w:tcPr>
            <w:tcW w:w="4788" w:type="dxa"/>
            <w:hideMark/>
          </w:tcPr>
          <w:p w14:paraId="1B902A92"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7.3</w:t>
            </w:r>
            <w:r>
              <w:rPr>
                <w:rFonts w:ascii="Verdana" w:hAnsi="Verdana"/>
                <w:sz w:val="16"/>
                <w:szCs w:val="16"/>
              </w:rPr>
              <w:t xml:space="preserve"> Las instancias interesadas para fungir como Unidades de Verificación o Laboratorios de Prueba deberán contar con la acreditación en los términos de la Ley Federal sobre Metrología y Normalización y su Reglamento.</w:t>
            </w:r>
          </w:p>
        </w:tc>
        <w:tc>
          <w:tcPr>
            <w:tcW w:w="4788" w:type="dxa"/>
            <w:hideMark/>
          </w:tcPr>
          <w:p w14:paraId="04BDEF18"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7.3 </w:t>
            </w:r>
            <w:r>
              <w:rPr>
                <w:rFonts w:ascii="Verdana" w:hAnsi="Verdana"/>
                <w:sz w:val="16"/>
                <w:szCs w:val="16"/>
                <w:lang w:val="en-US"/>
              </w:rPr>
              <w:t>The entities interested in acting as Units of Verification or Testing Laboratories must have accreditation under the terms of the Federal Law on Metrology and Standardization and its Regulation.</w:t>
            </w:r>
          </w:p>
        </w:tc>
      </w:tr>
      <w:tr w:rsidR="00B709A9" w14:paraId="51337D7E" w14:textId="77777777" w:rsidTr="00B709A9">
        <w:tc>
          <w:tcPr>
            <w:tcW w:w="4788" w:type="dxa"/>
            <w:hideMark/>
          </w:tcPr>
          <w:p w14:paraId="20F51AA7"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7.4</w:t>
            </w:r>
            <w:r>
              <w:rPr>
                <w:rFonts w:ascii="Verdana" w:hAnsi="Verdana"/>
                <w:sz w:val="16"/>
                <w:szCs w:val="16"/>
              </w:rPr>
              <w:t xml:space="preserve"> Los requisitos para acreditación de Unidades de Verificación y Laboratorios de Prueba, se apegarán a los lineamientos de la Entidad de Acreditación respectiva.</w:t>
            </w:r>
          </w:p>
        </w:tc>
        <w:tc>
          <w:tcPr>
            <w:tcW w:w="4788" w:type="dxa"/>
            <w:hideMark/>
          </w:tcPr>
          <w:p w14:paraId="760C4EAF"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7.4 </w:t>
            </w:r>
            <w:r>
              <w:rPr>
                <w:rFonts w:ascii="Verdana" w:hAnsi="Verdana"/>
                <w:sz w:val="16"/>
                <w:szCs w:val="16"/>
                <w:lang w:val="en-US"/>
              </w:rPr>
              <w:t>The requirements for the accreditation of Units of Verification and Testing Laboratories will adhere to the guidelines of the respective Accreditation Entity.</w:t>
            </w:r>
          </w:p>
        </w:tc>
      </w:tr>
      <w:tr w:rsidR="00B709A9" w14:paraId="53117AE7" w14:textId="77777777" w:rsidTr="00B709A9">
        <w:tc>
          <w:tcPr>
            <w:tcW w:w="4788" w:type="dxa"/>
            <w:hideMark/>
          </w:tcPr>
          <w:p w14:paraId="3F623698"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7.5</w:t>
            </w:r>
            <w:r>
              <w:rPr>
                <w:rFonts w:ascii="Verdana" w:hAnsi="Verdana"/>
                <w:sz w:val="16"/>
                <w:szCs w:val="16"/>
              </w:rPr>
              <w:t xml:space="preserve"> Los requisitos para aprobación de Unidades de Verificación y Laboratorios de Prueba, se incluirán en la Convocatoria que emitirá la Secretaría de Comunicaciones y Transportes, de conformidad a lo establecido en la Ley Federal sobre Metrología y Normalización.</w:t>
            </w:r>
          </w:p>
        </w:tc>
        <w:tc>
          <w:tcPr>
            <w:tcW w:w="4788" w:type="dxa"/>
            <w:hideMark/>
          </w:tcPr>
          <w:p w14:paraId="35D54DAB"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7.5 </w:t>
            </w:r>
            <w:r>
              <w:rPr>
                <w:rFonts w:ascii="Verdana" w:hAnsi="Verdana"/>
                <w:sz w:val="16"/>
                <w:szCs w:val="16"/>
                <w:lang w:val="en-US"/>
              </w:rPr>
              <w:t>The requirements for approval of Units of Verification and Testing Laboratories will be included in the Call issued by the Secretary of Communications and Transportation, in accordance with the provisions of the Federal Law on Metrology and Standardization.</w:t>
            </w:r>
          </w:p>
        </w:tc>
      </w:tr>
      <w:tr w:rsidR="00B709A9" w14:paraId="3DAFDFE6" w14:textId="77777777" w:rsidTr="00B709A9">
        <w:tc>
          <w:tcPr>
            <w:tcW w:w="4788" w:type="dxa"/>
            <w:hideMark/>
          </w:tcPr>
          <w:p w14:paraId="60A4CB54"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7.6</w:t>
            </w:r>
            <w:r>
              <w:rPr>
                <w:rFonts w:ascii="Verdana" w:hAnsi="Verdana"/>
                <w:sz w:val="16"/>
                <w:szCs w:val="16"/>
              </w:rPr>
              <w:t xml:space="preserve"> La verificación del grado de cumplimiento de la NOM será realizada en planta (expedidores y fabricantes), a través de Unidades de Verificación que constatarán:</w:t>
            </w:r>
          </w:p>
        </w:tc>
        <w:tc>
          <w:tcPr>
            <w:tcW w:w="4788" w:type="dxa"/>
            <w:hideMark/>
          </w:tcPr>
          <w:p w14:paraId="2D19466F"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7.6 </w:t>
            </w:r>
            <w:r>
              <w:rPr>
                <w:rFonts w:ascii="Verdana" w:hAnsi="Verdana"/>
                <w:sz w:val="16"/>
                <w:szCs w:val="16"/>
                <w:lang w:val="en-US"/>
              </w:rPr>
              <w:t>Verification of the degree of compliance with the NOM will be carried out at the plant (shippers and manufacturers), through Units of Verification that will verify:</w:t>
            </w:r>
          </w:p>
        </w:tc>
      </w:tr>
      <w:tr w:rsidR="00B709A9" w14:paraId="2E54B2A5" w14:textId="77777777" w:rsidTr="00B709A9">
        <w:tc>
          <w:tcPr>
            <w:tcW w:w="4788" w:type="dxa"/>
            <w:hideMark/>
          </w:tcPr>
          <w:p w14:paraId="1F2D50A6" w14:textId="77777777" w:rsidR="00B709A9" w:rsidRDefault="00B709A9">
            <w:pPr>
              <w:pStyle w:val="Texto"/>
              <w:spacing w:line="232" w:lineRule="exact"/>
              <w:ind w:firstLine="0"/>
              <w:rPr>
                <w:rFonts w:ascii="Verdana" w:hAnsi="Verdana"/>
                <w:sz w:val="16"/>
                <w:szCs w:val="16"/>
                <w:lang w:val="es-MX"/>
              </w:rPr>
            </w:pPr>
            <w:r>
              <w:rPr>
                <w:rFonts w:ascii="Verdana" w:hAnsi="Verdana"/>
                <w:b/>
                <w:sz w:val="16"/>
                <w:szCs w:val="16"/>
              </w:rPr>
              <w:t>7.6.1</w:t>
            </w:r>
            <w:r>
              <w:rPr>
                <w:rFonts w:ascii="Verdana" w:hAnsi="Verdana"/>
                <w:sz w:val="16"/>
                <w:szCs w:val="16"/>
              </w:rPr>
              <w:t xml:space="preserve"> El marcado de los envases y embalajes, que corresponda al otorgado por la</w:t>
            </w:r>
            <w:r>
              <w:rPr>
                <w:rFonts w:ascii="Verdana" w:hAnsi="Verdana"/>
                <w:sz w:val="16"/>
                <w:szCs w:val="16"/>
                <w:lang w:val="es-MX"/>
              </w:rPr>
              <w:t xml:space="preserve"> Secretaría de Comunicaciones y Transportes a través de la Dirección General de Autotransporte Federal.</w:t>
            </w:r>
          </w:p>
        </w:tc>
        <w:tc>
          <w:tcPr>
            <w:tcW w:w="4788" w:type="dxa"/>
            <w:hideMark/>
          </w:tcPr>
          <w:p w14:paraId="287BBED5"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7.6.1 </w:t>
            </w:r>
            <w:r>
              <w:rPr>
                <w:rFonts w:ascii="Verdana" w:hAnsi="Verdana"/>
                <w:sz w:val="16"/>
                <w:szCs w:val="16"/>
                <w:lang w:val="en-US"/>
              </w:rPr>
              <w:t>The marking of the containers and packaging, which corresponds to that granted by the Secretary of Communications and Transportation through the General Directorate of Federal Motor Transport.</w:t>
            </w:r>
          </w:p>
        </w:tc>
      </w:tr>
      <w:tr w:rsidR="00B709A9" w14:paraId="61FA3130" w14:textId="77777777" w:rsidTr="00B709A9">
        <w:tc>
          <w:tcPr>
            <w:tcW w:w="4788" w:type="dxa"/>
            <w:hideMark/>
          </w:tcPr>
          <w:p w14:paraId="02561F70"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7.6.2</w:t>
            </w:r>
            <w:r>
              <w:rPr>
                <w:rFonts w:ascii="Verdana" w:hAnsi="Verdana"/>
                <w:sz w:val="16"/>
                <w:szCs w:val="16"/>
              </w:rPr>
              <w:t xml:space="preserve"> Documento que acredite la clave de marcado, otorgado por la</w:t>
            </w:r>
            <w:r>
              <w:rPr>
                <w:rFonts w:ascii="Verdana" w:hAnsi="Verdana"/>
                <w:sz w:val="16"/>
                <w:szCs w:val="16"/>
                <w:lang w:val="es-MX"/>
              </w:rPr>
              <w:t xml:space="preserve"> Secretaría de Comunicaciones y Transportes a través de la Dirección General de Autotransporte Federal</w:t>
            </w:r>
            <w:r>
              <w:rPr>
                <w:rFonts w:ascii="Verdana" w:hAnsi="Verdana"/>
                <w:sz w:val="16"/>
                <w:szCs w:val="16"/>
              </w:rPr>
              <w:t xml:space="preserve">, así como de los informes de </w:t>
            </w:r>
            <w:r>
              <w:rPr>
                <w:rFonts w:ascii="Verdana" w:hAnsi="Verdana"/>
                <w:sz w:val="16"/>
                <w:szCs w:val="16"/>
              </w:rPr>
              <w:lastRenderedPageBreak/>
              <w:t>resultados de ensayo (prueba), otorgado por un Laboratorio de Pruebas, acreditado y aprobado.</w:t>
            </w:r>
          </w:p>
        </w:tc>
        <w:tc>
          <w:tcPr>
            <w:tcW w:w="4788" w:type="dxa"/>
            <w:hideMark/>
          </w:tcPr>
          <w:p w14:paraId="3D00C7B5"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lastRenderedPageBreak/>
              <w:t xml:space="preserve">7.6.2 </w:t>
            </w:r>
            <w:r>
              <w:rPr>
                <w:rFonts w:ascii="Verdana" w:hAnsi="Verdana"/>
                <w:sz w:val="16"/>
                <w:szCs w:val="16"/>
                <w:lang w:val="en-US"/>
              </w:rPr>
              <w:t xml:space="preserve">Document that accredits the marking key, granted by the Secretary of Communications and Transportation through the General Directorate of Federal Motor transport, as well as the reports of the </w:t>
            </w:r>
            <w:r>
              <w:rPr>
                <w:rFonts w:ascii="Verdana" w:hAnsi="Verdana"/>
                <w:sz w:val="16"/>
                <w:szCs w:val="16"/>
                <w:lang w:val="en-US"/>
              </w:rPr>
              <w:lastRenderedPageBreak/>
              <w:t xml:space="preserve">results of the trial (test), granted by an accredited Testing Laboratory. </w:t>
            </w:r>
          </w:p>
        </w:tc>
      </w:tr>
      <w:tr w:rsidR="00B709A9" w14:paraId="572B2A7C" w14:textId="77777777" w:rsidTr="00B709A9">
        <w:tc>
          <w:tcPr>
            <w:tcW w:w="4788" w:type="dxa"/>
            <w:hideMark/>
          </w:tcPr>
          <w:p w14:paraId="563DE563"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lastRenderedPageBreak/>
              <w:t>7.6.3</w:t>
            </w:r>
            <w:r>
              <w:rPr>
                <w:rFonts w:ascii="Verdana" w:hAnsi="Verdana"/>
                <w:sz w:val="16"/>
                <w:szCs w:val="16"/>
              </w:rPr>
              <w:t xml:space="preserve"> Vigencia de la aprobación otorgada por la </w:t>
            </w:r>
            <w:r>
              <w:rPr>
                <w:rFonts w:ascii="Verdana" w:hAnsi="Verdana"/>
                <w:sz w:val="16"/>
                <w:szCs w:val="16"/>
                <w:lang w:val="es-MX"/>
              </w:rPr>
              <w:t xml:space="preserve">Secretaría de Comunicaciones y Transportes, a través de la Dirección General de Autotransporte Federal, </w:t>
            </w:r>
            <w:r>
              <w:rPr>
                <w:rFonts w:ascii="Verdana" w:hAnsi="Verdana"/>
                <w:sz w:val="16"/>
                <w:szCs w:val="16"/>
              </w:rPr>
              <w:t>y de las Pruebas de Laboratorio.</w:t>
            </w:r>
          </w:p>
        </w:tc>
        <w:tc>
          <w:tcPr>
            <w:tcW w:w="4788" w:type="dxa"/>
            <w:hideMark/>
          </w:tcPr>
          <w:p w14:paraId="1F95F6D6"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7.6.3 </w:t>
            </w:r>
            <w:r>
              <w:rPr>
                <w:rFonts w:ascii="Verdana" w:hAnsi="Verdana"/>
                <w:sz w:val="16"/>
                <w:szCs w:val="16"/>
                <w:lang w:val="en-US"/>
              </w:rPr>
              <w:t>Validity of the approval granted by the Secretary of Communications and Transportation, through the General Directorate of Federal Motor Transport, and of the Laboratory Tests.</w:t>
            </w:r>
          </w:p>
        </w:tc>
      </w:tr>
      <w:tr w:rsidR="00B709A9" w14:paraId="249B0F5D" w14:textId="77777777" w:rsidTr="00B709A9">
        <w:tc>
          <w:tcPr>
            <w:tcW w:w="4788" w:type="dxa"/>
            <w:hideMark/>
          </w:tcPr>
          <w:p w14:paraId="2E09C079"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7.7</w:t>
            </w:r>
            <w:r>
              <w:rPr>
                <w:rFonts w:ascii="Verdana" w:hAnsi="Verdana"/>
                <w:sz w:val="16"/>
                <w:szCs w:val="16"/>
              </w:rPr>
              <w:t xml:space="preserve"> El cumplimiento de esta Norma Oficial Mexicana, no será verificable en carretera, por lo que se evitará abrir los vehículos y embalajes a efecto de constatar el marcado de los envases y embalajes.</w:t>
            </w:r>
          </w:p>
        </w:tc>
        <w:tc>
          <w:tcPr>
            <w:tcW w:w="4788" w:type="dxa"/>
            <w:hideMark/>
          </w:tcPr>
          <w:p w14:paraId="4729AB3D"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7.7 </w:t>
            </w:r>
            <w:r>
              <w:rPr>
                <w:rFonts w:ascii="Verdana" w:hAnsi="Verdana"/>
                <w:sz w:val="16"/>
                <w:szCs w:val="16"/>
                <w:lang w:val="en-US"/>
              </w:rPr>
              <w:t xml:space="preserve">Compliance with this Official Mexican Standard will not be verifiable on the road, so opening the vehicles and packaging will be avoided, </w:t>
            </w:r>
            <w:proofErr w:type="gramStart"/>
            <w:r>
              <w:rPr>
                <w:rFonts w:ascii="Verdana" w:hAnsi="Verdana"/>
                <w:sz w:val="16"/>
                <w:szCs w:val="16"/>
                <w:lang w:val="en-US"/>
              </w:rPr>
              <w:t>in order to</w:t>
            </w:r>
            <w:proofErr w:type="gramEnd"/>
            <w:r>
              <w:rPr>
                <w:rFonts w:ascii="Verdana" w:hAnsi="Verdana"/>
                <w:sz w:val="16"/>
                <w:szCs w:val="16"/>
                <w:lang w:val="en-US"/>
              </w:rPr>
              <w:t xml:space="preserve"> verify the marking of the containers and packaging.</w:t>
            </w:r>
          </w:p>
        </w:tc>
      </w:tr>
      <w:tr w:rsidR="00B709A9" w14:paraId="4A9BC7C5" w14:textId="77777777" w:rsidTr="00B709A9">
        <w:tc>
          <w:tcPr>
            <w:tcW w:w="4788" w:type="dxa"/>
            <w:hideMark/>
          </w:tcPr>
          <w:p w14:paraId="6BA93235"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7.8</w:t>
            </w:r>
            <w:r>
              <w:rPr>
                <w:rFonts w:ascii="Verdana" w:hAnsi="Verdana"/>
                <w:sz w:val="16"/>
                <w:szCs w:val="16"/>
              </w:rPr>
              <w:t xml:space="preserve"> El seguimiento del cumplimiento de esta Norma se realizará a través de Unidades de Verificación y de los Laboratorios de Pruebas, quienes revaluarán con una periodicidad anual los ensayos (pruebas) a las empresas fabricantes o reconstructoras, a fin de que mantengan vigente el marcado en sus envases y embalajes, y posterior aprobación de la Secretaría de Comunicaciones y Transportes a través de la Dirección General de Autotransporte Federal.</w:t>
            </w:r>
          </w:p>
        </w:tc>
        <w:tc>
          <w:tcPr>
            <w:tcW w:w="4788" w:type="dxa"/>
            <w:hideMark/>
          </w:tcPr>
          <w:p w14:paraId="54F809C6"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7.8 </w:t>
            </w:r>
            <w:r>
              <w:rPr>
                <w:rFonts w:ascii="Verdana" w:hAnsi="Verdana"/>
                <w:sz w:val="16"/>
                <w:szCs w:val="16"/>
                <w:lang w:val="en-US"/>
              </w:rPr>
              <w:t>Compliance with this Standard will be monitored through the Units of Verification and the Testing Laboratories, who will reassess the trials (tests) of the manufacturing or rebuilding companies on an annual basis, so that they keep the marking in force in its containers and packaging, and subsequent approval of the Secretary of Communications and Transportation through the General Directorate of Federal Motor Transport.</w:t>
            </w:r>
          </w:p>
        </w:tc>
      </w:tr>
      <w:tr w:rsidR="00B709A9" w14:paraId="5A149156" w14:textId="77777777" w:rsidTr="00B709A9">
        <w:tc>
          <w:tcPr>
            <w:tcW w:w="4788" w:type="dxa"/>
            <w:hideMark/>
          </w:tcPr>
          <w:p w14:paraId="554BBE69"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7.9</w:t>
            </w:r>
            <w:r>
              <w:rPr>
                <w:rFonts w:ascii="Verdana" w:hAnsi="Verdana"/>
                <w:sz w:val="16"/>
                <w:szCs w:val="16"/>
              </w:rPr>
              <w:t xml:space="preserve"> Los Laboratorios de Pruebas acreditados y aprobados serán las instancias responsables de realizar los ensayos (pruebas) descritas en esta Norma Oficial Mexicana, de emitir los informes de resultados y asignar la Clave de marcado, que garantice que el envase o embalaje ha superado los ensayos (pruebas).</w:t>
            </w:r>
          </w:p>
        </w:tc>
        <w:tc>
          <w:tcPr>
            <w:tcW w:w="4788" w:type="dxa"/>
            <w:hideMark/>
          </w:tcPr>
          <w:p w14:paraId="55D4A6EC"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7.9 </w:t>
            </w:r>
            <w:r>
              <w:rPr>
                <w:rFonts w:ascii="Verdana" w:hAnsi="Verdana"/>
                <w:sz w:val="16"/>
                <w:szCs w:val="16"/>
                <w:lang w:val="en-US"/>
              </w:rPr>
              <w:t>The accredited and approved Testing Laboratories will be the bodies responsible for carrying out the trials (tests) described in this Official Mexican Standard, for issuing the results reports and assigning the Marking Key, which guarantees that the container or packaging has passed the trials (tests).</w:t>
            </w:r>
          </w:p>
        </w:tc>
      </w:tr>
      <w:tr w:rsidR="00B709A9" w14:paraId="22E4DF4F" w14:textId="77777777" w:rsidTr="00B709A9">
        <w:tc>
          <w:tcPr>
            <w:tcW w:w="4788" w:type="dxa"/>
            <w:hideMark/>
          </w:tcPr>
          <w:p w14:paraId="621875C5"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7.9.1</w:t>
            </w:r>
            <w:r>
              <w:rPr>
                <w:rFonts w:ascii="Verdana" w:hAnsi="Verdana"/>
                <w:sz w:val="16"/>
                <w:szCs w:val="16"/>
              </w:rPr>
              <w:t xml:space="preserve"> Los fabricantes, constructores o reconstructores de envases y embalajes, podrán proporcionar copia de los Informes de Resultados de ensayo (prueba) y de la aprobación otorgada por la</w:t>
            </w:r>
            <w:r>
              <w:rPr>
                <w:rFonts w:ascii="Verdana" w:hAnsi="Verdana"/>
                <w:sz w:val="16"/>
                <w:szCs w:val="16"/>
                <w:lang w:val="es-MX"/>
              </w:rPr>
              <w:t xml:space="preserve"> Secretaría de Comunicaciones y Transportes, a través de la Dirección General de Autotransporte Federal</w:t>
            </w:r>
            <w:r>
              <w:rPr>
                <w:rFonts w:ascii="Verdana" w:hAnsi="Verdana"/>
                <w:sz w:val="16"/>
                <w:szCs w:val="16"/>
              </w:rPr>
              <w:t>, a los consumidores de los envases y embalajes, lo cual garantizará el cumplimiento con la presente Norma Oficial Mexicana.</w:t>
            </w:r>
          </w:p>
        </w:tc>
        <w:tc>
          <w:tcPr>
            <w:tcW w:w="4788" w:type="dxa"/>
            <w:hideMark/>
          </w:tcPr>
          <w:p w14:paraId="5F6AE520"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7.9.1 </w:t>
            </w:r>
            <w:r>
              <w:rPr>
                <w:rFonts w:ascii="Verdana" w:hAnsi="Verdana"/>
                <w:sz w:val="16"/>
                <w:szCs w:val="16"/>
                <w:lang w:val="en-US"/>
              </w:rPr>
              <w:t xml:space="preserve">The manufacturers, fabricators or </w:t>
            </w:r>
            <w:proofErr w:type="spellStart"/>
            <w:r>
              <w:rPr>
                <w:rFonts w:ascii="Verdana" w:hAnsi="Verdana"/>
                <w:sz w:val="16"/>
                <w:szCs w:val="16"/>
                <w:lang w:val="en-US"/>
              </w:rPr>
              <w:t>reconstructors</w:t>
            </w:r>
            <w:proofErr w:type="spellEnd"/>
            <w:r>
              <w:rPr>
                <w:rFonts w:ascii="Verdana" w:hAnsi="Verdana"/>
                <w:sz w:val="16"/>
                <w:szCs w:val="16"/>
                <w:lang w:val="en-US"/>
              </w:rPr>
              <w:t xml:space="preserve"> of containers and packaging, may provide a copy of the Report of the trial (test) and the approval granted by the Secretary of Communications and Transportation, through the General Directorate of Federal Motor Transport, consumers of containers and packaging, which will guarantee compliance with this Official Mexican Standard.</w:t>
            </w:r>
          </w:p>
        </w:tc>
      </w:tr>
      <w:tr w:rsidR="00B709A9" w14:paraId="29745BDA" w14:textId="77777777" w:rsidTr="00B709A9">
        <w:tc>
          <w:tcPr>
            <w:tcW w:w="4788" w:type="dxa"/>
            <w:hideMark/>
          </w:tcPr>
          <w:p w14:paraId="415795A4"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7.9.2</w:t>
            </w:r>
            <w:r>
              <w:rPr>
                <w:rFonts w:ascii="Verdana" w:hAnsi="Verdana"/>
                <w:sz w:val="16"/>
                <w:szCs w:val="16"/>
              </w:rPr>
              <w:t xml:space="preserve"> Para la realización de los ensayos (pruebas) de integridad de los envases y embalajes, las empresas fabricantes que soliciten ante los laboratorios de prueba acreditados y aprobados la designación del marcado UN, deberán proporcionar el número de</w:t>
            </w:r>
            <w:r>
              <w:rPr>
                <w:rFonts w:ascii="Verdana" w:hAnsi="Verdana"/>
                <w:b/>
                <w:sz w:val="16"/>
                <w:szCs w:val="16"/>
              </w:rPr>
              <w:t xml:space="preserve"> </w:t>
            </w:r>
            <w:r>
              <w:rPr>
                <w:rFonts w:ascii="Verdana" w:hAnsi="Verdana"/>
                <w:sz w:val="16"/>
                <w:szCs w:val="16"/>
              </w:rPr>
              <w:t>muestras suficientes, solicitadas por el laboratorio de pruebas, las que serán en cantidad, las estrictamente necesarias para realizar los ensayos (pruebas) señaladas en el numeral 6.5 de esta Norma Oficial Mexicana.</w:t>
            </w:r>
          </w:p>
        </w:tc>
        <w:tc>
          <w:tcPr>
            <w:tcW w:w="4788" w:type="dxa"/>
            <w:hideMark/>
          </w:tcPr>
          <w:p w14:paraId="58149A68"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7.9.2 </w:t>
            </w:r>
            <w:r>
              <w:rPr>
                <w:rFonts w:ascii="Verdana" w:hAnsi="Verdana"/>
                <w:sz w:val="16"/>
                <w:szCs w:val="16"/>
                <w:lang w:val="en-US"/>
              </w:rPr>
              <w:t xml:space="preserve">To carry out trials (tests) of integrity of the containers and packaging, the manufacturing companies that request the designation of the UN marking before the accredited and approved test laboratories, must provide </w:t>
            </w:r>
            <w:proofErr w:type="gramStart"/>
            <w:r>
              <w:rPr>
                <w:rFonts w:ascii="Verdana" w:hAnsi="Verdana"/>
                <w:sz w:val="16"/>
                <w:szCs w:val="16"/>
                <w:lang w:val="en-US"/>
              </w:rPr>
              <w:t>the sufficient number of</w:t>
            </w:r>
            <w:proofErr w:type="gramEnd"/>
            <w:r>
              <w:rPr>
                <w:rFonts w:ascii="Verdana" w:hAnsi="Verdana"/>
                <w:sz w:val="16"/>
                <w:szCs w:val="16"/>
                <w:lang w:val="en-US"/>
              </w:rPr>
              <w:t xml:space="preserve"> samples, requested by the testing laboratory, which will be in quantity, those strictly necessary to carry out the trials (tests) indicated in numeral 6.5 of this Official Mexican Standard.</w:t>
            </w:r>
          </w:p>
        </w:tc>
      </w:tr>
      <w:tr w:rsidR="00B709A9" w14:paraId="7DD03C17" w14:textId="77777777" w:rsidTr="00B709A9">
        <w:tc>
          <w:tcPr>
            <w:tcW w:w="4788" w:type="dxa"/>
            <w:hideMark/>
          </w:tcPr>
          <w:p w14:paraId="6FF48C64"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7.9.3</w:t>
            </w:r>
            <w:r>
              <w:rPr>
                <w:rFonts w:ascii="Verdana" w:hAnsi="Verdana"/>
                <w:sz w:val="16"/>
                <w:szCs w:val="16"/>
              </w:rPr>
              <w:t xml:space="preserve"> De considerar el Laboratorio de Pruebas, que las muestras sean obtenidas directamente bajo su responsabilidad, esto se realizará en los términos señalados en la Ley Federal sobre Metrología y Normalización.</w:t>
            </w:r>
          </w:p>
        </w:tc>
        <w:tc>
          <w:tcPr>
            <w:tcW w:w="4788" w:type="dxa"/>
            <w:hideMark/>
          </w:tcPr>
          <w:p w14:paraId="13BABC23"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7.9.3 </w:t>
            </w:r>
            <w:r>
              <w:rPr>
                <w:rFonts w:ascii="Verdana" w:hAnsi="Verdana"/>
                <w:sz w:val="16"/>
                <w:szCs w:val="16"/>
                <w:lang w:val="en-US"/>
              </w:rPr>
              <w:t>If the Testing Laboratory considers that the samples are obtained directly under its responsibility, this will be done under the terms indicated in the Federal Law on Metrology and Standardization.</w:t>
            </w:r>
          </w:p>
        </w:tc>
      </w:tr>
      <w:tr w:rsidR="00B709A9" w14:paraId="2DE4B49F" w14:textId="77777777" w:rsidTr="00B709A9">
        <w:tc>
          <w:tcPr>
            <w:tcW w:w="4788" w:type="dxa"/>
            <w:hideMark/>
          </w:tcPr>
          <w:p w14:paraId="389E3318" w14:textId="77777777" w:rsidR="00B709A9" w:rsidRDefault="00B709A9">
            <w:pPr>
              <w:pStyle w:val="Texto"/>
              <w:spacing w:line="232" w:lineRule="exact"/>
              <w:ind w:firstLine="0"/>
              <w:rPr>
                <w:rFonts w:ascii="Verdana" w:hAnsi="Verdana"/>
                <w:sz w:val="16"/>
                <w:szCs w:val="16"/>
              </w:rPr>
            </w:pPr>
            <w:r>
              <w:rPr>
                <w:rFonts w:ascii="Verdana" w:hAnsi="Verdana"/>
                <w:b/>
                <w:sz w:val="16"/>
                <w:szCs w:val="16"/>
              </w:rPr>
              <w:t>7.9.3.1</w:t>
            </w:r>
            <w:r>
              <w:rPr>
                <w:rFonts w:ascii="Verdana" w:hAnsi="Verdana"/>
                <w:sz w:val="16"/>
                <w:szCs w:val="16"/>
              </w:rPr>
              <w:t xml:space="preserve"> A fin de impedir su sustitución, las muestras se asegurarán, de tal forma que no sea posible su violación sin dejar huella.</w:t>
            </w:r>
          </w:p>
        </w:tc>
        <w:tc>
          <w:tcPr>
            <w:tcW w:w="4788" w:type="dxa"/>
            <w:hideMark/>
          </w:tcPr>
          <w:p w14:paraId="281AF98F" w14:textId="77777777" w:rsidR="00B709A9" w:rsidRDefault="00B709A9">
            <w:pPr>
              <w:pStyle w:val="Texto"/>
              <w:spacing w:line="232" w:lineRule="exact"/>
              <w:ind w:firstLine="0"/>
              <w:rPr>
                <w:rFonts w:ascii="Verdana" w:hAnsi="Verdana"/>
                <w:b/>
                <w:sz w:val="16"/>
                <w:szCs w:val="16"/>
                <w:lang w:val="en-US"/>
              </w:rPr>
            </w:pPr>
            <w:r>
              <w:rPr>
                <w:rFonts w:ascii="Verdana" w:hAnsi="Verdana"/>
                <w:b/>
                <w:sz w:val="16"/>
                <w:szCs w:val="16"/>
                <w:lang w:val="en-US"/>
              </w:rPr>
              <w:t xml:space="preserve">7.9.3.1 </w:t>
            </w:r>
            <w:r>
              <w:rPr>
                <w:rFonts w:ascii="Verdana" w:hAnsi="Verdana"/>
                <w:sz w:val="16"/>
                <w:szCs w:val="16"/>
                <w:lang w:val="en-US"/>
              </w:rPr>
              <w:t>In order to prevent their substitution, the samples will be secured in such a way that their violation is not possible without leaving a trace.</w:t>
            </w:r>
          </w:p>
        </w:tc>
      </w:tr>
      <w:tr w:rsidR="00B709A9" w14:paraId="1A229572" w14:textId="77777777" w:rsidTr="00B709A9">
        <w:tc>
          <w:tcPr>
            <w:tcW w:w="4788" w:type="dxa"/>
            <w:hideMark/>
          </w:tcPr>
          <w:p w14:paraId="39F21127"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lastRenderedPageBreak/>
              <w:t>7.9.4</w:t>
            </w:r>
            <w:r>
              <w:rPr>
                <w:rFonts w:ascii="Verdana" w:hAnsi="Verdana"/>
                <w:sz w:val="16"/>
                <w:szCs w:val="16"/>
              </w:rPr>
              <w:t xml:space="preserve"> Los informes de resultados expedidos por los Laboratorios de Pruebas, se notificarán por los solicitantes, dentro de un plazo de 15 días naturales siguientes, a la fecha de recepción del informe del laboratorio a la</w:t>
            </w:r>
            <w:r>
              <w:rPr>
                <w:rFonts w:ascii="Verdana" w:hAnsi="Verdana"/>
                <w:sz w:val="16"/>
                <w:szCs w:val="16"/>
                <w:lang w:val="es-MX"/>
              </w:rPr>
              <w:t xml:space="preserve"> Dirección General de Autotransporte Federal, de la Secretaría de Comunicaciones y Transportes.</w:t>
            </w:r>
            <w:r>
              <w:rPr>
                <w:rFonts w:ascii="Verdana" w:hAnsi="Verdana"/>
                <w:sz w:val="16"/>
                <w:szCs w:val="16"/>
              </w:rPr>
              <w:t xml:space="preserve"> En caso contrario la aprobación otorgada únicamente abarcará un periodo de 365 días naturales contados, a partir de la fecha del informe de Resultados de Ensayos (Pruebas).</w:t>
            </w:r>
          </w:p>
        </w:tc>
        <w:tc>
          <w:tcPr>
            <w:tcW w:w="4788" w:type="dxa"/>
            <w:hideMark/>
          </w:tcPr>
          <w:p w14:paraId="1688D365"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7.9.4 </w:t>
            </w:r>
            <w:r>
              <w:rPr>
                <w:rFonts w:ascii="Verdana" w:hAnsi="Verdana"/>
                <w:sz w:val="16"/>
                <w:szCs w:val="16"/>
                <w:lang w:val="en-US"/>
              </w:rPr>
              <w:t>The reports of results issued by the Testing Laboratories, will be notified by the applicants, within a period of 15 calendar days following the date of receipt of the laboratory report to the General Directorate of Federal Motor Transport, of the Secretary Communications and Transportation. Otherwise, the approval granted will only cover a period of 365 calendar days from the date of the Report of the trials (tests).</w:t>
            </w:r>
          </w:p>
        </w:tc>
      </w:tr>
      <w:tr w:rsidR="00B709A9" w14:paraId="25A9C723" w14:textId="77777777" w:rsidTr="00B709A9">
        <w:tc>
          <w:tcPr>
            <w:tcW w:w="4788" w:type="dxa"/>
            <w:hideMark/>
          </w:tcPr>
          <w:p w14:paraId="3BCC0264"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t>7.10</w:t>
            </w:r>
            <w:r>
              <w:rPr>
                <w:rFonts w:ascii="Verdana" w:hAnsi="Verdana"/>
                <w:sz w:val="16"/>
                <w:szCs w:val="16"/>
              </w:rPr>
              <w:t xml:space="preserve"> La Secretaría de Comunicaciones y Transportes, a través de la Dirección General de Autotransporte Federal, será la responsable de validar, a solicitud de las empresas fabricantes de envases y embalajes, la clave de marcado señalada en los informes de ensayo (pruebas) y emitir la aprobación correspondiente para efectos de incluirla en los envases/embalajes.</w:t>
            </w:r>
          </w:p>
        </w:tc>
        <w:tc>
          <w:tcPr>
            <w:tcW w:w="4788" w:type="dxa"/>
            <w:hideMark/>
          </w:tcPr>
          <w:p w14:paraId="1C849737"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7.10 </w:t>
            </w:r>
            <w:r>
              <w:rPr>
                <w:rFonts w:ascii="Verdana" w:hAnsi="Verdana"/>
                <w:sz w:val="16"/>
                <w:szCs w:val="16"/>
                <w:lang w:val="en-US"/>
              </w:rPr>
              <w:t>The Secretary of Communications and Transportation, through the General Directorate of Federal Motor Transport, will be responsible for validating, at the request of the container and packaging manufacturing companies, the marking code indicated in the test reports (tests) and issuing the corresponding approval for the purpose of including it in the containers/packaging.</w:t>
            </w:r>
          </w:p>
        </w:tc>
      </w:tr>
      <w:tr w:rsidR="00B709A9" w14:paraId="507E63A3" w14:textId="77777777" w:rsidTr="00B709A9">
        <w:tc>
          <w:tcPr>
            <w:tcW w:w="4788" w:type="dxa"/>
            <w:hideMark/>
          </w:tcPr>
          <w:p w14:paraId="7D495F5B"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t>7.11</w:t>
            </w:r>
            <w:r>
              <w:rPr>
                <w:rFonts w:ascii="Verdana" w:hAnsi="Verdana"/>
                <w:sz w:val="16"/>
                <w:szCs w:val="16"/>
              </w:rPr>
              <w:t xml:space="preserve"> La acreditación y aprobación de Unidades de Verificación y Laboratorios de Prueba se realizará en el mismo acto de visita de evaluación que realicen los Comités de Evaluación correspondientes, donde participará un representante de la Dirección General de Autotransporte Federal.</w:t>
            </w:r>
          </w:p>
        </w:tc>
        <w:tc>
          <w:tcPr>
            <w:tcW w:w="4788" w:type="dxa"/>
            <w:hideMark/>
          </w:tcPr>
          <w:p w14:paraId="02DC1781"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7.11 </w:t>
            </w:r>
            <w:r>
              <w:rPr>
                <w:rFonts w:ascii="Verdana" w:hAnsi="Verdana"/>
                <w:sz w:val="16"/>
                <w:szCs w:val="16"/>
                <w:lang w:val="en-US"/>
              </w:rPr>
              <w:t>The accreditation and approval of Units of Verification and Test Laboratories will be carried out in the same act of evaluation visit carried out by the corresponding Evaluation Committees, where a representative of the General Directorate of Federal Motor Transport will participate.</w:t>
            </w:r>
          </w:p>
        </w:tc>
      </w:tr>
      <w:tr w:rsidR="00B709A9" w14:paraId="2B99DD69" w14:textId="77777777" w:rsidTr="00B709A9">
        <w:tc>
          <w:tcPr>
            <w:tcW w:w="4788" w:type="dxa"/>
            <w:hideMark/>
          </w:tcPr>
          <w:p w14:paraId="1BC151C4"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t>7.12</w:t>
            </w:r>
            <w:r>
              <w:rPr>
                <w:rFonts w:ascii="Verdana" w:hAnsi="Verdana"/>
                <w:sz w:val="16"/>
                <w:szCs w:val="16"/>
              </w:rPr>
              <w:t xml:space="preserve"> La aprobación se otorgará previo pago de los derechos correspondientes, en un plazo no mayor a 30 días hábiles contados a partir de la fecha de recepción de la solicitud y demás documentación requerida.</w:t>
            </w:r>
          </w:p>
        </w:tc>
        <w:tc>
          <w:tcPr>
            <w:tcW w:w="4788" w:type="dxa"/>
            <w:hideMark/>
          </w:tcPr>
          <w:p w14:paraId="626A85BF"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7.12 </w:t>
            </w:r>
            <w:r>
              <w:rPr>
                <w:rFonts w:ascii="Verdana" w:hAnsi="Verdana"/>
                <w:sz w:val="16"/>
                <w:szCs w:val="16"/>
                <w:lang w:val="en-US"/>
              </w:rPr>
              <w:t>Approval will be granted upon payment of the corresponding fees, within a period not exceeding 30 business days from the date of receipt of the application and other required documentation.</w:t>
            </w:r>
          </w:p>
        </w:tc>
      </w:tr>
      <w:tr w:rsidR="00B709A9" w14:paraId="0849B2A5" w14:textId="77777777" w:rsidTr="00B709A9">
        <w:tc>
          <w:tcPr>
            <w:tcW w:w="4788" w:type="dxa"/>
            <w:hideMark/>
          </w:tcPr>
          <w:p w14:paraId="48CFC3A2"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t>7.12.1</w:t>
            </w:r>
            <w:r>
              <w:rPr>
                <w:rFonts w:ascii="Verdana" w:hAnsi="Verdana"/>
                <w:sz w:val="16"/>
                <w:szCs w:val="16"/>
              </w:rPr>
              <w:t xml:space="preserve"> En caso de requerir </w:t>
            </w:r>
            <w:proofErr w:type="gramStart"/>
            <w:r>
              <w:rPr>
                <w:rFonts w:ascii="Verdana" w:hAnsi="Verdana"/>
                <w:sz w:val="16"/>
                <w:szCs w:val="16"/>
              </w:rPr>
              <w:t>mayor información</w:t>
            </w:r>
            <w:proofErr w:type="gramEnd"/>
            <w:r>
              <w:rPr>
                <w:rFonts w:ascii="Verdana" w:hAnsi="Verdana"/>
                <w:sz w:val="16"/>
                <w:szCs w:val="16"/>
              </w:rPr>
              <w:t>, la Dirección General de Autotransporte Federal, les requerirá vía oficio o correo electrónico.</w:t>
            </w:r>
          </w:p>
        </w:tc>
        <w:tc>
          <w:tcPr>
            <w:tcW w:w="4788" w:type="dxa"/>
            <w:hideMark/>
          </w:tcPr>
          <w:p w14:paraId="65910A6C"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7.12.1 </w:t>
            </w:r>
            <w:r>
              <w:rPr>
                <w:rFonts w:ascii="Verdana" w:hAnsi="Verdana"/>
                <w:sz w:val="16"/>
                <w:szCs w:val="16"/>
                <w:lang w:val="en-US"/>
              </w:rPr>
              <w:t>In case of requiring more information, the General Directorate of Federal Motor Transport will require them via official letter or email.</w:t>
            </w:r>
          </w:p>
        </w:tc>
      </w:tr>
      <w:tr w:rsidR="00B709A9" w14:paraId="3F090F73" w14:textId="77777777" w:rsidTr="00B709A9">
        <w:tc>
          <w:tcPr>
            <w:tcW w:w="4788" w:type="dxa"/>
            <w:hideMark/>
          </w:tcPr>
          <w:p w14:paraId="0E571C84"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t>7.12.2</w:t>
            </w:r>
            <w:r>
              <w:rPr>
                <w:rFonts w:ascii="Verdana" w:hAnsi="Verdana"/>
                <w:sz w:val="16"/>
                <w:szCs w:val="16"/>
              </w:rPr>
              <w:t xml:space="preserve"> Transcurrido el plazo y de no expedir la aprobación respectiva, se entenderá como favorable, debiendo solicitar a la Dependencia constancia de este hecho.</w:t>
            </w:r>
          </w:p>
        </w:tc>
        <w:tc>
          <w:tcPr>
            <w:tcW w:w="4788" w:type="dxa"/>
            <w:hideMark/>
          </w:tcPr>
          <w:p w14:paraId="3EEDACC0"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7.12.2 </w:t>
            </w:r>
            <w:r>
              <w:rPr>
                <w:rFonts w:ascii="Verdana" w:hAnsi="Verdana"/>
                <w:sz w:val="16"/>
                <w:szCs w:val="16"/>
                <w:lang w:val="en-US"/>
              </w:rPr>
              <w:t>Once the term has elapsed and if the respective approval is not issued, it will be understood as favorable, and the Unit must be requested to certify this fact.</w:t>
            </w:r>
          </w:p>
        </w:tc>
      </w:tr>
      <w:tr w:rsidR="00B709A9" w14:paraId="6A12FCB3" w14:textId="77777777" w:rsidTr="00B709A9">
        <w:tc>
          <w:tcPr>
            <w:tcW w:w="4788" w:type="dxa"/>
            <w:hideMark/>
          </w:tcPr>
          <w:p w14:paraId="59A2967A" w14:textId="77777777" w:rsidR="00B709A9" w:rsidRDefault="00B709A9">
            <w:pPr>
              <w:pStyle w:val="Texto"/>
              <w:spacing w:after="85" w:line="224" w:lineRule="exact"/>
              <w:ind w:firstLine="0"/>
              <w:rPr>
                <w:rFonts w:ascii="Verdana" w:hAnsi="Verdana"/>
                <w:sz w:val="16"/>
                <w:szCs w:val="16"/>
              </w:rPr>
            </w:pPr>
            <w:r>
              <w:rPr>
                <w:rFonts w:ascii="Verdana" w:hAnsi="Verdana"/>
                <w:b/>
                <w:sz w:val="16"/>
                <w:szCs w:val="16"/>
              </w:rPr>
              <w:t>7.13</w:t>
            </w:r>
            <w:r>
              <w:rPr>
                <w:rFonts w:ascii="Verdana" w:hAnsi="Verdana"/>
                <w:sz w:val="16"/>
                <w:szCs w:val="16"/>
              </w:rPr>
              <w:t xml:space="preserve"> La Secretaría de Comunicaciones y Transportes por conducto de la Dirección General de Autotransporte Federal, mantendrá actualizado el listado de las empresas fabricantes y reconstructoras de envases y embalajes, utilizados para el transporte de materiales y residuos peligrosos, el cual incluirá la situación de cada una, en cuanto al cumplimiento de la presente Norma Oficial Mexicana, para fines oficiales y de exportación.</w:t>
            </w:r>
          </w:p>
        </w:tc>
        <w:tc>
          <w:tcPr>
            <w:tcW w:w="4788" w:type="dxa"/>
            <w:hideMark/>
          </w:tcPr>
          <w:p w14:paraId="4D73AF25"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 xml:space="preserve">7.13 </w:t>
            </w:r>
            <w:r>
              <w:rPr>
                <w:rFonts w:ascii="Verdana" w:hAnsi="Verdana"/>
                <w:sz w:val="16"/>
                <w:szCs w:val="16"/>
                <w:lang w:val="en-US"/>
              </w:rPr>
              <w:t>The Secretary of Communications and Transportation, through the General Directorate of Federal Motor Transport, will keep an updated list of manufacturers and rebuilders of containers and packaging, used for the transportation of hazardous Materials and Wastes, which will include the situation of each one, in terms of compliance with this Official Mexican Standard, for official and export purposes.</w:t>
            </w:r>
          </w:p>
        </w:tc>
      </w:tr>
      <w:tr w:rsidR="00B709A9" w14:paraId="0072D0F9" w14:textId="77777777" w:rsidTr="00B709A9">
        <w:tc>
          <w:tcPr>
            <w:tcW w:w="4788" w:type="dxa"/>
            <w:hideMark/>
          </w:tcPr>
          <w:p w14:paraId="75754C32" w14:textId="77777777" w:rsidR="00B709A9" w:rsidRDefault="00B709A9">
            <w:pPr>
              <w:pStyle w:val="Texto"/>
              <w:spacing w:after="85" w:line="224" w:lineRule="exact"/>
              <w:ind w:firstLine="0"/>
              <w:rPr>
                <w:rFonts w:ascii="Verdana" w:hAnsi="Verdana"/>
                <w:b/>
                <w:sz w:val="16"/>
                <w:szCs w:val="16"/>
              </w:rPr>
            </w:pPr>
            <w:r>
              <w:rPr>
                <w:rFonts w:ascii="Verdana" w:hAnsi="Verdana"/>
                <w:b/>
                <w:sz w:val="16"/>
                <w:szCs w:val="16"/>
              </w:rPr>
              <w:t>8.- Bibliografía</w:t>
            </w:r>
          </w:p>
        </w:tc>
        <w:tc>
          <w:tcPr>
            <w:tcW w:w="4788" w:type="dxa"/>
            <w:hideMark/>
          </w:tcPr>
          <w:p w14:paraId="2FF90CF5"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8.- Bibliography</w:t>
            </w:r>
          </w:p>
        </w:tc>
      </w:tr>
      <w:tr w:rsidR="00B709A9" w14:paraId="2C981BDB" w14:textId="77777777" w:rsidTr="00B709A9">
        <w:tc>
          <w:tcPr>
            <w:tcW w:w="4788" w:type="dxa"/>
            <w:hideMark/>
          </w:tcPr>
          <w:p w14:paraId="4FC79C40" w14:textId="77777777" w:rsidR="00B709A9" w:rsidRDefault="00B709A9">
            <w:pPr>
              <w:pStyle w:val="ROMANOS"/>
              <w:spacing w:after="85" w:line="224" w:lineRule="exact"/>
              <w:ind w:left="0" w:firstLine="0"/>
              <w:rPr>
                <w:rFonts w:ascii="Verdana" w:hAnsi="Verdana"/>
                <w:sz w:val="16"/>
                <w:szCs w:val="16"/>
              </w:rPr>
            </w:pPr>
            <w:r>
              <w:rPr>
                <w:sz w:val="16"/>
                <w:szCs w:val="16"/>
              </w:rPr>
              <w:t>■</w:t>
            </w:r>
            <w:r>
              <w:rPr>
                <w:rFonts w:ascii="Verdana" w:hAnsi="Verdana"/>
                <w:sz w:val="16"/>
                <w:szCs w:val="16"/>
              </w:rPr>
              <w:tab/>
              <w:t>Recomendaciones Relativas al Transporte de Mercancías Peligrosas, emitidas por la Organización de las Naciones Unidas, Decimosexta edición revisada, Nueva York y Ginebra, 2009.</w:t>
            </w:r>
          </w:p>
        </w:tc>
        <w:tc>
          <w:tcPr>
            <w:tcW w:w="4788" w:type="dxa"/>
            <w:hideMark/>
          </w:tcPr>
          <w:p w14:paraId="37C21B25" w14:textId="77777777" w:rsidR="00B709A9" w:rsidRDefault="00B709A9">
            <w:pPr>
              <w:pStyle w:val="ROMANOS"/>
              <w:spacing w:after="85" w:line="224" w:lineRule="exact"/>
              <w:ind w:left="0" w:firstLine="0"/>
              <w:rPr>
                <w:sz w:val="16"/>
                <w:szCs w:val="16"/>
                <w:lang w:val="en-US"/>
              </w:rPr>
            </w:pPr>
            <w:r>
              <w:rPr>
                <w:sz w:val="16"/>
                <w:szCs w:val="16"/>
                <w:lang w:val="en-US"/>
              </w:rPr>
              <w:t xml:space="preserve">■ </w:t>
            </w:r>
            <w:r>
              <w:rPr>
                <w:rFonts w:ascii="Verdana" w:hAnsi="Verdana"/>
                <w:sz w:val="16"/>
                <w:szCs w:val="16"/>
                <w:lang w:val="en-US"/>
              </w:rPr>
              <w:tab/>
              <w:t xml:space="preserve">Recommendations Relating to the Transport of Dangerous Goods, issued by the United Nations Organization, Sixteenth revised edition, </w:t>
            </w:r>
            <w:proofErr w:type="gramStart"/>
            <w:r>
              <w:rPr>
                <w:rFonts w:ascii="Verdana" w:hAnsi="Verdana"/>
                <w:sz w:val="16"/>
                <w:szCs w:val="16"/>
                <w:lang w:val="en-US"/>
              </w:rPr>
              <w:t>New York</w:t>
            </w:r>
            <w:proofErr w:type="gramEnd"/>
            <w:r>
              <w:rPr>
                <w:rFonts w:ascii="Verdana" w:hAnsi="Verdana"/>
                <w:sz w:val="16"/>
                <w:szCs w:val="16"/>
                <w:lang w:val="en-US"/>
              </w:rPr>
              <w:t xml:space="preserve"> and Geneva, 2009.</w:t>
            </w:r>
          </w:p>
        </w:tc>
      </w:tr>
      <w:tr w:rsidR="00B709A9" w14:paraId="62285EE7" w14:textId="77777777" w:rsidTr="00B709A9">
        <w:tc>
          <w:tcPr>
            <w:tcW w:w="4788" w:type="dxa"/>
            <w:hideMark/>
          </w:tcPr>
          <w:p w14:paraId="627169FD" w14:textId="77777777" w:rsidR="00B709A9" w:rsidRDefault="00B709A9">
            <w:pPr>
              <w:pStyle w:val="ROMANOS"/>
              <w:spacing w:after="85" w:line="224" w:lineRule="exact"/>
              <w:ind w:left="0" w:firstLine="0"/>
              <w:rPr>
                <w:rFonts w:ascii="Verdana" w:hAnsi="Verdana"/>
                <w:sz w:val="16"/>
                <w:szCs w:val="16"/>
              </w:rPr>
            </w:pPr>
            <w:r>
              <w:rPr>
                <w:sz w:val="16"/>
                <w:szCs w:val="16"/>
              </w:rPr>
              <w:t>■</w:t>
            </w:r>
            <w:r>
              <w:rPr>
                <w:rFonts w:ascii="Verdana" w:hAnsi="Verdana"/>
                <w:sz w:val="16"/>
                <w:szCs w:val="16"/>
              </w:rPr>
              <w:tab/>
              <w:t>Recomendaciones Relativas al Transporte de Mercancías Peligrosas, Manual de Pruebas y Criterios, cuarta edición revisada, Nueva York y Ginebra, 2003.</w:t>
            </w:r>
          </w:p>
        </w:tc>
        <w:tc>
          <w:tcPr>
            <w:tcW w:w="4788" w:type="dxa"/>
            <w:hideMark/>
          </w:tcPr>
          <w:p w14:paraId="33FBE90D" w14:textId="77777777" w:rsidR="00B709A9" w:rsidRDefault="00B709A9">
            <w:pPr>
              <w:pStyle w:val="ROMANOS"/>
              <w:spacing w:after="85" w:line="224" w:lineRule="exact"/>
              <w:ind w:left="0" w:firstLine="0"/>
              <w:rPr>
                <w:sz w:val="16"/>
                <w:szCs w:val="16"/>
                <w:lang w:val="en-US"/>
              </w:rPr>
            </w:pPr>
            <w:r>
              <w:rPr>
                <w:sz w:val="16"/>
                <w:szCs w:val="16"/>
                <w:lang w:val="en-US"/>
              </w:rPr>
              <w:t xml:space="preserve">■ </w:t>
            </w:r>
            <w:r>
              <w:rPr>
                <w:rFonts w:ascii="Verdana" w:hAnsi="Verdana"/>
                <w:sz w:val="16"/>
                <w:szCs w:val="16"/>
                <w:lang w:val="en-US"/>
              </w:rPr>
              <w:tab/>
              <w:t xml:space="preserve">Recommendations Relating to the Transport of Dangerous Goods, Manual of Tests and Criteria, fourth revised edition, </w:t>
            </w:r>
            <w:proofErr w:type="gramStart"/>
            <w:r>
              <w:rPr>
                <w:rFonts w:ascii="Verdana" w:hAnsi="Verdana"/>
                <w:sz w:val="16"/>
                <w:szCs w:val="16"/>
                <w:lang w:val="en-US"/>
              </w:rPr>
              <w:t>New York</w:t>
            </w:r>
            <w:proofErr w:type="gramEnd"/>
            <w:r>
              <w:rPr>
                <w:rFonts w:ascii="Verdana" w:hAnsi="Verdana"/>
                <w:sz w:val="16"/>
                <w:szCs w:val="16"/>
                <w:lang w:val="en-US"/>
              </w:rPr>
              <w:t xml:space="preserve"> and Geneva, 2003.</w:t>
            </w:r>
          </w:p>
        </w:tc>
      </w:tr>
      <w:tr w:rsidR="00B709A9" w14:paraId="7E25F0EC" w14:textId="77777777" w:rsidTr="00B709A9">
        <w:tc>
          <w:tcPr>
            <w:tcW w:w="4788" w:type="dxa"/>
            <w:hideMark/>
          </w:tcPr>
          <w:p w14:paraId="41CDB330" w14:textId="77777777" w:rsidR="00B709A9" w:rsidRDefault="00B709A9">
            <w:pPr>
              <w:pStyle w:val="ROMANOS"/>
              <w:spacing w:after="85" w:line="224" w:lineRule="exact"/>
              <w:ind w:left="0" w:firstLine="0"/>
              <w:rPr>
                <w:rFonts w:ascii="Verdana" w:hAnsi="Verdana"/>
                <w:sz w:val="16"/>
                <w:szCs w:val="16"/>
              </w:rPr>
            </w:pPr>
            <w:r>
              <w:rPr>
                <w:sz w:val="16"/>
                <w:szCs w:val="16"/>
              </w:rPr>
              <w:t>■</w:t>
            </w:r>
            <w:r>
              <w:rPr>
                <w:rFonts w:ascii="Verdana" w:hAnsi="Verdana"/>
                <w:sz w:val="16"/>
                <w:szCs w:val="16"/>
              </w:rPr>
              <w:tab/>
              <w:t>Ley Federal sobre Metrología y Normalización.</w:t>
            </w:r>
          </w:p>
        </w:tc>
        <w:tc>
          <w:tcPr>
            <w:tcW w:w="4788" w:type="dxa"/>
            <w:hideMark/>
          </w:tcPr>
          <w:p w14:paraId="0B60082A" w14:textId="77777777" w:rsidR="00B709A9" w:rsidRDefault="00B709A9">
            <w:pPr>
              <w:pStyle w:val="ROMANOS"/>
              <w:spacing w:after="85" w:line="224" w:lineRule="exact"/>
              <w:ind w:left="0" w:firstLine="0"/>
              <w:rPr>
                <w:sz w:val="16"/>
                <w:szCs w:val="16"/>
                <w:lang w:val="en-US"/>
              </w:rPr>
            </w:pPr>
            <w:r>
              <w:rPr>
                <w:sz w:val="16"/>
                <w:szCs w:val="16"/>
                <w:lang w:val="en-US"/>
              </w:rPr>
              <w:t xml:space="preserve">■ </w:t>
            </w:r>
            <w:r>
              <w:rPr>
                <w:rFonts w:ascii="Verdana" w:hAnsi="Verdana"/>
                <w:sz w:val="16"/>
                <w:szCs w:val="16"/>
                <w:lang w:val="en-US"/>
              </w:rPr>
              <w:tab/>
              <w:t>Federal Law on Metrology and Standardization.</w:t>
            </w:r>
          </w:p>
        </w:tc>
      </w:tr>
      <w:tr w:rsidR="00B709A9" w14:paraId="26B1F897" w14:textId="77777777" w:rsidTr="00B709A9">
        <w:tc>
          <w:tcPr>
            <w:tcW w:w="4788" w:type="dxa"/>
            <w:hideMark/>
          </w:tcPr>
          <w:p w14:paraId="10987A62" w14:textId="77777777" w:rsidR="00B709A9" w:rsidRDefault="00B709A9">
            <w:pPr>
              <w:pStyle w:val="ROMANOS"/>
              <w:spacing w:after="85" w:line="224" w:lineRule="exact"/>
              <w:ind w:left="0" w:firstLine="0"/>
              <w:rPr>
                <w:rFonts w:ascii="Verdana" w:hAnsi="Verdana"/>
                <w:sz w:val="16"/>
                <w:szCs w:val="16"/>
              </w:rPr>
            </w:pPr>
            <w:r>
              <w:rPr>
                <w:sz w:val="16"/>
                <w:szCs w:val="16"/>
              </w:rPr>
              <w:lastRenderedPageBreak/>
              <w:t>■</w:t>
            </w:r>
            <w:r>
              <w:rPr>
                <w:rFonts w:ascii="Verdana" w:hAnsi="Verdana"/>
                <w:sz w:val="16"/>
                <w:szCs w:val="16"/>
              </w:rPr>
              <w:tab/>
              <w:t>Reglamento de la Ley Federal sobre Metrología y Normalización.</w:t>
            </w:r>
          </w:p>
        </w:tc>
        <w:tc>
          <w:tcPr>
            <w:tcW w:w="4788" w:type="dxa"/>
            <w:hideMark/>
          </w:tcPr>
          <w:p w14:paraId="449BC3C3" w14:textId="77777777" w:rsidR="00B709A9" w:rsidRDefault="00B709A9">
            <w:pPr>
              <w:pStyle w:val="ROMANOS"/>
              <w:spacing w:after="85" w:line="224" w:lineRule="exact"/>
              <w:ind w:left="0" w:firstLine="0"/>
              <w:rPr>
                <w:sz w:val="16"/>
                <w:szCs w:val="16"/>
                <w:lang w:val="en-US"/>
              </w:rPr>
            </w:pPr>
            <w:r>
              <w:rPr>
                <w:sz w:val="16"/>
                <w:szCs w:val="16"/>
                <w:lang w:val="en-US"/>
              </w:rPr>
              <w:t xml:space="preserve">■ </w:t>
            </w:r>
            <w:r>
              <w:rPr>
                <w:rFonts w:ascii="Verdana" w:hAnsi="Verdana"/>
                <w:sz w:val="16"/>
                <w:szCs w:val="16"/>
                <w:lang w:val="en-US"/>
              </w:rPr>
              <w:tab/>
              <w:t>Regulation of the Federal Law on Metrology and Standardization.</w:t>
            </w:r>
          </w:p>
        </w:tc>
      </w:tr>
      <w:tr w:rsidR="00B709A9" w14:paraId="68F31459" w14:textId="77777777" w:rsidTr="00B709A9">
        <w:tc>
          <w:tcPr>
            <w:tcW w:w="4788" w:type="dxa"/>
            <w:hideMark/>
          </w:tcPr>
          <w:p w14:paraId="149A9026" w14:textId="77777777" w:rsidR="00B709A9" w:rsidRDefault="00B709A9">
            <w:pPr>
              <w:pStyle w:val="Texto"/>
              <w:spacing w:after="85" w:line="224" w:lineRule="exact"/>
              <w:ind w:firstLine="0"/>
              <w:rPr>
                <w:rFonts w:ascii="Verdana" w:hAnsi="Verdana"/>
                <w:b/>
                <w:sz w:val="16"/>
                <w:szCs w:val="16"/>
              </w:rPr>
            </w:pPr>
            <w:r>
              <w:rPr>
                <w:rFonts w:ascii="Verdana" w:hAnsi="Verdana"/>
                <w:b/>
                <w:sz w:val="16"/>
                <w:szCs w:val="16"/>
              </w:rPr>
              <w:t>9.- Concordancia con normas internacionales</w:t>
            </w:r>
          </w:p>
        </w:tc>
        <w:tc>
          <w:tcPr>
            <w:tcW w:w="4788" w:type="dxa"/>
            <w:hideMark/>
          </w:tcPr>
          <w:p w14:paraId="0898CCBD"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9.- Concordance with international standards</w:t>
            </w:r>
          </w:p>
        </w:tc>
      </w:tr>
      <w:tr w:rsidR="00B709A9" w14:paraId="3D9798FA" w14:textId="77777777" w:rsidTr="00B709A9">
        <w:tc>
          <w:tcPr>
            <w:tcW w:w="4788" w:type="dxa"/>
            <w:hideMark/>
          </w:tcPr>
          <w:p w14:paraId="5060822F" w14:textId="77777777" w:rsidR="00B709A9" w:rsidRDefault="00B709A9">
            <w:pPr>
              <w:pStyle w:val="Texto"/>
              <w:spacing w:after="85" w:line="224" w:lineRule="exact"/>
              <w:ind w:firstLine="0"/>
              <w:rPr>
                <w:rFonts w:ascii="Verdana" w:hAnsi="Verdana"/>
                <w:sz w:val="16"/>
                <w:szCs w:val="16"/>
              </w:rPr>
            </w:pPr>
            <w:r>
              <w:rPr>
                <w:rFonts w:ascii="Verdana" w:hAnsi="Verdana"/>
                <w:sz w:val="16"/>
                <w:szCs w:val="16"/>
              </w:rPr>
              <w:t>Esta Norma Oficial Mexicana coincide con las Recomendaciones Relativas al Transporte de Mercancías Peligrosas de la Organización de las Naciones Unidas 2009, Decimosexta edición, Numeral 2.6.3 y Capítulo 6.3.</w:t>
            </w:r>
          </w:p>
        </w:tc>
        <w:tc>
          <w:tcPr>
            <w:tcW w:w="4788" w:type="dxa"/>
            <w:hideMark/>
          </w:tcPr>
          <w:p w14:paraId="216F1579" w14:textId="77777777" w:rsidR="00B709A9" w:rsidRDefault="00B709A9">
            <w:pPr>
              <w:pStyle w:val="Texto"/>
              <w:spacing w:after="85" w:line="224" w:lineRule="exact"/>
              <w:ind w:firstLine="0"/>
              <w:rPr>
                <w:rFonts w:ascii="Verdana" w:hAnsi="Verdana"/>
                <w:sz w:val="16"/>
                <w:szCs w:val="16"/>
                <w:lang w:val="en-US"/>
              </w:rPr>
            </w:pPr>
            <w:r>
              <w:rPr>
                <w:rFonts w:ascii="Verdana" w:hAnsi="Verdana"/>
                <w:sz w:val="16"/>
                <w:szCs w:val="16"/>
                <w:lang w:val="en-US"/>
              </w:rPr>
              <w:t xml:space="preserve">This Official Mexican Standard coincides with the Recommendations Relating to the Transport of Dangerous Goods of the United Nations Organization 2009, Sixteenth edition, Numeral </w:t>
            </w:r>
            <w:proofErr w:type="gramStart"/>
            <w:r>
              <w:rPr>
                <w:rFonts w:ascii="Verdana" w:hAnsi="Verdana"/>
                <w:sz w:val="16"/>
                <w:szCs w:val="16"/>
                <w:lang w:val="en-US"/>
              </w:rPr>
              <w:t>2.6.3</w:t>
            </w:r>
            <w:proofErr w:type="gramEnd"/>
            <w:r>
              <w:rPr>
                <w:rFonts w:ascii="Verdana" w:hAnsi="Verdana"/>
                <w:sz w:val="16"/>
                <w:szCs w:val="16"/>
                <w:lang w:val="en-US"/>
              </w:rPr>
              <w:t xml:space="preserve"> and Chapter 6.3.</w:t>
            </w:r>
          </w:p>
        </w:tc>
      </w:tr>
      <w:tr w:rsidR="00B709A9" w14:paraId="2092B165" w14:textId="77777777" w:rsidTr="00B709A9">
        <w:tc>
          <w:tcPr>
            <w:tcW w:w="4788" w:type="dxa"/>
            <w:hideMark/>
          </w:tcPr>
          <w:p w14:paraId="7BD47660" w14:textId="77777777" w:rsidR="00B709A9" w:rsidRDefault="00B709A9">
            <w:pPr>
              <w:pStyle w:val="Texto"/>
              <w:spacing w:after="85" w:line="224" w:lineRule="exact"/>
              <w:ind w:firstLine="0"/>
              <w:rPr>
                <w:rFonts w:ascii="Verdana" w:hAnsi="Verdana"/>
                <w:b/>
                <w:sz w:val="16"/>
                <w:szCs w:val="16"/>
              </w:rPr>
            </w:pPr>
            <w:r>
              <w:rPr>
                <w:rFonts w:ascii="Verdana" w:hAnsi="Verdana"/>
                <w:b/>
                <w:sz w:val="16"/>
                <w:szCs w:val="16"/>
              </w:rPr>
              <w:t>10.- Observancia</w:t>
            </w:r>
          </w:p>
        </w:tc>
        <w:tc>
          <w:tcPr>
            <w:tcW w:w="4788" w:type="dxa"/>
            <w:hideMark/>
          </w:tcPr>
          <w:p w14:paraId="20CE2CA0"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10.- Observance</w:t>
            </w:r>
          </w:p>
        </w:tc>
      </w:tr>
      <w:tr w:rsidR="00B709A9" w14:paraId="667970B2" w14:textId="77777777" w:rsidTr="00B709A9">
        <w:tc>
          <w:tcPr>
            <w:tcW w:w="4788" w:type="dxa"/>
            <w:hideMark/>
          </w:tcPr>
          <w:p w14:paraId="36AC3D2B" w14:textId="77777777" w:rsidR="00B709A9" w:rsidRDefault="00B709A9">
            <w:pPr>
              <w:pStyle w:val="Texto"/>
              <w:spacing w:after="85" w:line="224" w:lineRule="exact"/>
              <w:ind w:firstLine="0"/>
              <w:rPr>
                <w:rFonts w:ascii="Verdana" w:hAnsi="Verdana"/>
                <w:sz w:val="16"/>
                <w:szCs w:val="16"/>
              </w:rPr>
            </w:pPr>
            <w:r>
              <w:rPr>
                <w:rFonts w:ascii="Verdana" w:hAnsi="Verdana"/>
                <w:sz w:val="16"/>
                <w:szCs w:val="16"/>
              </w:rPr>
              <w:t>Con fundamento en lo dispuesto en la Ley Federal sobre Metrología y Normalización, en la Ley de Caminos, Puentes y Autotransporte Federal, y en el Reglamento para el Transporte Terrestre de Materiales y Residuos Peligrosos, la presente Norma Oficial Mexicana tiene carácter de obligatorio.</w:t>
            </w:r>
          </w:p>
        </w:tc>
        <w:tc>
          <w:tcPr>
            <w:tcW w:w="4788" w:type="dxa"/>
            <w:hideMark/>
          </w:tcPr>
          <w:p w14:paraId="08B36D6C" w14:textId="77777777" w:rsidR="00B709A9" w:rsidRDefault="00B709A9">
            <w:pPr>
              <w:pStyle w:val="Texto"/>
              <w:spacing w:after="85" w:line="224" w:lineRule="exact"/>
              <w:ind w:firstLine="0"/>
              <w:rPr>
                <w:rFonts w:ascii="Verdana" w:hAnsi="Verdana"/>
                <w:sz w:val="16"/>
                <w:szCs w:val="16"/>
                <w:lang w:val="en-US"/>
              </w:rPr>
            </w:pPr>
            <w:r>
              <w:rPr>
                <w:rFonts w:ascii="Verdana" w:hAnsi="Verdana"/>
                <w:sz w:val="16"/>
                <w:szCs w:val="16"/>
                <w:lang w:val="en-US"/>
              </w:rPr>
              <w:t>Based on the provisions of the Federal Law on Metrology and Standardization, in the Law of Roads, Bridges and Federal Motor Transport, and in the Regulation for the Land Transportation of Hazardous Materials and Wastes, this Official Mexican Standard is mandatory.</w:t>
            </w:r>
          </w:p>
        </w:tc>
      </w:tr>
      <w:tr w:rsidR="00B709A9" w14:paraId="5962C859" w14:textId="77777777" w:rsidTr="00B709A9">
        <w:tc>
          <w:tcPr>
            <w:tcW w:w="4788" w:type="dxa"/>
            <w:hideMark/>
          </w:tcPr>
          <w:p w14:paraId="5BE539CC" w14:textId="77777777" w:rsidR="00B709A9" w:rsidRDefault="00B709A9">
            <w:pPr>
              <w:pStyle w:val="Texto"/>
              <w:spacing w:after="85" w:line="224" w:lineRule="exact"/>
              <w:ind w:firstLine="0"/>
              <w:rPr>
                <w:rFonts w:ascii="Verdana" w:hAnsi="Verdana"/>
                <w:b/>
                <w:sz w:val="16"/>
                <w:szCs w:val="16"/>
              </w:rPr>
            </w:pPr>
            <w:r>
              <w:rPr>
                <w:rFonts w:ascii="Verdana" w:hAnsi="Verdana"/>
                <w:b/>
                <w:sz w:val="16"/>
                <w:szCs w:val="16"/>
              </w:rPr>
              <w:t>11.- Vigilancia</w:t>
            </w:r>
          </w:p>
        </w:tc>
        <w:tc>
          <w:tcPr>
            <w:tcW w:w="4788" w:type="dxa"/>
            <w:hideMark/>
          </w:tcPr>
          <w:p w14:paraId="03E73ED9"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11.- Oversight</w:t>
            </w:r>
          </w:p>
        </w:tc>
      </w:tr>
      <w:tr w:rsidR="00B709A9" w14:paraId="02D7A651" w14:textId="77777777" w:rsidTr="00B709A9">
        <w:tc>
          <w:tcPr>
            <w:tcW w:w="4788" w:type="dxa"/>
            <w:hideMark/>
          </w:tcPr>
          <w:p w14:paraId="3DACDD0B" w14:textId="77777777" w:rsidR="00B709A9" w:rsidRDefault="00B709A9">
            <w:pPr>
              <w:pStyle w:val="Texto"/>
              <w:spacing w:after="85" w:line="224" w:lineRule="exact"/>
              <w:ind w:firstLine="0"/>
              <w:rPr>
                <w:rFonts w:ascii="Verdana" w:hAnsi="Verdana"/>
                <w:sz w:val="16"/>
                <w:szCs w:val="16"/>
              </w:rPr>
            </w:pPr>
            <w:r>
              <w:rPr>
                <w:rFonts w:ascii="Verdana" w:hAnsi="Verdana"/>
                <w:sz w:val="16"/>
                <w:szCs w:val="16"/>
              </w:rPr>
              <w:t>La Secretaría de Comunicaciones y Transportes, por conducto de la Dirección General de Autotransporte Federal y la Secretaría de Seguridad Pública del Gobierno Federal, a través de la Policía Federal, son las autoridades competentes para vigilar el cumplimiento de la presente Norma Oficial Mexicana.</w:t>
            </w:r>
          </w:p>
        </w:tc>
        <w:tc>
          <w:tcPr>
            <w:tcW w:w="4788" w:type="dxa"/>
            <w:hideMark/>
          </w:tcPr>
          <w:p w14:paraId="2BA8B940" w14:textId="77777777" w:rsidR="00B709A9" w:rsidRDefault="00B709A9">
            <w:pPr>
              <w:pStyle w:val="Texto"/>
              <w:spacing w:after="85" w:line="224" w:lineRule="exact"/>
              <w:ind w:firstLine="0"/>
              <w:rPr>
                <w:rFonts w:ascii="Verdana" w:hAnsi="Verdana"/>
                <w:sz w:val="16"/>
                <w:szCs w:val="16"/>
                <w:lang w:val="en-US"/>
              </w:rPr>
            </w:pPr>
            <w:r>
              <w:rPr>
                <w:rFonts w:ascii="Verdana" w:hAnsi="Verdana"/>
                <w:sz w:val="16"/>
                <w:szCs w:val="16"/>
                <w:lang w:val="en-US"/>
              </w:rPr>
              <w:t>The Secretary of Communications and Transportation, through the General Directorate of Federal Motor Transport and the Secretary of Public Security of the Federal Government, through the Federal Police, are the appropriate authorities to monitor compliance with this Official Mexican Standard.</w:t>
            </w:r>
          </w:p>
        </w:tc>
      </w:tr>
      <w:tr w:rsidR="00B709A9" w14:paraId="60FF79A9" w14:textId="77777777" w:rsidTr="00B709A9">
        <w:tc>
          <w:tcPr>
            <w:tcW w:w="4788" w:type="dxa"/>
            <w:hideMark/>
          </w:tcPr>
          <w:p w14:paraId="261431A4" w14:textId="77777777" w:rsidR="00B709A9" w:rsidRDefault="00B709A9">
            <w:pPr>
              <w:pStyle w:val="Texto"/>
              <w:spacing w:after="85" w:line="224" w:lineRule="exact"/>
              <w:ind w:firstLine="0"/>
              <w:rPr>
                <w:rFonts w:ascii="Verdana" w:hAnsi="Verdana"/>
                <w:b/>
                <w:sz w:val="16"/>
                <w:szCs w:val="16"/>
              </w:rPr>
            </w:pPr>
            <w:r>
              <w:rPr>
                <w:rFonts w:ascii="Verdana" w:hAnsi="Verdana"/>
                <w:b/>
                <w:sz w:val="16"/>
                <w:szCs w:val="16"/>
              </w:rPr>
              <w:t>12.- Vigencia</w:t>
            </w:r>
          </w:p>
        </w:tc>
        <w:tc>
          <w:tcPr>
            <w:tcW w:w="4788" w:type="dxa"/>
            <w:hideMark/>
          </w:tcPr>
          <w:p w14:paraId="6FC12D9B"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12.- Validity</w:t>
            </w:r>
          </w:p>
        </w:tc>
      </w:tr>
      <w:tr w:rsidR="00B709A9" w14:paraId="0A1732FD" w14:textId="77777777" w:rsidTr="00B709A9">
        <w:tc>
          <w:tcPr>
            <w:tcW w:w="4788" w:type="dxa"/>
            <w:hideMark/>
          </w:tcPr>
          <w:p w14:paraId="43EB2707" w14:textId="77777777" w:rsidR="00B709A9" w:rsidRDefault="00B709A9">
            <w:pPr>
              <w:pStyle w:val="Texto"/>
              <w:spacing w:after="85" w:line="224" w:lineRule="exact"/>
              <w:ind w:firstLine="0"/>
              <w:rPr>
                <w:rFonts w:ascii="Verdana" w:hAnsi="Verdana"/>
                <w:sz w:val="16"/>
                <w:szCs w:val="16"/>
              </w:rPr>
            </w:pPr>
            <w:r>
              <w:rPr>
                <w:rFonts w:ascii="Verdana" w:hAnsi="Verdana"/>
                <w:sz w:val="16"/>
                <w:szCs w:val="16"/>
              </w:rPr>
              <w:t>La presente Norma Oficial Mexicana entrará en vigor 60 días naturales, siguientes a su fecha de publicación en el Diario Oficial de la Federación.</w:t>
            </w:r>
          </w:p>
        </w:tc>
        <w:tc>
          <w:tcPr>
            <w:tcW w:w="4788" w:type="dxa"/>
            <w:hideMark/>
          </w:tcPr>
          <w:p w14:paraId="2F452131" w14:textId="77777777" w:rsidR="00B709A9" w:rsidRDefault="00B709A9">
            <w:pPr>
              <w:pStyle w:val="Texto"/>
              <w:spacing w:after="85" w:line="224" w:lineRule="exact"/>
              <w:ind w:firstLine="0"/>
              <w:rPr>
                <w:rFonts w:ascii="Verdana" w:hAnsi="Verdana"/>
                <w:sz w:val="16"/>
                <w:szCs w:val="16"/>
                <w:lang w:val="en-US"/>
              </w:rPr>
            </w:pPr>
            <w:r>
              <w:rPr>
                <w:rFonts w:ascii="Verdana" w:hAnsi="Verdana"/>
                <w:sz w:val="16"/>
                <w:szCs w:val="16"/>
                <w:lang w:val="en-US"/>
              </w:rPr>
              <w:t>This Official Mexican Standard will enter into force 60 calendar days, following its date of publication in the Official Daily of the Federation.</w:t>
            </w:r>
          </w:p>
        </w:tc>
      </w:tr>
      <w:tr w:rsidR="00B709A9" w14:paraId="05877091" w14:textId="77777777" w:rsidTr="00B709A9">
        <w:tc>
          <w:tcPr>
            <w:tcW w:w="4788" w:type="dxa"/>
            <w:hideMark/>
          </w:tcPr>
          <w:p w14:paraId="370BD3C0" w14:textId="77777777" w:rsidR="00B709A9" w:rsidRDefault="00B709A9">
            <w:pPr>
              <w:pStyle w:val="Texto"/>
              <w:spacing w:after="85" w:line="224" w:lineRule="exact"/>
              <w:ind w:firstLine="0"/>
              <w:rPr>
                <w:rFonts w:ascii="Verdana" w:hAnsi="Verdana"/>
                <w:b/>
                <w:sz w:val="16"/>
                <w:szCs w:val="16"/>
              </w:rPr>
            </w:pPr>
            <w:r>
              <w:rPr>
                <w:rFonts w:ascii="Verdana" w:hAnsi="Verdana"/>
                <w:b/>
                <w:sz w:val="16"/>
                <w:szCs w:val="16"/>
              </w:rPr>
              <w:t>13.- Transitorio</w:t>
            </w:r>
          </w:p>
        </w:tc>
        <w:tc>
          <w:tcPr>
            <w:tcW w:w="4788" w:type="dxa"/>
            <w:hideMark/>
          </w:tcPr>
          <w:p w14:paraId="5BC73D4C" w14:textId="77777777" w:rsidR="00B709A9" w:rsidRDefault="00B709A9">
            <w:pPr>
              <w:pStyle w:val="Texto"/>
              <w:spacing w:after="85" w:line="224" w:lineRule="exact"/>
              <w:ind w:firstLine="0"/>
              <w:rPr>
                <w:rFonts w:ascii="Verdana" w:hAnsi="Verdana"/>
                <w:b/>
                <w:sz w:val="16"/>
                <w:szCs w:val="16"/>
                <w:lang w:val="en-US"/>
              </w:rPr>
            </w:pPr>
            <w:r>
              <w:rPr>
                <w:rFonts w:ascii="Verdana" w:hAnsi="Verdana"/>
                <w:b/>
                <w:sz w:val="16"/>
                <w:szCs w:val="16"/>
                <w:lang w:val="en-US"/>
              </w:rPr>
              <w:t>13.- Transitional Article</w:t>
            </w:r>
          </w:p>
        </w:tc>
      </w:tr>
      <w:tr w:rsidR="00B709A9" w14:paraId="4BE35F38" w14:textId="77777777" w:rsidTr="00B709A9">
        <w:tc>
          <w:tcPr>
            <w:tcW w:w="4788" w:type="dxa"/>
            <w:hideMark/>
          </w:tcPr>
          <w:p w14:paraId="37F629FE" w14:textId="77777777" w:rsidR="00B709A9" w:rsidRDefault="00B709A9">
            <w:pPr>
              <w:pStyle w:val="Texto"/>
              <w:spacing w:after="85" w:line="224" w:lineRule="exact"/>
              <w:ind w:firstLine="0"/>
              <w:rPr>
                <w:rFonts w:ascii="Verdana" w:hAnsi="Verdana"/>
                <w:sz w:val="16"/>
                <w:szCs w:val="16"/>
              </w:rPr>
            </w:pPr>
            <w:proofErr w:type="gramStart"/>
            <w:r>
              <w:rPr>
                <w:rFonts w:ascii="Verdana" w:hAnsi="Verdana"/>
                <w:b/>
                <w:sz w:val="16"/>
                <w:szCs w:val="16"/>
              </w:rPr>
              <w:t>UNICO</w:t>
            </w:r>
            <w:r>
              <w:rPr>
                <w:rFonts w:ascii="Verdana" w:hAnsi="Verdana"/>
                <w:sz w:val="16"/>
                <w:szCs w:val="16"/>
              </w:rPr>
              <w:t>.-</w:t>
            </w:r>
            <w:proofErr w:type="gramEnd"/>
            <w:r>
              <w:rPr>
                <w:rFonts w:ascii="Verdana" w:hAnsi="Verdana"/>
                <w:sz w:val="16"/>
                <w:szCs w:val="16"/>
              </w:rPr>
              <w:t xml:space="preserve"> Con la entrada en vigor de la presente Norma Oficial Mexicana, se cancela la Norma Oficial Mexicana NOM-051-SCT2-2003, “Especificaciones Especiales y Adicionales para los Envases y Embalajes de las Substancias Peligrosas de la División 6.2 Agentes Infecciosos”, publicada en el Diario Oficial de la Federación el 1 de diciembre de 2005.</w:t>
            </w:r>
          </w:p>
        </w:tc>
        <w:tc>
          <w:tcPr>
            <w:tcW w:w="4788" w:type="dxa"/>
            <w:hideMark/>
          </w:tcPr>
          <w:p w14:paraId="79B5BB67" w14:textId="77777777" w:rsidR="00B709A9" w:rsidRDefault="00B709A9">
            <w:pPr>
              <w:pStyle w:val="Texto"/>
              <w:spacing w:after="85" w:line="224" w:lineRule="exact"/>
              <w:ind w:firstLine="0"/>
              <w:rPr>
                <w:rFonts w:ascii="Verdana" w:hAnsi="Verdana"/>
                <w:b/>
                <w:sz w:val="16"/>
                <w:szCs w:val="16"/>
                <w:lang w:val="en-US"/>
              </w:rPr>
            </w:pPr>
            <w:proofErr w:type="gramStart"/>
            <w:r>
              <w:rPr>
                <w:rFonts w:ascii="Verdana" w:hAnsi="Verdana"/>
                <w:b/>
                <w:sz w:val="16"/>
                <w:szCs w:val="16"/>
                <w:lang w:val="en-US"/>
              </w:rPr>
              <w:t>SOLE.</w:t>
            </w:r>
            <w:r>
              <w:rPr>
                <w:rFonts w:ascii="Verdana" w:hAnsi="Verdana"/>
                <w:sz w:val="16"/>
                <w:szCs w:val="16"/>
                <w:lang w:val="en-US"/>
              </w:rPr>
              <w:t>-</w:t>
            </w:r>
            <w:proofErr w:type="gramEnd"/>
            <w:r>
              <w:rPr>
                <w:rFonts w:ascii="Verdana" w:hAnsi="Verdana"/>
                <w:sz w:val="16"/>
                <w:szCs w:val="16"/>
                <w:lang w:val="en-US"/>
              </w:rPr>
              <w:t xml:space="preserve"> With the entry into force of this Official Mexican Standard, the Official Mexican Standard NOM-051-SCT2-2003, "Special and Additional Specifications for Containers and Packaging of Hazardous Substances of Division 6.2 Infectious Agents" is cancelled., published in the Official Daily of the Federation on December 1, 2005.</w:t>
            </w:r>
          </w:p>
        </w:tc>
      </w:tr>
    </w:tbl>
    <w:p w14:paraId="6CC8CA79" w14:textId="77777777" w:rsidR="00B709A9" w:rsidRPr="00B709A9" w:rsidRDefault="00B709A9" w:rsidP="00B709A9">
      <w:pPr>
        <w:pStyle w:val="Titulo1"/>
        <w:pBdr>
          <w:bottom w:val="none" w:sz="0" w:space="0" w:color="auto"/>
        </w:pBdr>
        <w:rPr>
          <w:rFonts w:ascii="Verdana" w:hAnsi="Verdana" w:cs="Times New Roman"/>
          <w:sz w:val="16"/>
          <w:szCs w:val="16"/>
          <w:lang w:val="en-US"/>
        </w:rPr>
      </w:pPr>
    </w:p>
    <w:p w14:paraId="6E0C69B5" w14:textId="77777777" w:rsidR="00B709A9" w:rsidRPr="00B709A9" w:rsidRDefault="00B709A9" w:rsidP="00B709A9">
      <w:pPr>
        <w:pStyle w:val="Titulo1"/>
        <w:pBdr>
          <w:bottom w:val="none" w:sz="0" w:space="0" w:color="auto"/>
        </w:pBdr>
        <w:rPr>
          <w:rFonts w:ascii="Verdana" w:hAnsi="Verdana" w:cs="Times New Roman"/>
          <w:sz w:val="16"/>
          <w:szCs w:val="16"/>
          <w:lang w:val="en-US"/>
        </w:rPr>
      </w:pPr>
    </w:p>
    <w:p w14:paraId="4B91065D" w14:textId="1CFE9B87" w:rsidR="00B709A9" w:rsidRPr="00B709A9" w:rsidRDefault="00B709A9"/>
    <w:sectPr w:rsidR="00B709A9" w:rsidRPr="00B709A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F3D9" w14:textId="77777777" w:rsidR="00BB6E98" w:rsidRDefault="00BB6E98" w:rsidP="00B709A9">
      <w:pPr>
        <w:spacing w:after="0" w:line="240" w:lineRule="auto"/>
      </w:pPr>
      <w:r>
        <w:separator/>
      </w:r>
    </w:p>
  </w:endnote>
  <w:endnote w:type="continuationSeparator" w:id="0">
    <w:p w14:paraId="6A1CDC18" w14:textId="77777777" w:rsidR="00BB6E98" w:rsidRDefault="00BB6E98" w:rsidP="00B7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730D" w14:textId="06BDD7E8" w:rsidR="00B709A9" w:rsidRPr="00B709A9" w:rsidRDefault="00B709A9">
    <w:pPr>
      <w:pStyle w:val="Footer"/>
      <w:rPr>
        <w:rFonts w:ascii="Verdana" w:hAnsi="Verdana"/>
        <w:b/>
        <w:bCs/>
        <w:sz w:val="16"/>
        <w:szCs w:val="16"/>
        <w:lang w:val="es-MX"/>
      </w:rPr>
    </w:pPr>
    <w:r w:rsidRPr="00B709A9">
      <w:rPr>
        <w:rFonts w:ascii="Verdana" w:hAnsi="Verdana"/>
        <w:b/>
        <w:bCs/>
        <w:sz w:val="16"/>
        <w:szCs w:val="16"/>
        <w:lang w:val="es-MX"/>
      </w:rPr>
      <w:t>Derechos Reservados © 2022 Lic. Glenn Louis McBride</w:t>
    </w:r>
    <w:r>
      <w:rPr>
        <w:rFonts w:ascii="Verdana" w:hAnsi="Verdana"/>
        <w:b/>
        <w:bCs/>
        <w:sz w:val="16"/>
        <w:szCs w:val="16"/>
        <w:lang w:val="es-MX"/>
      </w:rPr>
      <w:t xml:space="preserve">                                                             </w:t>
    </w:r>
    <w:r w:rsidRPr="00B709A9">
      <w:rPr>
        <w:rFonts w:ascii="Verdana" w:hAnsi="Verdana"/>
        <w:b/>
        <w:bCs/>
        <w:sz w:val="16"/>
        <w:szCs w:val="16"/>
        <w:lang w:val="es-MX"/>
      </w:rPr>
      <w:t xml:space="preserve"> </w:t>
    </w:r>
    <w:r w:rsidRPr="00B709A9">
      <w:rPr>
        <w:rFonts w:ascii="Verdana" w:hAnsi="Verdana"/>
        <w:b/>
        <w:bCs/>
        <w:sz w:val="16"/>
        <w:szCs w:val="16"/>
        <w:lang w:val="es-MX"/>
      </w:rPr>
      <w:fldChar w:fldCharType="begin"/>
    </w:r>
    <w:r w:rsidRPr="00B709A9">
      <w:rPr>
        <w:rFonts w:ascii="Verdana" w:hAnsi="Verdana"/>
        <w:b/>
        <w:bCs/>
        <w:sz w:val="16"/>
        <w:szCs w:val="16"/>
        <w:lang w:val="es-MX"/>
      </w:rPr>
      <w:instrText xml:space="preserve"> PAGE   \* MERGEFORMAT </w:instrText>
    </w:r>
    <w:r w:rsidRPr="00B709A9">
      <w:rPr>
        <w:rFonts w:ascii="Verdana" w:hAnsi="Verdana"/>
        <w:b/>
        <w:bCs/>
        <w:sz w:val="16"/>
        <w:szCs w:val="16"/>
        <w:lang w:val="es-MX"/>
      </w:rPr>
      <w:fldChar w:fldCharType="separate"/>
    </w:r>
    <w:r w:rsidRPr="00B709A9">
      <w:rPr>
        <w:rFonts w:ascii="Verdana" w:hAnsi="Verdana"/>
        <w:b/>
        <w:bCs/>
        <w:noProof/>
        <w:sz w:val="16"/>
        <w:szCs w:val="16"/>
        <w:lang w:val="es-MX"/>
      </w:rPr>
      <w:t>1</w:t>
    </w:r>
    <w:r w:rsidRPr="00B709A9">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5BBE" w14:textId="77777777" w:rsidR="00BB6E98" w:rsidRDefault="00BB6E98" w:rsidP="00B709A9">
      <w:pPr>
        <w:spacing w:after="0" w:line="240" w:lineRule="auto"/>
      </w:pPr>
      <w:r>
        <w:separator/>
      </w:r>
    </w:p>
  </w:footnote>
  <w:footnote w:type="continuationSeparator" w:id="0">
    <w:p w14:paraId="7EA6BCFD" w14:textId="77777777" w:rsidR="00BB6E98" w:rsidRDefault="00BB6E98" w:rsidP="00B70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35E4" w14:textId="146C2EAC" w:rsidR="00B709A9" w:rsidRPr="00B709A9" w:rsidRDefault="00B709A9">
    <w:pPr>
      <w:pStyle w:val="Header"/>
      <w:rPr>
        <w:rFonts w:ascii="Verdana" w:hAnsi="Verdana"/>
        <w:b/>
        <w:bCs/>
        <w:sz w:val="16"/>
        <w:szCs w:val="16"/>
        <w:lang w:val="en-US"/>
      </w:rPr>
    </w:pPr>
    <w:r w:rsidRPr="00B709A9">
      <w:rPr>
        <w:rFonts w:ascii="Verdana" w:hAnsi="Verdana"/>
        <w:b/>
        <w:bCs/>
        <w:sz w:val="16"/>
        <w:szCs w:val="16"/>
        <w:lang w:val="en-US"/>
      </w:rPr>
      <w:t>NOM-051-SCT2-2011, Specifications for the classification of infectious substances and special and additional specifications for the construction and examination (test) of containers and/or packaging that transport infectious substances of division 6.2, Category A.</w:t>
    </w:r>
    <w:r w:rsidRPr="00B709A9">
      <w:rPr>
        <w:rFonts w:ascii="Verdana" w:hAnsi="Verdana"/>
        <w:b/>
        <w:bCs/>
        <w:sz w:val="16"/>
        <w:szCs w:val="16"/>
        <w:lang w:val="en-US"/>
      </w:rPr>
      <w:t xml:space="preserve">  </w:t>
    </w:r>
  </w:p>
  <w:p w14:paraId="15472E64" w14:textId="5D1BDABC" w:rsidR="00B709A9" w:rsidRDefault="00B709A9">
    <w:pPr>
      <w:pStyle w:val="Header"/>
      <w:rPr>
        <w:rFonts w:ascii="Verdana" w:hAnsi="Verdana"/>
        <w:sz w:val="16"/>
        <w:szCs w:val="16"/>
        <w:lang w:val="en-US"/>
      </w:rPr>
    </w:pPr>
    <w:r>
      <w:rPr>
        <w:rFonts w:ascii="Verdana" w:hAnsi="Verdana"/>
        <w:sz w:val="16"/>
        <w:szCs w:val="16"/>
        <w:lang w:val="en-US"/>
      </w:rPr>
      <w:t>Published in the DOF on Dec. 8, 2011 – effective date Feb. 6, 2012</w:t>
    </w:r>
  </w:p>
  <w:p w14:paraId="10A3457A" w14:textId="77777777" w:rsidR="00B709A9" w:rsidRPr="00B709A9" w:rsidRDefault="00B709A9">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A9"/>
    <w:rsid w:val="00660CAD"/>
    <w:rsid w:val="00B709A9"/>
    <w:rsid w:val="00BB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38FC"/>
  <w15:chartTrackingRefBased/>
  <w15:docId w15:val="{0B0E7F8F-8864-46E9-87A3-9671A8A3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709A9"/>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semiHidden/>
    <w:unhideWhenUsed/>
    <w:qFormat/>
    <w:rsid w:val="00B709A9"/>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Heading3">
    <w:name w:val="heading 3"/>
    <w:basedOn w:val="Normal"/>
    <w:next w:val="Normal"/>
    <w:link w:val="Heading3Char"/>
    <w:semiHidden/>
    <w:unhideWhenUsed/>
    <w:qFormat/>
    <w:rsid w:val="00B709A9"/>
    <w:pPr>
      <w:keepNext/>
      <w:spacing w:before="240" w:after="60" w:line="240" w:lineRule="auto"/>
      <w:outlineLvl w:val="2"/>
    </w:pPr>
    <w:rPr>
      <w:rFonts w:ascii="Cambria" w:eastAsia="Times New Roman" w:hAnsi="Cambria" w:cs="Cambria"/>
      <w:b/>
      <w:sz w:val="26"/>
      <w:szCs w:val="20"/>
      <w:lang w:val="es-ES_tradnl" w:eastAsia="es-MX"/>
    </w:rPr>
  </w:style>
  <w:style w:type="paragraph" w:styleId="Heading4">
    <w:name w:val="heading 4"/>
    <w:basedOn w:val="Normal"/>
    <w:next w:val="Normal"/>
    <w:link w:val="Heading4Char"/>
    <w:semiHidden/>
    <w:unhideWhenUsed/>
    <w:qFormat/>
    <w:rsid w:val="00B709A9"/>
    <w:pPr>
      <w:keepNext/>
      <w:spacing w:before="240" w:after="60" w:line="240" w:lineRule="auto"/>
      <w:outlineLvl w:val="3"/>
    </w:pPr>
    <w:rPr>
      <w:rFonts w:ascii="Calibri" w:eastAsia="Times New Roman" w:hAnsi="Calibri" w:cs="Calibri"/>
      <w:b/>
      <w:sz w:val="2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9A9"/>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B709A9"/>
    <w:rPr>
      <w:rFonts w:ascii="Arial" w:eastAsia="Times New Roman" w:hAnsi="Arial" w:cs="Helv"/>
      <w:sz w:val="18"/>
      <w:szCs w:val="20"/>
      <w:lang w:val="es-ES_tradnl" w:eastAsia="es-MX"/>
    </w:rPr>
  </w:style>
  <w:style w:type="character" w:customStyle="1" w:styleId="Heading3Char">
    <w:name w:val="Heading 3 Char"/>
    <w:basedOn w:val="DefaultParagraphFont"/>
    <w:link w:val="Heading3"/>
    <w:semiHidden/>
    <w:rsid w:val="00B709A9"/>
    <w:rPr>
      <w:rFonts w:ascii="Cambria" w:eastAsia="Times New Roman" w:hAnsi="Cambria" w:cs="Cambria"/>
      <w:b/>
      <w:sz w:val="26"/>
      <w:szCs w:val="20"/>
      <w:lang w:val="es-ES_tradnl" w:eastAsia="es-MX"/>
    </w:rPr>
  </w:style>
  <w:style w:type="character" w:customStyle="1" w:styleId="Heading4Char">
    <w:name w:val="Heading 4 Char"/>
    <w:basedOn w:val="DefaultParagraphFont"/>
    <w:link w:val="Heading4"/>
    <w:semiHidden/>
    <w:rsid w:val="00B709A9"/>
    <w:rPr>
      <w:rFonts w:ascii="Calibri" w:eastAsia="Times New Roman" w:hAnsi="Calibri" w:cs="Calibri"/>
      <w:b/>
      <w:sz w:val="28"/>
      <w:szCs w:val="20"/>
      <w:lang w:val="es-ES_tradnl" w:eastAsia="es-MX"/>
    </w:rPr>
  </w:style>
  <w:style w:type="character" w:styleId="Hyperlink">
    <w:name w:val="Hyperlink"/>
    <w:semiHidden/>
    <w:unhideWhenUsed/>
    <w:rsid w:val="00B709A9"/>
    <w:rPr>
      <w:color w:val="0000FF"/>
      <w:u w:val="single"/>
    </w:rPr>
  </w:style>
  <w:style w:type="character" w:styleId="FollowedHyperlink">
    <w:name w:val="FollowedHyperlink"/>
    <w:basedOn w:val="DefaultParagraphFont"/>
    <w:uiPriority w:val="99"/>
    <w:semiHidden/>
    <w:unhideWhenUsed/>
    <w:rsid w:val="00B709A9"/>
    <w:rPr>
      <w:color w:val="954F72" w:themeColor="followedHyperlink"/>
      <w:u w:val="single"/>
    </w:rPr>
  </w:style>
  <w:style w:type="paragraph" w:customStyle="1" w:styleId="msonormal0">
    <w:name w:val="msonormal"/>
    <w:basedOn w:val="Normal"/>
    <w:rsid w:val="00B709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B709A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HeaderChar">
    <w:name w:val="Header Char"/>
    <w:basedOn w:val="DefaultParagraphFont"/>
    <w:link w:val="Header"/>
    <w:rsid w:val="00B709A9"/>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B709A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FooterChar">
    <w:name w:val="Footer Char"/>
    <w:basedOn w:val="DefaultParagraphFont"/>
    <w:link w:val="Footer"/>
    <w:uiPriority w:val="99"/>
    <w:rsid w:val="00B709A9"/>
    <w:rPr>
      <w:rFonts w:ascii="Times New Roman" w:eastAsia="Times New Roman" w:hAnsi="Times New Roman" w:cs="Times New Roman"/>
      <w:sz w:val="24"/>
      <w:szCs w:val="24"/>
      <w:lang w:val="es-ES" w:eastAsia="es-ES"/>
    </w:rPr>
  </w:style>
  <w:style w:type="paragraph" w:styleId="BalloonText">
    <w:name w:val="Balloon Text"/>
    <w:basedOn w:val="Normal"/>
    <w:link w:val="BalloonTextChar"/>
    <w:semiHidden/>
    <w:unhideWhenUsed/>
    <w:rsid w:val="00B709A9"/>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semiHidden/>
    <w:rsid w:val="00B709A9"/>
    <w:rPr>
      <w:rFonts w:ascii="Tahoma" w:eastAsia="Times New Roman" w:hAnsi="Tahoma" w:cs="Tahoma"/>
      <w:sz w:val="16"/>
      <w:szCs w:val="16"/>
      <w:lang w:val="es-ES" w:eastAsia="es-ES"/>
    </w:rPr>
  </w:style>
  <w:style w:type="character" w:customStyle="1" w:styleId="TextoCar">
    <w:name w:val="Texto Car"/>
    <w:link w:val="Texto"/>
    <w:locked/>
    <w:rsid w:val="00B709A9"/>
    <w:rPr>
      <w:rFonts w:ascii="Arial" w:hAnsi="Arial" w:cs="Arial"/>
      <w:sz w:val="18"/>
      <w:lang w:val="es-ES" w:eastAsia="es-ES"/>
    </w:rPr>
  </w:style>
  <w:style w:type="paragraph" w:customStyle="1" w:styleId="Texto">
    <w:name w:val="Texto"/>
    <w:basedOn w:val="Normal"/>
    <w:link w:val="TextoCar"/>
    <w:rsid w:val="00B709A9"/>
    <w:pPr>
      <w:spacing w:after="101" w:line="216" w:lineRule="exact"/>
      <w:ind w:firstLine="288"/>
      <w:jc w:val="both"/>
    </w:pPr>
    <w:rPr>
      <w:rFonts w:ascii="Arial" w:hAnsi="Arial" w:cs="Arial"/>
      <w:sz w:val="18"/>
      <w:lang w:val="es-ES" w:eastAsia="es-ES"/>
    </w:rPr>
  </w:style>
  <w:style w:type="paragraph" w:customStyle="1" w:styleId="CABEZA">
    <w:name w:val="CABEZA"/>
    <w:basedOn w:val="Normal"/>
    <w:rsid w:val="00B709A9"/>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B709A9"/>
    <w:rPr>
      <w:rFonts w:ascii="Arial" w:hAnsi="Arial" w:cs="Arial"/>
      <w:sz w:val="18"/>
      <w:szCs w:val="18"/>
      <w:lang w:val="es-ES" w:eastAsia="es-ES"/>
    </w:rPr>
  </w:style>
  <w:style w:type="paragraph" w:customStyle="1" w:styleId="ROMANOS">
    <w:name w:val="ROMANOS"/>
    <w:basedOn w:val="Normal"/>
    <w:link w:val="ROMANOSCar"/>
    <w:rsid w:val="00B709A9"/>
    <w:pPr>
      <w:tabs>
        <w:tab w:val="left" w:pos="720"/>
      </w:tabs>
      <w:spacing w:after="101" w:line="216" w:lineRule="exact"/>
      <w:ind w:left="720" w:hanging="432"/>
      <w:jc w:val="both"/>
    </w:pPr>
    <w:rPr>
      <w:rFonts w:ascii="Arial" w:hAnsi="Arial" w:cs="Arial"/>
      <w:sz w:val="18"/>
      <w:szCs w:val="18"/>
      <w:lang w:val="es-ES" w:eastAsia="es-ES"/>
    </w:rPr>
  </w:style>
  <w:style w:type="paragraph" w:customStyle="1" w:styleId="INCISO">
    <w:name w:val="INCISO"/>
    <w:basedOn w:val="Normal"/>
    <w:rsid w:val="00B709A9"/>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B709A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B709A9"/>
    <w:rPr>
      <w:b/>
      <w:sz w:val="18"/>
      <w:lang w:val="es-ES_tradnl" w:eastAsia="es-ES"/>
    </w:rPr>
  </w:style>
  <w:style w:type="paragraph" w:customStyle="1" w:styleId="ANOTACION">
    <w:name w:val="ANOTACION"/>
    <w:basedOn w:val="Normal"/>
    <w:link w:val="ANOTACIONCar"/>
    <w:rsid w:val="00B709A9"/>
    <w:pPr>
      <w:spacing w:before="101" w:after="101" w:line="216" w:lineRule="atLeast"/>
      <w:jc w:val="center"/>
    </w:pPr>
    <w:rPr>
      <w:b/>
      <w:sz w:val="18"/>
      <w:lang w:val="es-ES_tradnl" w:eastAsia="es-ES"/>
    </w:rPr>
  </w:style>
  <w:style w:type="paragraph" w:customStyle="1" w:styleId="SUBIN">
    <w:name w:val="SUBIN"/>
    <w:basedOn w:val="Texto"/>
    <w:rsid w:val="00B709A9"/>
    <w:pPr>
      <w:ind w:left="1987" w:hanging="720"/>
    </w:pPr>
    <w:rPr>
      <w:lang w:val="es-MX"/>
    </w:rPr>
  </w:style>
  <w:style w:type="paragraph" w:customStyle="1" w:styleId="Titulo1">
    <w:name w:val="Titulo 1"/>
    <w:basedOn w:val="Texto"/>
    <w:rsid w:val="00B709A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B709A9"/>
    <w:pPr>
      <w:pBdr>
        <w:top w:val="double" w:sz="6" w:space="1" w:color="auto"/>
      </w:pBdr>
      <w:spacing w:line="240" w:lineRule="auto"/>
      <w:ind w:firstLine="0"/>
      <w:outlineLvl w:val="1"/>
    </w:pPr>
    <w:rPr>
      <w:lang w:val="es-MX"/>
    </w:rPr>
  </w:style>
  <w:style w:type="paragraph" w:customStyle="1" w:styleId="tt">
    <w:name w:val="tt"/>
    <w:basedOn w:val="Texto"/>
    <w:rsid w:val="00B709A9"/>
    <w:pPr>
      <w:tabs>
        <w:tab w:val="left" w:pos="1320"/>
        <w:tab w:val="left" w:pos="1629"/>
      </w:tabs>
      <w:ind w:left="1647" w:hanging="1440"/>
    </w:pPr>
    <w:rPr>
      <w:lang w:val="es-ES_tradnl"/>
    </w:rPr>
  </w:style>
  <w:style w:type="paragraph" w:customStyle="1" w:styleId="sum">
    <w:name w:val="sum"/>
    <w:basedOn w:val="Texto"/>
    <w:rsid w:val="00B709A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B709A9"/>
    <w:pPr>
      <w:spacing w:after="101" w:line="216" w:lineRule="exact"/>
      <w:jc w:val="both"/>
    </w:pPr>
    <w:rPr>
      <w:rFonts w:ascii="Arial" w:eastAsia="Times New Roman" w:hAnsi="Arial" w:cs="Times New Roman"/>
      <w:sz w:val="18"/>
      <w:szCs w:val="20"/>
      <w:lang w:val="es-MX" w:eastAsia="es-MX"/>
    </w:rPr>
  </w:style>
  <w:style w:type="paragraph" w:customStyle="1" w:styleId="texto0">
    <w:name w:val="texto"/>
    <w:basedOn w:val="Normal"/>
    <w:rsid w:val="00B709A9"/>
    <w:pPr>
      <w:spacing w:after="101" w:line="216" w:lineRule="atLeast"/>
      <w:ind w:firstLine="288"/>
      <w:jc w:val="both"/>
    </w:pPr>
    <w:rPr>
      <w:rFonts w:ascii="Arial" w:eastAsia="Times New Roman" w:hAnsi="Arial" w:cs="Arial"/>
      <w:sz w:val="18"/>
      <w:szCs w:val="20"/>
      <w:lang w:val="es-ES_tradnl" w:eastAsia="es-MX"/>
    </w:rPr>
  </w:style>
  <w:style w:type="paragraph" w:customStyle="1" w:styleId="Default">
    <w:name w:val="Default"/>
    <w:rsid w:val="00B709A9"/>
    <w:pPr>
      <w:spacing w:after="0" w:line="240" w:lineRule="auto"/>
    </w:pPr>
    <w:rPr>
      <w:rFonts w:ascii="Arial" w:eastAsia="Times New Roman" w:hAnsi="Arial" w:cs="Arial"/>
      <w:color w:val="000000"/>
      <w:sz w:val="24"/>
      <w:szCs w:val="20"/>
      <w:lang w:val="es-ES" w:eastAsia="es-MX"/>
    </w:rPr>
  </w:style>
  <w:style w:type="paragraph" w:customStyle="1" w:styleId="BodyText21">
    <w:name w:val="Body Text 21"/>
    <w:basedOn w:val="Normal"/>
    <w:rsid w:val="00B709A9"/>
    <w:pPr>
      <w:tabs>
        <w:tab w:val="left" w:pos="0"/>
        <w:tab w:val="left" w:pos="720"/>
        <w:tab w:val="left" w:pos="1440"/>
      </w:tabs>
      <w:spacing w:after="0" w:line="240" w:lineRule="auto"/>
      <w:ind w:left="2835" w:hanging="2835"/>
      <w:jc w:val="both"/>
    </w:pPr>
    <w:rPr>
      <w:rFonts w:ascii="Arial" w:eastAsia="Times New Roman" w:hAnsi="Arial" w:cs="Arial"/>
      <w:sz w:val="24"/>
      <w:szCs w:val="20"/>
      <w:lang w:eastAsia="es-MX"/>
    </w:rPr>
  </w:style>
  <w:style w:type="paragraph" w:customStyle="1" w:styleId="BodyTextIndent21">
    <w:name w:val="Body Text Indent 21"/>
    <w:basedOn w:val="Normal"/>
    <w:rsid w:val="00B709A9"/>
    <w:pPr>
      <w:tabs>
        <w:tab w:val="left" w:pos="0"/>
      </w:tabs>
      <w:spacing w:after="0" w:line="240" w:lineRule="auto"/>
      <w:ind w:left="284" w:hanging="284"/>
      <w:jc w:val="both"/>
    </w:pPr>
    <w:rPr>
      <w:rFonts w:ascii="Arial" w:eastAsia="Times New Roman" w:hAnsi="Arial" w:cs="Arial"/>
      <w:sz w:val="24"/>
      <w:szCs w:val="20"/>
      <w:lang w:eastAsia="es-MX"/>
    </w:rPr>
  </w:style>
  <w:style w:type="paragraph" w:customStyle="1" w:styleId="BodyText31">
    <w:name w:val="Body Text 31"/>
    <w:basedOn w:val="Normal"/>
    <w:rsid w:val="00B709A9"/>
    <w:pPr>
      <w:tabs>
        <w:tab w:val="left" w:pos="-720"/>
      </w:tabs>
      <w:spacing w:after="0" w:line="240" w:lineRule="auto"/>
      <w:jc w:val="center"/>
    </w:pPr>
    <w:rPr>
      <w:rFonts w:ascii="Arial" w:eastAsia="Times New Roman" w:hAnsi="Arial" w:cs="Arial"/>
      <w:b/>
      <w:sz w:val="32"/>
      <w:szCs w:val="20"/>
      <w:lang w:eastAsia="es-MX"/>
    </w:rPr>
  </w:style>
  <w:style w:type="paragraph" w:customStyle="1" w:styleId="Sumario">
    <w:name w:val="Sumario"/>
    <w:basedOn w:val="Normal"/>
    <w:rsid w:val="00B709A9"/>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B709A9"/>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39"/>
    <w:rsid w:val="00B709A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6808">
      <w:bodyDiv w:val="1"/>
      <w:marLeft w:val="0"/>
      <w:marRight w:val="0"/>
      <w:marTop w:val="0"/>
      <w:marBottom w:val="0"/>
      <w:divBdr>
        <w:top w:val="none" w:sz="0" w:space="0" w:color="auto"/>
        <w:left w:val="none" w:sz="0" w:space="0" w:color="auto"/>
        <w:bottom w:val="none" w:sz="0" w:space="0" w:color="auto"/>
        <w:right w:val="none" w:sz="0" w:space="0" w:color="auto"/>
      </w:divBdr>
    </w:div>
    <w:div w:id="90402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16049</Words>
  <Characters>91482</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NOM-051-SCT2-2011</dc:title>
  <dc:subject/>
  <dc:creator>TRANSLATED BY LIC GLENN LOUIS MCBRIDE</dc:creator>
  <cp:keywords>hazardous materials packaging</cp:keywords>
  <dc:description/>
  <cp:lastModifiedBy>GLENN MCBRIDE</cp:lastModifiedBy>
  <cp:revision>2</cp:revision>
  <dcterms:created xsi:type="dcterms:W3CDTF">2022-05-07T22:38:00Z</dcterms:created>
  <dcterms:modified xsi:type="dcterms:W3CDTF">2022-05-07T22:38:00Z</dcterms:modified>
</cp:coreProperties>
</file>