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0"/>
        <w:gridCol w:w="4680"/>
      </w:tblGrid>
      <w:tr w:rsidR="00667595" w:rsidRPr="00CE7512" w14:paraId="51E1A35B" w14:textId="1988C8B1" w:rsidTr="00C377B1">
        <w:tc>
          <w:tcPr>
            <w:tcW w:w="4788" w:type="dxa"/>
            <w:shd w:val="clear" w:color="auto" w:fill="auto"/>
          </w:tcPr>
          <w:p w14:paraId="6E6272F9" w14:textId="77777777" w:rsidR="00667595" w:rsidRPr="00CE7512" w:rsidRDefault="00667595" w:rsidP="00667595">
            <w:pPr>
              <w:pStyle w:val="CABEZA"/>
              <w:rPr>
                <w:rFonts w:ascii="Verdana" w:hAnsi="Verdana" w:cs="Times New Roman"/>
                <w:sz w:val="16"/>
                <w:szCs w:val="16"/>
              </w:rPr>
            </w:pPr>
            <w:r w:rsidRPr="00CE7512">
              <w:rPr>
                <w:rFonts w:ascii="Verdana" w:hAnsi="Verdana" w:cs="Times New Roman"/>
                <w:sz w:val="16"/>
                <w:szCs w:val="16"/>
              </w:rPr>
              <w:t>SECRETARIA DE MEDIO AMBIENTE Y RECURSOS NATURALES</w:t>
            </w:r>
          </w:p>
        </w:tc>
        <w:tc>
          <w:tcPr>
            <w:tcW w:w="4788" w:type="dxa"/>
            <w:shd w:val="clear" w:color="auto" w:fill="auto"/>
          </w:tcPr>
          <w:p w14:paraId="2F87EDEB" w14:textId="64394BE0" w:rsidR="00667595" w:rsidRPr="00CE7512" w:rsidRDefault="00667595" w:rsidP="00667595">
            <w:pPr>
              <w:pStyle w:val="CABEZA"/>
              <w:rPr>
                <w:rFonts w:ascii="Verdana" w:hAnsi="Verdana" w:cs="Times New Roman"/>
                <w:sz w:val="16"/>
                <w:szCs w:val="16"/>
                <w:lang w:val="en-US"/>
              </w:rPr>
            </w:pPr>
            <w:r w:rsidRPr="00CE7512">
              <w:rPr>
                <w:rFonts w:ascii="Verdana" w:eastAsia="Times New Roman" w:hAnsi="Verdana" w:cs="Times New Roman"/>
                <w:bCs/>
                <w:sz w:val="16"/>
                <w:szCs w:val="16"/>
                <w:lang w:val="en-US"/>
              </w:rPr>
              <w:t>SECRETARY OF THE ENVIRONMENT AND NATURAL RESOURCES</w:t>
            </w:r>
          </w:p>
        </w:tc>
      </w:tr>
      <w:tr w:rsidR="00667595" w:rsidRPr="00CE7512" w14:paraId="606B3C91" w14:textId="0CBF0C04" w:rsidTr="00C377B1">
        <w:tc>
          <w:tcPr>
            <w:tcW w:w="4788" w:type="dxa"/>
            <w:shd w:val="clear" w:color="auto" w:fill="auto"/>
          </w:tcPr>
          <w:p w14:paraId="5844BF49" w14:textId="77777777" w:rsidR="00667595" w:rsidRPr="00C377B1" w:rsidRDefault="00667595" w:rsidP="00C377B1">
            <w:pPr>
              <w:pStyle w:val="Titulo1"/>
              <w:pBdr>
                <w:bottom w:val="none" w:sz="0" w:space="0" w:color="auto"/>
              </w:pBdr>
              <w:rPr>
                <w:rFonts w:ascii="Verdana" w:hAnsi="Verdana" w:cs="Times New Roman"/>
                <w:sz w:val="16"/>
                <w:szCs w:val="16"/>
              </w:rPr>
            </w:pPr>
            <w:r w:rsidRPr="00C377B1">
              <w:rPr>
                <w:rFonts w:ascii="Verdana" w:hAnsi="Verdana" w:cs="Times New Roman"/>
                <w:sz w:val="16"/>
                <w:szCs w:val="16"/>
              </w:rPr>
              <w:t>NORMA Oficial Mexicana NOM-150-SEMARNAT-2017,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w:t>
            </w:r>
          </w:p>
        </w:tc>
        <w:tc>
          <w:tcPr>
            <w:tcW w:w="4788" w:type="dxa"/>
            <w:shd w:val="clear" w:color="auto" w:fill="auto"/>
          </w:tcPr>
          <w:p w14:paraId="65BDC1F4" w14:textId="4770632A" w:rsidR="00667595" w:rsidRPr="00C377B1" w:rsidRDefault="00667595" w:rsidP="00C377B1">
            <w:pPr>
              <w:pStyle w:val="Titulo1"/>
              <w:pBdr>
                <w:bottom w:val="none" w:sz="0" w:space="0" w:color="auto"/>
              </w:pBdr>
              <w:rPr>
                <w:rFonts w:ascii="Verdana" w:hAnsi="Verdana" w:cs="Times New Roman"/>
                <w:bCs/>
                <w:sz w:val="16"/>
                <w:szCs w:val="16"/>
                <w:lang w:val="en-US"/>
              </w:rPr>
            </w:pPr>
            <w:r w:rsidRPr="00C377B1">
              <w:rPr>
                <w:rFonts w:ascii="Verdana" w:hAnsi="Verdana" w:cs="Times New Roman"/>
                <w:bCs/>
                <w:sz w:val="16"/>
                <w:szCs w:val="16"/>
                <w:lang w:val="en-US"/>
              </w:rPr>
              <w:t xml:space="preserve">Official Mexican Standard NOM-150-SEMARNAT-2017,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  </w:t>
            </w:r>
          </w:p>
          <w:p w14:paraId="183CBF69" w14:textId="33ABED5C" w:rsidR="00667595" w:rsidRPr="00C377B1" w:rsidRDefault="00667595" w:rsidP="00C377B1">
            <w:pPr>
              <w:pStyle w:val="Titulo1"/>
              <w:pBdr>
                <w:bottom w:val="none" w:sz="0" w:space="0" w:color="auto"/>
              </w:pBdr>
              <w:rPr>
                <w:rFonts w:ascii="Verdana" w:hAnsi="Verdana" w:cs="Times New Roman"/>
                <w:sz w:val="16"/>
                <w:szCs w:val="16"/>
                <w:lang w:val="en-US"/>
              </w:rPr>
            </w:pPr>
          </w:p>
        </w:tc>
      </w:tr>
      <w:tr w:rsidR="00667595" w:rsidRPr="00CE7512" w14:paraId="3FF20DEA" w14:textId="6D87DD55" w:rsidTr="00C377B1">
        <w:tc>
          <w:tcPr>
            <w:tcW w:w="4788" w:type="dxa"/>
            <w:shd w:val="clear" w:color="auto" w:fill="auto"/>
          </w:tcPr>
          <w:p w14:paraId="0CFF79D8" w14:textId="77777777" w:rsidR="00667595" w:rsidRPr="00C377B1" w:rsidRDefault="00667595" w:rsidP="00C377B1">
            <w:pPr>
              <w:pStyle w:val="Titulo2"/>
              <w:pBdr>
                <w:top w:val="none" w:sz="0" w:space="0" w:color="auto"/>
              </w:pBdr>
              <w:rPr>
                <w:rFonts w:ascii="Verdana" w:hAnsi="Verdana"/>
                <w:sz w:val="16"/>
                <w:szCs w:val="16"/>
              </w:rPr>
            </w:pPr>
            <w:r w:rsidRPr="00C377B1">
              <w:rPr>
                <w:rFonts w:ascii="Verdana" w:hAnsi="Verdana"/>
                <w:sz w:val="16"/>
                <w:szCs w:val="16"/>
              </w:rPr>
              <w:t>Al margen un sello con el Escudo Nacional, que dice: Estados Unidos Mexicanos.- Secretaría de Medio Ambiente y Recursos Naturales.</w:t>
            </w:r>
          </w:p>
        </w:tc>
        <w:tc>
          <w:tcPr>
            <w:tcW w:w="4788" w:type="dxa"/>
            <w:shd w:val="clear" w:color="auto" w:fill="auto"/>
          </w:tcPr>
          <w:p w14:paraId="1042FCF1" w14:textId="7505CBC8" w:rsidR="00667595" w:rsidRPr="00C377B1" w:rsidRDefault="00667595" w:rsidP="00C377B1">
            <w:pPr>
              <w:pStyle w:val="Titulo2"/>
              <w:pBdr>
                <w:top w:val="none" w:sz="0" w:space="0" w:color="auto"/>
              </w:pBdr>
              <w:rPr>
                <w:rFonts w:ascii="Verdana" w:hAnsi="Verdana"/>
                <w:sz w:val="16"/>
                <w:szCs w:val="16"/>
                <w:lang w:val="en-US"/>
              </w:rPr>
            </w:pPr>
            <w:r w:rsidRPr="00C377B1">
              <w:rPr>
                <w:rFonts w:ascii="Verdana" w:hAnsi="Verdana" w:cs="Times New Roman"/>
                <w:sz w:val="16"/>
                <w:szCs w:val="16"/>
                <w:lang w:val="en-US"/>
              </w:rPr>
              <w:t>In the margin a stamp with the National Seal, that says: United Mexican States. - Secretary of Environment and Natural Resources.</w:t>
            </w:r>
          </w:p>
        </w:tc>
      </w:tr>
      <w:tr w:rsidR="00667595" w:rsidRPr="00CE7512" w14:paraId="321F22B7" w14:textId="74EE7527" w:rsidTr="00C377B1">
        <w:tc>
          <w:tcPr>
            <w:tcW w:w="4788" w:type="dxa"/>
            <w:shd w:val="clear" w:color="auto" w:fill="auto"/>
          </w:tcPr>
          <w:p w14:paraId="440C978F" w14:textId="77777777" w:rsidR="00667595" w:rsidRPr="00C377B1" w:rsidRDefault="00667595" w:rsidP="00C377B1">
            <w:pPr>
              <w:pStyle w:val="Texto"/>
              <w:spacing w:after="90"/>
              <w:ind w:firstLine="0"/>
              <w:rPr>
                <w:rFonts w:ascii="Verdana" w:hAnsi="Verdana"/>
                <w:sz w:val="16"/>
                <w:szCs w:val="16"/>
              </w:rPr>
            </w:pPr>
            <w:r w:rsidRPr="00C377B1">
              <w:rPr>
                <w:rFonts w:ascii="Verdana" w:hAnsi="Verdana"/>
                <w:b/>
                <w:bCs/>
                <w:sz w:val="16"/>
                <w:szCs w:val="16"/>
              </w:rPr>
              <w:t>CUAUHTÉMOC OCHOA FERNÁNDEZ</w:t>
            </w:r>
            <w:r w:rsidRPr="00C377B1">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los artículos 32 bis fracciones I, II, III, IV y V de la Ley Orgánica de la Administración Pública Federal; 5 fracciones I, II, V, XI, XIII y XIV, 6, 15 fracciones II y IV, 29, 36 fracciones I y III, y 37 de la Ley General del Equilibrio Ecológico y la Protección al Ambiente; 38 fracción II, 40 fracción X, 47, 51, 68, 73 y 74 de la Ley Federal sobre Metrología y Normalización; 28 del Reglamento de la Ley Federal sobre Metrología y Normalización, 8 fracciones III y IV del Reglamento Interior de la Secretaría de Medio Ambiente y Recursos Naturales, y</w:t>
            </w:r>
          </w:p>
        </w:tc>
        <w:tc>
          <w:tcPr>
            <w:tcW w:w="4788" w:type="dxa"/>
            <w:shd w:val="clear" w:color="auto" w:fill="auto"/>
          </w:tcPr>
          <w:p w14:paraId="7B113D92" w14:textId="76031F60" w:rsidR="00667595" w:rsidRPr="00C377B1" w:rsidRDefault="00667595" w:rsidP="00C377B1">
            <w:pPr>
              <w:pStyle w:val="Texto"/>
              <w:spacing w:after="90"/>
              <w:ind w:firstLine="0"/>
              <w:rPr>
                <w:rFonts w:ascii="Verdana" w:hAnsi="Verdana"/>
                <w:sz w:val="16"/>
                <w:szCs w:val="16"/>
                <w:lang w:val="en-US"/>
              </w:rPr>
            </w:pPr>
            <w:r w:rsidRPr="00C377B1">
              <w:rPr>
                <w:rFonts w:ascii="Verdana" w:hAnsi="Verdana" w:cs="Times New Roman"/>
                <w:b/>
                <w:bCs/>
                <w:sz w:val="16"/>
                <w:szCs w:val="16"/>
                <w:lang w:val="en-US"/>
              </w:rPr>
              <w:t>CUAUHTÉMOC OCHOA FERNÁNDEZ</w:t>
            </w:r>
            <w:r w:rsidRPr="00C377B1">
              <w:rPr>
                <w:rFonts w:ascii="Verdana" w:hAnsi="Verdana" w:cs="Times New Roman"/>
                <w:sz w:val="16"/>
                <w:szCs w:val="16"/>
                <w:lang w:val="en-US"/>
              </w:rPr>
              <w:t xml:space="preserve"> Undersecretary of Environmental Development and Legislation of the Secretary of Environment and Natural Resources and Chairman of the National Consultative Committee of Standardization of Environment and Natural Resources based on articles 32 bis sections I, II, III, IV and V of the Organic Law of the Federal Public Administration; 5 sections I, II, V, XI, XIII and XIV, 6, 15 sections II and IV, 29, 36 sections I and III, and 37 of the General Law of Ecological Equilibrium and Environmental Protection; 38 section II, 40 section X, 47, 51, 68, 73 and 74 of the Federal Law on Metrology and Standardization; 28 of the Regulation of the Federal Law on Metrology and Standardization, 8 sections III and IV of the Internal Regulation of the Secretary of Environment and Natural Resources, and</w:t>
            </w:r>
          </w:p>
        </w:tc>
      </w:tr>
      <w:tr w:rsidR="00667595" w:rsidRPr="00C377B1" w14:paraId="25659596" w14:textId="5F73F329" w:rsidTr="00C377B1">
        <w:tc>
          <w:tcPr>
            <w:tcW w:w="4788" w:type="dxa"/>
            <w:shd w:val="clear" w:color="auto" w:fill="auto"/>
          </w:tcPr>
          <w:p w14:paraId="6F83912E" w14:textId="77777777" w:rsidR="00667595" w:rsidRPr="00C377B1" w:rsidRDefault="00667595" w:rsidP="00C377B1">
            <w:pPr>
              <w:pStyle w:val="ANOTACION"/>
              <w:spacing w:after="90" w:line="216" w:lineRule="exact"/>
              <w:rPr>
                <w:rFonts w:ascii="Verdana" w:hAnsi="Verdana"/>
                <w:sz w:val="16"/>
                <w:szCs w:val="16"/>
              </w:rPr>
            </w:pPr>
            <w:r w:rsidRPr="00C377B1">
              <w:rPr>
                <w:rFonts w:ascii="Verdana" w:hAnsi="Verdana"/>
                <w:sz w:val="16"/>
                <w:szCs w:val="16"/>
              </w:rPr>
              <w:t>CONSIDERANDO</w:t>
            </w:r>
          </w:p>
        </w:tc>
        <w:tc>
          <w:tcPr>
            <w:tcW w:w="4788" w:type="dxa"/>
            <w:shd w:val="clear" w:color="auto" w:fill="auto"/>
          </w:tcPr>
          <w:p w14:paraId="7E446619" w14:textId="7C294859" w:rsidR="00667595" w:rsidRPr="00C377B1" w:rsidRDefault="00667595" w:rsidP="00C377B1">
            <w:pPr>
              <w:pStyle w:val="ANOTACION"/>
              <w:spacing w:after="90" w:line="216" w:lineRule="exact"/>
              <w:rPr>
                <w:rFonts w:ascii="Verdana" w:hAnsi="Verdana"/>
                <w:sz w:val="16"/>
                <w:szCs w:val="16"/>
                <w:lang w:val="en-US"/>
              </w:rPr>
            </w:pPr>
            <w:r w:rsidRPr="00C377B1">
              <w:rPr>
                <w:rFonts w:ascii="Verdana" w:hAnsi="Verdana"/>
                <w:bCs/>
                <w:sz w:val="16"/>
                <w:szCs w:val="16"/>
              </w:rPr>
              <w:t>CONSIDERING</w:t>
            </w:r>
          </w:p>
        </w:tc>
      </w:tr>
      <w:tr w:rsidR="00667595" w:rsidRPr="00CE7512" w14:paraId="3A5E243E" w14:textId="210DD71A" w:rsidTr="00C377B1">
        <w:tc>
          <w:tcPr>
            <w:tcW w:w="4788" w:type="dxa"/>
            <w:shd w:val="clear" w:color="auto" w:fill="auto"/>
          </w:tcPr>
          <w:p w14:paraId="45286958" w14:textId="77777777"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t>Que con fecha 6 de marzo de 2007 se publicó en el Diario Oficial de la Federación la Norma Oficial Mexicana NOM-150-SEMARNAT-2006,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w:t>
            </w:r>
          </w:p>
        </w:tc>
        <w:tc>
          <w:tcPr>
            <w:tcW w:w="4788" w:type="dxa"/>
            <w:shd w:val="clear" w:color="auto" w:fill="auto"/>
          </w:tcPr>
          <w:p w14:paraId="2B01CA67" w14:textId="2F29F473" w:rsidR="00667595" w:rsidRPr="00C377B1" w:rsidRDefault="00667595" w:rsidP="00C377B1">
            <w:pPr>
              <w:pStyle w:val="Texto"/>
              <w:spacing w:after="90" w:line="218" w:lineRule="exact"/>
              <w:ind w:firstLine="0"/>
              <w:rPr>
                <w:rFonts w:ascii="Verdana" w:hAnsi="Verdana" w:cs="Times New Roman"/>
                <w:sz w:val="16"/>
                <w:szCs w:val="16"/>
                <w:lang w:val="en-US"/>
              </w:rPr>
            </w:pPr>
            <w:r w:rsidRPr="00C377B1">
              <w:rPr>
                <w:rFonts w:ascii="Verdana" w:hAnsi="Verdana" w:cs="Times New Roman"/>
                <w:sz w:val="16"/>
                <w:szCs w:val="16"/>
                <w:lang w:val="en-US"/>
              </w:rPr>
              <w:t>That on March 6, 2007, this Official Mexican Standard NOM-150-SEMARNAT-20</w:t>
            </w:r>
            <w:r w:rsidR="00CE7512">
              <w:rPr>
                <w:rFonts w:ascii="Verdana" w:hAnsi="Verdana" w:cs="Times New Roman"/>
                <w:sz w:val="16"/>
                <w:szCs w:val="16"/>
                <w:lang w:val="en-US"/>
              </w:rPr>
              <w:t>06</w:t>
            </w:r>
            <w:r w:rsidRPr="00C377B1">
              <w:rPr>
                <w:rFonts w:ascii="Verdana" w:hAnsi="Verdana" w:cs="Times New Roman"/>
                <w:sz w:val="16"/>
                <w:szCs w:val="16"/>
                <w:lang w:val="en-US"/>
              </w:rPr>
              <w:t xml:space="preserve">,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 was published in the Official Daily of the Federation. </w:t>
            </w:r>
          </w:p>
        </w:tc>
      </w:tr>
      <w:tr w:rsidR="00667595" w:rsidRPr="00CE7512" w14:paraId="6CFECDD1" w14:textId="7EBE8F9B" w:rsidTr="00C377B1">
        <w:tc>
          <w:tcPr>
            <w:tcW w:w="4788" w:type="dxa"/>
            <w:shd w:val="clear" w:color="auto" w:fill="auto"/>
          </w:tcPr>
          <w:p w14:paraId="48A13F1B" w14:textId="77777777" w:rsidR="00667595" w:rsidRPr="00C377B1" w:rsidRDefault="00667595" w:rsidP="00C377B1">
            <w:pPr>
              <w:pStyle w:val="Texto"/>
              <w:spacing w:after="90"/>
              <w:ind w:firstLine="0"/>
              <w:rPr>
                <w:rFonts w:ascii="Verdana" w:hAnsi="Verdana"/>
                <w:sz w:val="16"/>
                <w:szCs w:val="16"/>
              </w:rPr>
            </w:pPr>
            <w:r w:rsidRPr="00C377B1">
              <w:rPr>
                <w:rFonts w:ascii="Verdana" w:hAnsi="Verdana"/>
                <w:sz w:val="16"/>
                <w:szCs w:val="16"/>
              </w:rPr>
              <w:t>Que la modificación de la citada norma fue inscrita en el Suplemento del Programa Nacional de Normalización 2012 con el objeto de mejorar la gestión y el seguimiento de los procesos que la misma regula, acotando lineamientos y especificaciones para la protección a la flora y fauna, así como modificar el procedimiento de evaluación de la conformidad para su mejor aplicación.</w:t>
            </w:r>
          </w:p>
        </w:tc>
        <w:tc>
          <w:tcPr>
            <w:tcW w:w="4788" w:type="dxa"/>
            <w:shd w:val="clear" w:color="auto" w:fill="auto"/>
          </w:tcPr>
          <w:p w14:paraId="6F98245E" w14:textId="34E7CC88" w:rsidR="00667595" w:rsidRPr="00C377B1" w:rsidRDefault="00667595" w:rsidP="00C377B1">
            <w:pPr>
              <w:pStyle w:val="Texto"/>
              <w:spacing w:after="90"/>
              <w:ind w:firstLine="0"/>
              <w:rPr>
                <w:rFonts w:ascii="Verdana" w:hAnsi="Verdana"/>
                <w:sz w:val="16"/>
                <w:szCs w:val="16"/>
                <w:lang w:val="en-US"/>
              </w:rPr>
            </w:pPr>
            <w:r w:rsidRPr="00C377B1">
              <w:rPr>
                <w:rFonts w:ascii="Verdana" w:hAnsi="Verdana" w:cs="Times New Roman"/>
                <w:sz w:val="16"/>
                <w:szCs w:val="16"/>
                <w:lang w:val="en-US"/>
              </w:rPr>
              <w:t>That the modification of the aforementioned standard was registered in the Supplement of the National Standardization Program 2012 in order to improve the management and monitoring of the processes that it regulates, limiting guidelines and specifications for the protection of flora and fauna, as well for modifying the conformity assessment procedure for its best application.</w:t>
            </w:r>
          </w:p>
        </w:tc>
      </w:tr>
      <w:tr w:rsidR="00667595" w:rsidRPr="00CE7512" w14:paraId="2ED72FBE" w14:textId="3AB81C1D" w:rsidTr="00C377B1">
        <w:tc>
          <w:tcPr>
            <w:tcW w:w="4788" w:type="dxa"/>
            <w:shd w:val="clear" w:color="auto" w:fill="auto"/>
          </w:tcPr>
          <w:p w14:paraId="062AB10F" w14:textId="77777777"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t>Que de conformidad c</w:t>
            </w:r>
            <w:bookmarkStart w:id="0" w:name="_GoBack"/>
            <w:bookmarkEnd w:id="0"/>
            <w:r w:rsidRPr="00C377B1">
              <w:rPr>
                <w:rFonts w:ascii="Verdana" w:hAnsi="Verdana"/>
                <w:sz w:val="16"/>
                <w:szCs w:val="16"/>
              </w:rPr>
              <w:t xml:space="preserve">on el artículo 51 de la Ley Federal sobre Metrología y Normalización, las normas oficiales mexicanas deberán ser revisadas cada 5 años a partir de la fecha de su entrada en vigor, razón por la cual, se sometió a dicho proceso la Norma Oficial Mexicana NOM-150-SEMARNAT-2006, Que establece las especificaciones técnicas de protección ambiental que deben observarse en las actividades de construcción y </w:t>
            </w:r>
            <w:r w:rsidRPr="00C377B1">
              <w:rPr>
                <w:rFonts w:ascii="Verdana" w:hAnsi="Verdana"/>
                <w:sz w:val="16"/>
                <w:szCs w:val="16"/>
              </w:rPr>
              <w:lastRenderedPageBreak/>
              <w:t>evaluación preliminar de pozos geotérmicos para exploración, ubicados en zonas agrícolas, ganaderas y eriales, fuera de áreas naturales protegidas y terrenos forestales, y que el Grupo de Trabajo acordó su modificación con el fin de actualizarla.</w:t>
            </w:r>
          </w:p>
        </w:tc>
        <w:tc>
          <w:tcPr>
            <w:tcW w:w="4788" w:type="dxa"/>
            <w:shd w:val="clear" w:color="auto" w:fill="auto"/>
          </w:tcPr>
          <w:p w14:paraId="441B6904" w14:textId="3C55C634" w:rsidR="00667595" w:rsidRPr="00C377B1" w:rsidRDefault="00667595" w:rsidP="00C377B1">
            <w:pPr>
              <w:pStyle w:val="Texto"/>
              <w:spacing w:after="90" w:line="218" w:lineRule="exact"/>
              <w:ind w:firstLine="0"/>
              <w:rPr>
                <w:rFonts w:ascii="Verdana" w:hAnsi="Verdana"/>
                <w:sz w:val="16"/>
                <w:szCs w:val="16"/>
                <w:lang w:val="en-US"/>
              </w:rPr>
            </w:pPr>
            <w:r w:rsidRPr="00C377B1">
              <w:rPr>
                <w:rFonts w:ascii="Verdana" w:hAnsi="Verdana" w:cs="Times New Roman"/>
                <w:sz w:val="16"/>
                <w:szCs w:val="16"/>
                <w:lang w:val="en-US"/>
              </w:rPr>
              <w:lastRenderedPageBreak/>
              <w:t xml:space="preserve">That in accordance with Article 51 of the Federal Law on Metrology and Standardization, the Official Mexican Standards must be reviewed every 5 years from the date of their taking effect, which is why the Official Mexican Standard </w:t>
            </w:r>
            <w:r w:rsidR="00DC213D" w:rsidRPr="00C377B1">
              <w:rPr>
                <w:rFonts w:ascii="Verdana" w:hAnsi="Verdana" w:cs="Times New Roman"/>
                <w:sz w:val="16"/>
                <w:szCs w:val="16"/>
                <w:lang w:val="en-US"/>
              </w:rPr>
              <w:t>NOM-150-SEMARNAT-20</w:t>
            </w:r>
            <w:r w:rsidR="00CE7512">
              <w:rPr>
                <w:rFonts w:ascii="Verdana" w:hAnsi="Verdana" w:cs="Times New Roman"/>
                <w:sz w:val="16"/>
                <w:szCs w:val="16"/>
                <w:lang w:val="en-US"/>
              </w:rPr>
              <w:t>06</w:t>
            </w:r>
            <w:r w:rsidR="00DC213D" w:rsidRPr="00C377B1">
              <w:rPr>
                <w:rFonts w:ascii="Verdana" w:hAnsi="Verdana" w:cs="Times New Roman"/>
                <w:sz w:val="16"/>
                <w:szCs w:val="16"/>
                <w:lang w:val="en-US"/>
              </w:rPr>
              <w:t xml:space="preserve">, which establishes technical specifications for environmental protection that must be observed in construction activities and the preliminary evaluation of geothermal </w:t>
            </w:r>
            <w:r w:rsidR="00DC213D" w:rsidRPr="00C377B1">
              <w:rPr>
                <w:rFonts w:ascii="Verdana" w:hAnsi="Verdana" w:cs="Times New Roman"/>
                <w:sz w:val="16"/>
                <w:szCs w:val="16"/>
                <w:lang w:val="en-US"/>
              </w:rPr>
              <w:lastRenderedPageBreak/>
              <w:t xml:space="preserve">wells for exploration, located in uncultivated agricultural areas, livestock and outside protected natural areas and forest land </w:t>
            </w:r>
            <w:r w:rsidR="00DC213D" w:rsidRPr="00C377B1">
              <w:rPr>
                <w:rFonts w:ascii="Verdana" w:hAnsi="Verdana"/>
                <w:sz w:val="16"/>
                <w:szCs w:val="16"/>
                <w:lang w:val="en-US"/>
              </w:rPr>
              <w:t>was submitted to said process</w:t>
            </w:r>
            <w:r w:rsidRPr="00C377B1">
              <w:rPr>
                <w:rFonts w:ascii="Verdana" w:hAnsi="Verdana" w:cs="Times New Roman"/>
                <w:sz w:val="16"/>
                <w:szCs w:val="16"/>
                <w:lang w:val="en-US"/>
              </w:rPr>
              <w:t xml:space="preserve"> and that the Working Group agreed to its modification in order to update it.</w:t>
            </w:r>
            <w:r w:rsidR="00DC213D" w:rsidRPr="00C377B1">
              <w:rPr>
                <w:rFonts w:ascii="Verdana" w:hAnsi="Verdana" w:cs="Times New Roman"/>
                <w:sz w:val="16"/>
                <w:szCs w:val="16"/>
                <w:lang w:val="en-US"/>
              </w:rPr>
              <w:t xml:space="preserve"> </w:t>
            </w:r>
          </w:p>
        </w:tc>
      </w:tr>
      <w:tr w:rsidR="00667595" w:rsidRPr="00CE7512" w14:paraId="4E715E92" w14:textId="6A98882E" w:rsidTr="00C377B1">
        <w:tc>
          <w:tcPr>
            <w:tcW w:w="4788" w:type="dxa"/>
            <w:shd w:val="clear" w:color="auto" w:fill="auto"/>
          </w:tcPr>
          <w:p w14:paraId="104F54B5" w14:textId="77777777"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lastRenderedPageBreak/>
              <w:t>Que con motivo de la publicación en el Diario Oficial de la Federación el día 11 de agosto de 2014, del Decreto por el que se expide la Ley de la Industria Eléctrica y la Ley de Energía Geotérmica y los reglamentos respectivos, entre otras, se hace necesaria la modificación de la NOM-150-SEMARNAT-2006, con el fin de incluir los nuevos conceptos en la Norma Oficial Mexicana.</w:t>
            </w:r>
          </w:p>
        </w:tc>
        <w:tc>
          <w:tcPr>
            <w:tcW w:w="4788" w:type="dxa"/>
            <w:shd w:val="clear" w:color="auto" w:fill="auto"/>
          </w:tcPr>
          <w:p w14:paraId="78AD42B8" w14:textId="4261B246" w:rsidR="00667595" w:rsidRPr="00C377B1" w:rsidRDefault="00667595" w:rsidP="00C377B1">
            <w:pPr>
              <w:pStyle w:val="Texto"/>
              <w:spacing w:after="90"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on the occasion of the publication in the Official Daily of the Federation on August 11, 2014, of the Decree by which the Law of the Electrical Industry and the Law of Geothermal Energy and the respective regulations, among others, </w:t>
            </w:r>
            <w:r w:rsidR="00DC213D" w:rsidRPr="00C377B1">
              <w:rPr>
                <w:rFonts w:ascii="Verdana" w:hAnsi="Verdana" w:cs="Times New Roman"/>
                <w:sz w:val="16"/>
                <w:szCs w:val="16"/>
                <w:lang w:val="en-US"/>
              </w:rPr>
              <w:t>the</w:t>
            </w:r>
            <w:r w:rsidRPr="00C377B1">
              <w:rPr>
                <w:rFonts w:ascii="Verdana" w:hAnsi="Verdana" w:cs="Times New Roman"/>
                <w:sz w:val="16"/>
                <w:szCs w:val="16"/>
                <w:lang w:val="en-US"/>
              </w:rPr>
              <w:t xml:space="preserve"> modification of NOM-150-SEMARNAT-2006 is necessary, in order to include the new concepts in the Official Mexican Standard.</w:t>
            </w:r>
          </w:p>
        </w:tc>
      </w:tr>
      <w:tr w:rsidR="00667595" w:rsidRPr="00CE7512" w14:paraId="0D32227D" w14:textId="29E59045" w:rsidTr="00C377B1">
        <w:tc>
          <w:tcPr>
            <w:tcW w:w="4788" w:type="dxa"/>
            <w:shd w:val="clear" w:color="auto" w:fill="auto"/>
          </w:tcPr>
          <w:p w14:paraId="6E45F76E" w14:textId="77777777"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t>Que la Secretaría de Medio Ambiente y Recursos Naturales, a través de sus unidades administrativas encargadas de llevar el seguimiento y la vigilancia del cumplimiento de la norma oficial mexicana en cuestión así como el Grupo de Trabajo especializado, habiendo realizado la revisión de la misma encontraron necesario efectuar las siguientes adecuaciones a la norma; a) Eliminar la protección perimetral del área de operación de los pozos, con malla ciclónica ya que la infraestructura de los pozos no representa un riesgo para la fauna; b) Simplificar la redacción de la norma vigente para dar mayor claridad a los sujetos regulados; y c) la inclusión de nuevos conceptos, derivados de la publicación de la Ley de Energía Geotérmica.</w:t>
            </w:r>
          </w:p>
        </w:tc>
        <w:tc>
          <w:tcPr>
            <w:tcW w:w="4788" w:type="dxa"/>
            <w:shd w:val="clear" w:color="auto" w:fill="auto"/>
          </w:tcPr>
          <w:p w14:paraId="66DC719E" w14:textId="037ADD23" w:rsidR="00667595" w:rsidRPr="00C377B1" w:rsidRDefault="00667595" w:rsidP="00C377B1">
            <w:pPr>
              <w:pStyle w:val="Texto"/>
              <w:spacing w:after="90"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the Secretary of Environment and Natural Resources, through its administrative units responsible for </w:t>
            </w:r>
            <w:r w:rsidR="00DC213D" w:rsidRPr="00C377B1">
              <w:rPr>
                <w:rFonts w:ascii="Verdana" w:hAnsi="Verdana" w:cs="Times New Roman"/>
                <w:sz w:val="16"/>
                <w:szCs w:val="16"/>
                <w:lang w:val="en-US"/>
              </w:rPr>
              <w:t>follow up and oversight to the</w:t>
            </w:r>
            <w:r w:rsidRPr="00C377B1">
              <w:rPr>
                <w:rFonts w:ascii="Verdana" w:hAnsi="Verdana" w:cs="Times New Roman"/>
                <w:sz w:val="16"/>
                <w:szCs w:val="16"/>
                <w:lang w:val="en-US"/>
              </w:rPr>
              <w:t xml:space="preserve"> compliance with the </w:t>
            </w:r>
            <w:r w:rsidR="00DC213D" w:rsidRPr="00C377B1">
              <w:rPr>
                <w:rFonts w:ascii="Verdana" w:hAnsi="Verdana" w:cs="Times New Roman"/>
                <w:sz w:val="16"/>
                <w:szCs w:val="16"/>
                <w:lang w:val="en-US"/>
              </w:rPr>
              <w:t>Official Mexican Standard</w:t>
            </w:r>
            <w:r w:rsidRPr="00C377B1">
              <w:rPr>
                <w:rFonts w:ascii="Verdana" w:hAnsi="Verdana" w:cs="Times New Roman"/>
                <w:sz w:val="16"/>
                <w:szCs w:val="16"/>
                <w:lang w:val="en-US"/>
              </w:rPr>
              <w:t xml:space="preserve"> in question</w:t>
            </w:r>
            <w:r w:rsidR="00DC213D" w:rsidRPr="00C377B1">
              <w:rPr>
                <w:rFonts w:ascii="Verdana" w:hAnsi="Verdana" w:cs="Times New Roman"/>
                <w:sz w:val="16"/>
                <w:szCs w:val="16"/>
                <w:lang w:val="en-US"/>
              </w:rPr>
              <w:t>,</w:t>
            </w:r>
            <w:r w:rsidRPr="00C377B1">
              <w:rPr>
                <w:rFonts w:ascii="Verdana" w:hAnsi="Verdana" w:cs="Times New Roman"/>
                <w:sz w:val="16"/>
                <w:szCs w:val="16"/>
                <w:lang w:val="en-US"/>
              </w:rPr>
              <w:t xml:space="preserve"> as well as the specialized Working Group, having carried out the </w:t>
            </w:r>
            <w:r w:rsidR="00DC213D" w:rsidRPr="00C377B1">
              <w:rPr>
                <w:rFonts w:ascii="Verdana" w:hAnsi="Verdana" w:cs="Times New Roman"/>
                <w:sz w:val="16"/>
                <w:szCs w:val="16"/>
                <w:lang w:val="en-US"/>
              </w:rPr>
              <w:t>review of the same</w:t>
            </w:r>
            <w:r w:rsidRPr="00C377B1">
              <w:rPr>
                <w:rFonts w:ascii="Verdana" w:hAnsi="Verdana" w:cs="Times New Roman"/>
                <w:sz w:val="16"/>
                <w:szCs w:val="16"/>
                <w:lang w:val="en-US"/>
              </w:rPr>
              <w:t xml:space="preserve">, </w:t>
            </w:r>
            <w:r w:rsidR="00DC213D" w:rsidRPr="00C377B1">
              <w:rPr>
                <w:rFonts w:ascii="Verdana" w:hAnsi="Verdana" w:cs="Times New Roman"/>
                <w:sz w:val="16"/>
                <w:szCs w:val="16"/>
                <w:lang w:val="en-US"/>
              </w:rPr>
              <w:t xml:space="preserve">they </w:t>
            </w:r>
            <w:r w:rsidRPr="00C377B1">
              <w:rPr>
                <w:rFonts w:ascii="Verdana" w:hAnsi="Verdana" w:cs="Times New Roman"/>
                <w:sz w:val="16"/>
                <w:szCs w:val="16"/>
                <w:lang w:val="en-US"/>
              </w:rPr>
              <w:t xml:space="preserve">found it necessary make the following adjustments to the standard; a) Eliminate the perimeter protection of the area of </w:t>
            </w:r>
            <w:r w:rsidRPr="00C377B1">
              <w:rPr>
                <w:sz w:val="16"/>
                <w:szCs w:val="16"/>
                <w:lang w:val="en-US"/>
              </w:rPr>
              <w:t>​​</w:t>
            </w:r>
            <w:r w:rsidRPr="00C377B1">
              <w:rPr>
                <w:rFonts w:ascii="Verdana" w:hAnsi="Verdana" w:cs="Times New Roman"/>
                <w:sz w:val="16"/>
                <w:szCs w:val="16"/>
                <w:lang w:val="en-US"/>
              </w:rPr>
              <w:t xml:space="preserve">operation of the wells, with cyclonic mesh since the infrastructure of the wells does not represent a risk for wildlife; b) Simplify the wording of the current </w:t>
            </w:r>
            <w:r w:rsidR="00DC213D" w:rsidRPr="00C377B1">
              <w:rPr>
                <w:rFonts w:ascii="Verdana" w:hAnsi="Verdana" w:cs="Times New Roman"/>
                <w:sz w:val="16"/>
                <w:szCs w:val="16"/>
                <w:lang w:val="en-US"/>
              </w:rPr>
              <w:t>Standard</w:t>
            </w:r>
            <w:r w:rsidRPr="00C377B1">
              <w:rPr>
                <w:rFonts w:ascii="Verdana" w:hAnsi="Verdana" w:cs="Times New Roman"/>
                <w:sz w:val="16"/>
                <w:szCs w:val="16"/>
                <w:lang w:val="en-US"/>
              </w:rPr>
              <w:t xml:space="preserve"> to give greater clarity to the regulated subjects; and c) the inclusion of new concepts, derived from the publication of the Geothermal Energy Law.</w:t>
            </w:r>
          </w:p>
        </w:tc>
      </w:tr>
      <w:tr w:rsidR="00667595" w:rsidRPr="00CE7512" w14:paraId="5B6A94E6" w14:textId="31FFB056" w:rsidTr="00C377B1">
        <w:tc>
          <w:tcPr>
            <w:tcW w:w="4788" w:type="dxa"/>
            <w:shd w:val="clear" w:color="auto" w:fill="auto"/>
          </w:tcPr>
          <w:p w14:paraId="5761BBB3" w14:textId="77777777"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t>Que dichas adecuaciones permitirán una mejor observancia y vigilancia de la Norma.</w:t>
            </w:r>
          </w:p>
        </w:tc>
        <w:tc>
          <w:tcPr>
            <w:tcW w:w="4788" w:type="dxa"/>
            <w:shd w:val="clear" w:color="auto" w:fill="auto"/>
          </w:tcPr>
          <w:p w14:paraId="391CA956" w14:textId="0C5E4281" w:rsidR="00667595" w:rsidRPr="00C377B1" w:rsidRDefault="00667595" w:rsidP="00C377B1">
            <w:pPr>
              <w:pStyle w:val="Texto"/>
              <w:spacing w:after="90"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said adjustments will allow a better observance and </w:t>
            </w:r>
            <w:r w:rsidR="00DC213D" w:rsidRPr="00C377B1">
              <w:rPr>
                <w:rFonts w:ascii="Verdana" w:hAnsi="Verdana" w:cs="Times New Roman"/>
                <w:sz w:val="16"/>
                <w:szCs w:val="16"/>
                <w:lang w:val="en-US"/>
              </w:rPr>
              <w:t>oversight to</w:t>
            </w:r>
            <w:r w:rsidRPr="00C377B1">
              <w:rPr>
                <w:rFonts w:ascii="Verdana" w:hAnsi="Verdana" w:cs="Times New Roman"/>
                <w:sz w:val="16"/>
                <w:szCs w:val="16"/>
                <w:lang w:val="en-US"/>
              </w:rPr>
              <w:t xml:space="preserve"> the Standard.</w:t>
            </w:r>
          </w:p>
        </w:tc>
      </w:tr>
      <w:tr w:rsidR="00667595" w:rsidRPr="00CE7512" w14:paraId="62A95C58" w14:textId="1B9916C5" w:rsidTr="00C377B1">
        <w:tc>
          <w:tcPr>
            <w:tcW w:w="4788" w:type="dxa"/>
            <w:shd w:val="clear" w:color="auto" w:fill="auto"/>
          </w:tcPr>
          <w:p w14:paraId="22DF115A" w14:textId="2B52AEE5" w:rsidR="00667595" w:rsidRPr="00C377B1" w:rsidRDefault="00667595" w:rsidP="00C377B1">
            <w:pPr>
              <w:pStyle w:val="Texto"/>
              <w:spacing w:after="90" w:line="218" w:lineRule="exact"/>
              <w:ind w:firstLine="0"/>
              <w:rPr>
                <w:rFonts w:ascii="Verdana" w:hAnsi="Verdana"/>
                <w:sz w:val="16"/>
                <w:szCs w:val="16"/>
              </w:rPr>
            </w:pPr>
            <w:r w:rsidRPr="00C377B1">
              <w:rPr>
                <w:rFonts w:ascii="Verdana" w:hAnsi="Verdana"/>
                <w:sz w:val="16"/>
                <w:szCs w:val="16"/>
              </w:rPr>
              <w:t xml:space="preserve">Que en cumplimiento a lo establecido en el artículo 47 fracción I de la Ley Federal sobre Metrología y Normalización, con fecha 27 de agosto de 2015, se publicó en el Diario Oficial de la Federación con carácter de Proyecto de Modificación de Norma Oficial Mexicana NOM-150-SEMARNAT-2006,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 con el fin de que dentro de los 60 días naturales siguientes a la fecha de publicación, los interesados presentaran sus comentarios ante el Comité Consultivo Nacional de Normalización de Medio Ambiente y Recursos Naturales, sito en Boulevard Adolfo Ruiz Cortines número 4209, quinto piso, ala “B”, Fraccionamiento Jardines en la Montaña, Delegación Tlalpan, código postal 14210, Distrito Federal, teléfono (55) 56280772 o en el correo electrónico </w:t>
            </w:r>
            <w:hyperlink r:id="rId7" w:history="1">
              <w:r w:rsidR="00DC213D" w:rsidRPr="00C377B1">
                <w:rPr>
                  <w:rStyle w:val="Hyperlink"/>
                  <w:rFonts w:ascii="Verdana" w:hAnsi="Verdana"/>
                  <w:sz w:val="16"/>
                  <w:szCs w:val="16"/>
                </w:rPr>
                <w:t>luis.camargo@semarnat.gob.mx</w:t>
              </w:r>
            </w:hyperlink>
            <w:r w:rsidR="00DC213D" w:rsidRPr="00C377B1">
              <w:rPr>
                <w:rFonts w:ascii="Verdana" w:hAnsi="Verdana"/>
                <w:sz w:val="16"/>
                <w:szCs w:val="16"/>
              </w:rPr>
              <w:t xml:space="preserve"> </w:t>
            </w:r>
          </w:p>
        </w:tc>
        <w:tc>
          <w:tcPr>
            <w:tcW w:w="4788" w:type="dxa"/>
            <w:shd w:val="clear" w:color="auto" w:fill="auto"/>
          </w:tcPr>
          <w:p w14:paraId="5B0B44D4" w14:textId="73533BD0" w:rsidR="00667595" w:rsidRPr="00C377B1" w:rsidRDefault="00667595" w:rsidP="00C377B1">
            <w:pPr>
              <w:pStyle w:val="Texto"/>
              <w:spacing w:after="90"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in compliance with the provisions of article 47 section I of the Federal Law on Metrology and Standardization, dated August 27, 2015, it was published in the Official Daily of the Federation as a Project of Modification of Official Mexican Standard </w:t>
            </w:r>
            <w:r w:rsidR="00DC213D" w:rsidRPr="00CE7512">
              <w:rPr>
                <w:rFonts w:ascii="Verdana" w:hAnsi="Verdana"/>
                <w:sz w:val="16"/>
                <w:szCs w:val="16"/>
                <w:lang w:val="en-US"/>
              </w:rPr>
              <w:t>NOM-150-SEMARNAT-20</w:t>
            </w:r>
            <w:r w:rsidR="00CE7512" w:rsidRPr="00CE7512">
              <w:rPr>
                <w:rFonts w:ascii="Verdana" w:hAnsi="Verdana"/>
                <w:sz w:val="16"/>
                <w:szCs w:val="16"/>
                <w:lang w:val="en-US"/>
              </w:rPr>
              <w:t>06</w:t>
            </w:r>
            <w:r w:rsidR="00DC213D" w:rsidRPr="00CE7512">
              <w:rPr>
                <w:rFonts w:ascii="Verdana" w:hAnsi="Verdana"/>
                <w:sz w:val="16"/>
                <w:szCs w:val="16"/>
                <w:lang w:val="en-US"/>
              </w:rPr>
              <w:t>,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w:t>
            </w:r>
            <w:r w:rsidRPr="00CE7512">
              <w:rPr>
                <w:rFonts w:ascii="Verdana" w:hAnsi="Verdana" w:cs="Times New Roman"/>
                <w:sz w:val="16"/>
                <w:szCs w:val="16"/>
                <w:lang w:val="en-US"/>
              </w:rPr>
              <w:t>,</w:t>
            </w:r>
            <w:r w:rsidRPr="00C377B1">
              <w:rPr>
                <w:rFonts w:ascii="Verdana" w:hAnsi="Verdana" w:cs="Times New Roman"/>
                <w:sz w:val="16"/>
                <w:szCs w:val="16"/>
                <w:lang w:val="en-US"/>
              </w:rPr>
              <w:t xml:space="preserve"> </w:t>
            </w:r>
            <w:r w:rsidR="00DC213D" w:rsidRPr="00C377B1">
              <w:rPr>
                <w:rFonts w:ascii="Verdana" w:hAnsi="Verdana" w:cs="Times New Roman"/>
                <w:sz w:val="16"/>
                <w:szCs w:val="16"/>
                <w:lang w:val="en-US"/>
              </w:rPr>
              <w:t xml:space="preserve">so </w:t>
            </w:r>
            <w:r w:rsidRPr="00C377B1">
              <w:rPr>
                <w:rFonts w:ascii="Verdana" w:hAnsi="Verdana" w:cs="Times New Roman"/>
                <w:sz w:val="16"/>
                <w:szCs w:val="16"/>
                <w:lang w:val="en-US"/>
              </w:rPr>
              <w:t xml:space="preserve"> that within 60 calendar days following the date of publication, the interested parties </w:t>
            </w:r>
            <w:r w:rsidR="00DC213D" w:rsidRPr="00C377B1">
              <w:rPr>
                <w:rFonts w:ascii="Verdana" w:hAnsi="Verdana" w:cs="Times New Roman"/>
                <w:sz w:val="16"/>
                <w:szCs w:val="16"/>
                <w:lang w:val="en-US"/>
              </w:rPr>
              <w:t>might</w:t>
            </w:r>
            <w:r w:rsidRPr="00C377B1">
              <w:rPr>
                <w:rFonts w:ascii="Verdana" w:hAnsi="Verdana" w:cs="Times New Roman"/>
                <w:sz w:val="16"/>
                <w:szCs w:val="16"/>
                <w:lang w:val="en-US"/>
              </w:rPr>
              <w:t xml:space="preserve"> submit their comments to the National Consultative Committee for the Standardization of Environment and Natural Resources, located at Boulevard Adolfo Ruiz Cortines number 4209, fifth floor, wing “ B ”, </w:t>
            </w:r>
            <w:proofErr w:type="spellStart"/>
            <w:r w:rsidR="00DC213D" w:rsidRPr="00C377B1">
              <w:rPr>
                <w:rFonts w:ascii="Verdana" w:hAnsi="Verdana"/>
                <w:sz w:val="16"/>
                <w:szCs w:val="16"/>
                <w:lang w:val="en-US"/>
              </w:rPr>
              <w:t>Fraccionamiento</w:t>
            </w:r>
            <w:proofErr w:type="spellEnd"/>
            <w:r w:rsidR="00DC213D" w:rsidRPr="00C377B1">
              <w:rPr>
                <w:rFonts w:ascii="Verdana" w:hAnsi="Verdana"/>
                <w:sz w:val="16"/>
                <w:szCs w:val="16"/>
                <w:lang w:val="en-US"/>
              </w:rPr>
              <w:t xml:space="preserve"> </w:t>
            </w:r>
            <w:proofErr w:type="spellStart"/>
            <w:r w:rsidR="00DC213D" w:rsidRPr="00C377B1">
              <w:rPr>
                <w:rFonts w:ascii="Verdana" w:hAnsi="Verdana"/>
                <w:sz w:val="16"/>
                <w:szCs w:val="16"/>
                <w:lang w:val="en-US"/>
              </w:rPr>
              <w:t>Jardines</w:t>
            </w:r>
            <w:proofErr w:type="spellEnd"/>
            <w:r w:rsidR="00DC213D" w:rsidRPr="00C377B1">
              <w:rPr>
                <w:rFonts w:ascii="Verdana" w:hAnsi="Verdana"/>
                <w:sz w:val="16"/>
                <w:szCs w:val="16"/>
                <w:lang w:val="en-US"/>
              </w:rPr>
              <w:t xml:space="preserve"> </w:t>
            </w:r>
            <w:proofErr w:type="spellStart"/>
            <w:r w:rsidR="00DC213D" w:rsidRPr="00C377B1">
              <w:rPr>
                <w:rFonts w:ascii="Verdana" w:hAnsi="Verdana"/>
                <w:sz w:val="16"/>
                <w:szCs w:val="16"/>
                <w:lang w:val="en-US"/>
              </w:rPr>
              <w:t>en</w:t>
            </w:r>
            <w:proofErr w:type="spellEnd"/>
            <w:r w:rsidR="00DC213D" w:rsidRPr="00C377B1">
              <w:rPr>
                <w:rFonts w:ascii="Verdana" w:hAnsi="Verdana"/>
                <w:sz w:val="16"/>
                <w:szCs w:val="16"/>
                <w:lang w:val="en-US"/>
              </w:rPr>
              <w:t xml:space="preserve"> la Montaña</w:t>
            </w:r>
            <w:r w:rsidRPr="00C377B1">
              <w:rPr>
                <w:rFonts w:ascii="Verdana" w:hAnsi="Verdana" w:cs="Times New Roman"/>
                <w:sz w:val="16"/>
                <w:szCs w:val="16"/>
                <w:lang w:val="en-US"/>
              </w:rPr>
              <w:t xml:space="preserve">, </w:t>
            </w:r>
            <w:proofErr w:type="spellStart"/>
            <w:r w:rsidRPr="00C377B1">
              <w:rPr>
                <w:rFonts w:ascii="Verdana" w:hAnsi="Verdana" w:cs="Times New Roman"/>
                <w:sz w:val="16"/>
                <w:szCs w:val="16"/>
                <w:lang w:val="en-US"/>
              </w:rPr>
              <w:t>Tlalpan</w:t>
            </w:r>
            <w:proofErr w:type="spellEnd"/>
            <w:r w:rsidRPr="00C377B1">
              <w:rPr>
                <w:rFonts w:ascii="Verdana" w:hAnsi="Verdana" w:cs="Times New Roman"/>
                <w:sz w:val="16"/>
                <w:szCs w:val="16"/>
                <w:lang w:val="en-US"/>
              </w:rPr>
              <w:t xml:space="preserve"> Delegation, </w:t>
            </w:r>
            <w:r w:rsidR="00DC213D" w:rsidRPr="00C377B1">
              <w:rPr>
                <w:rFonts w:ascii="Verdana" w:hAnsi="Verdana" w:cs="Times New Roman"/>
                <w:sz w:val="16"/>
                <w:szCs w:val="16"/>
                <w:lang w:val="en-US"/>
              </w:rPr>
              <w:t>postal</w:t>
            </w:r>
            <w:r w:rsidRPr="00C377B1">
              <w:rPr>
                <w:rFonts w:ascii="Verdana" w:hAnsi="Verdana" w:cs="Times New Roman"/>
                <w:sz w:val="16"/>
                <w:szCs w:val="16"/>
                <w:lang w:val="en-US"/>
              </w:rPr>
              <w:t xml:space="preserve"> code 14210, Federal</w:t>
            </w:r>
            <w:r w:rsidR="00DC213D" w:rsidRPr="00C377B1">
              <w:rPr>
                <w:rFonts w:ascii="Verdana" w:hAnsi="Verdana" w:cs="Times New Roman"/>
                <w:sz w:val="16"/>
                <w:szCs w:val="16"/>
                <w:lang w:val="en-US"/>
              </w:rPr>
              <w:t xml:space="preserve"> District</w:t>
            </w:r>
            <w:r w:rsidRPr="00C377B1">
              <w:rPr>
                <w:rFonts w:ascii="Verdana" w:hAnsi="Verdana" w:cs="Times New Roman"/>
                <w:sz w:val="16"/>
                <w:szCs w:val="16"/>
                <w:lang w:val="en-US"/>
              </w:rPr>
              <w:t xml:space="preserve">, phone (55) 56280772 or email </w:t>
            </w:r>
            <w:hyperlink r:id="rId8" w:history="1">
              <w:r w:rsidR="00DC213D" w:rsidRPr="00C377B1">
                <w:rPr>
                  <w:rStyle w:val="Hyperlink"/>
                  <w:rFonts w:ascii="Verdana" w:hAnsi="Verdana" w:cs="Times New Roman"/>
                  <w:sz w:val="16"/>
                  <w:szCs w:val="16"/>
                  <w:lang w:val="en-US"/>
                </w:rPr>
                <w:t>luis.camargo@semarnat.gob.mx</w:t>
              </w:r>
            </w:hyperlink>
            <w:r w:rsidR="00DC213D" w:rsidRPr="00C377B1">
              <w:rPr>
                <w:rFonts w:ascii="Verdana" w:hAnsi="Verdana" w:cs="Times New Roman"/>
                <w:sz w:val="16"/>
                <w:szCs w:val="16"/>
                <w:lang w:val="en-US"/>
              </w:rPr>
              <w:t xml:space="preserve"> </w:t>
            </w:r>
          </w:p>
        </w:tc>
      </w:tr>
      <w:tr w:rsidR="00667595" w:rsidRPr="00CE7512" w14:paraId="7965A39F" w14:textId="5A5C5ADF" w:rsidTr="00C377B1">
        <w:tc>
          <w:tcPr>
            <w:tcW w:w="4788" w:type="dxa"/>
            <w:shd w:val="clear" w:color="auto" w:fill="auto"/>
          </w:tcPr>
          <w:p w14:paraId="16489415" w14:textId="77777777" w:rsidR="00667595" w:rsidRPr="00C377B1" w:rsidRDefault="00667595" w:rsidP="00C377B1">
            <w:pPr>
              <w:pStyle w:val="Texto"/>
              <w:spacing w:line="218" w:lineRule="exact"/>
              <w:ind w:firstLine="0"/>
              <w:rPr>
                <w:rFonts w:ascii="Verdana" w:hAnsi="Verdana"/>
                <w:sz w:val="16"/>
                <w:szCs w:val="16"/>
              </w:rPr>
            </w:pPr>
            <w:r w:rsidRPr="00C377B1">
              <w:rPr>
                <w:rFonts w:ascii="Verdana" w:hAnsi="Verdana"/>
                <w:sz w:val="16"/>
                <w:szCs w:val="16"/>
              </w:rPr>
              <w:t>Que en el plazo de los 60 días antes señalados, no se presentaron comentarios al proyecto en cuestión, por lo que no fue necesario llevar a cabo modificaciones al mismo.</w:t>
            </w:r>
          </w:p>
        </w:tc>
        <w:tc>
          <w:tcPr>
            <w:tcW w:w="4788" w:type="dxa"/>
            <w:shd w:val="clear" w:color="auto" w:fill="auto"/>
          </w:tcPr>
          <w:p w14:paraId="2416FF65" w14:textId="2F01B2D6" w:rsidR="00667595" w:rsidRPr="00C377B1" w:rsidRDefault="00667595" w:rsidP="00C377B1">
            <w:pPr>
              <w:pStyle w:val="Texto"/>
              <w:spacing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within the period of the 60 days </w:t>
            </w:r>
            <w:r w:rsidR="00DC213D" w:rsidRPr="00C377B1">
              <w:rPr>
                <w:rFonts w:ascii="Verdana" w:hAnsi="Verdana" w:cs="Times New Roman"/>
                <w:sz w:val="16"/>
                <w:szCs w:val="16"/>
                <w:lang w:val="en-US"/>
              </w:rPr>
              <w:t>stipulated</w:t>
            </w:r>
            <w:r w:rsidRPr="00C377B1">
              <w:rPr>
                <w:rFonts w:ascii="Verdana" w:hAnsi="Verdana" w:cs="Times New Roman"/>
                <w:sz w:val="16"/>
                <w:szCs w:val="16"/>
                <w:lang w:val="en-US"/>
              </w:rPr>
              <w:t xml:space="preserve"> above, no comments were submitted to the project in question, so it was not necessary to make modifications to it.</w:t>
            </w:r>
          </w:p>
        </w:tc>
      </w:tr>
      <w:tr w:rsidR="00667595" w:rsidRPr="00CE7512" w14:paraId="63ACD2A2" w14:textId="21508C20" w:rsidTr="00C377B1">
        <w:tc>
          <w:tcPr>
            <w:tcW w:w="4788" w:type="dxa"/>
            <w:shd w:val="clear" w:color="auto" w:fill="auto"/>
          </w:tcPr>
          <w:p w14:paraId="4B42FB3B" w14:textId="77777777" w:rsidR="00667595" w:rsidRPr="00C377B1" w:rsidRDefault="00667595" w:rsidP="00C377B1">
            <w:pPr>
              <w:pStyle w:val="Texto"/>
              <w:spacing w:line="218" w:lineRule="exact"/>
              <w:ind w:firstLine="0"/>
              <w:rPr>
                <w:rFonts w:ascii="Verdana" w:hAnsi="Verdana"/>
                <w:sz w:val="16"/>
                <w:szCs w:val="16"/>
              </w:rPr>
            </w:pPr>
            <w:r w:rsidRPr="00C377B1">
              <w:rPr>
                <w:rFonts w:ascii="Verdana" w:hAnsi="Verdana"/>
                <w:sz w:val="16"/>
                <w:szCs w:val="16"/>
              </w:rPr>
              <w:t xml:space="preserve">Que la Manifestación de Impacto Regulatorio a que se </w:t>
            </w:r>
            <w:r w:rsidRPr="00C377B1">
              <w:rPr>
                <w:rFonts w:ascii="Verdana" w:hAnsi="Verdana"/>
                <w:sz w:val="16"/>
                <w:szCs w:val="16"/>
              </w:rPr>
              <w:lastRenderedPageBreak/>
              <w:t>refiere el artículo 45 de la Ley Federal sobre Metrología y Normalización, estuvo a disposición del público para su consulta en el domicilio del Comité antes señalado, así como en el Portal Público de la Comisión Federal de Mejora Regulatoria (COFEMER).</w:t>
            </w:r>
          </w:p>
        </w:tc>
        <w:tc>
          <w:tcPr>
            <w:tcW w:w="4788" w:type="dxa"/>
            <w:shd w:val="clear" w:color="auto" w:fill="auto"/>
          </w:tcPr>
          <w:p w14:paraId="2A1C7793" w14:textId="197E4253" w:rsidR="00667595" w:rsidRPr="00C377B1" w:rsidRDefault="00667595" w:rsidP="00C377B1">
            <w:pPr>
              <w:pStyle w:val="Texto"/>
              <w:spacing w:line="218" w:lineRule="exact"/>
              <w:ind w:firstLine="0"/>
              <w:rPr>
                <w:rFonts w:ascii="Verdana" w:hAnsi="Verdana"/>
                <w:sz w:val="16"/>
                <w:szCs w:val="16"/>
                <w:lang w:val="en-US"/>
              </w:rPr>
            </w:pPr>
            <w:r w:rsidRPr="00C377B1">
              <w:rPr>
                <w:rFonts w:ascii="Verdana" w:hAnsi="Verdana" w:cs="Times New Roman"/>
                <w:sz w:val="16"/>
                <w:szCs w:val="16"/>
                <w:lang w:val="en-US"/>
              </w:rPr>
              <w:lastRenderedPageBreak/>
              <w:t xml:space="preserve">That the Regulatory Impact </w:t>
            </w:r>
            <w:r w:rsidR="00DC213D" w:rsidRPr="00C377B1">
              <w:rPr>
                <w:rFonts w:ascii="Verdana" w:hAnsi="Verdana" w:cs="Times New Roman"/>
                <w:sz w:val="16"/>
                <w:szCs w:val="16"/>
                <w:lang w:val="en-US"/>
              </w:rPr>
              <w:t xml:space="preserve">Statement </w:t>
            </w:r>
            <w:r w:rsidRPr="00C377B1">
              <w:rPr>
                <w:rFonts w:ascii="Verdana" w:hAnsi="Verdana" w:cs="Times New Roman"/>
                <w:sz w:val="16"/>
                <w:szCs w:val="16"/>
                <w:lang w:val="en-US"/>
              </w:rPr>
              <w:t xml:space="preserve">referred to in </w:t>
            </w:r>
            <w:r w:rsidRPr="00C377B1">
              <w:rPr>
                <w:rFonts w:ascii="Verdana" w:hAnsi="Verdana" w:cs="Times New Roman"/>
                <w:sz w:val="16"/>
                <w:szCs w:val="16"/>
                <w:lang w:val="en-US"/>
              </w:rPr>
              <w:lastRenderedPageBreak/>
              <w:t xml:space="preserve">article 45 of the Federal Law on Metrology and Standardization, was available to the public for consultation at the address of the Committee mentioned above, as well as on the Public </w:t>
            </w:r>
            <w:r w:rsidR="00DC213D" w:rsidRPr="00C377B1">
              <w:rPr>
                <w:rFonts w:ascii="Verdana" w:hAnsi="Verdana" w:cs="Times New Roman"/>
                <w:sz w:val="16"/>
                <w:szCs w:val="16"/>
                <w:lang w:val="en-US"/>
              </w:rPr>
              <w:t>Web site</w:t>
            </w:r>
            <w:r w:rsidRPr="00C377B1">
              <w:rPr>
                <w:rFonts w:ascii="Verdana" w:hAnsi="Verdana" w:cs="Times New Roman"/>
                <w:sz w:val="16"/>
                <w:szCs w:val="16"/>
                <w:lang w:val="en-US"/>
              </w:rPr>
              <w:t xml:space="preserve"> of the Federal Commission for Regulatory </w:t>
            </w:r>
            <w:r w:rsidR="00DC213D" w:rsidRPr="00C377B1">
              <w:rPr>
                <w:rFonts w:ascii="Verdana" w:hAnsi="Verdana" w:cs="Times New Roman"/>
                <w:sz w:val="16"/>
                <w:szCs w:val="16"/>
                <w:lang w:val="en-US"/>
              </w:rPr>
              <w:t xml:space="preserve">Improvement </w:t>
            </w:r>
            <w:r w:rsidRPr="00C377B1">
              <w:rPr>
                <w:rFonts w:ascii="Verdana" w:hAnsi="Verdana" w:cs="Times New Roman"/>
                <w:sz w:val="16"/>
                <w:szCs w:val="16"/>
                <w:lang w:val="en-US"/>
              </w:rPr>
              <w:t>(COFEMER).</w:t>
            </w:r>
          </w:p>
        </w:tc>
      </w:tr>
      <w:tr w:rsidR="00667595" w:rsidRPr="00CE7512" w14:paraId="064F09BD" w14:textId="212414FA" w:rsidTr="00C377B1">
        <w:tc>
          <w:tcPr>
            <w:tcW w:w="4788" w:type="dxa"/>
            <w:shd w:val="clear" w:color="auto" w:fill="auto"/>
          </w:tcPr>
          <w:p w14:paraId="781986A3" w14:textId="77777777" w:rsidR="00667595" w:rsidRPr="00C377B1" w:rsidRDefault="00667595" w:rsidP="00C377B1">
            <w:pPr>
              <w:pStyle w:val="Texto"/>
              <w:spacing w:line="218" w:lineRule="exact"/>
              <w:ind w:firstLine="0"/>
              <w:rPr>
                <w:rFonts w:ascii="Verdana" w:hAnsi="Verdana"/>
                <w:sz w:val="16"/>
                <w:szCs w:val="16"/>
              </w:rPr>
            </w:pPr>
            <w:r w:rsidRPr="00C377B1">
              <w:rPr>
                <w:rFonts w:ascii="Verdana" w:hAnsi="Verdana"/>
                <w:sz w:val="16"/>
                <w:szCs w:val="16"/>
              </w:rPr>
              <w:lastRenderedPageBreak/>
              <w:t>Que habiéndose cumplido con lo establecido en la Ley Federal sobre Metrología y Normalización, el Comité Consultivo Nacional de Normalización de Medio Ambiente y Recursos Naturales, en su sesión de 19 de octubre de 2017, aprobó la Norma Oficial Mexicana NOM-150-SEMARNAT-2017,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w:t>
            </w:r>
          </w:p>
        </w:tc>
        <w:tc>
          <w:tcPr>
            <w:tcW w:w="4788" w:type="dxa"/>
            <w:shd w:val="clear" w:color="auto" w:fill="auto"/>
          </w:tcPr>
          <w:p w14:paraId="004574BE" w14:textId="4ECC2D86" w:rsidR="00667595" w:rsidRPr="00C377B1" w:rsidRDefault="00667595" w:rsidP="00C377B1">
            <w:pPr>
              <w:pStyle w:val="Texto"/>
              <w:spacing w:line="218" w:lineRule="exact"/>
              <w:ind w:firstLine="0"/>
              <w:rPr>
                <w:rFonts w:ascii="Verdana" w:hAnsi="Verdana"/>
                <w:sz w:val="16"/>
                <w:szCs w:val="16"/>
                <w:lang w:val="en-US"/>
              </w:rPr>
            </w:pPr>
            <w:r w:rsidRPr="00C377B1">
              <w:rPr>
                <w:rFonts w:ascii="Verdana" w:hAnsi="Verdana" w:cs="Times New Roman"/>
                <w:sz w:val="16"/>
                <w:szCs w:val="16"/>
                <w:lang w:val="en-US"/>
              </w:rPr>
              <w:t xml:space="preserve">That having complied with the provisions of the Federal Law on Metrology and Standardization, the National Consultative Committee for the Standardization of the Environment and Natural Resources, in its session of October 19, 2017, approved the Official Mexican Standard </w:t>
            </w:r>
            <w:r w:rsidR="00DC213D" w:rsidRPr="00C377B1">
              <w:rPr>
                <w:rFonts w:ascii="Verdana" w:hAnsi="Verdana" w:cs="Times New Roman"/>
                <w:sz w:val="16"/>
                <w:szCs w:val="16"/>
                <w:lang w:val="en-US"/>
              </w:rPr>
              <w:t xml:space="preserve">NOM-150-SEMARNAT-2017,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 </w:t>
            </w:r>
          </w:p>
        </w:tc>
      </w:tr>
      <w:tr w:rsidR="00667595" w:rsidRPr="00CE7512" w14:paraId="141D5490" w14:textId="039C602A" w:rsidTr="00C377B1">
        <w:tc>
          <w:tcPr>
            <w:tcW w:w="4788" w:type="dxa"/>
            <w:shd w:val="clear" w:color="auto" w:fill="auto"/>
          </w:tcPr>
          <w:p w14:paraId="21354824" w14:textId="77777777" w:rsidR="00667595" w:rsidRPr="00C377B1" w:rsidRDefault="00667595" w:rsidP="00C377B1">
            <w:pPr>
              <w:pStyle w:val="Texto"/>
              <w:spacing w:line="218" w:lineRule="exact"/>
              <w:ind w:firstLine="0"/>
              <w:rPr>
                <w:rFonts w:ascii="Verdana" w:hAnsi="Verdana"/>
                <w:sz w:val="16"/>
                <w:szCs w:val="16"/>
              </w:rPr>
            </w:pPr>
            <w:r w:rsidRPr="00C377B1">
              <w:rPr>
                <w:rFonts w:ascii="Verdana" w:hAnsi="Verdana"/>
                <w:sz w:val="16"/>
                <w:szCs w:val="16"/>
              </w:rPr>
              <w:t>Que de conformidad con lo establecido en el artículo 28 fracción II, inciso d) del Reglamento de la Ley Federal sobre Metrología y Normalización, el año de la clave cambia a 2017, debido a que el instrumento regulatorio se presentó ante el Comité Consultivo Nacional de Normalización de Medio Ambiente y Recursos Naturales, para su aprobación en ese año.</w:t>
            </w:r>
          </w:p>
        </w:tc>
        <w:tc>
          <w:tcPr>
            <w:tcW w:w="4788" w:type="dxa"/>
            <w:shd w:val="clear" w:color="auto" w:fill="auto"/>
          </w:tcPr>
          <w:p w14:paraId="2121D525" w14:textId="3BB68E63" w:rsidR="00667595" w:rsidRPr="00C377B1" w:rsidRDefault="00667595" w:rsidP="00C377B1">
            <w:pPr>
              <w:pStyle w:val="Texto"/>
              <w:spacing w:line="218" w:lineRule="exact"/>
              <w:ind w:firstLine="0"/>
              <w:rPr>
                <w:rFonts w:ascii="Verdana" w:hAnsi="Verdana"/>
                <w:sz w:val="16"/>
                <w:szCs w:val="16"/>
                <w:lang w:val="en-US"/>
              </w:rPr>
            </w:pPr>
            <w:r w:rsidRPr="00C377B1">
              <w:rPr>
                <w:rFonts w:ascii="Verdana" w:hAnsi="Verdana" w:cs="Times New Roman"/>
                <w:sz w:val="16"/>
                <w:szCs w:val="16"/>
                <w:lang w:val="en-US"/>
              </w:rPr>
              <w:t>That in accordance with the provisions of article 28 section II, subparagraph d) of the Regulation of the Federal Law on Metrology and Standardization, the year of the code</w:t>
            </w:r>
            <w:r w:rsidR="00CE7512">
              <w:rPr>
                <w:rFonts w:ascii="Verdana" w:hAnsi="Verdana" w:cs="Times New Roman"/>
                <w:sz w:val="16"/>
                <w:szCs w:val="16"/>
                <w:lang w:val="en-US"/>
              </w:rPr>
              <w:t xml:space="preserve"> name</w:t>
            </w:r>
            <w:r w:rsidRPr="00C377B1">
              <w:rPr>
                <w:rFonts w:ascii="Verdana" w:hAnsi="Verdana" w:cs="Times New Roman"/>
                <w:sz w:val="16"/>
                <w:szCs w:val="16"/>
                <w:lang w:val="en-US"/>
              </w:rPr>
              <w:t xml:space="preserve"> </w:t>
            </w:r>
            <w:r w:rsidR="00DC213D" w:rsidRPr="00C377B1">
              <w:rPr>
                <w:rFonts w:ascii="Verdana" w:hAnsi="Verdana" w:cs="Times New Roman"/>
                <w:sz w:val="16"/>
                <w:szCs w:val="16"/>
                <w:lang w:val="en-US"/>
              </w:rPr>
              <w:t>is changed</w:t>
            </w:r>
            <w:r w:rsidRPr="00C377B1">
              <w:rPr>
                <w:rFonts w:ascii="Verdana" w:hAnsi="Verdana" w:cs="Times New Roman"/>
                <w:sz w:val="16"/>
                <w:szCs w:val="16"/>
                <w:lang w:val="en-US"/>
              </w:rPr>
              <w:t xml:space="preserve"> to 2017, because the regulatory instrument was presented before the National Consultative Committee of Standardization of Environment and Natural Resources, for approval in that year.</w:t>
            </w:r>
          </w:p>
        </w:tc>
      </w:tr>
      <w:tr w:rsidR="00667595" w:rsidRPr="00CE7512" w14:paraId="2CD7832D" w14:textId="29FAC2E5" w:rsidTr="00C377B1">
        <w:tc>
          <w:tcPr>
            <w:tcW w:w="4788" w:type="dxa"/>
            <w:shd w:val="clear" w:color="auto" w:fill="auto"/>
          </w:tcPr>
          <w:p w14:paraId="4441D6BA" w14:textId="77777777" w:rsidR="00667595" w:rsidRPr="00C377B1" w:rsidRDefault="00667595" w:rsidP="00C377B1">
            <w:pPr>
              <w:pStyle w:val="Texto"/>
              <w:spacing w:line="218" w:lineRule="exact"/>
              <w:ind w:firstLine="0"/>
              <w:rPr>
                <w:rFonts w:ascii="Verdana" w:hAnsi="Verdana"/>
                <w:sz w:val="16"/>
                <w:szCs w:val="16"/>
              </w:rPr>
            </w:pPr>
            <w:r w:rsidRPr="00C377B1">
              <w:rPr>
                <w:rFonts w:ascii="Verdana" w:hAnsi="Verdana"/>
                <w:sz w:val="16"/>
                <w:szCs w:val="16"/>
              </w:rPr>
              <w:t>En virtud de lo expuesto y fundado he tenido a bien expedir la siguiente:</w:t>
            </w:r>
          </w:p>
        </w:tc>
        <w:tc>
          <w:tcPr>
            <w:tcW w:w="4788" w:type="dxa"/>
            <w:shd w:val="clear" w:color="auto" w:fill="auto"/>
          </w:tcPr>
          <w:p w14:paraId="1413A5AC" w14:textId="346FDE53" w:rsidR="00667595" w:rsidRPr="00C377B1" w:rsidRDefault="00667595" w:rsidP="00C377B1">
            <w:pPr>
              <w:pStyle w:val="Texto"/>
              <w:spacing w:line="218" w:lineRule="exact"/>
              <w:ind w:firstLine="0"/>
              <w:rPr>
                <w:rFonts w:ascii="Verdana" w:hAnsi="Verdana"/>
                <w:sz w:val="16"/>
                <w:szCs w:val="16"/>
                <w:lang w:val="en-US"/>
              </w:rPr>
            </w:pPr>
            <w:r w:rsidRPr="00C377B1">
              <w:rPr>
                <w:rFonts w:ascii="Verdana" w:hAnsi="Verdana" w:cs="Times New Roman"/>
                <w:sz w:val="16"/>
                <w:szCs w:val="16"/>
                <w:lang w:val="en-US"/>
              </w:rPr>
              <w:t xml:space="preserve">By virtue of </w:t>
            </w:r>
            <w:r w:rsidR="00DC213D" w:rsidRPr="00C377B1">
              <w:rPr>
                <w:rFonts w:ascii="Verdana" w:hAnsi="Verdana" w:cs="Times New Roman"/>
                <w:sz w:val="16"/>
                <w:szCs w:val="16"/>
                <w:lang w:val="en-US"/>
              </w:rPr>
              <w:t>that expressed and legally based</w:t>
            </w:r>
            <w:r w:rsidRPr="00C377B1">
              <w:rPr>
                <w:rFonts w:ascii="Verdana" w:hAnsi="Verdana" w:cs="Times New Roman"/>
                <w:sz w:val="16"/>
                <w:szCs w:val="16"/>
                <w:lang w:val="en-US"/>
              </w:rPr>
              <w:t xml:space="preserve">, I have </w:t>
            </w:r>
            <w:r w:rsidR="00DC213D" w:rsidRPr="00C377B1">
              <w:rPr>
                <w:rFonts w:ascii="Verdana" w:hAnsi="Verdana" w:cs="Times New Roman"/>
                <w:sz w:val="16"/>
                <w:szCs w:val="16"/>
                <w:lang w:val="en-US"/>
              </w:rPr>
              <w:t>deemed appropriate</w:t>
            </w:r>
            <w:r w:rsidRPr="00C377B1">
              <w:rPr>
                <w:rFonts w:ascii="Verdana" w:hAnsi="Verdana" w:cs="Times New Roman"/>
                <w:sz w:val="16"/>
                <w:szCs w:val="16"/>
                <w:lang w:val="en-US"/>
              </w:rPr>
              <w:t xml:space="preserve"> to issue the following:</w:t>
            </w:r>
          </w:p>
        </w:tc>
      </w:tr>
      <w:tr w:rsidR="00667595" w:rsidRPr="00CE7512" w14:paraId="63AFC426" w14:textId="50C7647A" w:rsidTr="00C377B1">
        <w:tc>
          <w:tcPr>
            <w:tcW w:w="4788" w:type="dxa"/>
            <w:shd w:val="clear" w:color="auto" w:fill="auto"/>
          </w:tcPr>
          <w:p w14:paraId="62D01483" w14:textId="77777777" w:rsidR="00667595" w:rsidRPr="00C377B1" w:rsidRDefault="00667595" w:rsidP="00C377B1">
            <w:pPr>
              <w:pStyle w:val="ANOTACION"/>
              <w:spacing w:line="218" w:lineRule="exact"/>
              <w:rPr>
                <w:rFonts w:ascii="Verdana" w:hAnsi="Verdana"/>
                <w:sz w:val="16"/>
                <w:szCs w:val="16"/>
              </w:rPr>
            </w:pPr>
            <w:r w:rsidRPr="00C377B1">
              <w:rPr>
                <w:rFonts w:ascii="Verdana" w:hAnsi="Verdana"/>
                <w:sz w:val="16"/>
                <w:szCs w:val="16"/>
              </w:rPr>
              <w:t>NORMA OFICIAL MEXICANA NOM-150-SEMARNAT-2017,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w:t>
            </w:r>
          </w:p>
        </w:tc>
        <w:tc>
          <w:tcPr>
            <w:tcW w:w="4788" w:type="dxa"/>
            <w:shd w:val="clear" w:color="auto" w:fill="auto"/>
          </w:tcPr>
          <w:p w14:paraId="0C668C3B" w14:textId="4C865547" w:rsidR="00667595" w:rsidRPr="00C377B1" w:rsidRDefault="00DC213D" w:rsidP="00C377B1">
            <w:pPr>
              <w:pStyle w:val="ANOTACION"/>
              <w:spacing w:line="218" w:lineRule="exact"/>
              <w:rPr>
                <w:rFonts w:ascii="Verdana" w:hAnsi="Verdana"/>
                <w:bCs/>
                <w:sz w:val="16"/>
                <w:szCs w:val="16"/>
                <w:lang w:val="en-US"/>
              </w:rPr>
            </w:pPr>
            <w:r w:rsidRPr="00C377B1">
              <w:rPr>
                <w:rFonts w:ascii="Verdana" w:hAnsi="Verdana"/>
                <w:bCs/>
                <w:sz w:val="16"/>
                <w:szCs w:val="16"/>
                <w:lang w:val="en-US"/>
              </w:rPr>
              <w:t>OFFICIAL MEXICAN STANDARD NOM-150-SEMARNAT-2017,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w:t>
            </w:r>
          </w:p>
        </w:tc>
      </w:tr>
      <w:tr w:rsidR="00667595" w:rsidRPr="00C377B1" w14:paraId="778C1F5A" w14:textId="551E5E71" w:rsidTr="00C377B1">
        <w:tc>
          <w:tcPr>
            <w:tcW w:w="4788" w:type="dxa"/>
            <w:shd w:val="clear" w:color="auto" w:fill="auto"/>
          </w:tcPr>
          <w:p w14:paraId="6904C87C" w14:textId="77777777" w:rsidR="00667595" w:rsidRPr="00C377B1" w:rsidRDefault="00667595" w:rsidP="00C377B1">
            <w:pPr>
              <w:pStyle w:val="ANOTACION"/>
              <w:spacing w:line="218" w:lineRule="exact"/>
              <w:rPr>
                <w:rFonts w:ascii="Verdana" w:hAnsi="Verdana"/>
                <w:sz w:val="16"/>
                <w:szCs w:val="16"/>
              </w:rPr>
            </w:pPr>
            <w:r w:rsidRPr="00C377B1">
              <w:rPr>
                <w:rFonts w:ascii="Verdana" w:hAnsi="Verdana"/>
                <w:sz w:val="16"/>
                <w:szCs w:val="16"/>
              </w:rPr>
              <w:t>PREFACIO</w:t>
            </w:r>
          </w:p>
        </w:tc>
        <w:tc>
          <w:tcPr>
            <w:tcW w:w="4788" w:type="dxa"/>
            <w:shd w:val="clear" w:color="auto" w:fill="auto"/>
          </w:tcPr>
          <w:p w14:paraId="0919F8EF" w14:textId="3A2FDD2B" w:rsidR="00667595" w:rsidRPr="00C377B1" w:rsidRDefault="00667595" w:rsidP="00C377B1">
            <w:pPr>
              <w:pStyle w:val="ANOTACION"/>
              <w:spacing w:line="218" w:lineRule="exact"/>
              <w:rPr>
                <w:rFonts w:ascii="Verdana" w:hAnsi="Verdana"/>
                <w:sz w:val="16"/>
                <w:szCs w:val="16"/>
                <w:lang w:val="en-US"/>
              </w:rPr>
            </w:pPr>
            <w:r w:rsidRPr="00C377B1">
              <w:rPr>
                <w:rFonts w:ascii="Verdana" w:hAnsi="Verdana"/>
                <w:bCs/>
                <w:sz w:val="16"/>
                <w:szCs w:val="16"/>
              </w:rPr>
              <w:t>PREFACE</w:t>
            </w:r>
          </w:p>
        </w:tc>
      </w:tr>
      <w:tr w:rsidR="00667595" w:rsidRPr="00CE7512" w14:paraId="4F29D9D3" w14:textId="446FA12C" w:rsidTr="00C377B1">
        <w:tc>
          <w:tcPr>
            <w:tcW w:w="4788" w:type="dxa"/>
            <w:shd w:val="clear" w:color="auto" w:fill="auto"/>
          </w:tcPr>
          <w:p w14:paraId="559BA586"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En la elaboración de esta Norma Oficial Mexicana participaron:</w:t>
            </w:r>
          </w:p>
        </w:tc>
        <w:tc>
          <w:tcPr>
            <w:tcW w:w="4788" w:type="dxa"/>
            <w:shd w:val="clear" w:color="auto" w:fill="auto"/>
          </w:tcPr>
          <w:p w14:paraId="0986DF3E" w14:textId="36374F32"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 xml:space="preserve">In the </w:t>
            </w:r>
            <w:r w:rsidR="00BD26E3" w:rsidRPr="00C377B1">
              <w:rPr>
                <w:rFonts w:ascii="Verdana" w:hAnsi="Verdana" w:cs="Times New Roman"/>
                <w:sz w:val="16"/>
                <w:szCs w:val="16"/>
                <w:lang w:val="en-US"/>
              </w:rPr>
              <w:t>preparation</w:t>
            </w:r>
            <w:r w:rsidRPr="00C377B1">
              <w:rPr>
                <w:rFonts w:ascii="Verdana" w:hAnsi="Verdana" w:cs="Times New Roman"/>
                <w:sz w:val="16"/>
                <w:szCs w:val="16"/>
                <w:lang w:val="en-US"/>
              </w:rPr>
              <w:t xml:space="preserve"> of this Official Mexican Standard participated:</w:t>
            </w:r>
          </w:p>
        </w:tc>
      </w:tr>
      <w:tr w:rsidR="00667595" w:rsidRPr="00CE7512" w14:paraId="080DCD9D" w14:textId="162F013A" w:rsidTr="00C377B1">
        <w:tc>
          <w:tcPr>
            <w:tcW w:w="4788" w:type="dxa"/>
            <w:shd w:val="clear" w:color="auto" w:fill="auto"/>
          </w:tcPr>
          <w:p w14:paraId="13964CD2"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SECRETARÍA DE MEDIO AMBIENTE Y RECURSOS NATURALES</w:t>
            </w:r>
          </w:p>
        </w:tc>
        <w:tc>
          <w:tcPr>
            <w:tcW w:w="4788" w:type="dxa"/>
            <w:shd w:val="clear" w:color="auto" w:fill="auto"/>
          </w:tcPr>
          <w:p w14:paraId="244ECE49" w14:textId="555B056A"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SECRETAR</w:t>
            </w:r>
            <w:r w:rsidR="00CE7512">
              <w:rPr>
                <w:rFonts w:ascii="Verdana" w:hAnsi="Verdana" w:cs="Times New Roman"/>
                <w:sz w:val="16"/>
                <w:szCs w:val="16"/>
                <w:lang w:val="en-US"/>
              </w:rPr>
              <w:t>Y</w:t>
            </w:r>
            <w:r w:rsidRPr="00C377B1">
              <w:rPr>
                <w:rFonts w:ascii="Verdana" w:hAnsi="Verdana" w:cs="Times New Roman"/>
                <w:sz w:val="16"/>
                <w:szCs w:val="16"/>
                <w:lang w:val="en-US"/>
              </w:rPr>
              <w:t xml:space="preserve"> OF THE ENVIRONMENT AND NATURAL RESOURCES</w:t>
            </w:r>
          </w:p>
        </w:tc>
      </w:tr>
      <w:tr w:rsidR="00667595" w:rsidRPr="00CE7512" w14:paraId="4DD25D3C" w14:textId="7E4C938B" w:rsidTr="00C377B1">
        <w:tc>
          <w:tcPr>
            <w:tcW w:w="4788" w:type="dxa"/>
            <w:shd w:val="clear" w:color="auto" w:fill="auto"/>
          </w:tcPr>
          <w:p w14:paraId="1495B1CA"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Procuraduría Federal de Protección al Ambiente.</w:t>
            </w:r>
          </w:p>
        </w:tc>
        <w:tc>
          <w:tcPr>
            <w:tcW w:w="4788" w:type="dxa"/>
            <w:shd w:val="clear" w:color="auto" w:fill="auto"/>
          </w:tcPr>
          <w:p w14:paraId="5AC53135" w14:textId="5027A8FB"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 xml:space="preserve">- Federal Attorney for Environmental Protection.              </w:t>
            </w:r>
          </w:p>
        </w:tc>
      </w:tr>
      <w:tr w:rsidR="00667595" w:rsidRPr="00CE7512" w14:paraId="7E75E07E" w14:textId="59FDA5E1" w:rsidTr="00C377B1">
        <w:tc>
          <w:tcPr>
            <w:tcW w:w="4788" w:type="dxa"/>
            <w:shd w:val="clear" w:color="auto" w:fill="auto"/>
          </w:tcPr>
          <w:p w14:paraId="1A4FB23F"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Dirección General de Energía y Actividades Extractivas.</w:t>
            </w:r>
          </w:p>
        </w:tc>
        <w:tc>
          <w:tcPr>
            <w:tcW w:w="4788" w:type="dxa"/>
            <w:shd w:val="clear" w:color="auto" w:fill="auto"/>
          </w:tcPr>
          <w:p w14:paraId="72D18A98" w14:textId="1C8A73DC"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 xml:space="preserve">- General Directorate of Energy and Extractive Activities.              </w:t>
            </w:r>
          </w:p>
        </w:tc>
      </w:tr>
      <w:tr w:rsidR="00667595" w:rsidRPr="00CE7512" w14:paraId="20A15670" w14:textId="6BBECB99" w:rsidTr="00C377B1">
        <w:tc>
          <w:tcPr>
            <w:tcW w:w="4788" w:type="dxa"/>
            <w:shd w:val="clear" w:color="auto" w:fill="auto"/>
          </w:tcPr>
          <w:p w14:paraId="0B32382A"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Dirección General de Impacto y Riesgo Ambiental.</w:t>
            </w:r>
          </w:p>
        </w:tc>
        <w:tc>
          <w:tcPr>
            <w:tcW w:w="4788" w:type="dxa"/>
            <w:shd w:val="clear" w:color="auto" w:fill="auto"/>
          </w:tcPr>
          <w:p w14:paraId="11959975" w14:textId="068B8E20"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 xml:space="preserve">- General Directorate of Environmental Impact and Risk.              </w:t>
            </w:r>
          </w:p>
        </w:tc>
      </w:tr>
      <w:tr w:rsidR="00667595" w:rsidRPr="00C377B1" w14:paraId="3AB4CAEC" w14:textId="332CCE22" w:rsidTr="00C377B1">
        <w:tc>
          <w:tcPr>
            <w:tcW w:w="4788" w:type="dxa"/>
            <w:shd w:val="clear" w:color="auto" w:fill="auto"/>
          </w:tcPr>
          <w:p w14:paraId="687DBC7C"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SECRETARÍA DE ENERGÍA</w:t>
            </w:r>
          </w:p>
        </w:tc>
        <w:tc>
          <w:tcPr>
            <w:tcW w:w="4788" w:type="dxa"/>
            <w:shd w:val="clear" w:color="auto" w:fill="auto"/>
          </w:tcPr>
          <w:p w14:paraId="58ECC3C5" w14:textId="32D814E1"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SECRETARY OF ENERGY</w:t>
            </w:r>
          </w:p>
        </w:tc>
      </w:tr>
      <w:tr w:rsidR="00667595" w:rsidRPr="00CE7512" w14:paraId="68EE64B4" w14:textId="0E1F391B" w:rsidTr="00C377B1">
        <w:tc>
          <w:tcPr>
            <w:tcW w:w="4788" w:type="dxa"/>
            <w:shd w:val="clear" w:color="auto" w:fill="auto"/>
          </w:tcPr>
          <w:p w14:paraId="44D98C76"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Dirección General de Energías Limpias.</w:t>
            </w:r>
          </w:p>
        </w:tc>
        <w:tc>
          <w:tcPr>
            <w:tcW w:w="4788" w:type="dxa"/>
            <w:shd w:val="clear" w:color="auto" w:fill="auto"/>
          </w:tcPr>
          <w:p w14:paraId="5EDE80CC" w14:textId="26A5B882"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 xml:space="preserve">- General Directorate of Clean Energies.              </w:t>
            </w:r>
          </w:p>
        </w:tc>
      </w:tr>
      <w:tr w:rsidR="00667595" w:rsidRPr="00C377B1" w14:paraId="65663FFC" w14:textId="18FFF099" w:rsidTr="00C377B1">
        <w:tc>
          <w:tcPr>
            <w:tcW w:w="4788" w:type="dxa"/>
            <w:shd w:val="clear" w:color="auto" w:fill="auto"/>
          </w:tcPr>
          <w:p w14:paraId="1C9A456E"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COMISIÓN FEDERAL DE ELECTRICIDAD</w:t>
            </w:r>
          </w:p>
        </w:tc>
        <w:tc>
          <w:tcPr>
            <w:tcW w:w="4788" w:type="dxa"/>
            <w:shd w:val="clear" w:color="auto" w:fill="auto"/>
          </w:tcPr>
          <w:p w14:paraId="2DBDD2EF" w14:textId="3EA4129E"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FEDERAL ELECTRICITY COMMISSION</w:t>
            </w:r>
          </w:p>
        </w:tc>
      </w:tr>
      <w:tr w:rsidR="00667595" w:rsidRPr="00C377B1" w14:paraId="1E995978" w14:textId="6651DAE3" w:rsidTr="00C377B1">
        <w:tc>
          <w:tcPr>
            <w:tcW w:w="4788" w:type="dxa"/>
            <w:shd w:val="clear" w:color="auto" w:fill="auto"/>
          </w:tcPr>
          <w:p w14:paraId="1EB19B23"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lastRenderedPageBreak/>
              <w:t>‒</w:t>
            </w:r>
            <w:r w:rsidRPr="00C377B1">
              <w:rPr>
                <w:rFonts w:ascii="Verdana" w:hAnsi="Verdana"/>
                <w:sz w:val="16"/>
                <w:szCs w:val="16"/>
              </w:rPr>
              <w:tab/>
              <w:t>Gerencia de Protección Ambiental.</w:t>
            </w:r>
          </w:p>
        </w:tc>
        <w:tc>
          <w:tcPr>
            <w:tcW w:w="4788" w:type="dxa"/>
            <w:shd w:val="clear" w:color="auto" w:fill="auto"/>
          </w:tcPr>
          <w:p w14:paraId="6D471BEA" w14:textId="376B0480"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 xml:space="preserve">- </w:t>
            </w:r>
            <w:proofErr w:type="spellStart"/>
            <w:r w:rsidRPr="00C377B1">
              <w:rPr>
                <w:rFonts w:ascii="Verdana" w:hAnsi="Verdana" w:cs="Times New Roman"/>
                <w:sz w:val="16"/>
                <w:szCs w:val="16"/>
              </w:rPr>
              <w:t>Environmental</w:t>
            </w:r>
            <w:proofErr w:type="spellEnd"/>
            <w:r w:rsidRPr="00C377B1">
              <w:rPr>
                <w:rFonts w:ascii="Verdana" w:hAnsi="Verdana" w:cs="Times New Roman"/>
                <w:sz w:val="16"/>
                <w:szCs w:val="16"/>
              </w:rPr>
              <w:t xml:space="preserve"> </w:t>
            </w:r>
            <w:proofErr w:type="spellStart"/>
            <w:r w:rsidRPr="00C377B1">
              <w:rPr>
                <w:rFonts w:ascii="Verdana" w:hAnsi="Verdana" w:cs="Times New Roman"/>
                <w:sz w:val="16"/>
                <w:szCs w:val="16"/>
              </w:rPr>
              <w:t>Protection</w:t>
            </w:r>
            <w:proofErr w:type="spellEnd"/>
            <w:r w:rsidRPr="00C377B1">
              <w:rPr>
                <w:rFonts w:ascii="Verdana" w:hAnsi="Verdana" w:cs="Times New Roman"/>
                <w:sz w:val="16"/>
                <w:szCs w:val="16"/>
              </w:rPr>
              <w:t xml:space="preserve"> Management.              </w:t>
            </w:r>
          </w:p>
        </w:tc>
      </w:tr>
      <w:tr w:rsidR="00667595" w:rsidRPr="00C377B1" w14:paraId="2AF6EDEC" w14:textId="5C06DDF6" w:rsidTr="00C377B1">
        <w:tc>
          <w:tcPr>
            <w:tcW w:w="4788" w:type="dxa"/>
            <w:shd w:val="clear" w:color="auto" w:fill="auto"/>
          </w:tcPr>
          <w:p w14:paraId="7C0A1C91"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 xml:space="preserve">Gerencia de Proyectos </w:t>
            </w:r>
            <w:proofErr w:type="spellStart"/>
            <w:r w:rsidRPr="00C377B1">
              <w:rPr>
                <w:rFonts w:ascii="Verdana" w:hAnsi="Verdana"/>
                <w:sz w:val="16"/>
                <w:szCs w:val="16"/>
              </w:rPr>
              <w:t>Geotermoeléctricos</w:t>
            </w:r>
            <w:proofErr w:type="spellEnd"/>
            <w:r w:rsidRPr="00C377B1">
              <w:rPr>
                <w:rFonts w:ascii="Verdana" w:hAnsi="Verdana"/>
                <w:sz w:val="16"/>
                <w:szCs w:val="16"/>
              </w:rPr>
              <w:t>.</w:t>
            </w:r>
          </w:p>
        </w:tc>
        <w:tc>
          <w:tcPr>
            <w:tcW w:w="4788" w:type="dxa"/>
            <w:shd w:val="clear" w:color="auto" w:fill="auto"/>
          </w:tcPr>
          <w:p w14:paraId="0E7E0D3F" w14:textId="1F9878D2"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 xml:space="preserve">- </w:t>
            </w:r>
            <w:proofErr w:type="spellStart"/>
            <w:r w:rsidRPr="00C377B1">
              <w:rPr>
                <w:rFonts w:ascii="Verdana" w:hAnsi="Verdana" w:cs="Times New Roman"/>
                <w:sz w:val="16"/>
                <w:szCs w:val="16"/>
              </w:rPr>
              <w:t>Geothermoelectric</w:t>
            </w:r>
            <w:proofErr w:type="spellEnd"/>
            <w:r w:rsidRPr="00C377B1">
              <w:rPr>
                <w:rFonts w:ascii="Verdana" w:hAnsi="Verdana" w:cs="Times New Roman"/>
                <w:sz w:val="16"/>
                <w:szCs w:val="16"/>
              </w:rPr>
              <w:t xml:space="preserve"> Project Management .              </w:t>
            </w:r>
          </w:p>
        </w:tc>
      </w:tr>
      <w:tr w:rsidR="00667595" w:rsidRPr="00C377B1" w14:paraId="7EE0B220" w14:textId="14CEEC6D" w:rsidTr="00C377B1">
        <w:tc>
          <w:tcPr>
            <w:tcW w:w="4788" w:type="dxa"/>
            <w:shd w:val="clear" w:color="auto" w:fill="auto"/>
          </w:tcPr>
          <w:p w14:paraId="5E124B54"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COMISIÓN NACIONAL DEL AGUA</w:t>
            </w:r>
          </w:p>
        </w:tc>
        <w:tc>
          <w:tcPr>
            <w:tcW w:w="4788" w:type="dxa"/>
            <w:shd w:val="clear" w:color="auto" w:fill="auto"/>
          </w:tcPr>
          <w:p w14:paraId="6150D076" w14:textId="375FCD5B"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NATIONAL WATER COMISSION</w:t>
            </w:r>
          </w:p>
        </w:tc>
      </w:tr>
      <w:tr w:rsidR="00667595" w:rsidRPr="00C377B1" w14:paraId="61C6B85A" w14:textId="745A27EA" w:rsidTr="00C377B1">
        <w:tc>
          <w:tcPr>
            <w:tcW w:w="4788" w:type="dxa"/>
            <w:shd w:val="clear" w:color="auto" w:fill="auto"/>
          </w:tcPr>
          <w:p w14:paraId="0D1E62F3"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Subdirección General Técnica.</w:t>
            </w:r>
          </w:p>
        </w:tc>
        <w:tc>
          <w:tcPr>
            <w:tcW w:w="4788" w:type="dxa"/>
            <w:shd w:val="clear" w:color="auto" w:fill="auto"/>
          </w:tcPr>
          <w:p w14:paraId="41BA2F2C" w14:textId="7155F752"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rPr>
              <w:t xml:space="preserve">- </w:t>
            </w:r>
            <w:proofErr w:type="spellStart"/>
            <w:r w:rsidRPr="00C377B1">
              <w:rPr>
                <w:rFonts w:ascii="Verdana" w:hAnsi="Verdana" w:cs="Times New Roman"/>
                <w:sz w:val="16"/>
                <w:szCs w:val="16"/>
              </w:rPr>
              <w:t>Technical</w:t>
            </w:r>
            <w:proofErr w:type="spellEnd"/>
            <w:r w:rsidRPr="00C377B1">
              <w:rPr>
                <w:rFonts w:ascii="Verdana" w:hAnsi="Verdana" w:cs="Times New Roman"/>
                <w:sz w:val="16"/>
                <w:szCs w:val="16"/>
              </w:rPr>
              <w:t xml:space="preserve"> </w:t>
            </w:r>
            <w:proofErr w:type="spellStart"/>
            <w:r w:rsidRPr="00C377B1">
              <w:rPr>
                <w:rFonts w:ascii="Verdana" w:hAnsi="Verdana" w:cs="Times New Roman"/>
                <w:sz w:val="16"/>
                <w:szCs w:val="16"/>
              </w:rPr>
              <w:t>Subdirectorate</w:t>
            </w:r>
            <w:proofErr w:type="spellEnd"/>
            <w:r w:rsidRPr="00C377B1">
              <w:rPr>
                <w:rFonts w:ascii="Verdana" w:hAnsi="Verdana" w:cs="Times New Roman"/>
                <w:sz w:val="16"/>
                <w:szCs w:val="16"/>
              </w:rPr>
              <w:t xml:space="preserve"> General.              </w:t>
            </w:r>
          </w:p>
        </w:tc>
      </w:tr>
      <w:tr w:rsidR="00667595" w:rsidRPr="00CE7512" w14:paraId="20B69F89" w14:textId="1EB08BDE" w:rsidTr="00C377B1">
        <w:tc>
          <w:tcPr>
            <w:tcW w:w="4788" w:type="dxa"/>
            <w:shd w:val="clear" w:color="auto" w:fill="auto"/>
          </w:tcPr>
          <w:p w14:paraId="1F9B37C1"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COLEGIO DE INGENIEROS AMBIENTALES DE MÉXICO</w:t>
            </w:r>
          </w:p>
        </w:tc>
        <w:tc>
          <w:tcPr>
            <w:tcW w:w="4788" w:type="dxa"/>
            <w:shd w:val="clear" w:color="auto" w:fill="auto"/>
          </w:tcPr>
          <w:p w14:paraId="75F2982A" w14:textId="09FDE7C6"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COLLEGE OF ENVIRONMENTAL ENGINEERS OF MEXICO</w:t>
            </w:r>
          </w:p>
        </w:tc>
      </w:tr>
      <w:tr w:rsidR="00667595" w:rsidRPr="00CE7512" w14:paraId="0D25B538" w14:textId="76C47F43" w:rsidTr="00C377B1">
        <w:tc>
          <w:tcPr>
            <w:tcW w:w="4788" w:type="dxa"/>
            <w:shd w:val="clear" w:color="auto" w:fill="auto"/>
          </w:tcPr>
          <w:p w14:paraId="19131BFF"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INSTITUTO NACIONAL DE ELECTRICIDAD Y ENERGÍAS LIMPIAS</w:t>
            </w:r>
          </w:p>
        </w:tc>
        <w:tc>
          <w:tcPr>
            <w:tcW w:w="4788" w:type="dxa"/>
            <w:shd w:val="clear" w:color="auto" w:fill="auto"/>
          </w:tcPr>
          <w:p w14:paraId="6B531EDB" w14:textId="6CB14874"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NATIONAL INSTITUTE OF ELECTRICITY AND CLEAN ENERGIES</w:t>
            </w:r>
          </w:p>
        </w:tc>
      </w:tr>
      <w:tr w:rsidR="00667595" w:rsidRPr="00CE7512" w14:paraId="4972CB54" w14:textId="6ED39897" w:rsidTr="00C377B1">
        <w:tc>
          <w:tcPr>
            <w:tcW w:w="4788" w:type="dxa"/>
            <w:shd w:val="clear" w:color="auto" w:fill="auto"/>
          </w:tcPr>
          <w:p w14:paraId="7AA5E5EE" w14:textId="77777777" w:rsidR="00667595" w:rsidRPr="00C377B1" w:rsidRDefault="00667595" w:rsidP="00C377B1">
            <w:pPr>
              <w:pStyle w:val="Texto"/>
              <w:spacing w:line="217" w:lineRule="exact"/>
              <w:ind w:firstLine="0"/>
              <w:rPr>
                <w:rFonts w:ascii="Verdana" w:hAnsi="Verdana"/>
                <w:sz w:val="16"/>
                <w:szCs w:val="16"/>
              </w:rPr>
            </w:pPr>
            <w:r w:rsidRPr="00C377B1">
              <w:rPr>
                <w:rFonts w:ascii="Verdana" w:hAnsi="Verdana"/>
                <w:sz w:val="16"/>
                <w:szCs w:val="16"/>
              </w:rPr>
              <w:t>INSTITUTO DE INGENIERÍA DE LA UNIVERSIDAD NACIONAL AUTÓNOMA DE MÉXICO</w:t>
            </w:r>
          </w:p>
        </w:tc>
        <w:tc>
          <w:tcPr>
            <w:tcW w:w="4788" w:type="dxa"/>
            <w:shd w:val="clear" w:color="auto" w:fill="auto"/>
          </w:tcPr>
          <w:p w14:paraId="4691BB63" w14:textId="68358CD0" w:rsidR="00667595" w:rsidRPr="00C377B1" w:rsidRDefault="00667595" w:rsidP="00C377B1">
            <w:pPr>
              <w:pStyle w:val="Texto"/>
              <w:spacing w:line="217" w:lineRule="exact"/>
              <w:ind w:firstLine="0"/>
              <w:rPr>
                <w:rFonts w:ascii="Verdana" w:hAnsi="Verdana"/>
                <w:sz w:val="16"/>
                <w:szCs w:val="16"/>
                <w:lang w:val="en-US"/>
              </w:rPr>
            </w:pPr>
            <w:r w:rsidRPr="00C377B1">
              <w:rPr>
                <w:rFonts w:ascii="Verdana" w:hAnsi="Verdana" w:cs="Times New Roman"/>
                <w:sz w:val="16"/>
                <w:szCs w:val="16"/>
                <w:lang w:val="en-US"/>
              </w:rPr>
              <w:t>INSTITUTE OF ENGINEERING OF THE AUTONOMOUS NATIONAL UNIVERSITY OF MEXICO</w:t>
            </w:r>
          </w:p>
        </w:tc>
      </w:tr>
      <w:tr w:rsidR="00DC213D" w:rsidRPr="00CE7512" w14:paraId="6D174B05" w14:textId="77777777" w:rsidTr="00C377B1">
        <w:tc>
          <w:tcPr>
            <w:tcW w:w="4788" w:type="dxa"/>
            <w:shd w:val="clear" w:color="auto" w:fill="auto"/>
          </w:tcPr>
          <w:p w14:paraId="66C0C4D8" w14:textId="6F843A6F" w:rsidR="00DC213D" w:rsidRPr="00C377B1" w:rsidRDefault="00DC213D" w:rsidP="00C377B1">
            <w:pPr>
              <w:pStyle w:val="ANOTACION"/>
              <w:spacing w:line="218" w:lineRule="exact"/>
              <w:rPr>
                <w:rFonts w:ascii="Verdana" w:hAnsi="Verdana"/>
                <w:sz w:val="16"/>
                <w:szCs w:val="16"/>
              </w:rPr>
            </w:pPr>
            <w:r w:rsidRPr="00C377B1">
              <w:rPr>
                <w:rFonts w:ascii="Verdana" w:hAnsi="Verdana"/>
                <w:sz w:val="16"/>
                <w:szCs w:val="16"/>
              </w:rPr>
              <w:t>NORMA OFICIAL MEXICANA NOM-150-SEMARNAT-2017, QUE ESTABLECE LAS ESPECIFICACIONES TÉCNICAS DE PROTECCIÓN AMBIENTAL QUE DEBEN OBSERVARSE EN LAS ACTIVIDADES DE CONSTRUCCIÓN Y EVALUACIÓN PRELIMINAR DE POZOS GEOTÉRMICOS PARA EXPLORACIÓN, UBICADOS EN ZONAS AGRÍCOLAS, GANADERAS Y ERIALES, FUERA DE ÁREAS NATURALES PROTEGIDAS Y TERRENOS FORESTALES</w:t>
            </w:r>
          </w:p>
        </w:tc>
        <w:tc>
          <w:tcPr>
            <w:tcW w:w="4788" w:type="dxa"/>
            <w:shd w:val="clear" w:color="auto" w:fill="auto"/>
          </w:tcPr>
          <w:p w14:paraId="0C4C7AFF" w14:textId="3EC2AD2F" w:rsidR="00DC213D" w:rsidRPr="00C377B1" w:rsidRDefault="00DC213D" w:rsidP="00C377B1">
            <w:pPr>
              <w:pStyle w:val="ANOTACION"/>
              <w:spacing w:line="218" w:lineRule="exact"/>
              <w:rPr>
                <w:rFonts w:ascii="Verdana" w:hAnsi="Verdana"/>
                <w:bCs/>
                <w:sz w:val="16"/>
                <w:szCs w:val="16"/>
                <w:lang w:val="en-US"/>
              </w:rPr>
            </w:pPr>
            <w:r w:rsidRPr="00C377B1">
              <w:rPr>
                <w:rFonts w:ascii="Verdana" w:hAnsi="Verdana"/>
                <w:bCs/>
                <w:sz w:val="16"/>
                <w:szCs w:val="16"/>
                <w:lang w:val="en-US"/>
              </w:rPr>
              <w:t>OFFICIAL MEXICAN STANDARD NOM-150-SEMARNAT-2017,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w:t>
            </w:r>
          </w:p>
        </w:tc>
      </w:tr>
      <w:tr w:rsidR="00DC213D" w:rsidRPr="00C377B1" w14:paraId="1B123B0F" w14:textId="5FCE9968" w:rsidTr="00C377B1">
        <w:tc>
          <w:tcPr>
            <w:tcW w:w="4788" w:type="dxa"/>
            <w:shd w:val="clear" w:color="auto" w:fill="auto"/>
          </w:tcPr>
          <w:p w14:paraId="53EF36B2" w14:textId="77777777" w:rsidR="00DC213D" w:rsidRPr="00C377B1" w:rsidRDefault="00DC213D" w:rsidP="00C377B1">
            <w:pPr>
              <w:pStyle w:val="ANOTACION"/>
              <w:spacing w:line="218" w:lineRule="exact"/>
              <w:rPr>
                <w:rFonts w:ascii="Verdana" w:hAnsi="Verdana"/>
                <w:sz w:val="16"/>
                <w:szCs w:val="16"/>
              </w:rPr>
            </w:pPr>
            <w:r w:rsidRPr="00C377B1">
              <w:rPr>
                <w:rFonts w:ascii="Verdana" w:hAnsi="Verdana"/>
                <w:sz w:val="16"/>
                <w:szCs w:val="16"/>
              </w:rPr>
              <w:t>ÍNDICE</w:t>
            </w:r>
          </w:p>
        </w:tc>
        <w:tc>
          <w:tcPr>
            <w:tcW w:w="4788" w:type="dxa"/>
            <w:shd w:val="clear" w:color="auto" w:fill="auto"/>
          </w:tcPr>
          <w:p w14:paraId="13E01FD2" w14:textId="6967FF5F" w:rsidR="00DC213D" w:rsidRPr="00C377B1" w:rsidRDefault="00DC213D" w:rsidP="00C377B1">
            <w:pPr>
              <w:pStyle w:val="ANOTACION"/>
              <w:spacing w:line="218" w:lineRule="exact"/>
              <w:rPr>
                <w:rFonts w:ascii="Verdana" w:hAnsi="Verdana"/>
                <w:sz w:val="16"/>
                <w:szCs w:val="16"/>
                <w:lang w:val="en-US"/>
              </w:rPr>
            </w:pPr>
            <w:r w:rsidRPr="00C377B1">
              <w:rPr>
                <w:rFonts w:ascii="Verdana" w:hAnsi="Verdana"/>
                <w:bCs/>
                <w:sz w:val="16"/>
                <w:szCs w:val="16"/>
              </w:rPr>
              <w:t>INDEX</w:t>
            </w:r>
          </w:p>
        </w:tc>
      </w:tr>
      <w:tr w:rsidR="00DC213D" w:rsidRPr="00C377B1" w14:paraId="660FF43F" w14:textId="18318A7E" w:rsidTr="00C377B1">
        <w:tc>
          <w:tcPr>
            <w:tcW w:w="4788" w:type="dxa"/>
            <w:shd w:val="clear" w:color="auto" w:fill="auto"/>
          </w:tcPr>
          <w:p w14:paraId="2570739C"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0. </w:t>
            </w:r>
            <w:r w:rsidRPr="00C377B1">
              <w:rPr>
                <w:rFonts w:ascii="Verdana" w:hAnsi="Verdana"/>
                <w:sz w:val="16"/>
                <w:szCs w:val="16"/>
              </w:rPr>
              <w:t>Introducción.</w:t>
            </w:r>
          </w:p>
        </w:tc>
        <w:tc>
          <w:tcPr>
            <w:tcW w:w="4788" w:type="dxa"/>
            <w:shd w:val="clear" w:color="auto" w:fill="auto"/>
          </w:tcPr>
          <w:p w14:paraId="3F9AB706" w14:textId="55BCCA5C"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0. </w:t>
            </w:r>
            <w:r w:rsidRPr="00C377B1">
              <w:rPr>
                <w:rFonts w:ascii="Verdana" w:hAnsi="Verdana" w:cs="Times New Roman"/>
                <w:sz w:val="16"/>
                <w:szCs w:val="16"/>
                <w:lang w:val="en-US"/>
              </w:rPr>
              <w:t>Introduction.</w:t>
            </w:r>
          </w:p>
        </w:tc>
      </w:tr>
      <w:tr w:rsidR="00DC213D" w:rsidRPr="00CE7512" w14:paraId="3A913D15" w14:textId="2D6C4450" w:rsidTr="00C377B1">
        <w:tc>
          <w:tcPr>
            <w:tcW w:w="4788" w:type="dxa"/>
            <w:shd w:val="clear" w:color="auto" w:fill="auto"/>
          </w:tcPr>
          <w:p w14:paraId="0D1A0728"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1. </w:t>
            </w:r>
            <w:r w:rsidRPr="00C377B1">
              <w:rPr>
                <w:rFonts w:ascii="Verdana" w:hAnsi="Verdana"/>
                <w:sz w:val="16"/>
                <w:szCs w:val="16"/>
              </w:rPr>
              <w:t>Objetivo y campo de aplicación.</w:t>
            </w:r>
          </w:p>
        </w:tc>
        <w:tc>
          <w:tcPr>
            <w:tcW w:w="4788" w:type="dxa"/>
            <w:shd w:val="clear" w:color="auto" w:fill="auto"/>
          </w:tcPr>
          <w:p w14:paraId="2D857074" w14:textId="49DBDD53"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1. </w:t>
            </w:r>
            <w:r w:rsidRPr="00C377B1">
              <w:rPr>
                <w:rFonts w:ascii="Verdana" w:hAnsi="Verdana" w:cs="Times New Roman"/>
                <w:sz w:val="16"/>
                <w:szCs w:val="16"/>
                <w:lang w:val="en-US"/>
              </w:rPr>
              <w:t>Objective and field of application</w:t>
            </w:r>
          </w:p>
        </w:tc>
      </w:tr>
      <w:tr w:rsidR="00DC213D" w:rsidRPr="00C377B1" w14:paraId="08AC5757" w14:textId="7337DF3D" w:rsidTr="00C377B1">
        <w:tc>
          <w:tcPr>
            <w:tcW w:w="4788" w:type="dxa"/>
            <w:shd w:val="clear" w:color="auto" w:fill="auto"/>
          </w:tcPr>
          <w:p w14:paraId="70E12744"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2. </w:t>
            </w:r>
            <w:r w:rsidRPr="00C377B1">
              <w:rPr>
                <w:rFonts w:ascii="Verdana" w:hAnsi="Verdana"/>
                <w:sz w:val="16"/>
                <w:szCs w:val="16"/>
              </w:rPr>
              <w:t>Referencias.</w:t>
            </w:r>
          </w:p>
        </w:tc>
        <w:tc>
          <w:tcPr>
            <w:tcW w:w="4788" w:type="dxa"/>
            <w:shd w:val="clear" w:color="auto" w:fill="auto"/>
          </w:tcPr>
          <w:p w14:paraId="417C23D7" w14:textId="506F6BB8"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2. </w:t>
            </w:r>
            <w:r w:rsidRPr="00C377B1">
              <w:rPr>
                <w:rFonts w:ascii="Verdana" w:hAnsi="Verdana" w:cs="Times New Roman"/>
                <w:sz w:val="16"/>
                <w:szCs w:val="16"/>
                <w:lang w:val="en-US"/>
              </w:rPr>
              <w:t>References.</w:t>
            </w:r>
          </w:p>
        </w:tc>
      </w:tr>
      <w:tr w:rsidR="00DC213D" w:rsidRPr="00C377B1" w14:paraId="38598271" w14:textId="5277D289" w:rsidTr="00C377B1">
        <w:tc>
          <w:tcPr>
            <w:tcW w:w="4788" w:type="dxa"/>
            <w:shd w:val="clear" w:color="auto" w:fill="auto"/>
          </w:tcPr>
          <w:p w14:paraId="569F4CFE"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3. </w:t>
            </w:r>
            <w:r w:rsidRPr="00C377B1">
              <w:rPr>
                <w:rFonts w:ascii="Verdana" w:hAnsi="Verdana"/>
                <w:sz w:val="16"/>
                <w:szCs w:val="16"/>
              </w:rPr>
              <w:t>Definiciones.</w:t>
            </w:r>
          </w:p>
        </w:tc>
        <w:tc>
          <w:tcPr>
            <w:tcW w:w="4788" w:type="dxa"/>
            <w:shd w:val="clear" w:color="auto" w:fill="auto"/>
          </w:tcPr>
          <w:p w14:paraId="59D4AD08" w14:textId="5D844862"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3. </w:t>
            </w:r>
            <w:r w:rsidRPr="00C377B1">
              <w:rPr>
                <w:rFonts w:ascii="Verdana" w:hAnsi="Verdana" w:cs="Times New Roman"/>
                <w:sz w:val="16"/>
                <w:szCs w:val="16"/>
                <w:lang w:val="en-US"/>
              </w:rPr>
              <w:t>Definitions</w:t>
            </w:r>
          </w:p>
        </w:tc>
      </w:tr>
      <w:tr w:rsidR="00DC213D" w:rsidRPr="00C377B1" w14:paraId="314AFE01" w14:textId="4EFEEEE3" w:rsidTr="00C377B1">
        <w:tc>
          <w:tcPr>
            <w:tcW w:w="4788" w:type="dxa"/>
            <w:shd w:val="clear" w:color="auto" w:fill="auto"/>
          </w:tcPr>
          <w:p w14:paraId="5CEDFE8B"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4. </w:t>
            </w:r>
            <w:r w:rsidRPr="00C377B1">
              <w:rPr>
                <w:rFonts w:ascii="Verdana" w:hAnsi="Verdana"/>
                <w:sz w:val="16"/>
                <w:szCs w:val="16"/>
              </w:rPr>
              <w:t>Especificaciones.</w:t>
            </w:r>
          </w:p>
        </w:tc>
        <w:tc>
          <w:tcPr>
            <w:tcW w:w="4788" w:type="dxa"/>
            <w:shd w:val="clear" w:color="auto" w:fill="auto"/>
          </w:tcPr>
          <w:p w14:paraId="251F5248" w14:textId="36D9CFF0"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4. </w:t>
            </w:r>
            <w:r w:rsidRPr="00C377B1">
              <w:rPr>
                <w:rFonts w:ascii="Verdana" w:hAnsi="Verdana" w:cs="Times New Roman"/>
                <w:sz w:val="16"/>
                <w:szCs w:val="16"/>
                <w:lang w:val="en-US"/>
              </w:rPr>
              <w:t>Specifications.</w:t>
            </w:r>
          </w:p>
        </w:tc>
      </w:tr>
      <w:tr w:rsidR="00DC213D" w:rsidRPr="00C377B1" w14:paraId="6BB73E4A" w14:textId="3DA46980" w:rsidTr="00C377B1">
        <w:tc>
          <w:tcPr>
            <w:tcW w:w="4788" w:type="dxa"/>
            <w:shd w:val="clear" w:color="auto" w:fill="auto"/>
          </w:tcPr>
          <w:p w14:paraId="24FF283C"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5. </w:t>
            </w:r>
            <w:r w:rsidRPr="00C377B1">
              <w:rPr>
                <w:rFonts w:ascii="Verdana" w:hAnsi="Verdana"/>
                <w:sz w:val="16"/>
                <w:szCs w:val="16"/>
              </w:rPr>
              <w:t>Procedimiento de Evaluación de la conformidad.</w:t>
            </w:r>
          </w:p>
        </w:tc>
        <w:tc>
          <w:tcPr>
            <w:tcW w:w="4788" w:type="dxa"/>
            <w:shd w:val="clear" w:color="auto" w:fill="auto"/>
          </w:tcPr>
          <w:p w14:paraId="67702911" w14:textId="5D0AF916"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5. </w:t>
            </w:r>
            <w:r w:rsidRPr="00C377B1">
              <w:rPr>
                <w:rFonts w:ascii="Verdana" w:hAnsi="Verdana" w:cs="Times New Roman"/>
                <w:sz w:val="16"/>
                <w:szCs w:val="16"/>
                <w:lang w:val="en-US"/>
              </w:rPr>
              <w:t>Conformity Assessment Procedure.</w:t>
            </w:r>
          </w:p>
        </w:tc>
      </w:tr>
      <w:tr w:rsidR="00DC213D" w:rsidRPr="00C377B1" w14:paraId="23A0E996" w14:textId="54E45BA6" w:rsidTr="00C377B1">
        <w:tc>
          <w:tcPr>
            <w:tcW w:w="4788" w:type="dxa"/>
            <w:shd w:val="clear" w:color="auto" w:fill="auto"/>
          </w:tcPr>
          <w:p w14:paraId="6FDD9B6F"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6. </w:t>
            </w:r>
            <w:r w:rsidRPr="00C377B1">
              <w:rPr>
                <w:rFonts w:ascii="Verdana" w:hAnsi="Verdana"/>
                <w:sz w:val="16"/>
                <w:szCs w:val="16"/>
              </w:rPr>
              <w:t>Bibliografía.</w:t>
            </w:r>
          </w:p>
        </w:tc>
        <w:tc>
          <w:tcPr>
            <w:tcW w:w="4788" w:type="dxa"/>
            <w:shd w:val="clear" w:color="auto" w:fill="auto"/>
          </w:tcPr>
          <w:p w14:paraId="579CCD6A" w14:textId="0902A51A"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6. </w:t>
            </w:r>
            <w:r w:rsidRPr="00C377B1">
              <w:rPr>
                <w:rFonts w:ascii="Verdana" w:hAnsi="Verdana" w:cs="Times New Roman"/>
                <w:sz w:val="16"/>
                <w:szCs w:val="16"/>
                <w:lang w:val="en-US"/>
              </w:rPr>
              <w:t>Bibliography.</w:t>
            </w:r>
          </w:p>
        </w:tc>
      </w:tr>
      <w:tr w:rsidR="00DC213D" w:rsidRPr="00C377B1" w14:paraId="4F16E254" w14:textId="35813ABE" w:rsidTr="00C377B1">
        <w:tc>
          <w:tcPr>
            <w:tcW w:w="4788" w:type="dxa"/>
            <w:shd w:val="clear" w:color="auto" w:fill="auto"/>
          </w:tcPr>
          <w:p w14:paraId="6F2DE77F"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7. </w:t>
            </w:r>
            <w:r w:rsidRPr="00C377B1">
              <w:rPr>
                <w:rFonts w:ascii="Verdana" w:hAnsi="Verdana"/>
                <w:sz w:val="16"/>
                <w:szCs w:val="16"/>
              </w:rPr>
              <w:t>Concordancia con Normas Internacionales.</w:t>
            </w:r>
          </w:p>
        </w:tc>
        <w:tc>
          <w:tcPr>
            <w:tcW w:w="4788" w:type="dxa"/>
            <w:shd w:val="clear" w:color="auto" w:fill="auto"/>
          </w:tcPr>
          <w:p w14:paraId="39B75FB1" w14:textId="45847D55"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7. </w:t>
            </w:r>
            <w:r w:rsidRPr="00C377B1">
              <w:rPr>
                <w:rFonts w:ascii="Verdana" w:hAnsi="Verdana" w:cs="Times New Roman"/>
                <w:sz w:val="16"/>
                <w:szCs w:val="16"/>
                <w:lang w:val="en-US"/>
              </w:rPr>
              <w:t>Concordance with International Standards.</w:t>
            </w:r>
          </w:p>
        </w:tc>
      </w:tr>
      <w:tr w:rsidR="00DC213D" w:rsidRPr="00C377B1" w14:paraId="58F9F200" w14:textId="4ADEECE1" w:rsidTr="00C377B1">
        <w:tc>
          <w:tcPr>
            <w:tcW w:w="4788" w:type="dxa"/>
            <w:shd w:val="clear" w:color="auto" w:fill="auto"/>
          </w:tcPr>
          <w:p w14:paraId="3BF59FA3" w14:textId="77777777" w:rsidR="00DC213D" w:rsidRPr="00C377B1" w:rsidRDefault="00DC213D" w:rsidP="00C377B1">
            <w:pPr>
              <w:pStyle w:val="Texto"/>
              <w:spacing w:line="218" w:lineRule="exact"/>
              <w:ind w:firstLine="0"/>
              <w:rPr>
                <w:rFonts w:ascii="Verdana" w:hAnsi="Verdana"/>
                <w:sz w:val="16"/>
                <w:szCs w:val="16"/>
              </w:rPr>
            </w:pPr>
            <w:r w:rsidRPr="00C377B1">
              <w:rPr>
                <w:rFonts w:ascii="Verdana" w:hAnsi="Verdana"/>
                <w:b/>
                <w:sz w:val="16"/>
                <w:szCs w:val="16"/>
              </w:rPr>
              <w:t xml:space="preserve">8. </w:t>
            </w:r>
            <w:r w:rsidRPr="00C377B1">
              <w:rPr>
                <w:rFonts w:ascii="Verdana" w:hAnsi="Verdana"/>
                <w:sz w:val="16"/>
                <w:szCs w:val="16"/>
              </w:rPr>
              <w:t>Vigilancia de esta norma.</w:t>
            </w:r>
          </w:p>
        </w:tc>
        <w:tc>
          <w:tcPr>
            <w:tcW w:w="4788" w:type="dxa"/>
            <w:shd w:val="clear" w:color="auto" w:fill="auto"/>
          </w:tcPr>
          <w:p w14:paraId="65325CF0" w14:textId="2D819157" w:rsidR="00DC213D" w:rsidRPr="00C377B1" w:rsidRDefault="00DC213D" w:rsidP="00C377B1">
            <w:pPr>
              <w:pStyle w:val="Texto"/>
              <w:spacing w:line="218" w:lineRule="exact"/>
              <w:ind w:firstLine="0"/>
              <w:rPr>
                <w:rFonts w:ascii="Verdana" w:hAnsi="Verdana"/>
                <w:b/>
                <w:sz w:val="16"/>
                <w:szCs w:val="16"/>
                <w:lang w:val="en-US"/>
              </w:rPr>
            </w:pPr>
            <w:r w:rsidRPr="00C377B1">
              <w:rPr>
                <w:rFonts w:ascii="Verdana" w:hAnsi="Verdana" w:cs="Times New Roman"/>
                <w:b/>
                <w:bCs/>
                <w:sz w:val="16"/>
                <w:szCs w:val="16"/>
                <w:lang w:val="en-US"/>
              </w:rPr>
              <w:t xml:space="preserve">8. </w:t>
            </w:r>
            <w:r w:rsidRPr="00C377B1">
              <w:rPr>
                <w:rFonts w:ascii="Verdana" w:hAnsi="Verdana" w:cs="Times New Roman"/>
                <w:sz w:val="16"/>
                <w:szCs w:val="16"/>
                <w:lang w:val="en-US"/>
              </w:rPr>
              <w:t>Oversight of this standard.</w:t>
            </w:r>
          </w:p>
        </w:tc>
      </w:tr>
      <w:tr w:rsidR="00DC213D" w:rsidRPr="00C377B1" w14:paraId="4BBA00F6" w14:textId="58243DED" w:rsidTr="00C377B1">
        <w:tc>
          <w:tcPr>
            <w:tcW w:w="4788" w:type="dxa"/>
            <w:shd w:val="clear" w:color="auto" w:fill="auto"/>
          </w:tcPr>
          <w:p w14:paraId="07C5D646" w14:textId="77777777" w:rsidR="00DC213D" w:rsidRPr="00C377B1" w:rsidRDefault="00DC213D" w:rsidP="00C377B1">
            <w:pPr>
              <w:pStyle w:val="Texto"/>
              <w:spacing w:line="236" w:lineRule="exact"/>
              <w:ind w:firstLine="0"/>
              <w:rPr>
                <w:rFonts w:ascii="Verdana" w:hAnsi="Verdana"/>
                <w:b/>
                <w:sz w:val="16"/>
                <w:szCs w:val="16"/>
              </w:rPr>
            </w:pPr>
            <w:r w:rsidRPr="00C377B1">
              <w:rPr>
                <w:rFonts w:ascii="Verdana" w:hAnsi="Verdana"/>
                <w:b/>
                <w:sz w:val="16"/>
                <w:szCs w:val="16"/>
              </w:rPr>
              <w:t>0.</w:t>
            </w:r>
            <w:r w:rsidRPr="00C377B1">
              <w:rPr>
                <w:rFonts w:ascii="Verdana" w:hAnsi="Verdana"/>
                <w:b/>
                <w:sz w:val="16"/>
                <w:szCs w:val="16"/>
              </w:rPr>
              <w:tab/>
              <w:t>Introducción</w:t>
            </w:r>
          </w:p>
        </w:tc>
        <w:tc>
          <w:tcPr>
            <w:tcW w:w="4788" w:type="dxa"/>
            <w:shd w:val="clear" w:color="auto" w:fill="auto"/>
          </w:tcPr>
          <w:p w14:paraId="016885AB" w14:textId="69969589" w:rsidR="00DC213D" w:rsidRPr="00C377B1" w:rsidRDefault="00DC213D" w:rsidP="00C377B1">
            <w:pPr>
              <w:pStyle w:val="Texto"/>
              <w:spacing w:line="236" w:lineRule="exact"/>
              <w:ind w:firstLine="0"/>
              <w:rPr>
                <w:rFonts w:ascii="Verdana" w:hAnsi="Verdana"/>
                <w:b/>
                <w:sz w:val="16"/>
                <w:szCs w:val="16"/>
                <w:lang w:val="en-US"/>
              </w:rPr>
            </w:pPr>
            <w:r w:rsidRPr="00C377B1">
              <w:rPr>
                <w:rFonts w:ascii="Verdana" w:hAnsi="Verdana" w:cs="Times New Roman"/>
                <w:b/>
                <w:bCs/>
                <w:sz w:val="16"/>
                <w:szCs w:val="16"/>
                <w:lang w:val="en-US"/>
              </w:rPr>
              <w:t xml:space="preserve">0. Introduction              </w:t>
            </w:r>
          </w:p>
        </w:tc>
      </w:tr>
      <w:tr w:rsidR="00DC213D" w:rsidRPr="00CE7512" w14:paraId="279418AF" w14:textId="21DC990F" w:rsidTr="00C377B1">
        <w:tc>
          <w:tcPr>
            <w:tcW w:w="4788" w:type="dxa"/>
            <w:shd w:val="clear" w:color="auto" w:fill="auto"/>
          </w:tcPr>
          <w:p w14:paraId="39C3CCC9"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Derivado de los resultados del “Estudio de evaluación de los efectos ambientales generados por la aplicación de la NOM-150-SEMARNAT-2006”, se destaca que es necesario efectuar adecuaciones en algunos aspectos incluidos en dicha norma, tales como la amplitud de los caminos, medidas para protección de fauna, metodología de muestreo de los recortes de perforación, actividades de rehabilitación, entre otros.</w:t>
            </w:r>
          </w:p>
        </w:tc>
        <w:tc>
          <w:tcPr>
            <w:tcW w:w="4788" w:type="dxa"/>
            <w:shd w:val="clear" w:color="auto" w:fill="auto"/>
          </w:tcPr>
          <w:p w14:paraId="26E8A72C" w14:textId="3E710B25"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Derived from the results of the “Evaluation study of the environmental effects generated by the application of NOM-150-SEMARNAT-2006,” it is emphasized that it is necessary to make adjustments in some aspects included in said standard, such as the </w:t>
            </w:r>
            <w:r w:rsidR="00CE7512">
              <w:rPr>
                <w:rFonts w:ascii="Verdana" w:hAnsi="Verdana" w:cs="Times New Roman"/>
                <w:sz w:val="16"/>
                <w:szCs w:val="16"/>
                <w:lang w:val="en-US"/>
              </w:rPr>
              <w:t>width</w:t>
            </w:r>
            <w:r w:rsidRPr="00C377B1">
              <w:rPr>
                <w:rFonts w:ascii="Verdana" w:hAnsi="Verdana" w:cs="Times New Roman"/>
                <w:sz w:val="16"/>
                <w:szCs w:val="16"/>
                <w:lang w:val="en-US"/>
              </w:rPr>
              <w:t xml:space="preserve"> of roads, </w:t>
            </w:r>
            <w:r w:rsidR="00CE7512" w:rsidRPr="00C377B1">
              <w:rPr>
                <w:rFonts w:ascii="Verdana" w:hAnsi="Verdana" w:cs="Times New Roman"/>
                <w:sz w:val="16"/>
                <w:szCs w:val="16"/>
                <w:lang w:val="en-US"/>
              </w:rPr>
              <w:t xml:space="preserve">measures </w:t>
            </w:r>
            <w:r w:rsidR="00CE7512">
              <w:rPr>
                <w:rFonts w:ascii="Verdana" w:hAnsi="Verdana" w:cs="Times New Roman"/>
                <w:sz w:val="16"/>
                <w:szCs w:val="16"/>
                <w:lang w:val="en-US"/>
              </w:rPr>
              <w:t xml:space="preserve">for the </w:t>
            </w:r>
            <w:r w:rsidRPr="00C377B1">
              <w:rPr>
                <w:rFonts w:ascii="Verdana" w:hAnsi="Verdana" w:cs="Times New Roman"/>
                <w:sz w:val="16"/>
                <w:szCs w:val="16"/>
                <w:lang w:val="en-US"/>
              </w:rPr>
              <w:t>protection</w:t>
            </w:r>
            <w:r w:rsidR="00CE7512">
              <w:rPr>
                <w:rFonts w:ascii="Verdana" w:hAnsi="Verdana" w:cs="Times New Roman"/>
                <w:sz w:val="16"/>
                <w:szCs w:val="16"/>
                <w:lang w:val="en-US"/>
              </w:rPr>
              <w:t xml:space="preserve"> of</w:t>
            </w:r>
            <w:r w:rsidR="00CE7512" w:rsidRPr="00C377B1">
              <w:rPr>
                <w:rFonts w:ascii="Verdana" w:hAnsi="Verdana" w:cs="Times New Roman"/>
                <w:sz w:val="16"/>
                <w:szCs w:val="16"/>
                <w:lang w:val="en-US"/>
              </w:rPr>
              <w:t xml:space="preserve"> wildlife</w:t>
            </w:r>
            <w:r w:rsidRPr="00C377B1">
              <w:rPr>
                <w:rFonts w:ascii="Verdana" w:hAnsi="Verdana" w:cs="Times New Roman"/>
                <w:sz w:val="16"/>
                <w:szCs w:val="16"/>
                <w:lang w:val="en-US"/>
              </w:rPr>
              <w:t>, sampling methodology for drilling cuts, rehabilitation activities, among others.</w:t>
            </w:r>
          </w:p>
        </w:tc>
      </w:tr>
      <w:tr w:rsidR="00DC213D" w:rsidRPr="00CE7512" w14:paraId="10AA7209" w14:textId="46621658" w:rsidTr="00C377B1">
        <w:tc>
          <w:tcPr>
            <w:tcW w:w="4788" w:type="dxa"/>
            <w:shd w:val="clear" w:color="auto" w:fill="auto"/>
          </w:tcPr>
          <w:p w14:paraId="7783A6FF"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 xml:space="preserve">De dicho estudio también se desprende que la aplicación de la NOM-150-SEMARNAT-2006, ha sido benéfica, ya que en él se precisa que se han observado mejorías significativas en las condiciones ambientales de los sitios donde se desarrollaron proyectos de exploración geotérmica. No obstante lo anterior la necesidad de modificación, radica en la oportunidad de garantizar mayor viabilidad de cumplimiento y con esto </w:t>
            </w:r>
            <w:r w:rsidRPr="00C377B1">
              <w:rPr>
                <w:rFonts w:ascii="Verdana" w:hAnsi="Verdana"/>
                <w:sz w:val="16"/>
                <w:szCs w:val="16"/>
              </w:rPr>
              <w:lastRenderedPageBreak/>
              <w:t>proporcionar mayor certeza jurídica.</w:t>
            </w:r>
          </w:p>
        </w:tc>
        <w:tc>
          <w:tcPr>
            <w:tcW w:w="4788" w:type="dxa"/>
            <w:shd w:val="clear" w:color="auto" w:fill="auto"/>
          </w:tcPr>
          <w:p w14:paraId="3BFFF783" w14:textId="2EF98661"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lastRenderedPageBreak/>
              <w:t xml:space="preserve">This study also shows that the application of NOM-150-SEMARNAT-2006 has been beneficial, since it requires that significant improvements have been observed in the environmental conditions of the sites where geothermal exploration projects were developed. Notwithstanding the foregoing, the need for modification lies in the opportunity to guarantee greater viability of compliance and thereby provide greater legal </w:t>
            </w:r>
            <w:r w:rsidRPr="00C377B1">
              <w:rPr>
                <w:rFonts w:ascii="Verdana" w:hAnsi="Verdana" w:cs="Times New Roman"/>
                <w:sz w:val="16"/>
                <w:szCs w:val="16"/>
                <w:lang w:val="en-US"/>
              </w:rPr>
              <w:lastRenderedPageBreak/>
              <w:t>certainty.</w:t>
            </w:r>
          </w:p>
        </w:tc>
      </w:tr>
      <w:tr w:rsidR="00DC213D" w:rsidRPr="00CE7512" w14:paraId="0028C221" w14:textId="65C72DF6" w:rsidTr="00C377B1">
        <w:tc>
          <w:tcPr>
            <w:tcW w:w="4788" w:type="dxa"/>
            <w:shd w:val="clear" w:color="auto" w:fill="auto"/>
          </w:tcPr>
          <w:p w14:paraId="75E57E3C"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lastRenderedPageBreak/>
              <w:t>Es necesario resaltar que al momento de la emisión de la primera versión de la norma, el único sujeto regulado era la Comisión Federal de Electricidad, pues entonces era la única instancia en el país que invertía en la construcción de pozos de exploración geotérmica, dado el alto riesgo en la inversión para la construcción de éstos y que la información de prospección de potencial y de ubicación de campos geotérmicos, era administrada principalmente por dicho organismo.</w:t>
            </w:r>
          </w:p>
        </w:tc>
        <w:tc>
          <w:tcPr>
            <w:tcW w:w="4788" w:type="dxa"/>
            <w:shd w:val="clear" w:color="auto" w:fill="auto"/>
          </w:tcPr>
          <w:p w14:paraId="253B1A40" w14:textId="35A50C35"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It is necessary to highlight that at the time of the issuance of the first version of the standard, the only regulated subject was the Federal Electricity Commission, because then it was the only instance in the country that invested in the construction of geothermal exploration wells, given the high risk in the investment for the construction of these and that the information of prospecting and location of geothermal fields, was administered mainly by said agency.</w:t>
            </w:r>
          </w:p>
        </w:tc>
      </w:tr>
      <w:tr w:rsidR="00DC213D" w:rsidRPr="00CE7512" w14:paraId="05AFD95B" w14:textId="676AC198" w:rsidTr="00C377B1">
        <w:tc>
          <w:tcPr>
            <w:tcW w:w="4788" w:type="dxa"/>
            <w:shd w:val="clear" w:color="auto" w:fill="auto"/>
          </w:tcPr>
          <w:p w14:paraId="36AC290E"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 xml:space="preserve">Actualmente se estima que el potencial de generación eléctrica del país derivada del vapor geotérmico es de 10,644 </w:t>
            </w:r>
            <w:proofErr w:type="spellStart"/>
            <w:r w:rsidRPr="00C377B1">
              <w:rPr>
                <w:rFonts w:ascii="Verdana" w:hAnsi="Verdana"/>
                <w:sz w:val="16"/>
                <w:szCs w:val="16"/>
              </w:rPr>
              <w:t>MWe</w:t>
            </w:r>
            <w:proofErr w:type="spellEnd"/>
            <w:r w:rsidRPr="00C377B1">
              <w:rPr>
                <w:rFonts w:ascii="Verdana" w:hAnsi="Verdana"/>
                <w:sz w:val="16"/>
                <w:szCs w:val="16"/>
              </w:rPr>
              <w:t xml:space="preserve"> (Mega Watts eléctricos), distribuidos en reservas probadas (1,144 </w:t>
            </w:r>
            <w:proofErr w:type="spellStart"/>
            <w:r w:rsidRPr="00C377B1">
              <w:rPr>
                <w:rFonts w:ascii="Verdana" w:hAnsi="Verdana"/>
                <w:sz w:val="16"/>
                <w:szCs w:val="16"/>
              </w:rPr>
              <w:t>MWe</w:t>
            </w:r>
            <w:proofErr w:type="spellEnd"/>
            <w:r w:rsidRPr="00C377B1">
              <w:rPr>
                <w:rFonts w:ascii="Verdana" w:hAnsi="Verdana"/>
                <w:sz w:val="16"/>
                <w:szCs w:val="16"/>
              </w:rPr>
              <w:t xml:space="preserve">), probables (2,077 </w:t>
            </w:r>
            <w:proofErr w:type="spellStart"/>
            <w:r w:rsidRPr="00C377B1">
              <w:rPr>
                <w:rFonts w:ascii="Verdana" w:hAnsi="Verdana"/>
                <w:sz w:val="16"/>
                <w:szCs w:val="16"/>
              </w:rPr>
              <w:t>MWe</w:t>
            </w:r>
            <w:proofErr w:type="spellEnd"/>
            <w:r w:rsidRPr="00C377B1">
              <w:rPr>
                <w:rFonts w:ascii="Verdana" w:hAnsi="Verdana"/>
                <w:sz w:val="16"/>
                <w:szCs w:val="16"/>
              </w:rPr>
              <w:t xml:space="preserve">) y posibles (7,423 </w:t>
            </w:r>
            <w:proofErr w:type="spellStart"/>
            <w:r w:rsidRPr="00C377B1">
              <w:rPr>
                <w:rFonts w:ascii="Verdana" w:hAnsi="Verdana"/>
                <w:sz w:val="16"/>
                <w:szCs w:val="16"/>
              </w:rPr>
              <w:t>MWe</w:t>
            </w:r>
            <w:proofErr w:type="spellEnd"/>
            <w:r w:rsidRPr="00C377B1">
              <w:rPr>
                <w:rFonts w:ascii="Verdana" w:hAnsi="Verdana"/>
                <w:sz w:val="16"/>
                <w:szCs w:val="16"/>
              </w:rPr>
              <w:t>). Adicionalmente, en el terreno de las fuentes renovables de energía, se considera a la energía geotérmica como una de las mejores opciones, dada su capacidad de producir energía de forma continua.</w:t>
            </w:r>
          </w:p>
        </w:tc>
        <w:tc>
          <w:tcPr>
            <w:tcW w:w="4788" w:type="dxa"/>
            <w:shd w:val="clear" w:color="auto" w:fill="auto"/>
          </w:tcPr>
          <w:p w14:paraId="0591D4D7" w14:textId="17D22659"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It is currently estimated that the country's power generation potential derived from geothermal steam is 10,644 </w:t>
            </w:r>
            <w:proofErr w:type="spellStart"/>
            <w:r w:rsidRPr="00C377B1">
              <w:rPr>
                <w:rFonts w:ascii="Verdana" w:hAnsi="Verdana" w:cs="Times New Roman"/>
                <w:sz w:val="16"/>
                <w:szCs w:val="16"/>
                <w:lang w:val="en-US"/>
              </w:rPr>
              <w:t>MWe</w:t>
            </w:r>
            <w:proofErr w:type="spellEnd"/>
            <w:r w:rsidRPr="00C377B1">
              <w:rPr>
                <w:rFonts w:ascii="Verdana" w:hAnsi="Verdana" w:cs="Times New Roman"/>
                <w:sz w:val="16"/>
                <w:szCs w:val="16"/>
                <w:lang w:val="en-US"/>
              </w:rPr>
              <w:t xml:space="preserve"> (Mega Electric Watts), distributed in proven reserves (1,144 </w:t>
            </w:r>
            <w:proofErr w:type="spellStart"/>
            <w:r w:rsidRPr="00C377B1">
              <w:rPr>
                <w:rFonts w:ascii="Verdana" w:hAnsi="Verdana" w:cs="Times New Roman"/>
                <w:sz w:val="16"/>
                <w:szCs w:val="16"/>
                <w:lang w:val="en-US"/>
              </w:rPr>
              <w:t>MWe</w:t>
            </w:r>
            <w:proofErr w:type="spellEnd"/>
            <w:r w:rsidRPr="00C377B1">
              <w:rPr>
                <w:rFonts w:ascii="Verdana" w:hAnsi="Verdana" w:cs="Times New Roman"/>
                <w:sz w:val="16"/>
                <w:szCs w:val="16"/>
                <w:lang w:val="en-US"/>
              </w:rPr>
              <w:t xml:space="preserve"> ), probable (2,077 </w:t>
            </w:r>
            <w:proofErr w:type="spellStart"/>
            <w:r w:rsidRPr="00C377B1">
              <w:rPr>
                <w:rFonts w:ascii="Verdana" w:hAnsi="Verdana" w:cs="Times New Roman"/>
                <w:sz w:val="16"/>
                <w:szCs w:val="16"/>
                <w:lang w:val="en-US"/>
              </w:rPr>
              <w:t>MWe</w:t>
            </w:r>
            <w:proofErr w:type="spellEnd"/>
            <w:r w:rsidRPr="00C377B1">
              <w:rPr>
                <w:rFonts w:ascii="Verdana" w:hAnsi="Verdana" w:cs="Times New Roman"/>
                <w:sz w:val="16"/>
                <w:szCs w:val="16"/>
                <w:lang w:val="en-US"/>
              </w:rPr>
              <w:t xml:space="preserve"> ) and possible (7,423 </w:t>
            </w:r>
            <w:proofErr w:type="spellStart"/>
            <w:r w:rsidRPr="00C377B1">
              <w:rPr>
                <w:rFonts w:ascii="Verdana" w:hAnsi="Verdana" w:cs="Times New Roman"/>
                <w:sz w:val="16"/>
                <w:szCs w:val="16"/>
                <w:lang w:val="en-US"/>
              </w:rPr>
              <w:t>MWe</w:t>
            </w:r>
            <w:proofErr w:type="spellEnd"/>
            <w:r w:rsidRPr="00C377B1">
              <w:rPr>
                <w:rFonts w:ascii="Verdana" w:hAnsi="Verdana" w:cs="Times New Roman"/>
                <w:sz w:val="16"/>
                <w:szCs w:val="16"/>
                <w:lang w:val="en-US"/>
              </w:rPr>
              <w:t xml:space="preserve"> ). Additionally, in the field of renewable energy sources, geothermal energy is considered as one of the best options, given its ability to produce energy continuously.</w:t>
            </w:r>
          </w:p>
        </w:tc>
      </w:tr>
      <w:tr w:rsidR="00DC213D" w:rsidRPr="00CE7512" w14:paraId="0B83D20D" w14:textId="469EEFCE" w:rsidTr="00C377B1">
        <w:tc>
          <w:tcPr>
            <w:tcW w:w="4788" w:type="dxa"/>
            <w:shd w:val="clear" w:color="auto" w:fill="auto"/>
          </w:tcPr>
          <w:p w14:paraId="46321CB3"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Durante el Foro Internacional sobre Energía Geotérmica, celebrado en la Ciudad de México en octubre del 2013, la Secretaría de Energía, anunció entre otros, la creación de un mecanismo financiero para la cobertura de riesgos para la exploración de fuentes geotérmicas, al cual tendrán acceso tanto la Comisión Federal de Electricidad (CFE), como la iniciativa privada, un fondo para fortalecer a la CFE en materia de investigación en campos con potencial geotérmico en varios Estados de la República y la integración del Centro Mexicano de Innovación en Energía Geotérmica, medidas todas con las que se busca superar las barreras técnicas, financieras y regulatorias que impiden el aprovechamiento óptimo de los recursos geotérmicos del país.</w:t>
            </w:r>
          </w:p>
        </w:tc>
        <w:tc>
          <w:tcPr>
            <w:tcW w:w="4788" w:type="dxa"/>
            <w:shd w:val="clear" w:color="auto" w:fill="auto"/>
          </w:tcPr>
          <w:p w14:paraId="5A629869" w14:textId="0A61BED4"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During the International Forum on Geothermal Energy, held in Mexico City in October 2013, the Secretary of Energy announced, among others, the creation of a financial mechanism for the coverage of risks for the exploration of geothermal sources, to which they will have access both the Federal Electricity Commission (CFE), </w:t>
            </w:r>
            <w:r w:rsidR="00CE7512">
              <w:rPr>
                <w:rFonts w:ascii="Verdana" w:hAnsi="Verdana" w:cs="Times New Roman"/>
                <w:sz w:val="16"/>
                <w:szCs w:val="16"/>
                <w:lang w:val="en-US"/>
              </w:rPr>
              <w:t>as well as</w:t>
            </w:r>
            <w:r w:rsidRPr="00C377B1">
              <w:rPr>
                <w:rFonts w:ascii="Verdana" w:hAnsi="Verdana" w:cs="Times New Roman"/>
                <w:sz w:val="16"/>
                <w:szCs w:val="16"/>
                <w:lang w:val="en-US"/>
              </w:rPr>
              <w:t xml:space="preserve"> the private initiative, a fund to strengthen the CFE in research in fields with geothermal potential in several States of the Republic and the integration of the Mexican Center for Innovation in Geothermal Energy, measures all with which it seeks to overcome the technical, financial and regulatory barriers that prevent the optimal use of geothermal resources in the country.</w:t>
            </w:r>
          </w:p>
        </w:tc>
      </w:tr>
      <w:tr w:rsidR="00DC213D" w:rsidRPr="00CE7512" w14:paraId="28101521" w14:textId="137DE78A" w:rsidTr="00C377B1">
        <w:tc>
          <w:tcPr>
            <w:tcW w:w="4788" w:type="dxa"/>
            <w:shd w:val="clear" w:color="auto" w:fill="auto"/>
          </w:tcPr>
          <w:p w14:paraId="5B1DFA16"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En este orden de ideas y derivado de la Reforma Energética, propuesta por el Ejecutivo Federal y aprobada por la LXII Legislatura del Congreso de la Unión, en agosto del 2014, se expidió la Ley de Energía Geotérmica, la cual define el proceso mediante el que es posible obtener el permiso para exploración de recursos geotérmicos y eventualmente la concesión de aprovechamiento para la generación de energía eléctrica, mismo que abre el mercado de aprovechamiento a inversionistas de la iniciativa privada.</w:t>
            </w:r>
          </w:p>
        </w:tc>
        <w:tc>
          <w:tcPr>
            <w:tcW w:w="4788" w:type="dxa"/>
            <w:shd w:val="clear" w:color="auto" w:fill="auto"/>
          </w:tcPr>
          <w:p w14:paraId="6028421E" w14:textId="6D1E2BE7"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In this order of ideas and derived from the Energy Reform, proposed by the Federal Executive and approved by the LXII Legislature of the Congress of the Union, in August 2014, the Geothermal Energy Law was issued, which defines the process by which it is possible to obtain the permit for exploration of geothermal resources and eventually the concession of exploitation for the generation of electrical energy, which opens the market for exploitation </w:t>
            </w:r>
            <w:r w:rsidR="00CE7512">
              <w:rPr>
                <w:rFonts w:ascii="Verdana" w:hAnsi="Verdana" w:cs="Times New Roman"/>
                <w:sz w:val="16"/>
                <w:szCs w:val="16"/>
                <w:lang w:val="en-US"/>
              </w:rPr>
              <w:t>by</w:t>
            </w:r>
            <w:r w:rsidRPr="00C377B1">
              <w:rPr>
                <w:rFonts w:ascii="Verdana" w:hAnsi="Verdana" w:cs="Times New Roman"/>
                <w:sz w:val="16"/>
                <w:szCs w:val="16"/>
                <w:lang w:val="en-US"/>
              </w:rPr>
              <w:t xml:space="preserve"> private initiative investors.</w:t>
            </w:r>
          </w:p>
        </w:tc>
      </w:tr>
      <w:tr w:rsidR="00DC213D" w:rsidRPr="00CE7512" w14:paraId="12CD1F5D" w14:textId="037D6074" w:rsidTr="00C377B1">
        <w:tc>
          <w:tcPr>
            <w:tcW w:w="4788" w:type="dxa"/>
            <w:shd w:val="clear" w:color="auto" w:fill="auto"/>
          </w:tcPr>
          <w:p w14:paraId="0C07657D"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 xml:space="preserve">En otros aspectos, derivado de las opiniones de los expertos participantes en la elaboración de la presente norma, se hace necesario enfocar un concepto muy importante, relacionado con la protección del recurso agua (distinto del concepto de agua geotérmica), es decir corrientes y cuerpos superficiales de agua, así </w:t>
            </w:r>
            <w:r w:rsidRPr="00C377B1">
              <w:rPr>
                <w:rFonts w:ascii="Verdana" w:hAnsi="Verdana"/>
                <w:sz w:val="16"/>
                <w:szCs w:val="16"/>
              </w:rPr>
              <w:lastRenderedPageBreak/>
              <w:t>como acuíferos subterráneos, debido a que son componentes que pueden ser afectados por las actividades propias de la perforación y evaluación de pozos exploratorios geotérmicos, por descargas descontroladas y por otro lado, dadas las variadas conformaciones geológicas del subsuelo, es necesario prever la posibilidad de que la perforación de un pozo exploratorio, cruce primero un acuífero, antes de llegar a un yacimiento geotérmico y en este sentido el concepto de acuífero es más amplio y adecuado que el concepto de manto freático, ya que este último hace referencia únicamente a una superficie, la cubierta por un manto freático a una cierta profundidad (nivel freático) a diferencia de acuífero que refiere a un cuerpo o volumen, en el que se encuentra contenido el agua.</w:t>
            </w:r>
          </w:p>
        </w:tc>
        <w:tc>
          <w:tcPr>
            <w:tcW w:w="4788" w:type="dxa"/>
            <w:shd w:val="clear" w:color="auto" w:fill="auto"/>
          </w:tcPr>
          <w:p w14:paraId="7BE9F6A9" w14:textId="22AA4AF5"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lastRenderedPageBreak/>
              <w:t xml:space="preserve">In other aspects, derived from the opinions of the experts participating in the </w:t>
            </w:r>
            <w:r w:rsidR="00BD26E3" w:rsidRPr="00C377B1">
              <w:rPr>
                <w:rFonts w:ascii="Verdana" w:hAnsi="Verdana" w:cs="Times New Roman"/>
                <w:sz w:val="16"/>
                <w:szCs w:val="16"/>
                <w:lang w:val="en-US"/>
              </w:rPr>
              <w:t>preparation</w:t>
            </w:r>
            <w:r w:rsidRPr="00C377B1">
              <w:rPr>
                <w:rFonts w:ascii="Verdana" w:hAnsi="Verdana" w:cs="Times New Roman"/>
                <w:sz w:val="16"/>
                <w:szCs w:val="16"/>
                <w:lang w:val="en-US"/>
              </w:rPr>
              <w:t xml:space="preserve"> of this standard, it is necessary to focus a very important concept, related to the protection of the water resource (different from the concept of geothermal water), that is </w:t>
            </w:r>
            <w:r w:rsidR="00BD26E3" w:rsidRPr="00C377B1">
              <w:rPr>
                <w:rFonts w:ascii="Verdana" w:hAnsi="Verdana" w:cs="Times New Roman"/>
                <w:sz w:val="16"/>
                <w:szCs w:val="16"/>
                <w:lang w:val="en-US"/>
              </w:rPr>
              <w:t xml:space="preserve">to say, </w:t>
            </w:r>
            <w:r w:rsidRPr="00C377B1">
              <w:rPr>
                <w:rFonts w:ascii="Verdana" w:hAnsi="Verdana" w:cs="Times New Roman"/>
                <w:sz w:val="16"/>
                <w:szCs w:val="16"/>
                <w:lang w:val="en-US"/>
              </w:rPr>
              <w:t>currents and bodies</w:t>
            </w:r>
            <w:r w:rsidR="00BD26E3" w:rsidRPr="00C377B1">
              <w:rPr>
                <w:rFonts w:ascii="Verdana" w:hAnsi="Verdana" w:cs="Times New Roman"/>
                <w:sz w:val="16"/>
                <w:szCs w:val="16"/>
                <w:lang w:val="en-US"/>
              </w:rPr>
              <w:t xml:space="preserve"> of</w:t>
            </w:r>
            <w:r w:rsidRPr="00C377B1">
              <w:rPr>
                <w:rFonts w:ascii="Verdana" w:hAnsi="Verdana" w:cs="Times New Roman"/>
                <w:sz w:val="16"/>
                <w:szCs w:val="16"/>
                <w:lang w:val="en-US"/>
              </w:rPr>
              <w:t xml:space="preserve"> surface water, as well as </w:t>
            </w:r>
            <w:r w:rsidRPr="00C377B1">
              <w:rPr>
                <w:rFonts w:ascii="Verdana" w:hAnsi="Verdana" w:cs="Times New Roman"/>
                <w:sz w:val="16"/>
                <w:szCs w:val="16"/>
                <w:lang w:val="en-US"/>
              </w:rPr>
              <w:lastRenderedPageBreak/>
              <w:t>underground aquifers, because they are components that can be affected by the activities of drilling and evaluation of geothermal exploratory wells, uncontrolled discharges and on the other hand, given the varied geological conformations of the subsoil, it is necessary</w:t>
            </w:r>
            <w:r w:rsidR="00BD26E3" w:rsidRPr="00C377B1">
              <w:rPr>
                <w:rFonts w:ascii="Verdana" w:hAnsi="Verdana" w:cs="Times New Roman"/>
                <w:sz w:val="16"/>
                <w:szCs w:val="16"/>
                <w:lang w:val="en-US"/>
              </w:rPr>
              <w:t xml:space="preserve"> to</w:t>
            </w:r>
            <w:r w:rsidRPr="00C377B1">
              <w:rPr>
                <w:rFonts w:ascii="Verdana" w:hAnsi="Verdana" w:cs="Times New Roman"/>
                <w:sz w:val="16"/>
                <w:szCs w:val="16"/>
                <w:lang w:val="en-US"/>
              </w:rPr>
              <w:t xml:space="preserve"> provide for the possibility that the drilling of an exploratory well</w:t>
            </w:r>
            <w:r w:rsidR="00BD26E3" w:rsidRPr="00C377B1">
              <w:rPr>
                <w:rFonts w:ascii="Verdana" w:hAnsi="Verdana" w:cs="Times New Roman"/>
                <w:sz w:val="16"/>
                <w:szCs w:val="16"/>
                <w:lang w:val="en-US"/>
              </w:rPr>
              <w:t xml:space="preserve"> may </w:t>
            </w:r>
            <w:r w:rsidRPr="00C377B1">
              <w:rPr>
                <w:rFonts w:ascii="Verdana" w:hAnsi="Verdana" w:cs="Times New Roman"/>
                <w:sz w:val="16"/>
                <w:szCs w:val="16"/>
                <w:lang w:val="en-US"/>
              </w:rPr>
              <w:t>first cross an aquifer before reaching a geothermal reservoir and in this sense the concept of aquifer is broader and more adequate than the concept of water table, since the latter refers only on one surface, covered by a water table at a certain depth (</w:t>
            </w:r>
            <w:proofErr w:type="spellStart"/>
            <w:r w:rsidR="004C577A">
              <w:rPr>
                <w:rFonts w:ascii="Verdana" w:hAnsi="Verdana" w:cs="Times New Roman"/>
                <w:sz w:val="16"/>
                <w:szCs w:val="16"/>
                <w:lang w:val="en-US"/>
              </w:rPr>
              <w:t>freatic</w:t>
            </w:r>
            <w:proofErr w:type="spellEnd"/>
            <w:r w:rsidR="004C577A">
              <w:rPr>
                <w:rFonts w:ascii="Verdana" w:hAnsi="Verdana" w:cs="Times New Roman"/>
                <w:sz w:val="16"/>
                <w:szCs w:val="16"/>
                <w:lang w:val="en-US"/>
              </w:rPr>
              <w:t xml:space="preserve"> level of</w:t>
            </w:r>
            <w:r w:rsidRPr="00C377B1">
              <w:rPr>
                <w:rFonts w:ascii="Verdana" w:hAnsi="Verdana" w:cs="Times New Roman"/>
                <w:sz w:val="16"/>
                <w:szCs w:val="16"/>
                <w:lang w:val="en-US"/>
              </w:rPr>
              <w:t xml:space="preserve"> the water table) unlike an aquifer that refers to a body or volume, in which the water is contained.</w:t>
            </w:r>
          </w:p>
        </w:tc>
      </w:tr>
      <w:tr w:rsidR="00DC213D" w:rsidRPr="00CE7512" w14:paraId="3EDD47DF" w14:textId="59A8BE42" w:rsidTr="00C377B1">
        <w:tc>
          <w:tcPr>
            <w:tcW w:w="4788" w:type="dxa"/>
            <w:shd w:val="clear" w:color="auto" w:fill="auto"/>
          </w:tcPr>
          <w:p w14:paraId="6238FA0A" w14:textId="77777777" w:rsidR="00DC213D" w:rsidRPr="00C377B1" w:rsidRDefault="00DC213D" w:rsidP="00C377B1">
            <w:pPr>
              <w:pStyle w:val="Texto"/>
              <w:spacing w:line="236" w:lineRule="exact"/>
              <w:ind w:firstLine="0"/>
              <w:rPr>
                <w:rFonts w:ascii="Verdana" w:hAnsi="Verdana"/>
                <w:b/>
                <w:sz w:val="16"/>
                <w:szCs w:val="16"/>
              </w:rPr>
            </w:pPr>
            <w:r w:rsidRPr="00C377B1">
              <w:rPr>
                <w:rFonts w:ascii="Verdana" w:hAnsi="Verdana"/>
                <w:b/>
                <w:sz w:val="16"/>
                <w:szCs w:val="16"/>
              </w:rPr>
              <w:lastRenderedPageBreak/>
              <w:t>1.</w:t>
            </w:r>
            <w:r w:rsidRPr="00C377B1">
              <w:rPr>
                <w:rFonts w:ascii="Verdana" w:hAnsi="Verdana"/>
                <w:b/>
                <w:sz w:val="16"/>
                <w:szCs w:val="16"/>
              </w:rPr>
              <w:tab/>
              <w:t>Objetivo y campo de aplicación</w:t>
            </w:r>
          </w:p>
        </w:tc>
        <w:tc>
          <w:tcPr>
            <w:tcW w:w="4788" w:type="dxa"/>
            <w:shd w:val="clear" w:color="auto" w:fill="auto"/>
          </w:tcPr>
          <w:p w14:paraId="3997D666" w14:textId="7E02C2B6" w:rsidR="00DC213D" w:rsidRPr="00C377B1" w:rsidRDefault="00DC213D" w:rsidP="00C377B1">
            <w:pPr>
              <w:pStyle w:val="Texto"/>
              <w:spacing w:line="236" w:lineRule="exact"/>
              <w:ind w:firstLine="0"/>
              <w:rPr>
                <w:rFonts w:ascii="Verdana" w:hAnsi="Verdana"/>
                <w:b/>
                <w:sz w:val="16"/>
                <w:szCs w:val="16"/>
                <w:lang w:val="en-US"/>
              </w:rPr>
            </w:pPr>
            <w:r w:rsidRPr="00C377B1">
              <w:rPr>
                <w:rFonts w:ascii="Verdana" w:hAnsi="Verdana" w:cs="Times New Roman"/>
                <w:b/>
                <w:bCs/>
                <w:sz w:val="16"/>
                <w:szCs w:val="16"/>
                <w:lang w:val="en-US"/>
              </w:rPr>
              <w:t xml:space="preserve">1. Objective and </w:t>
            </w:r>
            <w:r w:rsidR="00BD26E3" w:rsidRPr="00C377B1">
              <w:rPr>
                <w:rFonts w:ascii="Verdana" w:hAnsi="Verdana" w:cs="Times New Roman"/>
                <w:b/>
                <w:bCs/>
                <w:sz w:val="16"/>
                <w:szCs w:val="16"/>
                <w:lang w:val="en-US"/>
              </w:rPr>
              <w:t>field of application</w:t>
            </w:r>
            <w:r w:rsidRPr="00C377B1">
              <w:rPr>
                <w:rFonts w:ascii="Verdana" w:hAnsi="Verdana" w:cs="Times New Roman"/>
                <w:b/>
                <w:bCs/>
                <w:sz w:val="16"/>
                <w:szCs w:val="16"/>
                <w:lang w:val="en-US"/>
              </w:rPr>
              <w:t xml:space="preserve">              </w:t>
            </w:r>
          </w:p>
        </w:tc>
      </w:tr>
      <w:tr w:rsidR="00DC213D" w:rsidRPr="00CE7512" w14:paraId="0919C871" w14:textId="1108DA87" w:rsidTr="00C377B1">
        <w:tc>
          <w:tcPr>
            <w:tcW w:w="4788" w:type="dxa"/>
            <w:shd w:val="clear" w:color="auto" w:fill="auto"/>
          </w:tcPr>
          <w:p w14:paraId="4A1B019D"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La presente Norma Oficial Mexicana establece las especificaciones técnicas de protección al ambiente que deben observar los permisionarios para la construcción de pozos geotérmicos para la exploración hasta su evaluación preliminar,</w:t>
            </w:r>
            <w:r w:rsidRPr="00C377B1">
              <w:rPr>
                <w:rFonts w:ascii="Verdana" w:hAnsi="Verdana"/>
                <w:b/>
                <w:sz w:val="16"/>
                <w:szCs w:val="16"/>
              </w:rPr>
              <w:t xml:space="preserve"> </w:t>
            </w:r>
            <w:r w:rsidRPr="00C377B1">
              <w:rPr>
                <w:rFonts w:ascii="Verdana" w:hAnsi="Verdana"/>
                <w:sz w:val="16"/>
                <w:szCs w:val="16"/>
              </w:rPr>
              <w:t>que se ubiquen en zonas agrícolas, ganaderas y eriales, fuera de Áreas Naturales Protegidas y terrenos forestales y es de observancia obligatoria.</w:t>
            </w:r>
          </w:p>
        </w:tc>
        <w:tc>
          <w:tcPr>
            <w:tcW w:w="4788" w:type="dxa"/>
            <w:shd w:val="clear" w:color="auto" w:fill="auto"/>
          </w:tcPr>
          <w:p w14:paraId="1BB42DDC" w14:textId="7E42B7C7"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 xml:space="preserve">This Official Mexican Standard establishes the technical specifications of environmental protection that must be observed by the permit holders for the construction of geothermal wells for exploration until their preliminary evaluation, which are located in agricultural, livestock and wasteland areas, outside Protected Natural Areas and </w:t>
            </w:r>
            <w:r w:rsidR="00BD26E3" w:rsidRPr="004C577A">
              <w:rPr>
                <w:rFonts w:ascii="Verdana" w:hAnsi="Verdana" w:cs="Times New Roman"/>
                <w:sz w:val="16"/>
                <w:szCs w:val="16"/>
                <w:lang w:val="en-US"/>
              </w:rPr>
              <w:t xml:space="preserve">forestry </w:t>
            </w:r>
            <w:r w:rsidRPr="004C577A">
              <w:rPr>
                <w:rFonts w:ascii="Verdana" w:hAnsi="Verdana" w:cs="Times New Roman"/>
                <w:sz w:val="16"/>
                <w:szCs w:val="16"/>
                <w:lang w:val="en-US"/>
              </w:rPr>
              <w:t>land and is mandatory.</w:t>
            </w:r>
            <w:r w:rsidRPr="004C577A">
              <w:rPr>
                <w:rFonts w:ascii="Verdana" w:hAnsi="Verdana" w:cs="Times New Roman"/>
                <w:b/>
                <w:bCs/>
                <w:sz w:val="16"/>
                <w:szCs w:val="16"/>
                <w:lang w:val="en-US"/>
              </w:rPr>
              <w:t xml:space="preserve"> </w:t>
            </w:r>
          </w:p>
        </w:tc>
      </w:tr>
      <w:tr w:rsidR="00DC213D" w:rsidRPr="00C377B1" w14:paraId="43215455" w14:textId="6A5008F7" w:rsidTr="00C377B1">
        <w:tc>
          <w:tcPr>
            <w:tcW w:w="4788" w:type="dxa"/>
            <w:shd w:val="clear" w:color="auto" w:fill="auto"/>
          </w:tcPr>
          <w:p w14:paraId="3D2B59D0" w14:textId="77777777" w:rsidR="00DC213D" w:rsidRPr="00C377B1" w:rsidRDefault="00DC213D" w:rsidP="00C377B1">
            <w:pPr>
              <w:pStyle w:val="Texto"/>
              <w:spacing w:line="236" w:lineRule="exact"/>
              <w:ind w:firstLine="0"/>
              <w:rPr>
                <w:rFonts w:ascii="Verdana" w:hAnsi="Verdana"/>
                <w:b/>
                <w:sz w:val="16"/>
                <w:szCs w:val="16"/>
              </w:rPr>
            </w:pPr>
            <w:r w:rsidRPr="00C377B1">
              <w:rPr>
                <w:rFonts w:ascii="Verdana" w:hAnsi="Verdana"/>
                <w:b/>
                <w:sz w:val="16"/>
                <w:szCs w:val="16"/>
              </w:rPr>
              <w:t>2.</w:t>
            </w:r>
            <w:r w:rsidRPr="00C377B1">
              <w:rPr>
                <w:rFonts w:ascii="Verdana" w:hAnsi="Verdana"/>
                <w:b/>
                <w:sz w:val="16"/>
                <w:szCs w:val="16"/>
              </w:rPr>
              <w:tab/>
              <w:t>Referencias</w:t>
            </w:r>
          </w:p>
        </w:tc>
        <w:tc>
          <w:tcPr>
            <w:tcW w:w="4788" w:type="dxa"/>
            <w:shd w:val="clear" w:color="auto" w:fill="auto"/>
          </w:tcPr>
          <w:p w14:paraId="1B74E6D7" w14:textId="6311283F"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 xml:space="preserve">2. References              </w:t>
            </w:r>
          </w:p>
        </w:tc>
      </w:tr>
      <w:tr w:rsidR="00DC213D" w:rsidRPr="00CE7512" w14:paraId="3C54119A" w14:textId="6EC88A4A" w:rsidTr="00C377B1">
        <w:tc>
          <w:tcPr>
            <w:tcW w:w="4788" w:type="dxa"/>
            <w:shd w:val="clear" w:color="auto" w:fill="auto"/>
          </w:tcPr>
          <w:p w14:paraId="70AD1D90"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2.1.</w:t>
            </w:r>
            <w:r w:rsidRPr="00C377B1">
              <w:rPr>
                <w:rFonts w:ascii="Verdana" w:hAnsi="Verdana"/>
                <w:sz w:val="16"/>
                <w:szCs w:val="16"/>
              </w:rPr>
              <w:t xml:space="preserve"> Norma Oficial Mexicana NOM-004-CONAGUA-1996, Requisitos para la protección de acuíferos durante el mantenimiento y rehabilitación de pozos de extracción de agua y para el cierre de pozos en general, publicada en el Diario Oficial de la Federación el 8 de agosto de 1997.</w:t>
            </w:r>
          </w:p>
        </w:tc>
        <w:tc>
          <w:tcPr>
            <w:tcW w:w="4788" w:type="dxa"/>
            <w:shd w:val="clear" w:color="auto" w:fill="auto"/>
          </w:tcPr>
          <w:p w14:paraId="1E6E1DF7" w14:textId="1CD5863C" w:rsidR="00DC213D" w:rsidRPr="00C377B1" w:rsidRDefault="00DC213D" w:rsidP="00C377B1">
            <w:pPr>
              <w:pStyle w:val="Texto"/>
              <w:spacing w:line="236" w:lineRule="exact"/>
              <w:ind w:firstLine="0"/>
              <w:rPr>
                <w:rFonts w:ascii="Verdana" w:hAnsi="Verdana"/>
                <w:b/>
                <w:sz w:val="16"/>
                <w:szCs w:val="16"/>
                <w:lang w:val="en-US"/>
              </w:rPr>
            </w:pPr>
            <w:r w:rsidRPr="00C377B1">
              <w:rPr>
                <w:rFonts w:ascii="Verdana" w:hAnsi="Verdana" w:cs="Times New Roman"/>
                <w:b/>
                <w:bCs/>
                <w:sz w:val="16"/>
                <w:szCs w:val="16"/>
                <w:lang w:val="en-US"/>
              </w:rPr>
              <w:t xml:space="preserve">2.1. </w:t>
            </w:r>
            <w:r w:rsidRPr="00C377B1">
              <w:rPr>
                <w:rFonts w:ascii="Verdana" w:hAnsi="Verdana" w:cs="Times New Roman"/>
                <w:sz w:val="16"/>
                <w:szCs w:val="16"/>
                <w:lang w:val="en-US"/>
              </w:rPr>
              <w:t>Official Mexican Standard NOM-004-CONAGUA-1996, Requirements for the protection of aquifers during the maintenance and rehabilitation of water extraction wells and for the closure of wells in general, published in the Official Daily of the Federation on August 8, 1997</w:t>
            </w:r>
          </w:p>
        </w:tc>
      </w:tr>
      <w:tr w:rsidR="00DC213D" w:rsidRPr="00CE7512" w14:paraId="696A68E6" w14:textId="0180418F" w:rsidTr="00C377B1">
        <w:tc>
          <w:tcPr>
            <w:tcW w:w="4788" w:type="dxa"/>
            <w:shd w:val="clear" w:color="auto" w:fill="auto"/>
          </w:tcPr>
          <w:p w14:paraId="00341731"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2.2.</w:t>
            </w:r>
            <w:r w:rsidRPr="00C377B1">
              <w:rPr>
                <w:rFonts w:ascii="Verdana" w:hAnsi="Verdana"/>
                <w:sz w:val="16"/>
                <w:szCs w:val="16"/>
              </w:rPr>
              <w:t xml:space="preserve"> Norma Oficial Mexicana NOM-052-SEMARNAT-2005, Que establece las características, el procedimiento de identificación, clasificación y los listados de los residuos peligrosos, publicada en el Diario Oficial de la Federación el 23 de junio de 2006.</w:t>
            </w:r>
          </w:p>
        </w:tc>
        <w:tc>
          <w:tcPr>
            <w:tcW w:w="4788" w:type="dxa"/>
            <w:shd w:val="clear" w:color="auto" w:fill="auto"/>
          </w:tcPr>
          <w:p w14:paraId="305FC099" w14:textId="609139DD"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 xml:space="preserve">2.2. </w:t>
            </w:r>
            <w:r w:rsidRPr="00C377B1">
              <w:rPr>
                <w:rFonts w:ascii="Verdana" w:hAnsi="Verdana" w:cs="Times New Roman"/>
                <w:sz w:val="16"/>
                <w:szCs w:val="16"/>
                <w:lang w:val="en-US"/>
              </w:rPr>
              <w:t>Official Mexican Standard NOM-052-SEMARNAT-2005, which establishes the characteristics, identification procedure, classification and listings of hazardous waste</w:t>
            </w:r>
            <w:r w:rsidR="00BD26E3" w:rsidRPr="00C377B1">
              <w:rPr>
                <w:rFonts w:ascii="Verdana" w:hAnsi="Verdana" w:cs="Times New Roman"/>
                <w:sz w:val="16"/>
                <w:szCs w:val="16"/>
                <w:lang w:val="en-US"/>
              </w:rPr>
              <w:t>s</w:t>
            </w:r>
            <w:r w:rsidRPr="00C377B1">
              <w:rPr>
                <w:rFonts w:ascii="Verdana" w:hAnsi="Verdana" w:cs="Times New Roman"/>
                <w:sz w:val="16"/>
                <w:szCs w:val="16"/>
                <w:lang w:val="en-US"/>
              </w:rPr>
              <w:t>, published in the Official Daily of the Federation on June 23, 2006.</w:t>
            </w:r>
          </w:p>
        </w:tc>
      </w:tr>
      <w:tr w:rsidR="00DC213D" w:rsidRPr="00CE7512" w14:paraId="6D7ACE2D" w14:textId="646C8985" w:rsidTr="00C377B1">
        <w:tc>
          <w:tcPr>
            <w:tcW w:w="4788" w:type="dxa"/>
            <w:shd w:val="clear" w:color="auto" w:fill="auto"/>
          </w:tcPr>
          <w:p w14:paraId="32471EF1"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2.3.</w:t>
            </w:r>
            <w:r w:rsidRPr="00C377B1">
              <w:rPr>
                <w:rFonts w:ascii="Verdana" w:hAnsi="Verdana"/>
                <w:sz w:val="16"/>
                <w:szCs w:val="16"/>
              </w:rPr>
              <w:t xml:space="preserve"> Norma Oficial Mexicana NOM-053-SEMARNAT-1993, Que establece el procedimiento para llevar a cabo la prueba de extracción para determinar los constituyentes que hacen a un residuo peligroso por su toxicidad al ambiente, publicada en el Diario Oficial de la Federación el 22 de octubre de 1993.</w:t>
            </w:r>
          </w:p>
        </w:tc>
        <w:tc>
          <w:tcPr>
            <w:tcW w:w="4788" w:type="dxa"/>
            <w:shd w:val="clear" w:color="auto" w:fill="auto"/>
          </w:tcPr>
          <w:p w14:paraId="32E493CA" w14:textId="5376B71F"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 xml:space="preserve">2.3. </w:t>
            </w:r>
            <w:r w:rsidRPr="00C377B1">
              <w:rPr>
                <w:rFonts w:ascii="Verdana" w:hAnsi="Verdana" w:cs="Times New Roman"/>
                <w:sz w:val="16"/>
                <w:szCs w:val="16"/>
                <w:lang w:val="en-US"/>
              </w:rPr>
              <w:t xml:space="preserve">Official Mexican Standard NOM-053-SEMARNAT-1993, which establishes the procedure to carry out the extraction test to determine the constituents that make a </w:t>
            </w:r>
            <w:r w:rsidR="00BD26E3" w:rsidRPr="00C377B1">
              <w:rPr>
                <w:rFonts w:ascii="Verdana" w:hAnsi="Verdana" w:cs="Times New Roman"/>
                <w:sz w:val="16"/>
                <w:szCs w:val="16"/>
                <w:lang w:val="en-US"/>
              </w:rPr>
              <w:t xml:space="preserve">waste </w:t>
            </w:r>
            <w:r w:rsidRPr="00C377B1">
              <w:rPr>
                <w:rFonts w:ascii="Verdana" w:hAnsi="Verdana" w:cs="Times New Roman"/>
                <w:sz w:val="16"/>
                <w:szCs w:val="16"/>
                <w:lang w:val="en-US"/>
              </w:rPr>
              <w:t xml:space="preserve">hazardous due to its toxicity to the environment, published in the Official Daily of the Federation on  October </w:t>
            </w:r>
            <w:r w:rsidR="00BD26E3" w:rsidRPr="00C377B1">
              <w:rPr>
                <w:rFonts w:ascii="Verdana" w:hAnsi="Verdana" w:cs="Times New Roman"/>
                <w:sz w:val="16"/>
                <w:szCs w:val="16"/>
                <w:lang w:val="en-US"/>
              </w:rPr>
              <w:t xml:space="preserve">22, </w:t>
            </w:r>
            <w:r w:rsidRPr="00C377B1">
              <w:rPr>
                <w:rFonts w:ascii="Verdana" w:hAnsi="Verdana" w:cs="Times New Roman"/>
                <w:sz w:val="16"/>
                <w:szCs w:val="16"/>
                <w:lang w:val="en-US"/>
              </w:rPr>
              <w:t>1993</w:t>
            </w:r>
            <w:r w:rsidR="00BD26E3" w:rsidRPr="00C377B1">
              <w:rPr>
                <w:rFonts w:ascii="Verdana" w:hAnsi="Verdana" w:cs="Times New Roman"/>
                <w:sz w:val="16"/>
                <w:szCs w:val="16"/>
                <w:lang w:val="en-US"/>
              </w:rPr>
              <w:t xml:space="preserve"> </w:t>
            </w:r>
          </w:p>
        </w:tc>
      </w:tr>
      <w:tr w:rsidR="00DC213D" w:rsidRPr="00CE7512" w14:paraId="30853CA9" w14:textId="06066DB9" w:rsidTr="00C377B1">
        <w:tc>
          <w:tcPr>
            <w:tcW w:w="4788" w:type="dxa"/>
            <w:shd w:val="clear" w:color="auto" w:fill="auto"/>
          </w:tcPr>
          <w:p w14:paraId="1B449141"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2.4.</w:t>
            </w:r>
            <w:r w:rsidRPr="00C377B1">
              <w:rPr>
                <w:rFonts w:ascii="Verdana" w:hAnsi="Verdana"/>
                <w:sz w:val="16"/>
                <w:szCs w:val="16"/>
              </w:rPr>
              <w:t xml:space="preserve"> Norma Oficial Mexicana NOM-059-SEMARNAT-2010, Protección ambiental-Especies nativas de México de flora y fauna silvestres-Categorías de riesgo y especificaciones para su inclusión, exclusión o cambio-Lista de especies en riesgo, publicada en el Diario Oficial de la Federación el 30 de diciembre de 2010.</w:t>
            </w:r>
          </w:p>
        </w:tc>
        <w:tc>
          <w:tcPr>
            <w:tcW w:w="4788" w:type="dxa"/>
            <w:shd w:val="clear" w:color="auto" w:fill="auto"/>
          </w:tcPr>
          <w:p w14:paraId="3FAC14AB" w14:textId="24780754"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 xml:space="preserve">2.4. </w:t>
            </w:r>
            <w:r w:rsidRPr="00C377B1">
              <w:rPr>
                <w:rFonts w:ascii="Verdana" w:hAnsi="Verdana" w:cs="Times New Roman"/>
                <w:sz w:val="16"/>
                <w:szCs w:val="16"/>
                <w:lang w:val="en-US"/>
              </w:rPr>
              <w:t>Official Mexican Standard NOM-059-SEMARNAT-2010, Environmental protection-Mexican native species of wild flora and fauna-Risk categories and specifications for inclusion, exclusion or change-List of species at risk, published in the Official Daily of the Federation on December 30, 2010.</w:t>
            </w:r>
          </w:p>
        </w:tc>
      </w:tr>
      <w:tr w:rsidR="00DC213D" w:rsidRPr="00C377B1" w14:paraId="5BF1EB52" w14:textId="47A1C261" w:rsidTr="00C377B1">
        <w:tc>
          <w:tcPr>
            <w:tcW w:w="4788" w:type="dxa"/>
            <w:shd w:val="clear" w:color="auto" w:fill="auto"/>
          </w:tcPr>
          <w:p w14:paraId="0274F544" w14:textId="77777777" w:rsidR="00DC213D" w:rsidRPr="00C377B1" w:rsidRDefault="00DC213D" w:rsidP="00C377B1">
            <w:pPr>
              <w:pStyle w:val="Texto"/>
              <w:spacing w:line="243" w:lineRule="exact"/>
              <w:ind w:firstLine="0"/>
              <w:rPr>
                <w:rFonts w:ascii="Verdana" w:hAnsi="Verdana"/>
                <w:b/>
                <w:sz w:val="16"/>
                <w:szCs w:val="16"/>
              </w:rPr>
            </w:pPr>
            <w:r w:rsidRPr="00C377B1">
              <w:rPr>
                <w:rFonts w:ascii="Verdana" w:hAnsi="Verdana"/>
                <w:b/>
                <w:sz w:val="16"/>
                <w:szCs w:val="16"/>
              </w:rPr>
              <w:t>3.</w:t>
            </w:r>
            <w:r w:rsidRPr="00C377B1">
              <w:rPr>
                <w:rFonts w:ascii="Verdana" w:hAnsi="Verdana"/>
                <w:b/>
                <w:sz w:val="16"/>
                <w:szCs w:val="16"/>
              </w:rPr>
              <w:tab/>
              <w:t>Definiciones</w:t>
            </w:r>
          </w:p>
        </w:tc>
        <w:tc>
          <w:tcPr>
            <w:tcW w:w="4788" w:type="dxa"/>
            <w:shd w:val="clear" w:color="auto" w:fill="auto"/>
          </w:tcPr>
          <w:p w14:paraId="23AAF069" w14:textId="1DB4FA72"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rPr>
              <w:t xml:space="preserve">3. </w:t>
            </w:r>
            <w:proofErr w:type="spellStart"/>
            <w:r w:rsidRPr="00C377B1">
              <w:rPr>
                <w:rFonts w:ascii="Verdana" w:hAnsi="Verdana" w:cs="Times New Roman"/>
                <w:b/>
                <w:bCs/>
                <w:sz w:val="16"/>
                <w:szCs w:val="16"/>
              </w:rPr>
              <w:t>Definitions</w:t>
            </w:r>
            <w:proofErr w:type="spellEnd"/>
            <w:r w:rsidRPr="00C377B1">
              <w:rPr>
                <w:rFonts w:ascii="Verdana" w:hAnsi="Verdana" w:cs="Times New Roman"/>
                <w:b/>
                <w:bCs/>
                <w:sz w:val="16"/>
                <w:szCs w:val="16"/>
              </w:rPr>
              <w:t xml:space="preserve">              </w:t>
            </w:r>
          </w:p>
        </w:tc>
      </w:tr>
      <w:tr w:rsidR="00DC213D" w:rsidRPr="00CE7512" w14:paraId="52D47607" w14:textId="6FD5B892" w:rsidTr="00C377B1">
        <w:tc>
          <w:tcPr>
            <w:tcW w:w="4788" w:type="dxa"/>
            <w:shd w:val="clear" w:color="auto" w:fill="auto"/>
          </w:tcPr>
          <w:p w14:paraId="6ADD9CC7"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lastRenderedPageBreak/>
              <w:t>Para los efectos de la presente Norma Oficial Mexicana, se consideran las contenidas en la Ley General del Equilibrio Ecológico y la Protección al Ambiente, la Ley General para la Prevención y Gestión Integral de los Residuos y su Reglamento, la Ley de Energía Geotérmica, su Reglamento, Ley de Aguas Nacionales, su Reglamento, así como las siguientes:</w:t>
            </w:r>
          </w:p>
        </w:tc>
        <w:tc>
          <w:tcPr>
            <w:tcW w:w="4788" w:type="dxa"/>
            <w:shd w:val="clear" w:color="auto" w:fill="auto"/>
          </w:tcPr>
          <w:p w14:paraId="75169D5D" w14:textId="797194CB"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 xml:space="preserve">For the purposes of this Official Mexican Standard, those contained in the General Law of </w:t>
            </w:r>
            <w:r w:rsidR="00BD26E3" w:rsidRPr="00C377B1">
              <w:rPr>
                <w:rFonts w:ascii="Verdana" w:hAnsi="Verdana" w:cs="Times New Roman"/>
                <w:sz w:val="16"/>
                <w:szCs w:val="16"/>
                <w:lang w:val="en-US"/>
              </w:rPr>
              <w:t>Ecological equilibrium</w:t>
            </w:r>
            <w:r w:rsidRPr="00C377B1">
              <w:rPr>
                <w:rFonts w:ascii="Verdana" w:hAnsi="Verdana" w:cs="Times New Roman"/>
                <w:sz w:val="16"/>
                <w:szCs w:val="16"/>
                <w:lang w:val="en-US"/>
              </w:rPr>
              <w:t xml:space="preserve"> and Environmental Protection, the General Law for the Prevention and Integral Management of </w:t>
            </w:r>
            <w:r w:rsidR="00BD26E3" w:rsidRPr="00C377B1">
              <w:rPr>
                <w:rFonts w:ascii="Verdana" w:hAnsi="Verdana" w:cs="Times New Roman"/>
                <w:sz w:val="16"/>
                <w:szCs w:val="16"/>
                <w:lang w:val="en-US"/>
              </w:rPr>
              <w:t>Wastes</w:t>
            </w:r>
            <w:r w:rsidRPr="00C377B1">
              <w:rPr>
                <w:rFonts w:ascii="Verdana" w:hAnsi="Verdana" w:cs="Times New Roman"/>
                <w:sz w:val="16"/>
                <w:szCs w:val="16"/>
                <w:lang w:val="en-US"/>
              </w:rPr>
              <w:t xml:space="preserve"> and its Regulation, the Geothermal Energy Law, its Regulation, </w:t>
            </w:r>
            <w:r w:rsidR="00BD26E3" w:rsidRPr="00C377B1">
              <w:rPr>
                <w:rFonts w:ascii="Verdana" w:hAnsi="Verdana" w:cs="Times New Roman"/>
                <w:sz w:val="16"/>
                <w:szCs w:val="16"/>
                <w:lang w:val="en-US"/>
              </w:rPr>
              <w:t>Law of National Waters</w:t>
            </w:r>
            <w:r w:rsidRPr="00C377B1">
              <w:rPr>
                <w:rFonts w:ascii="Verdana" w:hAnsi="Verdana" w:cs="Times New Roman"/>
                <w:sz w:val="16"/>
                <w:szCs w:val="16"/>
                <w:lang w:val="en-US"/>
              </w:rPr>
              <w:t>, its Regulation, as well as the following:</w:t>
            </w:r>
          </w:p>
        </w:tc>
      </w:tr>
      <w:tr w:rsidR="00DC213D" w:rsidRPr="00C377B1" w14:paraId="6EC1A3AF" w14:textId="7FA00160" w:rsidTr="00C377B1">
        <w:tc>
          <w:tcPr>
            <w:tcW w:w="4788" w:type="dxa"/>
            <w:shd w:val="clear" w:color="auto" w:fill="auto"/>
          </w:tcPr>
          <w:p w14:paraId="3BC0CE93"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3.1. Acrónimos</w:t>
            </w:r>
          </w:p>
        </w:tc>
        <w:tc>
          <w:tcPr>
            <w:tcW w:w="4788" w:type="dxa"/>
            <w:shd w:val="clear" w:color="auto" w:fill="auto"/>
          </w:tcPr>
          <w:p w14:paraId="3861C52C" w14:textId="5B03D8D4"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3.1. Acronyms</w:t>
            </w:r>
          </w:p>
        </w:tc>
      </w:tr>
      <w:tr w:rsidR="00DC213D" w:rsidRPr="00C377B1" w14:paraId="4FAE3D2A" w14:textId="19D60839" w:rsidTr="00C377B1">
        <w:tc>
          <w:tcPr>
            <w:tcW w:w="4788" w:type="dxa"/>
            <w:shd w:val="clear" w:color="auto" w:fill="auto"/>
          </w:tcPr>
          <w:p w14:paraId="15B158F4"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CONAGUA: Comisión Nacional del Agua.</w:t>
            </w:r>
          </w:p>
        </w:tc>
        <w:tc>
          <w:tcPr>
            <w:tcW w:w="4788" w:type="dxa"/>
            <w:shd w:val="clear" w:color="auto" w:fill="auto"/>
          </w:tcPr>
          <w:p w14:paraId="43062103" w14:textId="3DA22684"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CONAGUA: National Water Commission.</w:t>
            </w:r>
          </w:p>
        </w:tc>
      </w:tr>
      <w:tr w:rsidR="00DC213D" w:rsidRPr="00CE7512" w14:paraId="003FB0E7" w14:textId="5D2D53AB" w:rsidTr="00C377B1">
        <w:tc>
          <w:tcPr>
            <w:tcW w:w="4788" w:type="dxa"/>
            <w:shd w:val="clear" w:color="auto" w:fill="auto"/>
          </w:tcPr>
          <w:p w14:paraId="6A6D5AC2"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EPA: Agencia de Protección Ambiental de los Estados Unidos de América (por sus siglas en inglés).</w:t>
            </w:r>
          </w:p>
        </w:tc>
        <w:tc>
          <w:tcPr>
            <w:tcW w:w="4788" w:type="dxa"/>
            <w:shd w:val="clear" w:color="auto" w:fill="auto"/>
          </w:tcPr>
          <w:p w14:paraId="2EEFB052" w14:textId="10AC6634"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EPA: Environmental Protection Agency of the United States of America (for its acronym in English).</w:t>
            </w:r>
          </w:p>
        </w:tc>
      </w:tr>
      <w:tr w:rsidR="00DC213D" w:rsidRPr="00CE7512" w14:paraId="074F3C5C" w14:textId="3C4C1487" w:rsidTr="00C377B1">
        <w:tc>
          <w:tcPr>
            <w:tcW w:w="4788" w:type="dxa"/>
            <w:shd w:val="clear" w:color="auto" w:fill="auto"/>
          </w:tcPr>
          <w:p w14:paraId="26723B07"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INEGI: Instituto Nacional de Estadística y Geografía.</w:t>
            </w:r>
          </w:p>
        </w:tc>
        <w:tc>
          <w:tcPr>
            <w:tcW w:w="4788" w:type="dxa"/>
            <w:shd w:val="clear" w:color="auto" w:fill="auto"/>
          </w:tcPr>
          <w:p w14:paraId="4DBC579C" w14:textId="40D9A0F9"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INEGI: National Institute of Statistics and Geography.</w:t>
            </w:r>
          </w:p>
        </w:tc>
      </w:tr>
      <w:tr w:rsidR="00DC213D" w:rsidRPr="00CE7512" w14:paraId="658FB081" w14:textId="4D79C9F9" w:rsidTr="00C377B1">
        <w:tc>
          <w:tcPr>
            <w:tcW w:w="4788" w:type="dxa"/>
            <w:shd w:val="clear" w:color="auto" w:fill="auto"/>
          </w:tcPr>
          <w:p w14:paraId="05CB5BDC"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PROFEPA: Procuraduría Federal de Protección al Ambiente.</w:t>
            </w:r>
          </w:p>
        </w:tc>
        <w:tc>
          <w:tcPr>
            <w:tcW w:w="4788" w:type="dxa"/>
            <w:shd w:val="clear" w:color="auto" w:fill="auto"/>
          </w:tcPr>
          <w:p w14:paraId="5446282D" w14:textId="44069143"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 xml:space="preserve">PROFEPA: Federal </w:t>
            </w:r>
            <w:r w:rsidR="00BD26E3" w:rsidRPr="00C377B1">
              <w:rPr>
                <w:rFonts w:ascii="Verdana" w:hAnsi="Verdana" w:cs="Times New Roman"/>
                <w:sz w:val="16"/>
                <w:szCs w:val="16"/>
                <w:lang w:val="en-US"/>
              </w:rPr>
              <w:t xml:space="preserve">Prosecutor for the Protection of the Environment. </w:t>
            </w:r>
          </w:p>
        </w:tc>
      </w:tr>
      <w:tr w:rsidR="00DC213D" w:rsidRPr="00CE7512" w14:paraId="64169B64" w14:textId="22803492" w:rsidTr="00C377B1">
        <w:tc>
          <w:tcPr>
            <w:tcW w:w="4788" w:type="dxa"/>
            <w:shd w:val="clear" w:color="auto" w:fill="auto"/>
          </w:tcPr>
          <w:p w14:paraId="54733DCC"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SEMARNAT: Secretaría de Medio Ambiente y Recursos Naturales.</w:t>
            </w:r>
          </w:p>
        </w:tc>
        <w:tc>
          <w:tcPr>
            <w:tcW w:w="4788" w:type="dxa"/>
            <w:shd w:val="clear" w:color="auto" w:fill="auto"/>
          </w:tcPr>
          <w:p w14:paraId="2B6D7FEF" w14:textId="26DCC2A0"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SEMARNAT: Secretary of Environment and Natural Resources.</w:t>
            </w:r>
          </w:p>
        </w:tc>
      </w:tr>
      <w:tr w:rsidR="00DC213D" w:rsidRPr="00C377B1" w14:paraId="037B7945" w14:textId="22D1C4D3" w:rsidTr="00C377B1">
        <w:tc>
          <w:tcPr>
            <w:tcW w:w="4788" w:type="dxa"/>
            <w:shd w:val="clear" w:color="auto" w:fill="auto"/>
          </w:tcPr>
          <w:p w14:paraId="525434D4"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SENER: Secretaría de Energía.</w:t>
            </w:r>
          </w:p>
        </w:tc>
        <w:tc>
          <w:tcPr>
            <w:tcW w:w="4788" w:type="dxa"/>
            <w:shd w:val="clear" w:color="auto" w:fill="auto"/>
          </w:tcPr>
          <w:p w14:paraId="647893B0" w14:textId="29C9618B"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rPr>
              <w:t xml:space="preserve">SENER: </w:t>
            </w:r>
            <w:r w:rsidRPr="004C577A">
              <w:rPr>
                <w:rFonts w:ascii="Verdana" w:hAnsi="Verdana" w:cs="Times New Roman"/>
                <w:sz w:val="16"/>
                <w:szCs w:val="16"/>
                <w:lang w:val="en-US"/>
              </w:rPr>
              <w:t>Secretary of Energy.</w:t>
            </w:r>
          </w:p>
        </w:tc>
      </w:tr>
      <w:tr w:rsidR="00DC213D" w:rsidRPr="00CE7512" w14:paraId="069A07D2" w14:textId="00C6BA42" w:rsidTr="00C377B1">
        <w:tc>
          <w:tcPr>
            <w:tcW w:w="4788" w:type="dxa"/>
            <w:shd w:val="clear" w:color="auto" w:fill="auto"/>
          </w:tcPr>
          <w:p w14:paraId="32E7EDC9"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 xml:space="preserve">UTM: Sistema de coordenadas universal transversal de </w:t>
            </w:r>
            <w:proofErr w:type="spellStart"/>
            <w:r w:rsidRPr="00C377B1">
              <w:rPr>
                <w:rFonts w:ascii="Verdana" w:hAnsi="Verdana"/>
                <w:sz w:val="16"/>
                <w:szCs w:val="16"/>
              </w:rPr>
              <w:t>mercator</w:t>
            </w:r>
            <w:proofErr w:type="spellEnd"/>
          </w:p>
        </w:tc>
        <w:tc>
          <w:tcPr>
            <w:tcW w:w="4788" w:type="dxa"/>
            <w:shd w:val="clear" w:color="auto" w:fill="auto"/>
          </w:tcPr>
          <w:p w14:paraId="62E417FE" w14:textId="79DCBF92"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 xml:space="preserve">UTM: </w:t>
            </w:r>
            <w:r w:rsidR="00BD26E3" w:rsidRPr="00C377B1">
              <w:rPr>
                <w:rFonts w:ascii="Verdana" w:hAnsi="Verdana" w:cs="Times New Roman"/>
                <w:sz w:val="16"/>
                <w:szCs w:val="16"/>
                <w:lang w:val="en-US"/>
              </w:rPr>
              <w:t xml:space="preserve">System of Coordinates of the Universal </w:t>
            </w:r>
            <w:r w:rsidR="004C577A">
              <w:rPr>
                <w:rFonts w:ascii="Verdana" w:hAnsi="Verdana" w:cs="Times New Roman"/>
                <w:sz w:val="16"/>
                <w:szCs w:val="16"/>
                <w:lang w:val="en-US"/>
              </w:rPr>
              <w:t>T</w:t>
            </w:r>
            <w:r w:rsidR="00BD26E3" w:rsidRPr="00C377B1">
              <w:rPr>
                <w:rFonts w:ascii="Verdana" w:hAnsi="Verdana" w:cs="Times New Roman"/>
                <w:sz w:val="16"/>
                <w:szCs w:val="16"/>
                <w:lang w:val="en-US"/>
              </w:rPr>
              <w:t>ransversal Mercator</w:t>
            </w:r>
          </w:p>
        </w:tc>
      </w:tr>
      <w:tr w:rsidR="00DC213D" w:rsidRPr="00C377B1" w14:paraId="2A449143" w14:textId="637956F2" w:rsidTr="00C377B1">
        <w:tc>
          <w:tcPr>
            <w:tcW w:w="4788" w:type="dxa"/>
            <w:shd w:val="clear" w:color="auto" w:fill="auto"/>
          </w:tcPr>
          <w:p w14:paraId="5E2AC7EC"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3.2. Acuífero</w:t>
            </w:r>
          </w:p>
        </w:tc>
        <w:tc>
          <w:tcPr>
            <w:tcW w:w="4788" w:type="dxa"/>
            <w:shd w:val="clear" w:color="auto" w:fill="auto"/>
          </w:tcPr>
          <w:p w14:paraId="410967E4" w14:textId="3595CF4D"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3.2. Aquifer</w:t>
            </w:r>
          </w:p>
        </w:tc>
      </w:tr>
      <w:tr w:rsidR="00DC213D" w:rsidRPr="00CE7512" w14:paraId="529BABDC" w14:textId="20E377D6" w:rsidTr="00C377B1">
        <w:tc>
          <w:tcPr>
            <w:tcW w:w="4788" w:type="dxa"/>
            <w:shd w:val="clear" w:color="auto" w:fill="auto"/>
          </w:tcPr>
          <w:p w14:paraId="238579BA"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Cualquier formación geológica o conjunto de formaciones geológicas, hidráulicamente conectadas entre sí, por la que circulan o se almacenan aguas del subsuelo que pueden ser extraídas para su explotación, uso o aprovechamiento y cuyos límites laterales y verticales se definen convencionalmente para fines de evaluación, manejo y administración de las aguas nacionales del subsuelo.</w:t>
            </w:r>
          </w:p>
        </w:tc>
        <w:tc>
          <w:tcPr>
            <w:tcW w:w="4788" w:type="dxa"/>
            <w:shd w:val="clear" w:color="auto" w:fill="auto"/>
          </w:tcPr>
          <w:p w14:paraId="517916B2" w14:textId="4F3E87E6"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Any geological formation or set of geological formations, hydraulically connected to each other, through which waters are circulated or stored from the subsoil that can be extracted for exploitation, use or exploitation and whose lateral and vertical limits are conventionally defined for purposes of evaluation, management and administration of national subsoil waters.</w:t>
            </w:r>
          </w:p>
        </w:tc>
      </w:tr>
      <w:tr w:rsidR="00DC213D" w:rsidRPr="00C377B1" w14:paraId="29D0F209" w14:textId="2D688F38" w:rsidTr="00C377B1">
        <w:tc>
          <w:tcPr>
            <w:tcW w:w="4788" w:type="dxa"/>
            <w:shd w:val="clear" w:color="auto" w:fill="auto"/>
          </w:tcPr>
          <w:p w14:paraId="391D0837"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3.3. Agua geotérmica</w:t>
            </w:r>
          </w:p>
        </w:tc>
        <w:tc>
          <w:tcPr>
            <w:tcW w:w="4788" w:type="dxa"/>
            <w:shd w:val="clear" w:color="auto" w:fill="auto"/>
          </w:tcPr>
          <w:p w14:paraId="1F4B280B" w14:textId="2CF074F9"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3.3. Geothermal water</w:t>
            </w:r>
          </w:p>
        </w:tc>
      </w:tr>
      <w:tr w:rsidR="00DC213D" w:rsidRPr="00CE7512" w14:paraId="2CDD56E0" w14:textId="214BF987" w:rsidTr="00C377B1">
        <w:tc>
          <w:tcPr>
            <w:tcW w:w="4788" w:type="dxa"/>
            <w:shd w:val="clear" w:color="auto" w:fill="auto"/>
          </w:tcPr>
          <w:p w14:paraId="4FE204C2"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Agua propiedad de la Nación, en estado líquido o de vapor que se encuentra a una temperatura aproximada o superior a 80</w:t>
            </w:r>
            <w:r w:rsidRPr="00C377B1">
              <w:rPr>
                <w:rFonts w:ascii="Verdana" w:hAnsi="Verdana"/>
                <w:sz w:val="16"/>
                <w:szCs w:val="16"/>
                <w:vertAlign w:val="superscript"/>
              </w:rPr>
              <w:t>0</w:t>
            </w:r>
            <w:r w:rsidRPr="00C377B1">
              <w:rPr>
                <w:rFonts w:ascii="Verdana" w:hAnsi="Verdana"/>
                <w:sz w:val="16"/>
                <w:szCs w:val="16"/>
              </w:rPr>
              <w:t>C en forma natural en un yacimiento geotérmico hidrotermal, con la capacidad de transportar energía en forma de calor, y que no es apta para el consumo humano.</w:t>
            </w:r>
          </w:p>
        </w:tc>
        <w:tc>
          <w:tcPr>
            <w:tcW w:w="4788" w:type="dxa"/>
            <w:shd w:val="clear" w:color="auto" w:fill="auto"/>
          </w:tcPr>
          <w:p w14:paraId="7AB0671D" w14:textId="5495805F"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 xml:space="preserve">Water </w:t>
            </w:r>
            <w:r w:rsidR="004C577A">
              <w:rPr>
                <w:rFonts w:ascii="Verdana" w:hAnsi="Verdana" w:cs="Times New Roman"/>
                <w:sz w:val="16"/>
                <w:szCs w:val="16"/>
                <w:lang w:val="en-US"/>
              </w:rPr>
              <w:t xml:space="preserve">property of </w:t>
            </w:r>
            <w:r w:rsidRPr="00C377B1">
              <w:rPr>
                <w:rFonts w:ascii="Verdana" w:hAnsi="Verdana" w:cs="Times New Roman"/>
                <w:sz w:val="16"/>
                <w:szCs w:val="16"/>
                <w:lang w:val="en-US"/>
              </w:rPr>
              <w:t xml:space="preserve">the Nation, in a liquid or vapor state that is at a temperature approximately or higher than 80 </w:t>
            </w:r>
            <w:r w:rsidRPr="00C377B1">
              <w:rPr>
                <w:rFonts w:ascii="Verdana" w:hAnsi="Verdana" w:cs="Times New Roman"/>
                <w:sz w:val="11"/>
                <w:szCs w:val="11"/>
                <w:vertAlign w:val="superscript"/>
                <w:lang w:val="en-US"/>
              </w:rPr>
              <w:t xml:space="preserve">0 </w:t>
            </w:r>
            <w:r w:rsidRPr="00C377B1">
              <w:rPr>
                <w:rFonts w:ascii="Verdana" w:hAnsi="Verdana" w:cs="Times New Roman"/>
                <w:sz w:val="16"/>
                <w:szCs w:val="16"/>
                <w:lang w:val="en-US"/>
              </w:rPr>
              <w:t>C naturally in a hydrothermal geothermal reservoir, with the ability to transport energy in the form of heat, and that is not suitable for human consumption.</w:t>
            </w:r>
          </w:p>
        </w:tc>
      </w:tr>
      <w:tr w:rsidR="00DC213D" w:rsidRPr="00C377B1" w14:paraId="2A87DB40" w14:textId="5C70B0C7" w:rsidTr="00C377B1">
        <w:tc>
          <w:tcPr>
            <w:tcW w:w="4788" w:type="dxa"/>
            <w:shd w:val="clear" w:color="auto" w:fill="auto"/>
          </w:tcPr>
          <w:p w14:paraId="425AA565"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3.4.</w:t>
            </w:r>
            <w:r w:rsidRPr="00C377B1">
              <w:rPr>
                <w:rFonts w:ascii="Verdana" w:hAnsi="Verdana"/>
                <w:sz w:val="16"/>
                <w:szCs w:val="16"/>
              </w:rPr>
              <w:t xml:space="preserve"> </w:t>
            </w:r>
            <w:r w:rsidRPr="00C377B1">
              <w:rPr>
                <w:rFonts w:ascii="Verdana" w:hAnsi="Verdana"/>
                <w:b/>
                <w:sz w:val="16"/>
                <w:szCs w:val="16"/>
              </w:rPr>
              <w:t>Área geotérmica</w:t>
            </w:r>
          </w:p>
        </w:tc>
        <w:tc>
          <w:tcPr>
            <w:tcW w:w="4788" w:type="dxa"/>
            <w:shd w:val="clear" w:color="auto" w:fill="auto"/>
          </w:tcPr>
          <w:p w14:paraId="6A3ABC33" w14:textId="45565550"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3.4. Geothermal area</w:t>
            </w:r>
            <w:r w:rsidRPr="00C377B1">
              <w:rPr>
                <w:rFonts w:ascii="Verdana" w:hAnsi="Verdana" w:cs="Times New Roman"/>
                <w:sz w:val="16"/>
                <w:szCs w:val="16"/>
                <w:lang w:val="en-US"/>
              </w:rPr>
              <w:t xml:space="preserve"> </w:t>
            </w:r>
          </w:p>
        </w:tc>
      </w:tr>
      <w:tr w:rsidR="00DC213D" w:rsidRPr="00CE7512" w14:paraId="5A468755" w14:textId="6A52DEAB" w:rsidTr="00C377B1">
        <w:tc>
          <w:tcPr>
            <w:tcW w:w="4788" w:type="dxa"/>
            <w:shd w:val="clear" w:color="auto" w:fill="auto"/>
          </w:tcPr>
          <w:p w14:paraId="38F2EBA2"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Área delimitada en superficie y proyectada en el subsuelo con potencial de explotación del recurso geotérmico.</w:t>
            </w:r>
          </w:p>
        </w:tc>
        <w:tc>
          <w:tcPr>
            <w:tcW w:w="4788" w:type="dxa"/>
            <w:shd w:val="clear" w:color="auto" w:fill="auto"/>
          </w:tcPr>
          <w:p w14:paraId="083546C7" w14:textId="1C13B415"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Area delimited in surface and projected in the subsoil with exploitation potential of the geothermal resource.</w:t>
            </w:r>
          </w:p>
        </w:tc>
      </w:tr>
      <w:tr w:rsidR="00DC213D" w:rsidRPr="00C377B1" w14:paraId="6D91ACB1" w14:textId="7EE8EF0B" w:rsidTr="00C377B1">
        <w:tc>
          <w:tcPr>
            <w:tcW w:w="4788" w:type="dxa"/>
            <w:shd w:val="clear" w:color="auto" w:fill="auto"/>
          </w:tcPr>
          <w:p w14:paraId="5EC2ADC8"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3.5.</w:t>
            </w:r>
            <w:r w:rsidRPr="00C377B1">
              <w:rPr>
                <w:rFonts w:ascii="Verdana" w:hAnsi="Verdana"/>
                <w:sz w:val="16"/>
                <w:szCs w:val="16"/>
              </w:rPr>
              <w:t xml:space="preserve"> </w:t>
            </w:r>
            <w:r w:rsidRPr="00C377B1">
              <w:rPr>
                <w:rFonts w:ascii="Verdana" w:hAnsi="Verdana"/>
                <w:b/>
                <w:sz w:val="16"/>
                <w:szCs w:val="16"/>
              </w:rPr>
              <w:t>Contrapozo</w:t>
            </w:r>
          </w:p>
        </w:tc>
        <w:tc>
          <w:tcPr>
            <w:tcW w:w="4788" w:type="dxa"/>
            <w:shd w:val="clear" w:color="auto" w:fill="auto"/>
          </w:tcPr>
          <w:p w14:paraId="49278663" w14:textId="62452351" w:rsidR="00DC213D" w:rsidRPr="004C577A" w:rsidRDefault="00DC213D" w:rsidP="00C377B1">
            <w:pPr>
              <w:pStyle w:val="Texto"/>
              <w:spacing w:line="243" w:lineRule="exact"/>
              <w:ind w:firstLine="0"/>
              <w:rPr>
                <w:rFonts w:ascii="Verdana" w:hAnsi="Verdana"/>
                <w:b/>
                <w:sz w:val="16"/>
                <w:szCs w:val="16"/>
                <w:lang w:val="en-US"/>
              </w:rPr>
            </w:pPr>
            <w:r w:rsidRPr="004C577A">
              <w:rPr>
                <w:rFonts w:ascii="Verdana" w:hAnsi="Verdana" w:cs="Times New Roman"/>
                <w:b/>
                <w:bCs/>
                <w:sz w:val="16"/>
                <w:szCs w:val="16"/>
                <w:lang w:val="en-US"/>
              </w:rPr>
              <w:t xml:space="preserve">3.5. </w:t>
            </w:r>
            <w:proofErr w:type="spellStart"/>
            <w:r w:rsidRPr="004C577A">
              <w:rPr>
                <w:rFonts w:ascii="Verdana" w:hAnsi="Verdana" w:cs="Times New Roman"/>
                <w:b/>
                <w:bCs/>
                <w:sz w:val="16"/>
                <w:szCs w:val="16"/>
                <w:lang w:val="en-US"/>
              </w:rPr>
              <w:t>Co</w:t>
            </w:r>
            <w:r w:rsidR="00BD26E3" w:rsidRPr="004C577A">
              <w:rPr>
                <w:rFonts w:ascii="Verdana" w:hAnsi="Verdana" w:cs="Times New Roman"/>
                <w:b/>
                <w:bCs/>
                <w:sz w:val="16"/>
                <w:szCs w:val="16"/>
                <w:lang w:val="en-US"/>
              </w:rPr>
              <w:t>unterwell</w:t>
            </w:r>
            <w:proofErr w:type="spellEnd"/>
            <w:r w:rsidRPr="004C577A">
              <w:rPr>
                <w:rFonts w:ascii="Verdana" w:hAnsi="Verdana" w:cs="Times New Roman"/>
                <w:sz w:val="16"/>
                <w:szCs w:val="16"/>
                <w:lang w:val="en-US"/>
              </w:rPr>
              <w:t xml:space="preserve"> </w:t>
            </w:r>
          </w:p>
        </w:tc>
      </w:tr>
      <w:tr w:rsidR="00DC213D" w:rsidRPr="00CE7512" w14:paraId="3BF894FD" w14:textId="0C5B5484" w:rsidTr="00C377B1">
        <w:tc>
          <w:tcPr>
            <w:tcW w:w="4788" w:type="dxa"/>
            <w:shd w:val="clear" w:color="auto" w:fill="auto"/>
          </w:tcPr>
          <w:p w14:paraId="089AF6BE"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 xml:space="preserve">Es una excavación que tiene como funciones principales facilitar el hincado del tubo conductor y alojar los </w:t>
            </w:r>
            <w:proofErr w:type="spellStart"/>
            <w:r w:rsidRPr="00C377B1">
              <w:rPr>
                <w:rFonts w:ascii="Verdana" w:hAnsi="Verdana"/>
                <w:sz w:val="16"/>
                <w:szCs w:val="16"/>
              </w:rPr>
              <w:t>preventores</w:t>
            </w:r>
            <w:proofErr w:type="spellEnd"/>
            <w:r w:rsidRPr="00C377B1">
              <w:rPr>
                <w:rFonts w:ascii="Verdana" w:hAnsi="Verdana"/>
                <w:sz w:val="16"/>
                <w:szCs w:val="16"/>
              </w:rPr>
              <w:t xml:space="preserve"> para el control del pozo durante la perforación, así como para contener los derrames del fluido de perforación y que se construye al centro de la </w:t>
            </w:r>
            <w:r w:rsidRPr="00C377B1">
              <w:rPr>
                <w:rFonts w:ascii="Verdana" w:hAnsi="Verdana"/>
                <w:sz w:val="16"/>
                <w:szCs w:val="16"/>
              </w:rPr>
              <w:lastRenderedPageBreak/>
              <w:t>plataforma.</w:t>
            </w:r>
          </w:p>
        </w:tc>
        <w:tc>
          <w:tcPr>
            <w:tcW w:w="4788" w:type="dxa"/>
            <w:shd w:val="clear" w:color="auto" w:fill="auto"/>
          </w:tcPr>
          <w:p w14:paraId="26C6098C" w14:textId="2753BE33" w:rsidR="00DC213D" w:rsidRPr="004C577A" w:rsidRDefault="00DC213D" w:rsidP="00C377B1">
            <w:pPr>
              <w:pStyle w:val="Texto"/>
              <w:spacing w:line="243" w:lineRule="exact"/>
              <w:ind w:firstLine="0"/>
              <w:rPr>
                <w:rFonts w:ascii="Verdana" w:hAnsi="Verdana"/>
                <w:sz w:val="16"/>
                <w:szCs w:val="16"/>
                <w:lang w:val="en-US"/>
              </w:rPr>
            </w:pPr>
            <w:r w:rsidRPr="004C577A">
              <w:rPr>
                <w:rFonts w:ascii="Verdana" w:hAnsi="Verdana" w:cs="Times New Roman"/>
                <w:sz w:val="16"/>
                <w:szCs w:val="16"/>
                <w:lang w:val="en-US"/>
              </w:rPr>
              <w:lastRenderedPageBreak/>
              <w:t xml:space="preserve">It is an excavation whose main functions are to facilitate the driving of the conductive tube and to house the </w:t>
            </w:r>
            <w:r w:rsidR="004C577A">
              <w:rPr>
                <w:rFonts w:ascii="Verdana" w:hAnsi="Verdana" w:cs="Times New Roman"/>
                <w:sz w:val="16"/>
                <w:szCs w:val="16"/>
                <w:lang w:val="en-US"/>
              </w:rPr>
              <w:t xml:space="preserve">blowout </w:t>
            </w:r>
            <w:r w:rsidRPr="004C577A">
              <w:rPr>
                <w:rFonts w:ascii="Verdana" w:hAnsi="Verdana" w:cs="Times New Roman"/>
                <w:sz w:val="16"/>
                <w:szCs w:val="16"/>
                <w:lang w:val="en-US"/>
              </w:rPr>
              <w:t xml:space="preserve">preventers for the control of the well during drilling, as well as to contain the spills of drilling fluid and that is built </w:t>
            </w:r>
            <w:r w:rsidR="004C577A">
              <w:rPr>
                <w:rFonts w:ascii="Verdana" w:hAnsi="Verdana" w:cs="Times New Roman"/>
                <w:sz w:val="16"/>
                <w:szCs w:val="16"/>
                <w:lang w:val="en-US"/>
              </w:rPr>
              <w:t>in</w:t>
            </w:r>
            <w:r w:rsidRPr="004C577A">
              <w:rPr>
                <w:rFonts w:ascii="Verdana" w:hAnsi="Verdana" w:cs="Times New Roman"/>
                <w:sz w:val="16"/>
                <w:szCs w:val="16"/>
                <w:lang w:val="en-US"/>
              </w:rPr>
              <w:t xml:space="preserve"> the center of the platform.</w:t>
            </w:r>
          </w:p>
        </w:tc>
      </w:tr>
      <w:tr w:rsidR="00DC213D" w:rsidRPr="00C377B1" w14:paraId="0E3BB412" w14:textId="1668FF2D" w:rsidTr="00C377B1">
        <w:tc>
          <w:tcPr>
            <w:tcW w:w="4788" w:type="dxa"/>
            <w:shd w:val="clear" w:color="auto" w:fill="auto"/>
          </w:tcPr>
          <w:p w14:paraId="4A789011"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3.6. Equipos de perforación</w:t>
            </w:r>
          </w:p>
        </w:tc>
        <w:tc>
          <w:tcPr>
            <w:tcW w:w="4788" w:type="dxa"/>
            <w:shd w:val="clear" w:color="auto" w:fill="auto"/>
          </w:tcPr>
          <w:p w14:paraId="5512277B" w14:textId="096D50C6"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3.6. Drilling equipment</w:t>
            </w:r>
          </w:p>
        </w:tc>
      </w:tr>
      <w:tr w:rsidR="00DC213D" w:rsidRPr="00CE7512" w14:paraId="45ECA8DB" w14:textId="34817420" w:rsidTr="00C377B1">
        <w:tc>
          <w:tcPr>
            <w:tcW w:w="4788" w:type="dxa"/>
            <w:shd w:val="clear" w:color="auto" w:fill="auto"/>
          </w:tcPr>
          <w:p w14:paraId="2377CC7D"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sz w:val="16"/>
                <w:szCs w:val="16"/>
              </w:rPr>
              <w:t>Maquinaria para perforar o dar mantenimiento a pozos geotérmicos.</w:t>
            </w:r>
          </w:p>
        </w:tc>
        <w:tc>
          <w:tcPr>
            <w:tcW w:w="4788" w:type="dxa"/>
            <w:shd w:val="clear" w:color="auto" w:fill="auto"/>
          </w:tcPr>
          <w:p w14:paraId="6550AC51" w14:textId="2EFEF649" w:rsidR="00DC213D" w:rsidRPr="00C377B1" w:rsidRDefault="00DC213D" w:rsidP="00C377B1">
            <w:pPr>
              <w:pStyle w:val="Texto"/>
              <w:spacing w:line="243" w:lineRule="exact"/>
              <w:ind w:firstLine="0"/>
              <w:rPr>
                <w:rFonts w:ascii="Verdana" w:hAnsi="Verdana"/>
                <w:sz w:val="16"/>
                <w:szCs w:val="16"/>
                <w:lang w:val="en-US"/>
              </w:rPr>
            </w:pPr>
            <w:r w:rsidRPr="00C377B1">
              <w:rPr>
                <w:rFonts w:ascii="Verdana" w:hAnsi="Verdana" w:cs="Times New Roman"/>
                <w:sz w:val="16"/>
                <w:szCs w:val="16"/>
                <w:lang w:val="en-US"/>
              </w:rPr>
              <w:t xml:space="preserve">Machinery </w:t>
            </w:r>
            <w:r w:rsidR="00BD26E3" w:rsidRPr="00C377B1">
              <w:rPr>
                <w:rFonts w:ascii="Verdana" w:hAnsi="Verdana" w:cs="Times New Roman"/>
                <w:sz w:val="16"/>
                <w:szCs w:val="16"/>
                <w:lang w:val="en-US"/>
              </w:rPr>
              <w:t>for drilling or maintaining</w:t>
            </w:r>
            <w:r w:rsidRPr="00C377B1">
              <w:rPr>
                <w:rFonts w:ascii="Verdana" w:hAnsi="Verdana" w:cs="Times New Roman"/>
                <w:sz w:val="16"/>
                <w:szCs w:val="16"/>
                <w:lang w:val="en-US"/>
              </w:rPr>
              <w:t xml:space="preserve"> geothermal wells.</w:t>
            </w:r>
          </w:p>
        </w:tc>
      </w:tr>
      <w:tr w:rsidR="00DC213D" w:rsidRPr="00CE7512" w14:paraId="3B79A45F" w14:textId="62EF7E35" w:rsidTr="00C377B1">
        <w:tc>
          <w:tcPr>
            <w:tcW w:w="4788" w:type="dxa"/>
            <w:shd w:val="clear" w:color="auto" w:fill="auto"/>
          </w:tcPr>
          <w:p w14:paraId="2316C469" w14:textId="77777777" w:rsidR="00DC213D" w:rsidRPr="00C377B1" w:rsidRDefault="00DC213D" w:rsidP="00C377B1">
            <w:pPr>
              <w:pStyle w:val="Texto"/>
              <w:spacing w:line="243" w:lineRule="exact"/>
              <w:ind w:firstLine="0"/>
              <w:rPr>
                <w:rFonts w:ascii="Verdana" w:hAnsi="Verdana"/>
                <w:sz w:val="16"/>
                <w:szCs w:val="16"/>
              </w:rPr>
            </w:pPr>
            <w:r w:rsidRPr="00C377B1">
              <w:rPr>
                <w:rFonts w:ascii="Verdana" w:hAnsi="Verdana"/>
                <w:b/>
                <w:sz w:val="16"/>
                <w:szCs w:val="16"/>
              </w:rPr>
              <w:t>3.7.</w:t>
            </w:r>
            <w:r w:rsidRPr="00C377B1">
              <w:rPr>
                <w:rFonts w:ascii="Verdana" w:hAnsi="Verdana"/>
                <w:sz w:val="16"/>
                <w:szCs w:val="16"/>
              </w:rPr>
              <w:t xml:space="preserve"> </w:t>
            </w:r>
            <w:r w:rsidRPr="00C377B1">
              <w:rPr>
                <w:rFonts w:ascii="Verdana" w:hAnsi="Verdana"/>
                <w:b/>
                <w:sz w:val="16"/>
                <w:szCs w:val="16"/>
              </w:rPr>
              <w:t>Evaluación preliminar del pozo geotérmico</w:t>
            </w:r>
          </w:p>
        </w:tc>
        <w:tc>
          <w:tcPr>
            <w:tcW w:w="4788" w:type="dxa"/>
            <w:shd w:val="clear" w:color="auto" w:fill="auto"/>
          </w:tcPr>
          <w:p w14:paraId="18C9AED8" w14:textId="104D85A3" w:rsidR="00DC213D" w:rsidRPr="00C377B1" w:rsidRDefault="00DC213D" w:rsidP="00C377B1">
            <w:pPr>
              <w:pStyle w:val="Texto"/>
              <w:spacing w:line="243" w:lineRule="exact"/>
              <w:ind w:firstLine="0"/>
              <w:rPr>
                <w:rFonts w:ascii="Verdana" w:hAnsi="Verdana"/>
                <w:b/>
                <w:sz w:val="16"/>
                <w:szCs w:val="16"/>
                <w:lang w:val="en-US"/>
              </w:rPr>
            </w:pPr>
            <w:r w:rsidRPr="00C377B1">
              <w:rPr>
                <w:rFonts w:ascii="Verdana" w:hAnsi="Verdana" w:cs="Times New Roman"/>
                <w:b/>
                <w:bCs/>
                <w:sz w:val="16"/>
                <w:szCs w:val="16"/>
                <w:lang w:val="en-US"/>
              </w:rPr>
              <w:t>3.7. Preliminary evaluation of the geothermal well</w:t>
            </w:r>
            <w:r w:rsidRPr="00C377B1">
              <w:rPr>
                <w:rFonts w:ascii="Verdana" w:hAnsi="Verdana" w:cs="Times New Roman"/>
                <w:sz w:val="16"/>
                <w:szCs w:val="16"/>
                <w:lang w:val="en-US"/>
              </w:rPr>
              <w:t xml:space="preserve"> </w:t>
            </w:r>
          </w:p>
        </w:tc>
      </w:tr>
      <w:tr w:rsidR="00DC213D" w:rsidRPr="00CE7512" w14:paraId="53838A9F" w14:textId="0C45440D" w:rsidTr="00C377B1">
        <w:tc>
          <w:tcPr>
            <w:tcW w:w="4788" w:type="dxa"/>
            <w:shd w:val="clear" w:color="auto" w:fill="auto"/>
          </w:tcPr>
          <w:p w14:paraId="44A39B24" w14:textId="77777777" w:rsidR="00DC213D" w:rsidRPr="004C577A" w:rsidRDefault="00DC213D" w:rsidP="00C377B1">
            <w:pPr>
              <w:pStyle w:val="Texto"/>
              <w:spacing w:line="243" w:lineRule="exact"/>
              <w:ind w:firstLine="0"/>
              <w:rPr>
                <w:rFonts w:ascii="Verdana" w:hAnsi="Verdana"/>
                <w:sz w:val="16"/>
                <w:szCs w:val="16"/>
              </w:rPr>
            </w:pPr>
            <w:r w:rsidRPr="004C577A">
              <w:rPr>
                <w:rFonts w:ascii="Verdana" w:hAnsi="Verdana"/>
                <w:sz w:val="16"/>
                <w:szCs w:val="16"/>
              </w:rPr>
              <w:t>Actividad que se desarrolla posterior a la perforación del pozo geotérmico, y tiene como objetivo conocer la producción y características de los fluidos obtenidos para determinar la factibilidad de producción del yacimiento.</w:t>
            </w:r>
          </w:p>
        </w:tc>
        <w:tc>
          <w:tcPr>
            <w:tcW w:w="4788" w:type="dxa"/>
            <w:shd w:val="clear" w:color="auto" w:fill="auto"/>
          </w:tcPr>
          <w:p w14:paraId="5850674F" w14:textId="24FEAB79" w:rsidR="00DC213D" w:rsidRPr="004C577A" w:rsidRDefault="00DC213D" w:rsidP="00C377B1">
            <w:pPr>
              <w:pStyle w:val="Texto"/>
              <w:spacing w:line="243" w:lineRule="exact"/>
              <w:ind w:firstLine="0"/>
              <w:rPr>
                <w:rFonts w:ascii="Verdana" w:hAnsi="Verdana"/>
                <w:sz w:val="16"/>
                <w:szCs w:val="16"/>
                <w:lang w:val="en-US"/>
              </w:rPr>
            </w:pPr>
            <w:r w:rsidRPr="004C577A">
              <w:rPr>
                <w:rFonts w:ascii="Verdana" w:hAnsi="Verdana" w:cs="Times New Roman"/>
                <w:sz w:val="16"/>
                <w:szCs w:val="16"/>
                <w:lang w:val="en-US"/>
              </w:rPr>
              <w:t xml:space="preserve">Activity that takes place after the drilling of the geothermal well, and </w:t>
            </w:r>
            <w:r w:rsidR="004C577A" w:rsidRPr="004C577A">
              <w:rPr>
                <w:rFonts w:ascii="Verdana" w:hAnsi="Verdana" w:cs="Times New Roman"/>
                <w:sz w:val="16"/>
                <w:szCs w:val="16"/>
                <w:lang w:val="en-US"/>
              </w:rPr>
              <w:t>has the purpose of ascertaining</w:t>
            </w:r>
            <w:r w:rsidRPr="004C577A">
              <w:rPr>
                <w:rFonts w:ascii="Verdana" w:hAnsi="Verdana" w:cs="Times New Roman"/>
                <w:sz w:val="16"/>
                <w:szCs w:val="16"/>
                <w:lang w:val="en-US"/>
              </w:rPr>
              <w:t xml:space="preserve"> the production and characteristics of the fluids obtained to determine the feasibility of producing the deposit.</w:t>
            </w:r>
          </w:p>
        </w:tc>
      </w:tr>
      <w:tr w:rsidR="00DC213D" w:rsidRPr="00C377B1" w14:paraId="0D204633" w14:textId="1F983192" w:rsidTr="00C377B1">
        <w:tc>
          <w:tcPr>
            <w:tcW w:w="4788" w:type="dxa"/>
            <w:shd w:val="clear" w:color="auto" w:fill="auto"/>
          </w:tcPr>
          <w:p w14:paraId="7869C7BB" w14:textId="77777777" w:rsidR="00DC213D" w:rsidRPr="004C577A" w:rsidRDefault="00DC213D" w:rsidP="00C377B1">
            <w:pPr>
              <w:pStyle w:val="Texto"/>
              <w:spacing w:line="236" w:lineRule="exact"/>
              <w:ind w:firstLine="0"/>
              <w:rPr>
                <w:rFonts w:ascii="Verdana" w:hAnsi="Verdana"/>
                <w:sz w:val="16"/>
                <w:szCs w:val="16"/>
              </w:rPr>
            </w:pPr>
            <w:r w:rsidRPr="004C577A">
              <w:rPr>
                <w:rFonts w:ascii="Verdana" w:hAnsi="Verdana"/>
                <w:b/>
                <w:sz w:val="16"/>
                <w:szCs w:val="16"/>
              </w:rPr>
              <w:t>3.8.</w:t>
            </w:r>
            <w:r w:rsidRPr="004C577A">
              <w:rPr>
                <w:rFonts w:ascii="Verdana" w:hAnsi="Verdana"/>
                <w:sz w:val="16"/>
                <w:szCs w:val="16"/>
              </w:rPr>
              <w:t xml:space="preserve"> </w:t>
            </w:r>
            <w:r w:rsidRPr="004C577A">
              <w:rPr>
                <w:rFonts w:ascii="Verdana" w:hAnsi="Verdana"/>
                <w:b/>
                <w:sz w:val="16"/>
                <w:szCs w:val="16"/>
              </w:rPr>
              <w:t>Exploración</w:t>
            </w:r>
          </w:p>
        </w:tc>
        <w:tc>
          <w:tcPr>
            <w:tcW w:w="4788" w:type="dxa"/>
            <w:shd w:val="clear" w:color="auto" w:fill="auto"/>
          </w:tcPr>
          <w:p w14:paraId="2CB268C9" w14:textId="3BAF1947"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3.8. Exploration</w:t>
            </w:r>
            <w:r w:rsidRPr="004C577A">
              <w:rPr>
                <w:rFonts w:ascii="Verdana" w:hAnsi="Verdana" w:cs="Times New Roman"/>
                <w:sz w:val="16"/>
                <w:szCs w:val="16"/>
                <w:lang w:val="en-US"/>
              </w:rPr>
              <w:t xml:space="preserve"> </w:t>
            </w:r>
          </w:p>
        </w:tc>
      </w:tr>
      <w:tr w:rsidR="00DC213D" w:rsidRPr="00CE7512" w14:paraId="54129430" w14:textId="536AAA14" w:rsidTr="00C377B1">
        <w:tc>
          <w:tcPr>
            <w:tcW w:w="4788" w:type="dxa"/>
            <w:shd w:val="clear" w:color="auto" w:fill="auto"/>
          </w:tcPr>
          <w:p w14:paraId="2A31D058"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Conjunto de actividades que contribuyen al conocimiento geológico, geofísico y geoquímico del área geotérmica; así como las obras y trabajos realizados en superficie y en el subsuelo, con el objeto de corroborar la existencia del recurso geotérmico y delimitar el área geotérmica, dentro de las cuales se encuentra el acondicionamiento del sitio, obras civiles asociadas, montaje de maquinaria y equipo, perforación y terminación de pozos exploratorios geotérmicos.</w:t>
            </w:r>
          </w:p>
        </w:tc>
        <w:tc>
          <w:tcPr>
            <w:tcW w:w="4788" w:type="dxa"/>
            <w:shd w:val="clear" w:color="auto" w:fill="auto"/>
          </w:tcPr>
          <w:p w14:paraId="3E0BB0E9" w14:textId="326386FC"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Set of activities that contribute to the geological, geophysical and geochemical knowledge of the geothermal area; as well as the works and works carried out on the surface and in the subsoil, in order to corroborate the existence of the geothermal resource and delimit the geothermal area, within which is the conditioning of the site, associated civil works, assembly of machinery and equipment, drilling and termination of geothermal exploratory wells.</w:t>
            </w:r>
          </w:p>
        </w:tc>
      </w:tr>
      <w:tr w:rsidR="00DC213D" w:rsidRPr="00C377B1" w14:paraId="11CD1D9B" w14:textId="618EA6D8" w:rsidTr="00C377B1">
        <w:tc>
          <w:tcPr>
            <w:tcW w:w="4788" w:type="dxa"/>
            <w:shd w:val="clear" w:color="auto" w:fill="auto"/>
          </w:tcPr>
          <w:p w14:paraId="67CBD592"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3.9. Fluido de perforación</w:t>
            </w:r>
          </w:p>
        </w:tc>
        <w:tc>
          <w:tcPr>
            <w:tcW w:w="4788" w:type="dxa"/>
            <w:shd w:val="clear" w:color="auto" w:fill="auto"/>
          </w:tcPr>
          <w:p w14:paraId="38A3A242" w14:textId="37538C39" w:rsidR="00DC213D" w:rsidRPr="00C377B1" w:rsidRDefault="00DC213D" w:rsidP="00C377B1">
            <w:pPr>
              <w:pStyle w:val="Texto"/>
              <w:spacing w:line="236" w:lineRule="exact"/>
              <w:ind w:firstLine="0"/>
              <w:rPr>
                <w:rFonts w:ascii="Verdana" w:hAnsi="Verdana"/>
                <w:b/>
                <w:sz w:val="16"/>
                <w:szCs w:val="16"/>
                <w:lang w:val="en-US"/>
              </w:rPr>
            </w:pPr>
            <w:r w:rsidRPr="00C377B1">
              <w:rPr>
                <w:rFonts w:ascii="Verdana" w:hAnsi="Verdana" w:cs="Times New Roman"/>
                <w:b/>
                <w:bCs/>
                <w:sz w:val="16"/>
                <w:szCs w:val="16"/>
                <w:lang w:val="en-US"/>
              </w:rPr>
              <w:t>3.9. Drilling fluid</w:t>
            </w:r>
          </w:p>
        </w:tc>
      </w:tr>
      <w:tr w:rsidR="00DC213D" w:rsidRPr="00CE7512" w14:paraId="57A71105" w14:textId="78948621" w:rsidTr="00C377B1">
        <w:tc>
          <w:tcPr>
            <w:tcW w:w="4788" w:type="dxa"/>
            <w:shd w:val="clear" w:color="auto" w:fill="auto"/>
          </w:tcPr>
          <w:p w14:paraId="04F57571"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Líquido de propiedades fisicoquímicas controladas, compuesto por agua, agua con bentonita sódica o barita, aire, aire con espumantes o lodos orgánicos, que entre otras funciones, tiene la de acarrear los recortes de perforación, lubricar la barrena de perforación, limpiar y acondicionar el pozo y contrarrestar la presión del yacimiento.</w:t>
            </w:r>
          </w:p>
        </w:tc>
        <w:tc>
          <w:tcPr>
            <w:tcW w:w="4788" w:type="dxa"/>
            <w:shd w:val="clear" w:color="auto" w:fill="auto"/>
          </w:tcPr>
          <w:p w14:paraId="74EA9D1E" w14:textId="0AACAD6D"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Liquid of controlled physicochemical properties, consisting of water, water with sodium bentonite or barite, air, air with foaming agents or organic sludge, which among other functions, has </w:t>
            </w:r>
            <w:r w:rsidR="004C577A">
              <w:rPr>
                <w:rFonts w:ascii="Verdana" w:hAnsi="Verdana" w:cs="Times New Roman"/>
                <w:sz w:val="16"/>
                <w:szCs w:val="16"/>
                <w:lang w:val="en-US"/>
              </w:rPr>
              <w:t>that of carrying</w:t>
            </w:r>
            <w:r w:rsidRPr="00C377B1">
              <w:rPr>
                <w:rFonts w:ascii="Verdana" w:hAnsi="Verdana" w:cs="Times New Roman"/>
                <w:sz w:val="16"/>
                <w:szCs w:val="16"/>
                <w:lang w:val="en-US"/>
              </w:rPr>
              <w:t xml:space="preserve"> the drilling cuttings, lubricate the drill bit, clean and condition the well and counteract reservoir pressure.</w:t>
            </w:r>
          </w:p>
        </w:tc>
      </w:tr>
      <w:tr w:rsidR="00DC213D" w:rsidRPr="00C377B1" w14:paraId="4C12F1E0" w14:textId="679A6EEC" w:rsidTr="00C377B1">
        <w:tc>
          <w:tcPr>
            <w:tcW w:w="4788" w:type="dxa"/>
            <w:shd w:val="clear" w:color="auto" w:fill="auto"/>
          </w:tcPr>
          <w:p w14:paraId="3F44C3A9"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3.10. Impermeabilización</w:t>
            </w:r>
          </w:p>
        </w:tc>
        <w:tc>
          <w:tcPr>
            <w:tcW w:w="4788" w:type="dxa"/>
            <w:shd w:val="clear" w:color="auto" w:fill="auto"/>
          </w:tcPr>
          <w:p w14:paraId="2A9E4AA6" w14:textId="31F6298F"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3.10. Waterproofing</w:t>
            </w:r>
          </w:p>
        </w:tc>
      </w:tr>
      <w:tr w:rsidR="00DC213D" w:rsidRPr="00CE7512" w14:paraId="6643D4C5" w14:textId="15A27FE6" w:rsidTr="00C377B1">
        <w:tc>
          <w:tcPr>
            <w:tcW w:w="4788" w:type="dxa"/>
            <w:shd w:val="clear" w:color="auto" w:fill="auto"/>
          </w:tcPr>
          <w:p w14:paraId="0DD60328"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Actividad que se realiza para evitar la infiltración en el subsuelo de materiales o residuos que pudieran contaminarlo.</w:t>
            </w:r>
          </w:p>
        </w:tc>
        <w:tc>
          <w:tcPr>
            <w:tcW w:w="4788" w:type="dxa"/>
            <w:shd w:val="clear" w:color="auto" w:fill="auto"/>
          </w:tcPr>
          <w:p w14:paraId="161159DF" w14:textId="4BA51A48"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Activity that is carried out to avoid infiltration into the subsoil of materials or waste that could contaminate it.</w:t>
            </w:r>
          </w:p>
        </w:tc>
      </w:tr>
      <w:tr w:rsidR="00DC213D" w:rsidRPr="00C377B1" w14:paraId="5020CA47" w14:textId="32B18625" w:rsidTr="00C377B1">
        <w:tc>
          <w:tcPr>
            <w:tcW w:w="4788" w:type="dxa"/>
            <w:shd w:val="clear" w:color="auto" w:fill="auto"/>
          </w:tcPr>
          <w:p w14:paraId="53466F18"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3.11. Lona plastificada</w:t>
            </w:r>
          </w:p>
        </w:tc>
        <w:tc>
          <w:tcPr>
            <w:tcW w:w="4788" w:type="dxa"/>
            <w:shd w:val="clear" w:color="auto" w:fill="auto"/>
          </w:tcPr>
          <w:p w14:paraId="5F7413E1" w14:textId="17EE1300"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3.11. Plasticized canvas</w:t>
            </w:r>
          </w:p>
        </w:tc>
      </w:tr>
      <w:tr w:rsidR="00DC213D" w:rsidRPr="00CE7512" w14:paraId="456F4C43" w14:textId="032B81CC" w:rsidTr="00C377B1">
        <w:tc>
          <w:tcPr>
            <w:tcW w:w="4788" w:type="dxa"/>
            <w:shd w:val="clear" w:color="auto" w:fill="auto"/>
          </w:tcPr>
          <w:p w14:paraId="14FCE87A"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Cubierta empleada para impermeabilizar el terreno susceptible de ser contaminado con motivo de las actividades de perforación de pozos.</w:t>
            </w:r>
          </w:p>
        </w:tc>
        <w:tc>
          <w:tcPr>
            <w:tcW w:w="4788" w:type="dxa"/>
            <w:shd w:val="clear" w:color="auto" w:fill="auto"/>
          </w:tcPr>
          <w:p w14:paraId="371F2788" w14:textId="235BAE7C"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Cover used to waterproof the soil that could be contaminated due to drilling activities.</w:t>
            </w:r>
          </w:p>
        </w:tc>
      </w:tr>
      <w:tr w:rsidR="00DC213D" w:rsidRPr="00C377B1" w14:paraId="3D8721B1" w14:textId="413C5DA2" w:rsidTr="00C377B1">
        <w:tc>
          <w:tcPr>
            <w:tcW w:w="4788" w:type="dxa"/>
            <w:shd w:val="clear" w:color="auto" w:fill="auto"/>
          </w:tcPr>
          <w:p w14:paraId="59CD8C2B"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3.12. Perforación de pozos</w:t>
            </w:r>
          </w:p>
        </w:tc>
        <w:tc>
          <w:tcPr>
            <w:tcW w:w="4788" w:type="dxa"/>
            <w:shd w:val="clear" w:color="auto" w:fill="auto"/>
          </w:tcPr>
          <w:p w14:paraId="43E0D66F" w14:textId="0F418977"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3.12. Well drilling</w:t>
            </w:r>
          </w:p>
        </w:tc>
      </w:tr>
      <w:tr w:rsidR="00DC213D" w:rsidRPr="00CE7512" w14:paraId="00F0CCF2" w14:textId="238F3E36" w:rsidTr="00C377B1">
        <w:tc>
          <w:tcPr>
            <w:tcW w:w="4788" w:type="dxa"/>
            <w:shd w:val="clear" w:color="auto" w:fill="auto"/>
          </w:tcPr>
          <w:p w14:paraId="04245580"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Conjunto de actividades necesarias a desarrollar en un lugar específico para la obtención de información geológica y extracción de vapor geotérmico, a través de la construcción de pozos.</w:t>
            </w:r>
          </w:p>
        </w:tc>
        <w:tc>
          <w:tcPr>
            <w:tcW w:w="4788" w:type="dxa"/>
            <w:shd w:val="clear" w:color="auto" w:fill="auto"/>
          </w:tcPr>
          <w:p w14:paraId="495267F2" w14:textId="60435978"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Set of activities necessary to develop in a specific place to obtain geological information and extraction of geothermal steam, through the construction of wells.</w:t>
            </w:r>
          </w:p>
        </w:tc>
      </w:tr>
      <w:tr w:rsidR="00DC213D" w:rsidRPr="00C377B1" w14:paraId="77EB389F" w14:textId="796A8FF1" w:rsidTr="00C377B1">
        <w:tc>
          <w:tcPr>
            <w:tcW w:w="4788" w:type="dxa"/>
            <w:shd w:val="clear" w:color="auto" w:fill="auto"/>
          </w:tcPr>
          <w:p w14:paraId="30F3114B"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3.13. Permisionario</w:t>
            </w:r>
          </w:p>
        </w:tc>
        <w:tc>
          <w:tcPr>
            <w:tcW w:w="4788" w:type="dxa"/>
            <w:shd w:val="clear" w:color="auto" w:fill="auto"/>
          </w:tcPr>
          <w:p w14:paraId="08211960" w14:textId="12CC3620"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3.13. Permit holder</w:t>
            </w:r>
          </w:p>
        </w:tc>
      </w:tr>
      <w:tr w:rsidR="00DC213D" w:rsidRPr="00CE7512" w14:paraId="02DF3324" w14:textId="78D71F0F" w:rsidTr="00C377B1">
        <w:tc>
          <w:tcPr>
            <w:tcW w:w="4788" w:type="dxa"/>
            <w:shd w:val="clear" w:color="auto" w:fill="auto"/>
          </w:tcPr>
          <w:p w14:paraId="15E810F5"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Titular de un permiso para explorar un área geotérmica.</w:t>
            </w:r>
          </w:p>
        </w:tc>
        <w:tc>
          <w:tcPr>
            <w:tcW w:w="4788" w:type="dxa"/>
            <w:shd w:val="clear" w:color="auto" w:fill="auto"/>
          </w:tcPr>
          <w:p w14:paraId="6FCF8293" w14:textId="3F4521D2"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Holder of a permit to explore a geothermal area.</w:t>
            </w:r>
          </w:p>
        </w:tc>
      </w:tr>
      <w:tr w:rsidR="00DC213D" w:rsidRPr="00C377B1" w14:paraId="3716BD2B" w14:textId="06D1329F" w:rsidTr="00C377B1">
        <w:tc>
          <w:tcPr>
            <w:tcW w:w="4788" w:type="dxa"/>
            <w:shd w:val="clear" w:color="auto" w:fill="auto"/>
          </w:tcPr>
          <w:p w14:paraId="47B99F07"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3.14.</w:t>
            </w:r>
            <w:r w:rsidRPr="00C377B1">
              <w:rPr>
                <w:rFonts w:ascii="Verdana" w:hAnsi="Verdana"/>
                <w:sz w:val="16"/>
                <w:szCs w:val="16"/>
              </w:rPr>
              <w:t xml:space="preserve"> </w:t>
            </w:r>
            <w:r w:rsidRPr="00C377B1">
              <w:rPr>
                <w:rFonts w:ascii="Verdana" w:hAnsi="Verdana"/>
                <w:b/>
                <w:sz w:val="16"/>
                <w:szCs w:val="16"/>
              </w:rPr>
              <w:t>Permiso</w:t>
            </w:r>
          </w:p>
        </w:tc>
        <w:tc>
          <w:tcPr>
            <w:tcW w:w="4788" w:type="dxa"/>
            <w:shd w:val="clear" w:color="auto" w:fill="auto"/>
          </w:tcPr>
          <w:p w14:paraId="228FC2EC" w14:textId="0BB8B2C1" w:rsidR="00DC213D" w:rsidRPr="00C377B1" w:rsidRDefault="00DC213D" w:rsidP="00C377B1">
            <w:pPr>
              <w:pStyle w:val="Texto"/>
              <w:spacing w:line="236" w:lineRule="exact"/>
              <w:ind w:firstLine="0"/>
              <w:rPr>
                <w:rFonts w:ascii="Verdana" w:hAnsi="Verdana"/>
                <w:b/>
                <w:sz w:val="16"/>
                <w:szCs w:val="16"/>
                <w:lang w:val="en-US"/>
              </w:rPr>
            </w:pPr>
            <w:r w:rsidRPr="00C377B1">
              <w:rPr>
                <w:rFonts w:ascii="Verdana" w:hAnsi="Verdana" w:cs="Times New Roman"/>
                <w:b/>
                <w:bCs/>
                <w:sz w:val="16"/>
                <w:szCs w:val="16"/>
              </w:rPr>
              <w:t xml:space="preserve">3.14. </w:t>
            </w:r>
            <w:proofErr w:type="spellStart"/>
            <w:r w:rsidR="004C577A">
              <w:rPr>
                <w:rFonts w:ascii="Verdana" w:hAnsi="Verdana" w:cs="Times New Roman"/>
                <w:b/>
                <w:bCs/>
                <w:sz w:val="16"/>
                <w:szCs w:val="16"/>
              </w:rPr>
              <w:t>Permit</w:t>
            </w:r>
            <w:proofErr w:type="spellEnd"/>
            <w:r w:rsidRPr="00C377B1">
              <w:rPr>
                <w:rFonts w:ascii="Verdana" w:hAnsi="Verdana" w:cs="Times New Roman"/>
                <w:sz w:val="16"/>
                <w:szCs w:val="16"/>
              </w:rPr>
              <w:t xml:space="preserve"> </w:t>
            </w:r>
          </w:p>
        </w:tc>
      </w:tr>
      <w:tr w:rsidR="00DC213D" w:rsidRPr="00CE7512" w14:paraId="57DA9040" w14:textId="0035A451" w:rsidTr="00C377B1">
        <w:tc>
          <w:tcPr>
            <w:tcW w:w="4788" w:type="dxa"/>
            <w:shd w:val="clear" w:color="auto" w:fill="auto"/>
          </w:tcPr>
          <w:p w14:paraId="7E63DB22"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 xml:space="preserve">Acto jurídico por el cual el Estado, a través de la SENER </w:t>
            </w:r>
            <w:r w:rsidRPr="00C377B1">
              <w:rPr>
                <w:rFonts w:ascii="Verdana" w:hAnsi="Verdana"/>
                <w:sz w:val="16"/>
                <w:szCs w:val="16"/>
              </w:rPr>
              <w:lastRenderedPageBreak/>
              <w:t>reconoce el derecho de un particular, de la Comisión Federal de Electricidad o de las empresas productivas del Estado, para explorar un área geotérmica.</w:t>
            </w:r>
          </w:p>
        </w:tc>
        <w:tc>
          <w:tcPr>
            <w:tcW w:w="4788" w:type="dxa"/>
            <w:shd w:val="clear" w:color="auto" w:fill="auto"/>
          </w:tcPr>
          <w:p w14:paraId="24ED5CF8" w14:textId="41C60347"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lastRenderedPageBreak/>
              <w:t xml:space="preserve">Legal act by which the State, through SENER recognizes </w:t>
            </w:r>
            <w:r w:rsidRPr="00C377B1">
              <w:rPr>
                <w:rFonts w:ascii="Verdana" w:hAnsi="Verdana" w:cs="Times New Roman"/>
                <w:sz w:val="16"/>
                <w:szCs w:val="16"/>
                <w:lang w:val="en-US"/>
              </w:rPr>
              <w:lastRenderedPageBreak/>
              <w:t xml:space="preserve">the right of </w:t>
            </w:r>
            <w:r w:rsidR="004C577A">
              <w:rPr>
                <w:rFonts w:ascii="Verdana" w:hAnsi="Verdana" w:cs="Times New Roman"/>
                <w:sz w:val="16"/>
                <w:szCs w:val="16"/>
                <w:lang w:val="en-US"/>
              </w:rPr>
              <w:t>a private party</w:t>
            </w:r>
            <w:r w:rsidRPr="00C377B1">
              <w:rPr>
                <w:rFonts w:ascii="Verdana" w:hAnsi="Verdana" w:cs="Times New Roman"/>
                <w:sz w:val="16"/>
                <w:szCs w:val="16"/>
                <w:lang w:val="en-US"/>
              </w:rPr>
              <w:t>, of the Federal Electricity Commission or of the State's productive companies, to explore a geothermal area.</w:t>
            </w:r>
          </w:p>
        </w:tc>
      </w:tr>
      <w:tr w:rsidR="00DC213D" w:rsidRPr="00C377B1" w14:paraId="0F9D4D60" w14:textId="411449A5" w:rsidTr="00C377B1">
        <w:tc>
          <w:tcPr>
            <w:tcW w:w="4788" w:type="dxa"/>
            <w:shd w:val="clear" w:color="auto" w:fill="auto"/>
          </w:tcPr>
          <w:p w14:paraId="76DCCC7A"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lastRenderedPageBreak/>
              <w:t>3.15. Plataforma de perforación</w:t>
            </w:r>
          </w:p>
        </w:tc>
        <w:tc>
          <w:tcPr>
            <w:tcW w:w="4788" w:type="dxa"/>
            <w:shd w:val="clear" w:color="auto" w:fill="auto"/>
          </w:tcPr>
          <w:p w14:paraId="425A25F8" w14:textId="1578D9E3"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3.15. Rig</w:t>
            </w:r>
          </w:p>
        </w:tc>
      </w:tr>
      <w:tr w:rsidR="00DC213D" w:rsidRPr="00CE7512" w14:paraId="4EA1579C" w14:textId="176F6B92" w:rsidTr="00C377B1">
        <w:tc>
          <w:tcPr>
            <w:tcW w:w="4788" w:type="dxa"/>
            <w:shd w:val="clear" w:color="auto" w:fill="auto"/>
          </w:tcPr>
          <w:p w14:paraId="20AE0277"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Área para la instalación y operación de un equipo de perforación de pozos con los accesorios y maniobras correspondientes, así como para las casas móviles.</w:t>
            </w:r>
          </w:p>
        </w:tc>
        <w:tc>
          <w:tcPr>
            <w:tcW w:w="4788" w:type="dxa"/>
            <w:shd w:val="clear" w:color="auto" w:fill="auto"/>
          </w:tcPr>
          <w:p w14:paraId="287E76AA" w14:textId="584B872C"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Area for the installation and operation of a well drilling equipment with the corresponding accessories and maneuvers, as well as for mobile homes.</w:t>
            </w:r>
          </w:p>
        </w:tc>
      </w:tr>
      <w:tr w:rsidR="00DC213D" w:rsidRPr="00C377B1" w14:paraId="1D79F57C" w14:textId="169B1B32" w:rsidTr="00C377B1">
        <w:tc>
          <w:tcPr>
            <w:tcW w:w="4788" w:type="dxa"/>
            <w:shd w:val="clear" w:color="auto" w:fill="auto"/>
          </w:tcPr>
          <w:p w14:paraId="1EAAE759"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3.16. Pozo exploratorio geotérmico</w:t>
            </w:r>
          </w:p>
        </w:tc>
        <w:tc>
          <w:tcPr>
            <w:tcW w:w="4788" w:type="dxa"/>
            <w:shd w:val="clear" w:color="auto" w:fill="auto"/>
          </w:tcPr>
          <w:p w14:paraId="576F12EC" w14:textId="648D752E"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3.16. Geothermal exploratory well</w:t>
            </w:r>
          </w:p>
        </w:tc>
      </w:tr>
      <w:tr w:rsidR="00DC213D" w:rsidRPr="00CE7512" w14:paraId="163D4F6C" w14:textId="5B35C5B1" w:rsidTr="00C377B1">
        <w:tc>
          <w:tcPr>
            <w:tcW w:w="4788" w:type="dxa"/>
            <w:shd w:val="clear" w:color="auto" w:fill="auto"/>
          </w:tcPr>
          <w:p w14:paraId="6ACB59B4"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Perforación del subsuelo con fines exploratorios, bajo los lineamientos que señale la Ley de Energía Geotérmica, su Reglamento y demás disposiciones aplicables, y que tenga como propósito obtener información térmica, litológica y geoquímica de una posible área geotérmica.</w:t>
            </w:r>
          </w:p>
        </w:tc>
        <w:tc>
          <w:tcPr>
            <w:tcW w:w="4788" w:type="dxa"/>
            <w:shd w:val="clear" w:color="auto" w:fill="auto"/>
          </w:tcPr>
          <w:p w14:paraId="38EE0EF6" w14:textId="21D54985"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Underground drilling for exploratory purposes, under the guidelines set forth in the Geothermal Energy Law, its Regulations and other applicable provisions, and whose purpose is to obtain thermal, lithological and geochemical information of a possible geothermal area.</w:t>
            </w:r>
          </w:p>
        </w:tc>
      </w:tr>
      <w:tr w:rsidR="00DC213D" w:rsidRPr="00C377B1" w14:paraId="6771C6C1" w14:textId="1FC0D048" w:rsidTr="00C377B1">
        <w:tc>
          <w:tcPr>
            <w:tcW w:w="4788" w:type="dxa"/>
            <w:shd w:val="clear" w:color="auto" w:fill="auto"/>
          </w:tcPr>
          <w:p w14:paraId="491C8D9E"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3.17. Presa de lodos</w:t>
            </w:r>
          </w:p>
        </w:tc>
        <w:tc>
          <w:tcPr>
            <w:tcW w:w="4788" w:type="dxa"/>
            <w:shd w:val="clear" w:color="auto" w:fill="auto"/>
          </w:tcPr>
          <w:p w14:paraId="430316A0" w14:textId="0E7224B3"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3.17. Sludge dam</w:t>
            </w:r>
          </w:p>
        </w:tc>
      </w:tr>
      <w:tr w:rsidR="00DC213D" w:rsidRPr="00CE7512" w14:paraId="21828242" w14:textId="6887C201" w:rsidTr="00C377B1">
        <w:tc>
          <w:tcPr>
            <w:tcW w:w="4788" w:type="dxa"/>
            <w:shd w:val="clear" w:color="auto" w:fill="auto"/>
          </w:tcPr>
          <w:p w14:paraId="12E2CA95"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Fosa que se hace cerca de la plataforma, con objeto de almacenar temporalmente los residuos de fluidos de perforación (lodos y recortes de perforación) y posteriormente el agua geotérmica.</w:t>
            </w:r>
          </w:p>
        </w:tc>
        <w:tc>
          <w:tcPr>
            <w:tcW w:w="4788" w:type="dxa"/>
            <w:shd w:val="clear" w:color="auto" w:fill="auto"/>
          </w:tcPr>
          <w:p w14:paraId="3B2A7DF3" w14:textId="2DE591CB"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 xml:space="preserve">Trench that is made near the platform, in order to temporarily store </w:t>
            </w:r>
            <w:r w:rsidR="004C577A">
              <w:rPr>
                <w:rFonts w:ascii="Verdana" w:hAnsi="Verdana" w:cs="Times New Roman"/>
                <w:sz w:val="16"/>
                <w:szCs w:val="16"/>
                <w:lang w:val="en-US"/>
              </w:rPr>
              <w:t xml:space="preserve">the </w:t>
            </w:r>
            <w:r w:rsidRPr="004C577A">
              <w:rPr>
                <w:rFonts w:ascii="Verdana" w:hAnsi="Verdana" w:cs="Times New Roman"/>
                <w:sz w:val="16"/>
                <w:szCs w:val="16"/>
                <w:lang w:val="en-US"/>
              </w:rPr>
              <w:t>waste</w:t>
            </w:r>
            <w:r w:rsidR="004C577A">
              <w:rPr>
                <w:rFonts w:ascii="Verdana" w:hAnsi="Verdana" w:cs="Times New Roman"/>
                <w:sz w:val="16"/>
                <w:szCs w:val="16"/>
                <w:lang w:val="en-US"/>
              </w:rPr>
              <w:t>s from</w:t>
            </w:r>
            <w:r w:rsidRPr="004C577A">
              <w:rPr>
                <w:rFonts w:ascii="Verdana" w:hAnsi="Verdana" w:cs="Times New Roman"/>
                <w:sz w:val="16"/>
                <w:szCs w:val="16"/>
                <w:lang w:val="en-US"/>
              </w:rPr>
              <w:t xml:space="preserve"> drilling fluids (sludge and drill cuttings) and</w:t>
            </w:r>
            <w:r w:rsidR="004C577A">
              <w:rPr>
                <w:rFonts w:ascii="Verdana" w:hAnsi="Verdana" w:cs="Times New Roman"/>
                <w:sz w:val="16"/>
                <w:szCs w:val="16"/>
                <w:lang w:val="en-US"/>
              </w:rPr>
              <w:t xml:space="preserve"> later the</w:t>
            </w:r>
            <w:r w:rsidRPr="004C577A">
              <w:rPr>
                <w:rFonts w:ascii="Verdana" w:hAnsi="Verdana" w:cs="Times New Roman"/>
                <w:sz w:val="16"/>
                <w:szCs w:val="16"/>
                <w:lang w:val="en-US"/>
              </w:rPr>
              <w:t xml:space="preserve"> geothermal water.</w:t>
            </w:r>
          </w:p>
        </w:tc>
      </w:tr>
      <w:tr w:rsidR="00DC213D" w:rsidRPr="00C377B1" w14:paraId="7753FC99" w14:textId="682EA818" w:rsidTr="00C377B1">
        <w:tc>
          <w:tcPr>
            <w:tcW w:w="4788" w:type="dxa"/>
            <w:shd w:val="clear" w:color="auto" w:fill="auto"/>
          </w:tcPr>
          <w:p w14:paraId="26CBE66F"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3.18.</w:t>
            </w:r>
            <w:r w:rsidRPr="00C377B1">
              <w:rPr>
                <w:rFonts w:ascii="Verdana" w:hAnsi="Verdana"/>
                <w:sz w:val="16"/>
                <w:szCs w:val="16"/>
              </w:rPr>
              <w:t xml:space="preserve"> </w:t>
            </w:r>
            <w:r w:rsidRPr="00C377B1">
              <w:rPr>
                <w:rFonts w:ascii="Verdana" w:hAnsi="Verdana"/>
                <w:b/>
                <w:sz w:val="16"/>
                <w:szCs w:val="16"/>
              </w:rPr>
              <w:t>Planes de Emergencia y Contingencia</w:t>
            </w:r>
          </w:p>
        </w:tc>
        <w:tc>
          <w:tcPr>
            <w:tcW w:w="4788" w:type="dxa"/>
            <w:shd w:val="clear" w:color="auto" w:fill="auto"/>
          </w:tcPr>
          <w:p w14:paraId="60F3923C" w14:textId="4CDA4C52"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3.18. Emergency and Contingency Plans</w:t>
            </w:r>
            <w:r w:rsidRPr="004C577A">
              <w:rPr>
                <w:rFonts w:ascii="Verdana" w:hAnsi="Verdana" w:cs="Times New Roman"/>
                <w:sz w:val="16"/>
                <w:szCs w:val="16"/>
                <w:lang w:val="en-US"/>
              </w:rPr>
              <w:t xml:space="preserve"> </w:t>
            </w:r>
          </w:p>
        </w:tc>
      </w:tr>
      <w:tr w:rsidR="00DC213D" w:rsidRPr="00CE7512" w14:paraId="01DEABB8" w14:textId="7B3DE8C0" w:rsidTr="00C377B1">
        <w:tc>
          <w:tcPr>
            <w:tcW w:w="4788" w:type="dxa"/>
            <w:shd w:val="clear" w:color="auto" w:fill="auto"/>
          </w:tcPr>
          <w:p w14:paraId="6C0E7656"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Políticas, lineamientos y acciones para optimizar comunicaciones y uso de recursos que permitan solventar efectiva y oportunamente las eventualidades, con el fin de minimizar el impacto al entorno y asegurar la continuidad de las operaciones del área geotérmica, autorizado por la autoridad competente en la materia de que se trate.</w:t>
            </w:r>
          </w:p>
        </w:tc>
        <w:tc>
          <w:tcPr>
            <w:tcW w:w="4788" w:type="dxa"/>
            <w:shd w:val="clear" w:color="auto" w:fill="auto"/>
          </w:tcPr>
          <w:p w14:paraId="11170F9B" w14:textId="577427C5" w:rsidR="00DC213D" w:rsidRPr="00C377B1" w:rsidRDefault="00DC213D" w:rsidP="00C377B1">
            <w:pPr>
              <w:pStyle w:val="Texto"/>
              <w:spacing w:line="236" w:lineRule="exact"/>
              <w:ind w:firstLine="0"/>
              <w:rPr>
                <w:rFonts w:ascii="Verdana" w:hAnsi="Verdana"/>
                <w:sz w:val="16"/>
                <w:szCs w:val="16"/>
                <w:lang w:val="en-US"/>
              </w:rPr>
            </w:pPr>
            <w:r w:rsidRPr="00C377B1">
              <w:rPr>
                <w:rFonts w:ascii="Verdana" w:hAnsi="Verdana" w:cs="Times New Roman"/>
                <w:sz w:val="16"/>
                <w:szCs w:val="16"/>
                <w:lang w:val="en-US"/>
              </w:rPr>
              <w:t xml:space="preserve">Policies, guidelines and actions to optimize communications and use of resources that allow eventualities to be effectively and timely resolved, in order to minimize the impact on the environment and ensure the continuity of the operations of the geothermal area, authorized by the </w:t>
            </w:r>
            <w:r w:rsidR="004C577A">
              <w:rPr>
                <w:rFonts w:ascii="Verdana" w:hAnsi="Verdana" w:cs="Times New Roman"/>
                <w:sz w:val="16"/>
                <w:szCs w:val="16"/>
                <w:lang w:val="en-US"/>
              </w:rPr>
              <w:t>appropriate</w:t>
            </w:r>
            <w:r w:rsidRPr="00C377B1">
              <w:rPr>
                <w:rFonts w:ascii="Verdana" w:hAnsi="Verdana" w:cs="Times New Roman"/>
                <w:sz w:val="16"/>
                <w:szCs w:val="16"/>
                <w:lang w:val="en-US"/>
              </w:rPr>
              <w:t xml:space="preserve"> authority in the field of in question</w:t>
            </w:r>
          </w:p>
        </w:tc>
      </w:tr>
      <w:tr w:rsidR="00DC213D" w:rsidRPr="00C377B1" w14:paraId="64D884F6" w14:textId="3CBE588B" w:rsidTr="00C377B1">
        <w:tc>
          <w:tcPr>
            <w:tcW w:w="4788" w:type="dxa"/>
            <w:shd w:val="clear" w:color="auto" w:fill="auto"/>
          </w:tcPr>
          <w:p w14:paraId="566E69AA"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3.19. Recortes de perforación</w:t>
            </w:r>
          </w:p>
        </w:tc>
        <w:tc>
          <w:tcPr>
            <w:tcW w:w="4788" w:type="dxa"/>
            <w:shd w:val="clear" w:color="auto" w:fill="auto"/>
          </w:tcPr>
          <w:p w14:paraId="6D579EEA" w14:textId="54E2E92B"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3.19. Drill</w:t>
            </w:r>
            <w:r w:rsidR="004C577A" w:rsidRPr="004C577A">
              <w:rPr>
                <w:rFonts w:ascii="Verdana" w:hAnsi="Verdana" w:cs="Times New Roman"/>
                <w:b/>
                <w:bCs/>
                <w:sz w:val="16"/>
                <w:szCs w:val="16"/>
                <w:lang w:val="en-US"/>
              </w:rPr>
              <w:t>ing</w:t>
            </w:r>
            <w:r w:rsidRPr="004C577A">
              <w:rPr>
                <w:rFonts w:ascii="Verdana" w:hAnsi="Verdana" w:cs="Times New Roman"/>
                <w:b/>
                <w:bCs/>
                <w:sz w:val="16"/>
                <w:szCs w:val="16"/>
                <w:lang w:val="en-US"/>
              </w:rPr>
              <w:t xml:space="preserve"> cuttings</w:t>
            </w:r>
          </w:p>
        </w:tc>
      </w:tr>
      <w:tr w:rsidR="00DC213D" w:rsidRPr="00CE7512" w14:paraId="62CFEA42" w14:textId="55786FB7" w:rsidTr="00C377B1">
        <w:tc>
          <w:tcPr>
            <w:tcW w:w="4788" w:type="dxa"/>
            <w:shd w:val="clear" w:color="auto" w:fill="auto"/>
          </w:tcPr>
          <w:p w14:paraId="6171B8EB"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Fragmentos de roca que se obtienen en el proceso de perforación.</w:t>
            </w:r>
          </w:p>
        </w:tc>
        <w:tc>
          <w:tcPr>
            <w:tcW w:w="4788" w:type="dxa"/>
            <w:shd w:val="clear" w:color="auto" w:fill="auto"/>
          </w:tcPr>
          <w:p w14:paraId="0862B14D" w14:textId="0F51A1A3" w:rsidR="00DC213D" w:rsidRPr="004C577A" w:rsidRDefault="00DC213D" w:rsidP="00C377B1">
            <w:pPr>
              <w:pStyle w:val="Texto"/>
              <w:spacing w:line="236" w:lineRule="exact"/>
              <w:ind w:firstLine="0"/>
              <w:rPr>
                <w:rFonts w:ascii="Verdana" w:hAnsi="Verdana"/>
                <w:sz w:val="16"/>
                <w:szCs w:val="16"/>
                <w:lang w:val="en-US"/>
              </w:rPr>
            </w:pPr>
            <w:r w:rsidRPr="004C577A">
              <w:rPr>
                <w:rFonts w:ascii="Verdana" w:hAnsi="Verdana" w:cs="Times New Roman"/>
                <w:sz w:val="16"/>
                <w:szCs w:val="16"/>
                <w:lang w:val="en-US"/>
              </w:rPr>
              <w:t>Rock fragments that are obtained in the drilling process.</w:t>
            </w:r>
          </w:p>
        </w:tc>
      </w:tr>
      <w:tr w:rsidR="00DC213D" w:rsidRPr="00C377B1" w14:paraId="7F6350BD" w14:textId="4D388713" w:rsidTr="00C377B1">
        <w:tc>
          <w:tcPr>
            <w:tcW w:w="4788" w:type="dxa"/>
            <w:shd w:val="clear" w:color="auto" w:fill="auto"/>
          </w:tcPr>
          <w:p w14:paraId="5D5ACC7A"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b/>
                <w:sz w:val="16"/>
                <w:szCs w:val="16"/>
              </w:rPr>
              <w:t>3.20. Rehabilitación del sitio</w:t>
            </w:r>
          </w:p>
        </w:tc>
        <w:tc>
          <w:tcPr>
            <w:tcW w:w="4788" w:type="dxa"/>
            <w:shd w:val="clear" w:color="auto" w:fill="auto"/>
          </w:tcPr>
          <w:p w14:paraId="0CA2D546" w14:textId="49B29D9E" w:rsidR="00DC213D" w:rsidRPr="004C577A" w:rsidRDefault="00DC213D" w:rsidP="00C377B1">
            <w:pPr>
              <w:pStyle w:val="Texto"/>
              <w:spacing w:line="236" w:lineRule="exact"/>
              <w:ind w:firstLine="0"/>
              <w:rPr>
                <w:rFonts w:ascii="Verdana" w:hAnsi="Verdana"/>
                <w:b/>
                <w:sz w:val="16"/>
                <w:szCs w:val="16"/>
                <w:lang w:val="en-US"/>
              </w:rPr>
            </w:pPr>
            <w:r w:rsidRPr="004C577A">
              <w:rPr>
                <w:rFonts w:ascii="Verdana" w:hAnsi="Verdana" w:cs="Times New Roman"/>
                <w:b/>
                <w:bCs/>
                <w:sz w:val="16"/>
                <w:szCs w:val="16"/>
                <w:lang w:val="en-US"/>
              </w:rPr>
              <w:t>3.20. Site Rehabilitation</w:t>
            </w:r>
          </w:p>
        </w:tc>
      </w:tr>
      <w:tr w:rsidR="00DC213D" w:rsidRPr="00CE7512" w14:paraId="2172351A" w14:textId="5DDC8B16" w:rsidTr="00C377B1">
        <w:tc>
          <w:tcPr>
            <w:tcW w:w="4788" w:type="dxa"/>
            <w:shd w:val="clear" w:color="auto" w:fill="auto"/>
          </w:tcPr>
          <w:p w14:paraId="201D5C7F" w14:textId="77777777" w:rsidR="00DC213D" w:rsidRPr="00C377B1" w:rsidRDefault="00DC213D" w:rsidP="00C377B1">
            <w:pPr>
              <w:pStyle w:val="Texto"/>
              <w:spacing w:line="236" w:lineRule="exact"/>
              <w:ind w:firstLine="0"/>
              <w:rPr>
                <w:rFonts w:ascii="Verdana" w:hAnsi="Verdana"/>
                <w:sz w:val="16"/>
                <w:szCs w:val="16"/>
              </w:rPr>
            </w:pPr>
            <w:r w:rsidRPr="00C377B1">
              <w:rPr>
                <w:rFonts w:ascii="Verdana" w:hAnsi="Verdana"/>
                <w:sz w:val="16"/>
                <w:szCs w:val="16"/>
              </w:rPr>
              <w:t>Conjunto de actividades tendientes al restablecimiento de las condiciones ambientales que prevalecían en el sitio, previo a la construcción de la plataforma de perforación.</w:t>
            </w:r>
          </w:p>
        </w:tc>
        <w:tc>
          <w:tcPr>
            <w:tcW w:w="4788" w:type="dxa"/>
            <w:shd w:val="clear" w:color="auto" w:fill="auto"/>
          </w:tcPr>
          <w:p w14:paraId="70D0AEB8" w14:textId="2B24D5FD" w:rsidR="00DC213D" w:rsidRPr="004C577A" w:rsidRDefault="004C577A" w:rsidP="00C377B1">
            <w:pPr>
              <w:pStyle w:val="Texto"/>
              <w:spacing w:line="236" w:lineRule="exact"/>
              <w:ind w:firstLine="0"/>
              <w:rPr>
                <w:rFonts w:ascii="Verdana" w:hAnsi="Verdana"/>
                <w:sz w:val="16"/>
                <w:szCs w:val="16"/>
                <w:lang w:val="en-US"/>
              </w:rPr>
            </w:pPr>
            <w:r>
              <w:rPr>
                <w:rFonts w:ascii="Verdana" w:hAnsi="Verdana" w:cs="Times New Roman"/>
                <w:sz w:val="16"/>
                <w:szCs w:val="16"/>
                <w:lang w:val="en-US"/>
              </w:rPr>
              <w:t>Combination</w:t>
            </w:r>
            <w:r w:rsidR="00DC213D" w:rsidRPr="004C577A">
              <w:rPr>
                <w:rFonts w:ascii="Verdana" w:hAnsi="Verdana" w:cs="Times New Roman"/>
                <w:sz w:val="16"/>
                <w:szCs w:val="16"/>
                <w:lang w:val="en-US"/>
              </w:rPr>
              <w:t xml:space="preserve"> of activities aimed at restoring the environmental conditions prevailing at the site, prior to the construction of the drilling rig.</w:t>
            </w:r>
          </w:p>
        </w:tc>
      </w:tr>
      <w:tr w:rsidR="00DC213D" w:rsidRPr="00C377B1" w14:paraId="085A0477" w14:textId="10CBBFFC" w:rsidTr="00C377B1">
        <w:tc>
          <w:tcPr>
            <w:tcW w:w="4788" w:type="dxa"/>
            <w:shd w:val="clear" w:color="auto" w:fill="auto"/>
          </w:tcPr>
          <w:p w14:paraId="356BEC6E"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3.21. Silenciador centrífugo</w:t>
            </w:r>
          </w:p>
        </w:tc>
        <w:tc>
          <w:tcPr>
            <w:tcW w:w="4788" w:type="dxa"/>
            <w:shd w:val="clear" w:color="auto" w:fill="auto"/>
          </w:tcPr>
          <w:p w14:paraId="7390D2D4" w14:textId="3F469FF5"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3.21. Centrifugal muffler</w:t>
            </w:r>
          </w:p>
        </w:tc>
      </w:tr>
      <w:tr w:rsidR="00DC213D" w:rsidRPr="00CE7512" w14:paraId="7FAE3F4A" w14:textId="15F4F645" w:rsidTr="00C377B1">
        <w:tc>
          <w:tcPr>
            <w:tcW w:w="4788" w:type="dxa"/>
            <w:shd w:val="clear" w:color="auto" w:fill="auto"/>
          </w:tcPr>
          <w:p w14:paraId="006A0E2B"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Cilindro metálico usado para mitigar el ruido generado por la velocidad de la mezcla (agua-vapor) y separar centrífugamente el agua del vapor.</w:t>
            </w:r>
          </w:p>
        </w:tc>
        <w:tc>
          <w:tcPr>
            <w:tcW w:w="4788" w:type="dxa"/>
            <w:shd w:val="clear" w:color="auto" w:fill="auto"/>
          </w:tcPr>
          <w:p w14:paraId="7198743A" w14:textId="137347DC"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Metal cylinder used to mitigate the noise generated by the speed of the mixture (water-steam) and centrifugally separate the water from the steam.</w:t>
            </w:r>
          </w:p>
        </w:tc>
      </w:tr>
      <w:tr w:rsidR="00DC213D" w:rsidRPr="00C377B1" w14:paraId="6B50A0C4" w14:textId="00AFD9FF" w:rsidTr="00C377B1">
        <w:tc>
          <w:tcPr>
            <w:tcW w:w="4788" w:type="dxa"/>
            <w:shd w:val="clear" w:color="auto" w:fill="auto"/>
          </w:tcPr>
          <w:p w14:paraId="5ABEF883"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3.22. Taponar</w:t>
            </w:r>
          </w:p>
        </w:tc>
        <w:tc>
          <w:tcPr>
            <w:tcW w:w="4788" w:type="dxa"/>
            <w:shd w:val="clear" w:color="auto" w:fill="auto"/>
          </w:tcPr>
          <w:p w14:paraId="754AC81A" w14:textId="48986BD5"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3.22. Plug</w:t>
            </w:r>
          </w:p>
        </w:tc>
      </w:tr>
      <w:tr w:rsidR="00DC213D" w:rsidRPr="00CE7512" w14:paraId="66F824C7" w14:textId="50EB7DB0" w:rsidTr="00C377B1">
        <w:tc>
          <w:tcPr>
            <w:tcW w:w="4788" w:type="dxa"/>
            <w:shd w:val="clear" w:color="auto" w:fill="auto"/>
          </w:tcPr>
          <w:p w14:paraId="0F345D9E"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Trabajos necesarios para aislar las formaciones atravesadas durante la perforación, de tal manera que se eviten invasiones de fluidos indeseables o manifestaciones de vapor en la superficie que puedan provocar un incidente. Asimismo, es la operación de sellado de un pozo antes de su abandono formal.</w:t>
            </w:r>
          </w:p>
        </w:tc>
        <w:tc>
          <w:tcPr>
            <w:tcW w:w="4788" w:type="dxa"/>
            <w:shd w:val="clear" w:color="auto" w:fill="auto"/>
          </w:tcPr>
          <w:p w14:paraId="7541B20F" w14:textId="2C615A01"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 xml:space="preserve">Work necessary </w:t>
            </w:r>
            <w:r w:rsidR="004C577A">
              <w:rPr>
                <w:rFonts w:ascii="Verdana" w:hAnsi="Verdana" w:cs="Times New Roman"/>
                <w:sz w:val="16"/>
                <w:szCs w:val="16"/>
                <w:lang w:val="en-US"/>
              </w:rPr>
              <w:t>for insulating</w:t>
            </w:r>
            <w:r w:rsidRPr="004C577A">
              <w:rPr>
                <w:rFonts w:ascii="Verdana" w:hAnsi="Verdana" w:cs="Times New Roman"/>
                <w:sz w:val="16"/>
                <w:szCs w:val="16"/>
                <w:lang w:val="en-US"/>
              </w:rPr>
              <w:t xml:space="preserve"> the formations crossed during drilling, so as to avoid invasions of undesirable fluids or manifestations of vapor on the surface that may cause an incident. It is also the sealing operation of a well before its formal abandonment.</w:t>
            </w:r>
          </w:p>
        </w:tc>
      </w:tr>
      <w:tr w:rsidR="00DC213D" w:rsidRPr="00C377B1" w14:paraId="3903AD2F" w14:textId="7458E394" w:rsidTr="00C377B1">
        <w:tc>
          <w:tcPr>
            <w:tcW w:w="4788" w:type="dxa"/>
            <w:shd w:val="clear" w:color="auto" w:fill="auto"/>
          </w:tcPr>
          <w:p w14:paraId="58A7D0D7"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lastRenderedPageBreak/>
              <w:t>3.23. Tubería de descarga</w:t>
            </w:r>
          </w:p>
        </w:tc>
        <w:tc>
          <w:tcPr>
            <w:tcW w:w="4788" w:type="dxa"/>
            <w:shd w:val="clear" w:color="auto" w:fill="auto"/>
          </w:tcPr>
          <w:p w14:paraId="111FA7F8" w14:textId="7C447E5F"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3.23. Discharge pipe</w:t>
            </w:r>
          </w:p>
        </w:tc>
      </w:tr>
      <w:tr w:rsidR="00DC213D" w:rsidRPr="00CE7512" w14:paraId="730E697A" w14:textId="067B8AAC" w:rsidTr="00C377B1">
        <w:tc>
          <w:tcPr>
            <w:tcW w:w="4788" w:type="dxa"/>
            <w:shd w:val="clear" w:color="auto" w:fill="auto"/>
          </w:tcPr>
          <w:p w14:paraId="5D17BF30"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Tubería metálica por donde fluye la mezcla (agua-vapor) hasta el silenciador centrífugo, permitiendo la medición de vapor.</w:t>
            </w:r>
          </w:p>
        </w:tc>
        <w:tc>
          <w:tcPr>
            <w:tcW w:w="4788" w:type="dxa"/>
            <w:shd w:val="clear" w:color="auto" w:fill="auto"/>
          </w:tcPr>
          <w:p w14:paraId="4C839717" w14:textId="6AB10F00"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Metal pipe through which the mixture (water-steam) flows to the centrifugal silencer, allowing steam measurement.</w:t>
            </w:r>
          </w:p>
        </w:tc>
      </w:tr>
      <w:tr w:rsidR="00DC213D" w:rsidRPr="00C377B1" w14:paraId="6BF214C4" w14:textId="6F482671" w:rsidTr="00C377B1">
        <w:tc>
          <w:tcPr>
            <w:tcW w:w="4788" w:type="dxa"/>
            <w:shd w:val="clear" w:color="auto" w:fill="auto"/>
          </w:tcPr>
          <w:p w14:paraId="0AF173BF"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3.24. Vertedor</w:t>
            </w:r>
          </w:p>
        </w:tc>
        <w:tc>
          <w:tcPr>
            <w:tcW w:w="4788" w:type="dxa"/>
            <w:shd w:val="clear" w:color="auto" w:fill="auto"/>
          </w:tcPr>
          <w:p w14:paraId="3DF7BC21" w14:textId="25996305"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3.24. Chute</w:t>
            </w:r>
          </w:p>
        </w:tc>
      </w:tr>
      <w:tr w:rsidR="00DC213D" w:rsidRPr="00CE7512" w14:paraId="2631E3FB" w14:textId="63F91A39" w:rsidTr="00C377B1">
        <w:tc>
          <w:tcPr>
            <w:tcW w:w="4788" w:type="dxa"/>
            <w:shd w:val="clear" w:color="auto" w:fill="auto"/>
          </w:tcPr>
          <w:p w14:paraId="41138DC0"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Dispositivo metálico donde el silenciador descarga el agua geotérmica separada y permite cuantificar el caudal de la misma.</w:t>
            </w:r>
          </w:p>
        </w:tc>
        <w:tc>
          <w:tcPr>
            <w:tcW w:w="4788" w:type="dxa"/>
            <w:shd w:val="clear" w:color="auto" w:fill="auto"/>
          </w:tcPr>
          <w:p w14:paraId="666FED8C" w14:textId="08787F80"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Metal device where the silencer discharges the separated geothermal water and allows quantifying its flow.</w:t>
            </w:r>
          </w:p>
        </w:tc>
      </w:tr>
      <w:tr w:rsidR="00DC213D" w:rsidRPr="00C377B1" w14:paraId="2556F5D1" w14:textId="6EF902D3" w:rsidTr="00C377B1">
        <w:tc>
          <w:tcPr>
            <w:tcW w:w="4788" w:type="dxa"/>
            <w:shd w:val="clear" w:color="auto" w:fill="auto"/>
          </w:tcPr>
          <w:p w14:paraId="6303D6DE"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3.25. Zona agrícola</w:t>
            </w:r>
          </w:p>
        </w:tc>
        <w:tc>
          <w:tcPr>
            <w:tcW w:w="4788" w:type="dxa"/>
            <w:shd w:val="clear" w:color="auto" w:fill="auto"/>
          </w:tcPr>
          <w:p w14:paraId="61EE593A" w14:textId="11C00C52"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3.25. Agricultural area</w:t>
            </w:r>
          </w:p>
        </w:tc>
      </w:tr>
      <w:tr w:rsidR="00DC213D" w:rsidRPr="00C377B1" w14:paraId="530AC310" w14:textId="0FE1FA96" w:rsidTr="00C377B1">
        <w:tc>
          <w:tcPr>
            <w:tcW w:w="4788" w:type="dxa"/>
            <w:shd w:val="clear" w:color="auto" w:fill="auto"/>
          </w:tcPr>
          <w:p w14:paraId="14210D5F"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Área con uso de suelo definida como agrícola o bien que se utiliza para el cultivo de especies vegetales para consumo humano o de animales domésticos, aunque no se encuentre cultivada en el momento en que se inicien los trabajos de perforación del pozo. Se incluyen superficies de riego y de temporal.</w:t>
            </w:r>
          </w:p>
        </w:tc>
        <w:tc>
          <w:tcPr>
            <w:tcW w:w="4788" w:type="dxa"/>
            <w:shd w:val="clear" w:color="auto" w:fill="auto"/>
          </w:tcPr>
          <w:p w14:paraId="6B571146" w14:textId="2DC69E33"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Area with land use defined as agricultural or that is used for the cultivation of plant species for human consumption or domestic animals, although it is not cultivated at the time when the well drilling works begin. Irrigation and temporary surfaces are included.</w:t>
            </w:r>
          </w:p>
        </w:tc>
      </w:tr>
      <w:tr w:rsidR="00DC213D" w:rsidRPr="00C377B1" w14:paraId="5570F678" w14:textId="063EA0E5" w:rsidTr="00C377B1">
        <w:tc>
          <w:tcPr>
            <w:tcW w:w="4788" w:type="dxa"/>
            <w:shd w:val="clear" w:color="auto" w:fill="auto"/>
          </w:tcPr>
          <w:p w14:paraId="5EEA1693"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3.26. Zona erial</w:t>
            </w:r>
          </w:p>
        </w:tc>
        <w:tc>
          <w:tcPr>
            <w:tcW w:w="4788" w:type="dxa"/>
            <w:shd w:val="clear" w:color="auto" w:fill="auto"/>
          </w:tcPr>
          <w:p w14:paraId="2BAF2B6A" w14:textId="58BF9072"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3.26. Wasteland</w:t>
            </w:r>
          </w:p>
        </w:tc>
      </w:tr>
      <w:tr w:rsidR="00DC213D" w:rsidRPr="00CE7512" w14:paraId="0ECAD4AA" w14:textId="7A213A26" w:rsidTr="00C377B1">
        <w:tc>
          <w:tcPr>
            <w:tcW w:w="4788" w:type="dxa"/>
            <w:shd w:val="clear" w:color="auto" w:fill="auto"/>
          </w:tcPr>
          <w:p w14:paraId="69AC371A"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Área despoblada de flora y fauna original, que ha perdido la mayor parte del suelo fértil y ha dejado de cumplir su función reguladora del régimen hídrico.</w:t>
            </w:r>
          </w:p>
        </w:tc>
        <w:tc>
          <w:tcPr>
            <w:tcW w:w="4788" w:type="dxa"/>
            <w:shd w:val="clear" w:color="auto" w:fill="auto"/>
          </w:tcPr>
          <w:p w14:paraId="67C0D04B" w14:textId="0AA796AE" w:rsidR="00DC213D" w:rsidRPr="004C577A" w:rsidRDefault="004C577A" w:rsidP="00C377B1">
            <w:pPr>
              <w:pStyle w:val="Texto"/>
              <w:spacing w:line="234" w:lineRule="exact"/>
              <w:ind w:firstLine="0"/>
              <w:rPr>
                <w:rFonts w:ascii="Verdana" w:hAnsi="Verdana"/>
                <w:sz w:val="16"/>
                <w:szCs w:val="16"/>
                <w:lang w:val="en-US"/>
              </w:rPr>
            </w:pPr>
            <w:r>
              <w:rPr>
                <w:rFonts w:ascii="Verdana" w:hAnsi="Verdana" w:cs="Times New Roman"/>
                <w:sz w:val="16"/>
                <w:szCs w:val="16"/>
                <w:lang w:val="en-US"/>
              </w:rPr>
              <w:t>Area depopulated</w:t>
            </w:r>
            <w:r w:rsidR="00DC213D" w:rsidRPr="004C577A">
              <w:rPr>
                <w:rFonts w:ascii="Verdana" w:hAnsi="Verdana" w:cs="Times New Roman"/>
                <w:sz w:val="16"/>
                <w:szCs w:val="16"/>
                <w:lang w:val="en-US"/>
              </w:rPr>
              <w:t xml:space="preserve"> of </w:t>
            </w:r>
            <w:r>
              <w:rPr>
                <w:rFonts w:ascii="Verdana" w:hAnsi="Verdana" w:cs="Times New Roman"/>
                <w:sz w:val="16"/>
                <w:szCs w:val="16"/>
                <w:lang w:val="en-US"/>
              </w:rPr>
              <w:t xml:space="preserve">the </w:t>
            </w:r>
            <w:r w:rsidR="00DC213D" w:rsidRPr="004C577A">
              <w:rPr>
                <w:sz w:val="16"/>
                <w:szCs w:val="16"/>
                <w:lang w:val="en-US"/>
              </w:rPr>
              <w:t>​​</w:t>
            </w:r>
            <w:r w:rsidR="00DC213D" w:rsidRPr="004C577A">
              <w:rPr>
                <w:rFonts w:ascii="Verdana" w:hAnsi="Verdana" w:cs="Times New Roman"/>
                <w:sz w:val="16"/>
                <w:szCs w:val="16"/>
                <w:lang w:val="en-US"/>
              </w:rPr>
              <w:t>original flora and fauna, which has lost most of the fertile soil and has ceased to fulfill its regulatory function of the water regime.</w:t>
            </w:r>
          </w:p>
        </w:tc>
      </w:tr>
      <w:tr w:rsidR="00DC213D" w:rsidRPr="00C377B1" w14:paraId="28D14EB5" w14:textId="6B03BD43" w:rsidTr="00C377B1">
        <w:tc>
          <w:tcPr>
            <w:tcW w:w="4788" w:type="dxa"/>
            <w:shd w:val="clear" w:color="auto" w:fill="auto"/>
          </w:tcPr>
          <w:p w14:paraId="164D26AC" w14:textId="77777777" w:rsidR="00DC213D" w:rsidRPr="00C377B1" w:rsidRDefault="00DC213D" w:rsidP="00C377B1">
            <w:pPr>
              <w:pStyle w:val="Texto"/>
              <w:spacing w:line="234" w:lineRule="exact"/>
              <w:ind w:firstLine="0"/>
              <w:rPr>
                <w:rFonts w:ascii="Verdana" w:hAnsi="Verdana"/>
                <w:b/>
                <w:sz w:val="16"/>
                <w:szCs w:val="16"/>
              </w:rPr>
            </w:pPr>
            <w:r w:rsidRPr="00C377B1">
              <w:rPr>
                <w:rFonts w:ascii="Verdana" w:hAnsi="Verdana"/>
                <w:b/>
                <w:sz w:val="16"/>
                <w:szCs w:val="16"/>
              </w:rPr>
              <w:t>3.27. Zona ganadera</w:t>
            </w:r>
          </w:p>
        </w:tc>
        <w:tc>
          <w:tcPr>
            <w:tcW w:w="4788" w:type="dxa"/>
            <w:shd w:val="clear" w:color="auto" w:fill="auto"/>
          </w:tcPr>
          <w:p w14:paraId="0980A263" w14:textId="75EB66F5"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3.27. Livestock area</w:t>
            </w:r>
          </w:p>
        </w:tc>
      </w:tr>
      <w:tr w:rsidR="00DC213D" w:rsidRPr="00CE7512" w14:paraId="2791E52F" w14:textId="26E26AEF" w:rsidTr="00C377B1">
        <w:tc>
          <w:tcPr>
            <w:tcW w:w="4788" w:type="dxa"/>
            <w:shd w:val="clear" w:color="auto" w:fill="auto"/>
          </w:tcPr>
          <w:p w14:paraId="00C52E67"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Área de pastizales inducidos, dedicada a las actividades de producción pecuaria.</w:t>
            </w:r>
          </w:p>
        </w:tc>
        <w:tc>
          <w:tcPr>
            <w:tcW w:w="4788" w:type="dxa"/>
            <w:shd w:val="clear" w:color="auto" w:fill="auto"/>
          </w:tcPr>
          <w:p w14:paraId="572D2ACA" w14:textId="62D9C548" w:rsidR="00DC213D" w:rsidRPr="004C577A" w:rsidRDefault="00DC213D" w:rsidP="00C377B1">
            <w:pPr>
              <w:pStyle w:val="Texto"/>
              <w:spacing w:line="234" w:lineRule="exact"/>
              <w:ind w:firstLine="0"/>
              <w:rPr>
                <w:rFonts w:ascii="Verdana" w:hAnsi="Verdana"/>
                <w:sz w:val="16"/>
                <w:szCs w:val="16"/>
                <w:lang w:val="en-US"/>
              </w:rPr>
            </w:pPr>
            <w:r w:rsidRPr="004C577A">
              <w:rPr>
                <w:rFonts w:ascii="Verdana" w:hAnsi="Verdana" w:cs="Times New Roman"/>
                <w:sz w:val="16"/>
                <w:szCs w:val="16"/>
                <w:lang w:val="en-US"/>
              </w:rPr>
              <w:t>Induced grassland area, dedicated to livestock production activities.</w:t>
            </w:r>
          </w:p>
        </w:tc>
      </w:tr>
      <w:tr w:rsidR="00DC213D" w:rsidRPr="00C377B1" w14:paraId="056FCB40" w14:textId="7ACF6AA9" w:rsidTr="00C377B1">
        <w:tc>
          <w:tcPr>
            <w:tcW w:w="4788" w:type="dxa"/>
            <w:shd w:val="clear" w:color="auto" w:fill="auto"/>
          </w:tcPr>
          <w:p w14:paraId="231205A8" w14:textId="77777777" w:rsidR="00DC213D" w:rsidRPr="00C377B1" w:rsidRDefault="00DC213D" w:rsidP="00C377B1">
            <w:pPr>
              <w:pStyle w:val="Texto"/>
              <w:spacing w:line="234" w:lineRule="exact"/>
              <w:ind w:firstLine="0"/>
              <w:rPr>
                <w:rFonts w:ascii="Verdana" w:hAnsi="Verdana"/>
                <w:b/>
                <w:sz w:val="16"/>
                <w:szCs w:val="16"/>
              </w:rPr>
            </w:pPr>
            <w:r w:rsidRPr="00C377B1">
              <w:rPr>
                <w:rFonts w:ascii="Verdana" w:hAnsi="Verdana"/>
                <w:b/>
                <w:sz w:val="16"/>
                <w:szCs w:val="16"/>
              </w:rPr>
              <w:t>4. Especificaciones</w:t>
            </w:r>
          </w:p>
        </w:tc>
        <w:tc>
          <w:tcPr>
            <w:tcW w:w="4788" w:type="dxa"/>
            <w:shd w:val="clear" w:color="auto" w:fill="auto"/>
          </w:tcPr>
          <w:p w14:paraId="023BC917" w14:textId="577233CC"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4. Specifications</w:t>
            </w:r>
          </w:p>
        </w:tc>
      </w:tr>
      <w:tr w:rsidR="00DC213D" w:rsidRPr="00C377B1" w14:paraId="020CFB64" w14:textId="4A9E15DA" w:rsidTr="00C377B1">
        <w:tc>
          <w:tcPr>
            <w:tcW w:w="4788" w:type="dxa"/>
            <w:shd w:val="clear" w:color="auto" w:fill="auto"/>
          </w:tcPr>
          <w:p w14:paraId="2CD4FD7A"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4.1. Disposiciones generales</w:t>
            </w:r>
          </w:p>
        </w:tc>
        <w:tc>
          <w:tcPr>
            <w:tcW w:w="4788" w:type="dxa"/>
            <w:shd w:val="clear" w:color="auto" w:fill="auto"/>
          </w:tcPr>
          <w:p w14:paraId="2DB92344" w14:textId="7AC05C85"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 xml:space="preserve">4.1. General </w:t>
            </w:r>
            <w:r w:rsidR="004C577A">
              <w:rPr>
                <w:rFonts w:ascii="Verdana" w:hAnsi="Verdana" w:cs="Times New Roman"/>
                <w:b/>
                <w:bCs/>
                <w:sz w:val="16"/>
                <w:szCs w:val="16"/>
                <w:lang w:val="en-US"/>
              </w:rPr>
              <w:t>provisions</w:t>
            </w:r>
          </w:p>
        </w:tc>
      </w:tr>
      <w:tr w:rsidR="00DC213D" w:rsidRPr="00CE7512" w14:paraId="07008316" w14:textId="328AB4BB" w:rsidTr="00C377B1">
        <w:tc>
          <w:tcPr>
            <w:tcW w:w="4788" w:type="dxa"/>
            <w:shd w:val="clear" w:color="auto" w:fill="auto"/>
          </w:tcPr>
          <w:p w14:paraId="4714E0CA"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4.1.1.</w:t>
            </w:r>
            <w:r w:rsidRPr="00C377B1">
              <w:rPr>
                <w:rFonts w:ascii="Verdana" w:hAnsi="Verdana"/>
                <w:sz w:val="16"/>
                <w:szCs w:val="16"/>
              </w:rPr>
              <w:t xml:space="preserve"> En la selección del área geotérmica a desarrollar, se deben respetar las regulaciones sobre el uso del suelo y protección ambiental establecidos por las autoridades federales.</w:t>
            </w:r>
          </w:p>
        </w:tc>
        <w:tc>
          <w:tcPr>
            <w:tcW w:w="4788" w:type="dxa"/>
            <w:shd w:val="clear" w:color="auto" w:fill="auto"/>
          </w:tcPr>
          <w:p w14:paraId="0E443949" w14:textId="707ACDD6"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 xml:space="preserve">4.1.1. </w:t>
            </w:r>
            <w:r w:rsidRPr="004C577A">
              <w:rPr>
                <w:rFonts w:ascii="Verdana" w:hAnsi="Verdana" w:cs="Times New Roman"/>
                <w:sz w:val="16"/>
                <w:szCs w:val="16"/>
                <w:lang w:val="en-US"/>
              </w:rPr>
              <w:t>In the selection of the geothermal area to be developed, the regulations on land use and environmental protection established by federal authorities must be respected.</w:t>
            </w:r>
          </w:p>
        </w:tc>
      </w:tr>
      <w:tr w:rsidR="00DC213D" w:rsidRPr="00CE7512" w14:paraId="6E47DB5B" w14:textId="6A5666B4" w:rsidTr="00C377B1">
        <w:tc>
          <w:tcPr>
            <w:tcW w:w="4788" w:type="dxa"/>
            <w:shd w:val="clear" w:color="auto" w:fill="auto"/>
          </w:tcPr>
          <w:p w14:paraId="39B19FAF"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 xml:space="preserve">4.1.2. </w:t>
            </w:r>
            <w:r w:rsidRPr="00C377B1">
              <w:rPr>
                <w:rFonts w:ascii="Verdana" w:hAnsi="Verdana"/>
                <w:sz w:val="16"/>
                <w:szCs w:val="16"/>
              </w:rPr>
              <w:t>La observación de las disposiciones de esta Norma Oficial Mexicana no exime a los permisionarios del cumplimiento de las obligaciones en materia de aguas nacionales y los demás ordenamientos legales en la materia.</w:t>
            </w:r>
          </w:p>
        </w:tc>
        <w:tc>
          <w:tcPr>
            <w:tcW w:w="4788" w:type="dxa"/>
            <w:shd w:val="clear" w:color="auto" w:fill="auto"/>
          </w:tcPr>
          <w:p w14:paraId="0FAF08A5" w14:textId="32377956" w:rsidR="00DC213D" w:rsidRPr="00C377B1" w:rsidRDefault="00DC213D" w:rsidP="00C377B1">
            <w:pPr>
              <w:pStyle w:val="Texto"/>
              <w:spacing w:line="234" w:lineRule="exact"/>
              <w:ind w:firstLine="0"/>
              <w:rPr>
                <w:rFonts w:ascii="Verdana" w:hAnsi="Verdana"/>
                <w:b/>
                <w:sz w:val="16"/>
                <w:szCs w:val="16"/>
                <w:lang w:val="en-US"/>
              </w:rPr>
            </w:pPr>
            <w:r w:rsidRPr="00C377B1">
              <w:rPr>
                <w:rFonts w:ascii="Verdana" w:hAnsi="Verdana" w:cs="Times New Roman"/>
                <w:b/>
                <w:bCs/>
                <w:sz w:val="16"/>
                <w:szCs w:val="16"/>
                <w:lang w:val="en-US"/>
              </w:rPr>
              <w:t xml:space="preserve">4.1.2. </w:t>
            </w:r>
            <w:r w:rsidRPr="00C377B1">
              <w:rPr>
                <w:rFonts w:ascii="Verdana" w:hAnsi="Verdana" w:cs="Times New Roman"/>
                <w:sz w:val="16"/>
                <w:szCs w:val="16"/>
                <w:lang w:val="en-US"/>
              </w:rPr>
              <w:t>The observance of the provisions of this Official Mexican Standard does not exempt permit holders from complying with national water obligations and other legal regulations in the matter.</w:t>
            </w:r>
          </w:p>
        </w:tc>
      </w:tr>
      <w:tr w:rsidR="00DC213D" w:rsidRPr="00CE7512" w14:paraId="6EC574E2" w14:textId="48EB6214" w:rsidTr="00C377B1">
        <w:tc>
          <w:tcPr>
            <w:tcW w:w="4788" w:type="dxa"/>
            <w:shd w:val="clear" w:color="auto" w:fill="auto"/>
          </w:tcPr>
          <w:p w14:paraId="55B729A5"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4.1.3.</w:t>
            </w:r>
            <w:r w:rsidRPr="00C377B1">
              <w:rPr>
                <w:rFonts w:ascii="Verdana" w:hAnsi="Verdana"/>
                <w:i/>
                <w:sz w:val="16"/>
                <w:szCs w:val="16"/>
              </w:rPr>
              <w:t xml:space="preserve"> </w:t>
            </w:r>
            <w:r w:rsidRPr="00C377B1">
              <w:rPr>
                <w:rFonts w:ascii="Verdana" w:hAnsi="Verdana"/>
                <w:sz w:val="16"/>
                <w:szCs w:val="16"/>
              </w:rPr>
              <w:t>Para efectos de la presente Norma Oficial Mexicana pueden perforarse el número de pozos autorizados por la SENER, en el área geotérmica autorizada al Permisionario.</w:t>
            </w:r>
          </w:p>
        </w:tc>
        <w:tc>
          <w:tcPr>
            <w:tcW w:w="4788" w:type="dxa"/>
            <w:shd w:val="clear" w:color="auto" w:fill="auto"/>
          </w:tcPr>
          <w:p w14:paraId="091E85B1" w14:textId="6E87799E" w:rsidR="00DC213D" w:rsidRPr="00C377B1" w:rsidRDefault="00DC213D" w:rsidP="00C377B1">
            <w:pPr>
              <w:pStyle w:val="Texto"/>
              <w:spacing w:line="234" w:lineRule="exact"/>
              <w:ind w:firstLine="0"/>
              <w:rPr>
                <w:rFonts w:ascii="Verdana" w:hAnsi="Verdana"/>
                <w:b/>
                <w:sz w:val="16"/>
                <w:szCs w:val="16"/>
                <w:lang w:val="en-US"/>
              </w:rPr>
            </w:pPr>
            <w:r w:rsidRPr="00C377B1">
              <w:rPr>
                <w:rFonts w:ascii="Verdana" w:hAnsi="Verdana" w:cs="Times New Roman"/>
                <w:b/>
                <w:bCs/>
                <w:sz w:val="16"/>
                <w:szCs w:val="16"/>
                <w:lang w:val="en-US"/>
              </w:rPr>
              <w:t xml:space="preserve">4.1.3. </w:t>
            </w:r>
            <w:r w:rsidRPr="00C377B1">
              <w:rPr>
                <w:rFonts w:ascii="Verdana" w:hAnsi="Verdana" w:cs="Times New Roman"/>
                <w:sz w:val="16"/>
                <w:szCs w:val="16"/>
                <w:lang w:val="en-US"/>
              </w:rPr>
              <w:t>For the purposes of this Official Mexican Standard, the number of wells authorized by SENER may be drilled in the geothermal area authorized to the Permit</w:t>
            </w:r>
            <w:r w:rsidR="004C577A">
              <w:rPr>
                <w:rFonts w:ascii="Verdana" w:hAnsi="Verdana" w:cs="Times New Roman"/>
                <w:sz w:val="16"/>
                <w:szCs w:val="16"/>
                <w:lang w:val="en-US"/>
              </w:rPr>
              <w:t xml:space="preserve"> holder</w:t>
            </w:r>
            <w:r w:rsidRPr="00C377B1">
              <w:rPr>
                <w:rFonts w:ascii="Verdana" w:hAnsi="Verdana" w:cs="Times New Roman"/>
                <w:sz w:val="16"/>
                <w:szCs w:val="16"/>
                <w:lang w:val="en-US"/>
              </w:rPr>
              <w:t>.</w:t>
            </w:r>
            <w:r w:rsidRPr="00C377B1">
              <w:rPr>
                <w:rFonts w:ascii="Verdana" w:hAnsi="Verdana" w:cs="Times New Roman"/>
                <w:i/>
                <w:iCs/>
                <w:sz w:val="16"/>
                <w:szCs w:val="16"/>
                <w:lang w:val="en-US"/>
              </w:rPr>
              <w:t xml:space="preserve"> </w:t>
            </w:r>
          </w:p>
        </w:tc>
      </w:tr>
      <w:tr w:rsidR="00DC213D" w:rsidRPr="00CE7512" w14:paraId="37F687BE" w14:textId="72FB8468" w:rsidTr="00C377B1">
        <w:tc>
          <w:tcPr>
            <w:tcW w:w="4788" w:type="dxa"/>
            <w:shd w:val="clear" w:color="auto" w:fill="auto"/>
          </w:tcPr>
          <w:p w14:paraId="2821E90E"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4.1.4.</w:t>
            </w:r>
            <w:r w:rsidRPr="00C377B1">
              <w:rPr>
                <w:rFonts w:ascii="Verdana" w:hAnsi="Verdana"/>
                <w:sz w:val="16"/>
                <w:szCs w:val="16"/>
              </w:rPr>
              <w:t xml:space="preserve"> Previo al inicio de cualquier obra o actividad de preparación del sitio y construcción, es necesario contar con el permiso de exploración otorgado por la SENER de conformidad con lo establecido en la Ley de Energía Geotérmica y su Reglamento.</w:t>
            </w:r>
          </w:p>
        </w:tc>
        <w:tc>
          <w:tcPr>
            <w:tcW w:w="4788" w:type="dxa"/>
            <w:shd w:val="clear" w:color="auto" w:fill="auto"/>
          </w:tcPr>
          <w:p w14:paraId="361370F5" w14:textId="5E51A346" w:rsidR="00DC213D" w:rsidRPr="00C377B1" w:rsidRDefault="00DC213D" w:rsidP="00C377B1">
            <w:pPr>
              <w:pStyle w:val="Texto"/>
              <w:spacing w:line="234" w:lineRule="exact"/>
              <w:ind w:firstLine="0"/>
              <w:rPr>
                <w:rFonts w:ascii="Verdana" w:hAnsi="Verdana"/>
                <w:b/>
                <w:sz w:val="16"/>
                <w:szCs w:val="16"/>
                <w:lang w:val="en-US"/>
              </w:rPr>
            </w:pPr>
            <w:r w:rsidRPr="00C377B1">
              <w:rPr>
                <w:rFonts w:ascii="Verdana" w:hAnsi="Verdana" w:cs="Times New Roman"/>
                <w:b/>
                <w:bCs/>
                <w:sz w:val="16"/>
                <w:szCs w:val="16"/>
                <w:lang w:val="en-US"/>
              </w:rPr>
              <w:t xml:space="preserve">4.1.4. </w:t>
            </w:r>
            <w:r w:rsidRPr="00C377B1">
              <w:rPr>
                <w:rFonts w:ascii="Verdana" w:hAnsi="Verdana" w:cs="Times New Roman"/>
                <w:sz w:val="16"/>
                <w:szCs w:val="16"/>
                <w:lang w:val="en-US"/>
              </w:rPr>
              <w:t>Prior to the start of any site preparation or construction work or activity, it is necessary to have the exploration permit granted by SENER in accordance with the provisions of the Geothermal Energy Law and its Regulation.</w:t>
            </w:r>
          </w:p>
        </w:tc>
      </w:tr>
      <w:tr w:rsidR="00DC213D" w:rsidRPr="00C377B1" w14:paraId="44057693" w14:textId="22E1457E" w:rsidTr="00C377B1">
        <w:tc>
          <w:tcPr>
            <w:tcW w:w="4788" w:type="dxa"/>
            <w:shd w:val="clear" w:color="auto" w:fill="auto"/>
          </w:tcPr>
          <w:p w14:paraId="07C24CB5"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4.2. Preparación del sitio y construcción</w:t>
            </w:r>
          </w:p>
        </w:tc>
        <w:tc>
          <w:tcPr>
            <w:tcW w:w="4788" w:type="dxa"/>
            <w:shd w:val="clear" w:color="auto" w:fill="auto"/>
          </w:tcPr>
          <w:p w14:paraId="3733A820" w14:textId="0C3862AE"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4.2. Site preparation and construction</w:t>
            </w:r>
          </w:p>
        </w:tc>
      </w:tr>
      <w:tr w:rsidR="00DC213D" w:rsidRPr="00CE7512" w14:paraId="1C30FA7C" w14:textId="53C593B0" w:rsidTr="00C377B1">
        <w:tc>
          <w:tcPr>
            <w:tcW w:w="4788" w:type="dxa"/>
            <w:shd w:val="clear" w:color="auto" w:fill="auto"/>
          </w:tcPr>
          <w:p w14:paraId="20A2AF6F"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b/>
                <w:sz w:val="16"/>
                <w:szCs w:val="16"/>
              </w:rPr>
              <w:t xml:space="preserve">4.2.1. </w:t>
            </w:r>
            <w:r w:rsidRPr="00C377B1">
              <w:rPr>
                <w:rFonts w:ascii="Verdana" w:hAnsi="Verdana"/>
                <w:sz w:val="16"/>
                <w:szCs w:val="16"/>
              </w:rPr>
              <w:t>Se deben colocar señalamientos restrictivos y preventivos, en los que debe anunciarse como mínimo lo siguiente:</w:t>
            </w:r>
          </w:p>
        </w:tc>
        <w:tc>
          <w:tcPr>
            <w:tcW w:w="4788" w:type="dxa"/>
            <w:shd w:val="clear" w:color="auto" w:fill="auto"/>
          </w:tcPr>
          <w:p w14:paraId="5DBFAC64" w14:textId="6A2E68A0" w:rsidR="00DC213D" w:rsidRPr="004C577A" w:rsidRDefault="00DC213D" w:rsidP="00C377B1">
            <w:pPr>
              <w:pStyle w:val="Texto"/>
              <w:spacing w:line="234" w:lineRule="exact"/>
              <w:ind w:firstLine="0"/>
              <w:rPr>
                <w:rFonts w:ascii="Verdana" w:hAnsi="Verdana"/>
                <w:b/>
                <w:sz w:val="16"/>
                <w:szCs w:val="16"/>
                <w:lang w:val="en-US"/>
              </w:rPr>
            </w:pPr>
            <w:r w:rsidRPr="004C577A">
              <w:rPr>
                <w:rFonts w:ascii="Verdana" w:hAnsi="Verdana" w:cs="Times New Roman"/>
                <w:b/>
                <w:bCs/>
                <w:sz w:val="16"/>
                <w:szCs w:val="16"/>
                <w:lang w:val="en-US"/>
              </w:rPr>
              <w:t xml:space="preserve">4.2.1. </w:t>
            </w:r>
            <w:r w:rsidRPr="004C577A">
              <w:rPr>
                <w:rFonts w:ascii="Verdana" w:hAnsi="Verdana" w:cs="Times New Roman"/>
                <w:sz w:val="16"/>
                <w:szCs w:val="16"/>
                <w:lang w:val="en-US"/>
              </w:rPr>
              <w:t>Restrictive and preventive signs should be placed, in which at least the following must be announced:</w:t>
            </w:r>
          </w:p>
        </w:tc>
      </w:tr>
      <w:tr w:rsidR="00DC213D" w:rsidRPr="00CE7512" w14:paraId="6EF74D06" w14:textId="1D454FEC" w:rsidTr="00C377B1">
        <w:tc>
          <w:tcPr>
            <w:tcW w:w="4788" w:type="dxa"/>
            <w:shd w:val="clear" w:color="auto" w:fill="auto"/>
          </w:tcPr>
          <w:p w14:paraId="1E0633A0"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lastRenderedPageBreak/>
              <w:t>‒</w:t>
            </w:r>
            <w:r w:rsidRPr="00C377B1">
              <w:rPr>
                <w:rFonts w:ascii="Verdana" w:hAnsi="Verdana"/>
                <w:sz w:val="16"/>
                <w:szCs w:val="16"/>
              </w:rPr>
              <w:tab/>
              <w:t>Nombre del Área geotérmica</w:t>
            </w:r>
          </w:p>
        </w:tc>
        <w:tc>
          <w:tcPr>
            <w:tcW w:w="4788" w:type="dxa"/>
            <w:shd w:val="clear" w:color="auto" w:fill="auto"/>
          </w:tcPr>
          <w:p w14:paraId="0717D12D" w14:textId="1170C3E7"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lang w:val="en-US"/>
              </w:rPr>
              <w:t xml:space="preserve">- Name of the geothermal area              </w:t>
            </w:r>
          </w:p>
        </w:tc>
      </w:tr>
      <w:tr w:rsidR="00DC213D" w:rsidRPr="00CE7512" w14:paraId="26536425" w14:textId="37C066EB" w:rsidTr="00C377B1">
        <w:tc>
          <w:tcPr>
            <w:tcW w:w="4788" w:type="dxa"/>
            <w:shd w:val="clear" w:color="auto" w:fill="auto"/>
          </w:tcPr>
          <w:p w14:paraId="2052DF76"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Número o clave del pozo exploratorio geotérmico</w:t>
            </w:r>
          </w:p>
        </w:tc>
        <w:tc>
          <w:tcPr>
            <w:tcW w:w="4788" w:type="dxa"/>
            <w:shd w:val="clear" w:color="auto" w:fill="auto"/>
          </w:tcPr>
          <w:p w14:paraId="6B39085B" w14:textId="2E183F79"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lang w:val="en-US"/>
              </w:rPr>
              <w:t xml:space="preserve">- Number or code of the geothermal exploratory well              </w:t>
            </w:r>
          </w:p>
        </w:tc>
      </w:tr>
      <w:tr w:rsidR="00DC213D" w:rsidRPr="00CE7512" w14:paraId="6F6278B7" w14:textId="060273BD" w:rsidTr="00C377B1">
        <w:tc>
          <w:tcPr>
            <w:tcW w:w="4788" w:type="dxa"/>
            <w:shd w:val="clear" w:color="auto" w:fill="auto"/>
          </w:tcPr>
          <w:p w14:paraId="6835B4B5"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Localización (coordenadas UTM, las cuales deberán encontrarse referenciadas a la Red Geodésica Nacional operada por el INEGI.)</w:t>
            </w:r>
          </w:p>
        </w:tc>
        <w:tc>
          <w:tcPr>
            <w:tcW w:w="4788" w:type="dxa"/>
            <w:shd w:val="clear" w:color="auto" w:fill="auto"/>
          </w:tcPr>
          <w:p w14:paraId="271EC3B2" w14:textId="7347D487"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lang w:val="en-US"/>
              </w:rPr>
              <w:t xml:space="preserve">- Location (UTM coordinates, which should be referenced to the National Geodetic Network operated by INEGI.)              </w:t>
            </w:r>
          </w:p>
        </w:tc>
      </w:tr>
      <w:tr w:rsidR="00DC213D" w:rsidRPr="00C377B1" w14:paraId="2522FDA4" w14:textId="624659AE" w:rsidTr="00C377B1">
        <w:tc>
          <w:tcPr>
            <w:tcW w:w="4788" w:type="dxa"/>
            <w:shd w:val="clear" w:color="auto" w:fill="auto"/>
          </w:tcPr>
          <w:p w14:paraId="2FBDF313"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Zonas de riesgo volcánico</w:t>
            </w:r>
          </w:p>
        </w:tc>
        <w:tc>
          <w:tcPr>
            <w:tcW w:w="4788" w:type="dxa"/>
            <w:shd w:val="clear" w:color="auto" w:fill="auto"/>
          </w:tcPr>
          <w:p w14:paraId="3FEB5622" w14:textId="25B13B80"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rPr>
              <w:t xml:space="preserve">- </w:t>
            </w:r>
            <w:proofErr w:type="spellStart"/>
            <w:r w:rsidRPr="00C377B1">
              <w:rPr>
                <w:rFonts w:ascii="Verdana" w:hAnsi="Verdana" w:cs="Times New Roman"/>
                <w:sz w:val="16"/>
                <w:szCs w:val="16"/>
              </w:rPr>
              <w:t>Volcanic</w:t>
            </w:r>
            <w:proofErr w:type="spellEnd"/>
            <w:r w:rsidRPr="00C377B1">
              <w:rPr>
                <w:rFonts w:ascii="Verdana" w:hAnsi="Verdana" w:cs="Times New Roman"/>
                <w:sz w:val="16"/>
                <w:szCs w:val="16"/>
              </w:rPr>
              <w:t xml:space="preserve"> </w:t>
            </w:r>
            <w:proofErr w:type="spellStart"/>
            <w:r w:rsidRPr="00C377B1">
              <w:rPr>
                <w:rFonts w:ascii="Verdana" w:hAnsi="Verdana" w:cs="Times New Roman"/>
                <w:sz w:val="16"/>
                <w:szCs w:val="16"/>
              </w:rPr>
              <w:t>risk</w:t>
            </w:r>
            <w:proofErr w:type="spellEnd"/>
            <w:r w:rsidRPr="00C377B1">
              <w:rPr>
                <w:rFonts w:ascii="Verdana" w:hAnsi="Verdana" w:cs="Times New Roman"/>
                <w:sz w:val="16"/>
                <w:szCs w:val="16"/>
              </w:rPr>
              <w:t xml:space="preserve"> </w:t>
            </w:r>
            <w:proofErr w:type="spellStart"/>
            <w:r w:rsidRPr="00C377B1">
              <w:rPr>
                <w:rFonts w:ascii="Verdana" w:hAnsi="Verdana" w:cs="Times New Roman"/>
                <w:sz w:val="16"/>
                <w:szCs w:val="16"/>
              </w:rPr>
              <w:t>areas</w:t>
            </w:r>
            <w:proofErr w:type="spellEnd"/>
            <w:r w:rsidRPr="00C377B1">
              <w:rPr>
                <w:rFonts w:ascii="Verdana" w:hAnsi="Verdana" w:cs="Times New Roman"/>
                <w:sz w:val="16"/>
                <w:szCs w:val="16"/>
              </w:rPr>
              <w:t xml:space="preserve">              </w:t>
            </w:r>
          </w:p>
        </w:tc>
      </w:tr>
      <w:tr w:rsidR="00DC213D" w:rsidRPr="00CE7512" w14:paraId="41BB6B5E" w14:textId="42541BBC" w:rsidTr="00C377B1">
        <w:tc>
          <w:tcPr>
            <w:tcW w:w="4788" w:type="dxa"/>
            <w:shd w:val="clear" w:color="auto" w:fill="auto"/>
          </w:tcPr>
          <w:p w14:paraId="4A6938F8"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Zonas de posibles deslaves en torno a las instalaciones</w:t>
            </w:r>
          </w:p>
        </w:tc>
        <w:tc>
          <w:tcPr>
            <w:tcW w:w="4788" w:type="dxa"/>
            <w:shd w:val="clear" w:color="auto" w:fill="auto"/>
          </w:tcPr>
          <w:p w14:paraId="2FB8DCC8" w14:textId="1B446C1A"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lang w:val="en-US"/>
              </w:rPr>
              <w:t xml:space="preserve">- Areas of possible landslides around the facilities              </w:t>
            </w:r>
          </w:p>
        </w:tc>
      </w:tr>
      <w:tr w:rsidR="00DC213D" w:rsidRPr="00CE7512" w14:paraId="43C96401" w14:textId="61FAA432" w:rsidTr="00C377B1">
        <w:tc>
          <w:tcPr>
            <w:tcW w:w="4788" w:type="dxa"/>
            <w:shd w:val="clear" w:color="auto" w:fill="auto"/>
          </w:tcPr>
          <w:p w14:paraId="4E12D6DB" w14:textId="77777777" w:rsidR="00DC213D" w:rsidRPr="00C377B1" w:rsidRDefault="00DC213D" w:rsidP="00C377B1">
            <w:pPr>
              <w:pStyle w:val="ROMANOS"/>
              <w:spacing w:line="234"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Zonas de protección que delimitan el desarrollo de las actividades exploratorias</w:t>
            </w:r>
          </w:p>
        </w:tc>
        <w:tc>
          <w:tcPr>
            <w:tcW w:w="4788" w:type="dxa"/>
            <w:shd w:val="clear" w:color="auto" w:fill="auto"/>
          </w:tcPr>
          <w:p w14:paraId="6779ED33" w14:textId="2AF3E9AE" w:rsidR="00DC213D" w:rsidRPr="00C377B1" w:rsidRDefault="00DC213D" w:rsidP="00C377B1">
            <w:pPr>
              <w:pStyle w:val="ROMANOS"/>
              <w:spacing w:line="234" w:lineRule="exact"/>
              <w:ind w:left="0" w:firstLine="0"/>
              <w:rPr>
                <w:rFonts w:ascii="Verdana" w:hAnsi="Verdana"/>
                <w:sz w:val="16"/>
                <w:szCs w:val="16"/>
                <w:lang w:val="en-US"/>
              </w:rPr>
            </w:pPr>
            <w:r w:rsidRPr="00C377B1">
              <w:rPr>
                <w:rFonts w:ascii="Verdana" w:hAnsi="Verdana" w:cs="Times New Roman"/>
                <w:sz w:val="16"/>
                <w:szCs w:val="16"/>
                <w:lang w:val="en-US"/>
              </w:rPr>
              <w:t xml:space="preserve">- Protection zones that delimit the development of exploratory activities              </w:t>
            </w:r>
          </w:p>
        </w:tc>
      </w:tr>
      <w:tr w:rsidR="00DC213D" w:rsidRPr="00CE7512" w14:paraId="5F14D3D5" w14:textId="4B8DB1F7" w:rsidTr="00C377B1">
        <w:tc>
          <w:tcPr>
            <w:tcW w:w="4788" w:type="dxa"/>
            <w:shd w:val="clear" w:color="auto" w:fill="auto"/>
          </w:tcPr>
          <w:p w14:paraId="200E490A" w14:textId="77777777" w:rsidR="00DC213D" w:rsidRPr="00C377B1" w:rsidRDefault="00DC213D" w:rsidP="00C377B1">
            <w:pPr>
              <w:pStyle w:val="Texto"/>
              <w:spacing w:line="234" w:lineRule="exact"/>
              <w:ind w:firstLine="0"/>
              <w:rPr>
                <w:rFonts w:ascii="Verdana" w:hAnsi="Verdana"/>
                <w:sz w:val="16"/>
                <w:szCs w:val="16"/>
              </w:rPr>
            </w:pPr>
            <w:r w:rsidRPr="00C377B1">
              <w:rPr>
                <w:rFonts w:ascii="Verdana" w:hAnsi="Verdana"/>
                <w:sz w:val="16"/>
                <w:szCs w:val="16"/>
              </w:rPr>
              <w:t>Los señalamientos deben tener un tamaño de 1m x 1m y colocarse en lugares visibles.</w:t>
            </w:r>
          </w:p>
        </w:tc>
        <w:tc>
          <w:tcPr>
            <w:tcW w:w="4788" w:type="dxa"/>
            <w:shd w:val="clear" w:color="auto" w:fill="auto"/>
          </w:tcPr>
          <w:p w14:paraId="15F134EA" w14:textId="6A586F95" w:rsidR="00DC213D" w:rsidRPr="00C377B1" w:rsidRDefault="00DC213D" w:rsidP="00C377B1">
            <w:pPr>
              <w:pStyle w:val="Texto"/>
              <w:spacing w:line="234" w:lineRule="exact"/>
              <w:ind w:firstLine="0"/>
              <w:rPr>
                <w:rFonts w:ascii="Verdana" w:hAnsi="Verdana"/>
                <w:sz w:val="16"/>
                <w:szCs w:val="16"/>
                <w:lang w:val="en-US"/>
              </w:rPr>
            </w:pPr>
            <w:r w:rsidRPr="00C377B1">
              <w:rPr>
                <w:rFonts w:ascii="Verdana" w:hAnsi="Verdana" w:cs="Times New Roman"/>
                <w:sz w:val="16"/>
                <w:szCs w:val="16"/>
                <w:lang w:val="en-US"/>
              </w:rPr>
              <w:t>Signs should be 1m x 1m in size and placed in visible places.</w:t>
            </w:r>
          </w:p>
        </w:tc>
      </w:tr>
      <w:tr w:rsidR="00DC213D" w:rsidRPr="00CE7512" w14:paraId="13AED268" w14:textId="6187A2DD" w:rsidTr="00C377B1">
        <w:tc>
          <w:tcPr>
            <w:tcW w:w="4788" w:type="dxa"/>
            <w:shd w:val="clear" w:color="auto" w:fill="auto"/>
          </w:tcPr>
          <w:p w14:paraId="3D0F6BFE"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4.2.2. </w:t>
            </w:r>
            <w:r w:rsidRPr="00C377B1">
              <w:rPr>
                <w:rFonts w:ascii="Verdana" w:hAnsi="Verdana"/>
                <w:sz w:val="16"/>
                <w:szCs w:val="16"/>
              </w:rPr>
              <w:t>En la perforación del pozo</w:t>
            </w:r>
            <w:r w:rsidRPr="00C377B1">
              <w:rPr>
                <w:rFonts w:ascii="Verdana" w:hAnsi="Verdana"/>
                <w:b/>
                <w:sz w:val="16"/>
                <w:szCs w:val="16"/>
              </w:rPr>
              <w:t xml:space="preserve"> </w:t>
            </w:r>
            <w:r w:rsidRPr="00C377B1">
              <w:rPr>
                <w:rFonts w:ascii="Verdana" w:hAnsi="Verdana"/>
                <w:sz w:val="16"/>
                <w:szCs w:val="16"/>
              </w:rPr>
              <w:t>se deben tomar las medidas preventivas a fin de no afectar el acuífero y las condiciones hidrológicas de la región. Para ello se debe revestir el pozo con tuberías cementadas de acuerdo con los diámetros y las profundidades que resulten del diseño previo a su perforación.</w:t>
            </w:r>
          </w:p>
        </w:tc>
        <w:tc>
          <w:tcPr>
            <w:tcW w:w="4788" w:type="dxa"/>
            <w:shd w:val="clear" w:color="auto" w:fill="auto"/>
          </w:tcPr>
          <w:p w14:paraId="2B7FD86B" w14:textId="764C0835"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4.2.2. </w:t>
            </w:r>
            <w:r w:rsidRPr="00C377B1">
              <w:rPr>
                <w:rFonts w:ascii="Verdana" w:hAnsi="Verdana" w:cs="Times New Roman"/>
                <w:sz w:val="16"/>
                <w:szCs w:val="16"/>
                <w:lang w:val="en-US"/>
              </w:rPr>
              <w:t xml:space="preserve">In </w:t>
            </w:r>
            <w:r w:rsidR="004C577A">
              <w:rPr>
                <w:rFonts w:ascii="Verdana" w:hAnsi="Verdana" w:cs="Times New Roman"/>
                <w:sz w:val="16"/>
                <w:szCs w:val="16"/>
                <w:lang w:val="en-US"/>
              </w:rPr>
              <w:t xml:space="preserve">the </w:t>
            </w:r>
            <w:r w:rsidRPr="00C377B1">
              <w:rPr>
                <w:rFonts w:ascii="Verdana" w:hAnsi="Verdana" w:cs="Times New Roman"/>
                <w:sz w:val="16"/>
                <w:szCs w:val="16"/>
                <w:lang w:val="en-US"/>
              </w:rPr>
              <w:t>drilling</w:t>
            </w:r>
            <w:r w:rsidR="004C577A">
              <w:rPr>
                <w:rFonts w:ascii="Verdana" w:hAnsi="Verdana" w:cs="Times New Roman"/>
                <w:sz w:val="16"/>
                <w:szCs w:val="16"/>
                <w:lang w:val="en-US"/>
              </w:rPr>
              <w:t xml:space="preserve"> of</w:t>
            </w:r>
            <w:r w:rsidRPr="00C377B1">
              <w:rPr>
                <w:rFonts w:ascii="Verdana" w:hAnsi="Verdana" w:cs="Times New Roman"/>
                <w:sz w:val="16"/>
                <w:szCs w:val="16"/>
                <w:lang w:val="en-US"/>
              </w:rPr>
              <w:t xml:space="preserve"> the well, preventive measures should be taken so as not to affect the aquifer and the hydrological conditions of the region. For this, the well must be coated with cemented pipes in accordance with the diameters and depths that result from the design prior to drilling.</w:t>
            </w:r>
            <w:r w:rsidRPr="00C377B1">
              <w:rPr>
                <w:rFonts w:ascii="Verdana" w:hAnsi="Verdana" w:cs="Times New Roman"/>
                <w:b/>
                <w:bCs/>
                <w:sz w:val="16"/>
                <w:szCs w:val="16"/>
                <w:lang w:val="en-US"/>
              </w:rPr>
              <w:t xml:space="preserve"> </w:t>
            </w:r>
          </w:p>
        </w:tc>
      </w:tr>
      <w:tr w:rsidR="00DC213D" w:rsidRPr="00CE7512" w14:paraId="5C492816" w14:textId="629E5C6F" w:rsidTr="00C377B1">
        <w:tc>
          <w:tcPr>
            <w:tcW w:w="4788" w:type="dxa"/>
            <w:shd w:val="clear" w:color="auto" w:fill="auto"/>
          </w:tcPr>
          <w:p w14:paraId="34CA9F2C"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4.2.3. </w:t>
            </w:r>
            <w:r w:rsidRPr="00C377B1">
              <w:rPr>
                <w:rFonts w:ascii="Verdana" w:hAnsi="Verdana"/>
                <w:sz w:val="16"/>
                <w:szCs w:val="16"/>
              </w:rPr>
              <w:t>Las dimensiones mínimas para la construcción de la plataforma de perforación, deben estar determinadas por el tamaño del equipo de perforación a utilizar y por la topografía de la zona seleccionada a perforar. Cuando por las características del terreno sea necesario efectuar rellenos, éstos se deben compactar para evitar arrastres de material. El área de la plataforma no debe exceder de 80 m de ancho x 100 m de largo, más el área de la presa de lodos que no debe exceder de 625 m</w:t>
            </w:r>
            <w:r w:rsidRPr="00C377B1">
              <w:rPr>
                <w:rFonts w:ascii="Verdana" w:hAnsi="Verdana"/>
                <w:sz w:val="16"/>
                <w:szCs w:val="16"/>
                <w:vertAlign w:val="superscript"/>
              </w:rPr>
              <w:t>2</w:t>
            </w:r>
            <w:r w:rsidRPr="00C377B1">
              <w:rPr>
                <w:rFonts w:ascii="Verdana" w:hAnsi="Verdana"/>
                <w:sz w:val="16"/>
                <w:szCs w:val="16"/>
              </w:rPr>
              <w:t>.</w:t>
            </w:r>
          </w:p>
        </w:tc>
        <w:tc>
          <w:tcPr>
            <w:tcW w:w="4788" w:type="dxa"/>
            <w:shd w:val="clear" w:color="auto" w:fill="auto"/>
          </w:tcPr>
          <w:p w14:paraId="704CE6D0" w14:textId="59DD45BE"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4.2.3. </w:t>
            </w:r>
            <w:r w:rsidRPr="00C377B1">
              <w:rPr>
                <w:rFonts w:ascii="Verdana" w:hAnsi="Verdana" w:cs="Times New Roman"/>
                <w:sz w:val="16"/>
                <w:szCs w:val="16"/>
                <w:lang w:val="en-US"/>
              </w:rPr>
              <w:t xml:space="preserve">The minimum dimensions for the construction of the drilling platform must be determined by the size of the drilling equipment to be used and by the topography of the selected area to be drilled. When due to the characteristics of the land it is necessary to fill </w:t>
            </w:r>
            <w:r w:rsidR="008F7C01">
              <w:rPr>
                <w:rFonts w:ascii="Verdana" w:hAnsi="Verdana" w:cs="Times New Roman"/>
                <w:sz w:val="16"/>
                <w:szCs w:val="16"/>
                <w:lang w:val="en-US"/>
              </w:rPr>
              <w:t>areas</w:t>
            </w:r>
            <w:r w:rsidRPr="00C377B1">
              <w:rPr>
                <w:rFonts w:ascii="Verdana" w:hAnsi="Verdana" w:cs="Times New Roman"/>
                <w:sz w:val="16"/>
                <w:szCs w:val="16"/>
                <w:lang w:val="en-US"/>
              </w:rPr>
              <w:t>, they must be compacted to avoid material dragging. The platform area must not exceed 80 m wid</w:t>
            </w:r>
            <w:r w:rsidR="008F7C01">
              <w:rPr>
                <w:rFonts w:ascii="Verdana" w:hAnsi="Verdana" w:cs="Times New Roman"/>
                <w:sz w:val="16"/>
                <w:szCs w:val="16"/>
                <w:lang w:val="en-US"/>
              </w:rPr>
              <w:t>th</w:t>
            </w:r>
            <w:r w:rsidRPr="00C377B1">
              <w:rPr>
                <w:rFonts w:ascii="Verdana" w:hAnsi="Verdana" w:cs="Times New Roman"/>
                <w:sz w:val="16"/>
                <w:szCs w:val="16"/>
                <w:lang w:val="en-US"/>
              </w:rPr>
              <w:t xml:space="preserve"> x 100 m l</w:t>
            </w:r>
            <w:r w:rsidR="008F7C01">
              <w:rPr>
                <w:rFonts w:ascii="Verdana" w:hAnsi="Verdana" w:cs="Times New Roman"/>
                <w:sz w:val="16"/>
                <w:szCs w:val="16"/>
                <w:lang w:val="en-US"/>
              </w:rPr>
              <w:t>ength</w:t>
            </w:r>
            <w:r w:rsidRPr="00C377B1">
              <w:rPr>
                <w:rFonts w:ascii="Verdana" w:hAnsi="Verdana" w:cs="Times New Roman"/>
                <w:sz w:val="16"/>
                <w:szCs w:val="16"/>
                <w:lang w:val="en-US"/>
              </w:rPr>
              <w:t xml:space="preserve">, plus the area of </w:t>
            </w:r>
            <w:r w:rsidRPr="00C377B1">
              <w:rPr>
                <w:sz w:val="16"/>
                <w:szCs w:val="16"/>
                <w:lang w:val="en-US"/>
              </w:rPr>
              <w:t>​​</w:t>
            </w:r>
            <w:r w:rsidRPr="00C377B1">
              <w:rPr>
                <w:rFonts w:ascii="Verdana" w:hAnsi="Verdana" w:cs="Times New Roman"/>
                <w:sz w:val="16"/>
                <w:szCs w:val="16"/>
                <w:lang w:val="en-US"/>
              </w:rPr>
              <w:t>the sludge dam that must not exceed 625 m</w:t>
            </w:r>
            <w:r w:rsidRPr="008F7C01">
              <w:rPr>
                <w:rFonts w:ascii="Verdana" w:hAnsi="Verdana" w:cs="Times New Roman"/>
                <w:sz w:val="15"/>
                <w:szCs w:val="15"/>
                <w:vertAlign w:val="superscript"/>
                <w:lang w:val="en-US"/>
              </w:rPr>
              <w:t xml:space="preserve">2 </w:t>
            </w:r>
            <w:r w:rsidRPr="00C377B1">
              <w:rPr>
                <w:rFonts w:ascii="Verdana" w:hAnsi="Verdana" w:cs="Times New Roman"/>
                <w:sz w:val="16"/>
                <w:szCs w:val="16"/>
                <w:lang w:val="en-US"/>
              </w:rPr>
              <w:t>.</w:t>
            </w:r>
          </w:p>
        </w:tc>
      </w:tr>
      <w:tr w:rsidR="00DC213D" w:rsidRPr="00CE7512" w14:paraId="24F97C22" w14:textId="513FA742" w:rsidTr="00C377B1">
        <w:tc>
          <w:tcPr>
            <w:tcW w:w="4788" w:type="dxa"/>
            <w:shd w:val="clear" w:color="auto" w:fill="auto"/>
          </w:tcPr>
          <w:p w14:paraId="7D93AA4E"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4.2.4. </w:t>
            </w:r>
            <w:r w:rsidRPr="00C377B1">
              <w:rPr>
                <w:rFonts w:ascii="Verdana" w:hAnsi="Verdana"/>
                <w:sz w:val="16"/>
                <w:szCs w:val="16"/>
              </w:rPr>
              <w:t>En la preparación del sitio se deberán respetar las corrientes superficiales y en su caso se deberán realizar las obras necesarias para que el agua retome su cauce.</w:t>
            </w:r>
          </w:p>
        </w:tc>
        <w:tc>
          <w:tcPr>
            <w:tcW w:w="4788" w:type="dxa"/>
            <w:shd w:val="clear" w:color="auto" w:fill="auto"/>
          </w:tcPr>
          <w:p w14:paraId="120065D2" w14:textId="640B6A5B"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4.2.4. </w:t>
            </w:r>
            <w:r w:rsidRPr="00C377B1">
              <w:rPr>
                <w:rFonts w:ascii="Verdana" w:hAnsi="Verdana" w:cs="Times New Roman"/>
                <w:sz w:val="16"/>
                <w:szCs w:val="16"/>
                <w:lang w:val="en-US"/>
              </w:rPr>
              <w:t xml:space="preserve">In the preparation of the site, surface currents </w:t>
            </w:r>
            <w:r w:rsidR="008F7C01">
              <w:rPr>
                <w:rFonts w:ascii="Verdana" w:hAnsi="Verdana" w:cs="Times New Roman"/>
                <w:sz w:val="16"/>
                <w:szCs w:val="16"/>
                <w:lang w:val="en-US"/>
              </w:rPr>
              <w:t xml:space="preserve"> of water </w:t>
            </w:r>
            <w:r w:rsidRPr="00C377B1">
              <w:rPr>
                <w:rFonts w:ascii="Verdana" w:hAnsi="Verdana" w:cs="Times New Roman"/>
                <w:sz w:val="16"/>
                <w:szCs w:val="16"/>
                <w:lang w:val="en-US"/>
              </w:rPr>
              <w:t>must be respected and, where appropriate, the works necessary for the water to resume its course.</w:t>
            </w:r>
          </w:p>
        </w:tc>
      </w:tr>
      <w:tr w:rsidR="00DC213D" w:rsidRPr="00CE7512" w14:paraId="516D2F1A" w14:textId="344EF0C6" w:rsidTr="00C377B1">
        <w:tc>
          <w:tcPr>
            <w:tcW w:w="4788" w:type="dxa"/>
            <w:shd w:val="clear" w:color="auto" w:fill="auto"/>
          </w:tcPr>
          <w:p w14:paraId="121BD954"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4.2.5. </w:t>
            </w:r>
            <w:r w:rsidRPr="00C377B1">
              <w:rPr>
                <w:rFonts w:ascii="Verdana" w:hAnsi="Verdana"/>
                <w:sz w:val="16"/>
                <w:szCs w:val="16"/>
              </w:rPr>
              <w:t>El material generado por los trabajos de nivelación del terreno y excavación se debe utilizar en la construcción de la plataforma, para evitar la creación de barreras físicas que impidan el libre desplazamiento de la fauna a los sitios aledaños a éste, y/o bordos que modifiquen la topografía e hidrodinámica de terrenos inundables, así como el arrastre de sedimentos a los cuerpos de agua cercanos a la zona del proyecto.</w:t>
            </w:r>
          </w:p>
        </w:tc>
        <w:tc>
          <w:tcPr>
            <w:tcW w:w="4788" w:type="dxa"/>
            <w:shd w:val="clear" w:color="auto" w:fill="auto"/>
          </w:tcPr>
          <w:p w14:paraId="53779A58" w14:textId="7FFF4512"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4.2.5. </w:t>
            </w:r>
            <w:r w:rsidRPr="00C377B1">
              <w:rPr>
                <w:rFonts w:ascii="Verdana" w:hAnsi="Verdana" w:cs="Times New Roman"/>
                <w:sz w:val="16"/>
                <w:szCs w:val="16"/>
                <w:lang w:val="en-US"/>
              </w:rPr>
              <w:t xml:space="preserve">The material generated by the leveling and excavation works must be used in the construction of the platform, to avoid the creation of physical barriers that prevent the free movement of the fauna to the sites adjacent to it, </w:t>
            </w:r>
            <w:r w:rsidR="008F7C01">
              <w:rPr>
                <w:rFonts w:ascii="Verdana" w:hAnsi="Verdana" w:cs="Times New Roman"/>
                <w:sz w:val="16"/>
                <w:szCs w:val="16"/>
                <w:lang w:val="en-US"/>
              </w:rPr>
              <w:t>and/or</w:t>
            </w:r>
            <w:r w:rsidRPr="00C377B1">
              <w:rPr>
                <w:rFonts w:ascii="Verdana" w:hAnsi="Verdana" w:cs="Times New Roman"/>
                <w:sz w:val="16"/>
                <w:szCs w:val="16"/>
                <w:lang w:val="en-US"/>
              </w:rPr>
              <w:t xml:space="preserve"> bo</w:t>
            </w:r>
            <w:r w:rsidR="008F7C01">
              <w:rPr>
                <w:rFonts w:ascii="Verdana" w:hAnsi="Verdana" w:cs="Times New Roman"/>
                <w:sz w:val="16"/>
                <w:szCs w:val="16"/>
                <w:lang w:val="en-US"/>
              </w:rPr>
              <w:t>rders</w:t>
            </w:r>
            <w:r w:rsidRPr="00C377B1">
              <w:rPr>
                <w:rFonts w:ascii="Verdana" w:hAnsi="Verdana" w:cs="Times New Roman"/>
                <w:sz w:val="16"/>
                <w:szCs w:val="16"/>
                <w:lang w:val="en-US"/>
              </w:rPr>
              <w:t xml:space="preserve"> that modify the topography and hydrodynamics of floodplains, as well as the dragging of sediments to the bodies of water near the project area.</w:t>
            </w:r>
          </w:p>
        </w:tc>
      </w:tr>
      <w:tr w:rsidR="00DC213D" w:rsidRPr="00CE7512" w14:paraId="070856CD" w14:textId="2E690793" w:rsidTr="00C377B1">
        <w:tc>
          <w:tcPr>
            <w:tcW w:w="4788" w:type="dxa"/>
            <w:shd w:val="clear" w:color="auto" w:fill="auto"/>
          </w:tcPr>
          <w:p w14:paraId="64B4CC23"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4.2.6. </w:t>
            </w:r>
            <w:r w:rsidRPr="00C377B1">
              <w:rPr>
                <w:rFonts w:ascii="Verdana" w:hAnsi="Verdana"/>
                <w:sz w:val="16"/>
                <w:szCs w:val="16"/>
              </w:rPr>
              <w:t xml:space="preserve">Se deben compactar e impermeabilizar las áreas donde se instalarán los equipos de perforación, presas de lodos y tanques de almacenamiento, para evitar que se infiltren contaminantes que pudieran verterse sobre el suelo. La impermeabilización debe realizarse por medio de una lona plastificada impermeable, con resistencia de la trama a la ruptura de 30 </w:t>
            </w:r>
            <w:proofErr w:type="spellStart"/>
            <w:r w:rsidRPr="00C377B1">
              <w:rPr>
                <w:rFonts w:ascii="Verdana" w:hAnsi="Verdana"/>
                <w:sz w:val="16"/>
                <w:szCs w:val="16"/>
              </w:rPr>
              <w:t>kgf</w:t>
            </w:r>
            <w:proofErr w:type="spellEnd"/>
            <w:r w:rsidRPr="00C377B1">
              <w:rPr>
                <w:rFonts w:ascii="Verdana" w:hAnsi="Verdana"/>
                <w:sz w:val="16"/>
                <w:szCs w:val="16"/>
              </w:rPr>
              <w:t xml:space="preserve">/cm y al rasgado de trama de 41 </w:t>
            </w:r>
            <w:proofErr w:type="spellStart"/>
            <w:r w:rsidRPr="00C377B1">
              <w:rPr>
                <w:rFonts w:ascii="Verdana" w:hAnsi="Verdana"/>
                <w:sz w:val="16"/>
                <w:szCs w:val="16"/>
              </w:rPr>
              <w:t>kgf</w:t>
            </w:r>
            <w:proofErr w:type="spellEnd"/>
            <w:r w:rsidRPr="00C377B1">
              <w:rPr>
                <w:rFonts w:ascii="Verdana" w:hAnsi="Verdana"/>
                <w:sz w:val="16"/>
                <w:szCs w:val="16"/>
              </w:rPr>
              <w:t xml:space="preserve">, confeccionada con bastilla doble y ojillos a cada metro; así como resistente al ataque químico, a la temperatura del fluido y a las </w:t>
            </w:r>
            <w:r w:rsidRPr="00C377B1">
              <w:rPr>
                <w:rFonts w:ascii="Verdana" w:hAnsi="Verdana"/>
                <w:sz w:val="16"/>
                <w:szCs w:val="16"/>
              </w:rPr>
              <w:lastRenderedPageBreak/>
              <w:t>sustancias para las cuales se impermeabiliza; o por medio de otra tecnología con resultados equivalentes o superiores, en cuyo caso debe contarse con los resultados de las pruebas que así lo demuestren.</w:t>
            </w:r>
          </w:p>
        </w:tc>
        <w:tc>
          <w:tcPr>
            <w:tcW w:w="4788" w:type="dxa"/>
            <w:shd w:val="clear" w:color="auto" w:fill="auto"/>
          </w:tcPr>
          <w:p w14:paraId="0E545192" w14:textId="6C8E1165"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lastRenderedPageBreak/>
              <w:t xml:space="preserve">4.2.6. </w:t>
            </w:r>
            <w:r w:rsidRPr="00C377B1">
              <w:rPr>
                <w:rFonts w:ascii="Verdana" w:hAnsi="Verdana" w:cs="Times New Roman"/>
                <w:sz w:val="16"/>
                <w:szCs w:val="16"/>
                <w:lang w:val="en-US"/>
              </w:rPr>
              <w:t xml:space="preserve">The areas where drilling equipment, sludge dams and storage tanks will be installed must be compacted and waterproofed, to prevent contaminants that could spill onto the ground from being infused. The waterproofing must be carried out by means of a waterproof plasticized tarpaulin, with resistance of the weft to the rupture of 30 </w:t>
            </w:r>
            <w:proofErr w:type="spellStart"/>
            <w:r w:rsidR="008F7C01">
              <w:rPr>
                <w:rFonts w:ascii="Verdana" w:hAnsi="Verdana" w:cs="Times New Roman"/>
                <w:sz w:val="16"/>
                <w:szCs w:val="16"/>
                <w:lang w:val="en-US"/>
              </w:rPr>
              <w:t>kgf</w:t>
            </w:r>
            <w:proofErr w:type="spellEnd"/>
            <w:r w:rsidR="008F7C01">
              <w:rPr>
                <w:rFonts w:ascii="Verdana" w:hAnsi="Verdana" w:cs="Times New Roman"/>
                <w:sz w:val="16"/>
                <w:szCs w:val="16"/>
                <w:lang w:val="en-US"/>
              </w:rPr>
              <w:t>/cm</w:t>
            </w:r>
            <w:r w:rsidRPr="00C377B1">
              <w:rPr>
                <w:rFonts w:ascii="Verdana" w:hAnsi="Verdana" w:cs="Times New Roman"/>
                <w:sz w:val="16"/>
                <w:szCs w:val="16"/>
                <w:lang w:val="en-US"/>
              </w:rPr>
              <w:t xml:space="preserve"> and to the </w:t>
            </w:r>
            <w:r w:rsidR="008F7C01">
              <w:rPr>
                <w:rFonts w:ascii="Verdana" w:hAnsi="Verdana" w:cs="Times New Roman"/>
                <w:sz w:val="16"/>
                <w:szCs w:val="16"/>
                <w:lang w:val="en-US"/>
              </w:rPr>
              <w:t>scraping</w:t>
            </w:r>
            <w:r w:rsidRPr="00C377B1">
              <w:rPr>
                <w:rFonts w:ascii="Verdana" w:hAnsi="Verdana" w:cs="Times New Roman"/>
                <w:sz w:val="16"/>
                <w:szCs w:val="16"/>
                <w:lang w:val="en-US"/>
              </w:rPr>
              <w:t xml:space="preserve"> of </w:t>
            </w:r>
            <w:r w:rsidR="008F7C01">
              <w:rPr>
                <w:rFonts w:ascii="Verdana" w:hAnsi="Verdana" w:cs="Times New Roman"/>
                <w:sz w:val="16"/>
                <w:szCs w:val="16"/>
                <w:lang w:val="en-US"/>
              </w:rPr>
              <w:t>length</w:t>
            </w:r>
            <w:r w:rsidRPr="00C377B1">
              <w:rPr>
                <w:rFonts w:ascii="Verdana" w:hAnsi="Verdana" w:cs="Times New Roman"/>
                <w:sz w:val="16"/>
                <w:szCs w:val="16"/>
                <w:lang w:val="en-US"/>
              </w:rPr>
              <w:t xml:space="preserve"> of 41 </w:t>
            </w:r>
            <w:proofErr w:type="spellStart"/>
            <w:r w:rsidRPr="00C377B1">
              <w:rPr>
                <w:rFonts w:ascii="Verdana" w:hAnsi="Verdana" w:cs="Times New Roman"/>
                <w:sz w:val="16"/>
                <w:szCs w:val="16"/>
                <w:lang w:val="en-US"/>
              </w:rPr>
              <w:t>kgf</w:t>
            </w:r>
            <w:proofErr w:type="spellEnd"/>
            <w:r w:rsidRPr="00C377B1">
              <w:rPr>
                <w:rFonts w:ascii="Verdana" w:hAnsi="Verdana" w:cs="Times New Roman"/>
                <w:sz w:val="16"/>
                <w:szCs w:val="16"/>
                <w:lang w:val="en-US"/>
              </w:rPr>
              <w:t xml:space="preserve">, made with double rod and eyelets at every meter; as well as resistant to chemical attack, to the temperature of the fluid and to the substances for </w:t>
            </w:r>
            <w:r w:rsidRPr="00C377B1">
              <w:rPr>
                <w:rFonts w:ascii="Verdana" w:hAnsi="Verdana" w:cs="Times New Roman"/>
                <w:sz w:val="16"/>
                <w:szCs w:val="16"/>
                <w:lang w:val="en-US"/>
              </w:rPr>
              <w:lastRenderedPageBreak/>
              <w:t>which it is waterproofed; or by means of another technology with equivalent or superior results, in which case the results of the tests that demonstrate it must be available.</w:t>
            </w:r>
          </w:p>
        </w:tc>
      </w:tr>
      <w:tr w:rsidR="00DC213D" w:rsidRPr="00CE7512" w14:paraId="41B7AE66" w14:textId="53CA063C" w:rsidTr="00C377B1">
        <w:tc>
          <w:tcPr>
            <w:tcW w:w="4788" w:type="dxa"/>
            <w:shd w:val="clear" w:color="auto" w:fill="auto"/>
          </w:tcPr>
          <w:p w14:paraId="65F6A227"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lastRenderedPageBreak/>
              <w:t xml:space="preserve">4.2.7. </w:t>
            </w:r>
            <w:r w:rsidRPr="00C377B1">
              <w:rPr>
                <w:rFonts w:ascii="Verdana" w:hAnsi="Verdana"/>
                <w:sz w:val="16"/>
                <w:szCs w:val="16"/>
              </w:rPr>
              <w:t>Para cubrir las necesidades fisiológicas de los trabajadores, se deben instalar sanitarios portátiles uno por cada quince personas.</w:t>
            </w:r>
          </w:p>
        </w:tc>
        <w:tc>
          <w:tcPr>
            <w:tcW w:w="4788" w:type="dxa"/>
            <w:shd w:val="clear" w:color="auto" w:fill="auto"/>
          </w:tcPr>
          <w:p w14:paraId="085E0E7B" w14:textId="189B9478"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4.2.7. </w:t>
            </w:r>
            <w:r w:rsidRPr="00C377B1">
              <w:rPr>
                <w:rFonts w:ascii="Verdana" w:hAnsi="Verdana" w:cs="Times New Roman"/>
                <w:sz w:val="16"/>
                <w:szCs w:val="16"/>
                <w:lang w:val="en-US"/>
              </w:rPr>
              <w:t>To cover the physiological needs of workers, portable toilets must be installed one for every fifteen people.</w:t>
            </w:r>
          </w:p>
        </w:tc>
      </w:tr>
      <w:tr w:rsidR="00DC213D" w:rsidRPr="00CE7512" w14:paraId="290CD043" w14:textId="1B5E40A1" w:rsidTr="00C377B1">
        <w:tc>
          <w:tcPr>
            <w:tcW w:w="4788" w:type="dxa"/>
            <w:shd w:val="clear" w:color="auto" w:fill="auto"/>
          </w:tcPr>
          <w:p w14:paraId="3EAA5F0A"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4.2.8. </w:t>
            </w:r>
            <w:r w:rsidRPr="00C377B1">
              <w:rPr>
                <w:rFonts w:ascii="Verdana" w:hAnsi="Verdana"/>
                <w:sz w:val="16"/>
                <w:szCs w:val="16"/>
              </w:rPr>
              <w:t>Para las actividades de deshierbe durante la apertura de caminos y preparación del sitio no se debe quemar la vegetación ni usar agroquímicos. El producto de estas actividades, debe ser dispuesto en el sitio que indique la autoridad competente o ser triturado para su reincorporación al suelo.</w:t>
            </w:r>
          </w:p>
        </w:tc>
        <w:tc>
          <w:tcPr>
            <w:tcW w:w="4788" w:type="dxa"/>
            <w:shd w:val="clear" w:color="auto" w:fill="auto"/>
          </w:tcPr>
          <w:p w14:paraId="09E21FF5" w14:textId="202DE46F"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4.2.8. </w:t>
            </w:r>
            <w:r w:rsidRPr="00C377B1">
              <w:rPr>
                <w:rFonts w:ascii="Verdana" w:hAnsi="Verdana" w:cs="Times New Roman"/>
                <w:sz w:val="16"/>
                <w:szCs w:val="16"/>
                <w:lang w:val="en-US"/>
              </w:rPr>
              <w:t xml:space="preserve">For </w:t>
            </w:r>
            <w:r w:rsidR="008F7C01">
              <w:rPr>
                <w:rFonts w:ascii="Verdana" w:hAnsi="Verdana" w:cs="Times New Roman"/>
                <w:sz w:val="16"/>
                <w:szCs w:val="16"/>
                <w:lang w:val="en-US"/>
              </w:rPr>
              <w:t>plant removal</w:t>
            </w:r>
            <w:r w:rsidRPr="00C377B1">
              <w:rPr>
                <w:rFonts w:ascii="Verdana" w:hAnsi="Verdana" w:cs="Times New Roman"/>
                <w:sz w:val="16"/>
                <w:szCs w:val="16"/>
                <w:lang w:val="en-US"/>
              </w:rPr>
              <w:t xml:space="preserve"> activities during the opening of roads and site preparation, vegetation should not be burned </w:t>
            </w:r>
            <w:r w:rsidR="008F7C01">
              <w:rPr>
                <w:rFonts w:ascii="Verdana" w:hAnsi="Verdana" w:cs="Times New Roman"/>
                <w:sz w:val="16"/>
                <w:szCs w:val="16"/>
                <w:lang w:val="en-US"/>
              </w:rPr>
              <w:t>n</w:t>
            </w:r>
            <w:r w:rsidRPr="00C377B1">
              <w:rPr>
                <w:rFonts w:ascii="Verdana" w:hAnsi="Verdana" w:cs="Times New Roman"/>
                <w:sz w:val="16"/>
                <w:szCs w:val="16"/>
                <w:lang w:val="en-US"/>
              </w:rPr>
              <w:t xml:space="preserve">or agrochemicals </w:t>
            </w:r>
            <w:r w:rsidR="008F7C01">
              <w:rPr>
                <w:rFonts w:ascii="Verdana" w:hAnsi="Verdana" w:cs="Times New Roman"/>
                <w:sz w:val="16"/>
                <w:szCs w:val="16"/>
                <w:lang w:val="en-US"/>
              </w:rPr>
              <w:t xml:space="preserve">be </w:t>
            </w:r>
            <w:r w:rsidRPr="00C377B1">
              <w:rPr>
                <w:rFonts w:ascii="Verdana" w:hAnsi="Verdana" w:cs="Times New Roman"/>
                <w:sz w:val="16"/>
                <w:szCs w:val="16"/>
                <w:lang w:val="en-US"/>
              </w:rPr>
              <w:t xml:space="preserve">used. The product of these activities must be disposed on the site indicated by the </w:t>
            </w:r>
            <w:r w:rsidR="008F7C01">
              <w:rPr>
                <w:rFonts w:ascii="Verdana" w:hAnsi="Verdana" w:cs="Times New Roman"/>
                <w:sz w:val="16"/>
                <w:szCs w:val="16"/>
                <w:lang w:val="en-US"/>
              </w:rPr>
              <w:t>appropriate authority</w:t>
            </w:r>
            <w:r w:rsidRPr="00C377B1">
              <w:rPr>
                <w:rFonts w:ascii="Verdana" w:hAnsi="Verdana" w:cs="Times New Roman"/>
                <w:sz w:val="16"/>
                <w:szCs w:val="16"/>
                <w:lang w:val="en-US"/>
              </w:rPr>
              <w:t xml:space="preserve"> or be crushed for </w:t>
            </w:r>
            <w:r w:rsidR="008F7C01">
              <w:rPr>
                <w:rFonts w:ascii="Verdana" w:hAnsi="Verdana" w:cs="Times New Roman"/>
                <w:sz w:val="16"/>
                <w:szCs w:val="16"/>
                <w:lang w:val="en-US"/>
              </w:rPr>
              <w:t>reincorporation</w:t>
            </w:r>
            <w:r w:rsidRPr="00C377B1">
              <w:rPr>
                <w:rFonts w:ascii="Verdana" w:hAnsi="Verdana" w:cs="Times New Roman"/>
                <w:sz w:val="16"/>
                <w:szCs w:val="16"/>
                <w:lang w:val="en-US"/>
              </w:rPr>
              <w:t xml:space="preserve"> to the ground.</w:t>
            </w:r>
          </w:p>
        </w:tc>
      </w:tr>
      <w:tr w:rsidR="00DC213D" w:rsidRPr="00CE7512" w14:paraId="342490B3" w14:textId="42F0A7B6" w:rsidTr="00C377B1">
        <w:tc>
          <w:tcPr>
            <w:tcW w:w="4788" w:type="dxa"/>
            <w:shd w:val="clear" w:color="auto" w:fill="auto"/>
          </w:tcPr>
          <w:p w14:paraId="6B9E54B5" w14:textId="77777777" w:rsidR="00DC213D" w:rsidRPr="00C377B1" w:rsidRDefault="00DC213D" w:rsidP="00C377B1">
            <w:pPr>
              <w:pStyle w:val="Texto"/>
              <w:spacing w:line="227" w:lineRule="exact"/>
              <w:ind w:firstLine="0"/>
              <w:rPr>
                <w:rFonts w:ascii="Verdana" w:hAnsi="Verdana"/>
                <w:i/>
                <w:sz w:val="16"/>
                <w:szCs w:val="16"/>
              </w:rPr>
            </w:pPr>
            <w:r w:rsidRPr="00C377B1">
              <w:rPr>
                <w:rFonts w:ascii="Verdana" w:hAnsi="Verdana"/>
                <w:b/>
                <w:sz w:val="16"/>
                <w:szCs w:val="16"/>
              </w:rPr>
              <w:t>4.2.9.</w:t>
            </w:r>
            <w:r w:rsidRPr="00C377B1">
              <w:rPr>
                <w:rFonts w:ascii="Verdana" w:hAnsi="Verdana"/>
                <w:i/>
                <w:sz w:val="16"/>
                <w:szCs w:val="16"/>
              </w:rPr>
              <w:t xml:space="preserve"> </w:t>
            </w:r>
            <w:r w:rsidRPr="00C377B1">
              <w:rPr>
                <w:rFonts w:ascii="Verdana" w:hAnsi="Verdana"/>
                <w:sz w:val="16"/>
                <w:szCs w:val="16"/>
              </w:rPr>
              <w:t>Sólo pueden construirse nuevos caminos de acceso en aquellos casos en donde no existan caminos previos que lleguen a la localización del pozo y que se realicen exclusivamente en zonas agrícolas, ganaderas y eriales. Los nuevos caminos de acceso deben tener como máximo el ancho de 6 m para el adecuado tránsito del equipo de perforación</w:t>
            </w:r>
            <w:r w:rsidRPr="00C377B1">
              <w:rPr>
                <w:rFonts w:ascii="Verdana" w:hAnsi="Verdana"/>
                <w:i/>
                <w:sz w:val="16"/>
                <w:szCs w:val="16"/>
              </w:rPr>
              <w:t>.</w:t>
            </w:r>
          </w:p>
        </w:tc>
        <w:tc>
          <w:tcPr>
            <w:tcW w:w="4788" w:type="dxa"/>
            <w:shd w:val="clear" w:color="auto" w:fill="auto"/>
          </w:tcPr>
          <w:p w14:paraId="255EC351" w14:textId="69001CA5"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4.2.9. </w:t>
            </w:r>
            <w:r w:rsidRPr="00C377B1">
              <w:rPr>
                <w:rFonts w:ascii="Verdana" w:hAnsi="Verdana" w:cs="Times New Roman"/>
                <w:sz w:val="16"/>
                <w:szCs w:val="16"/>
                <w:lang w:val="en-US"/>
              </w:rPr>
              <w:t>New access roads can only be built in those cases where there are no previous roads that reach the location of the well and are made exclusively in agricultural, livestock and wasteland areas. The new access roads must have a maximum width of 6 m</w:t>
            </w:r>
            <w:r w:rsidR="008F7C01">
              <w:rPr>
                <w:rFonts w:ascii="Verdana" w:hAnsi="Verdana" w:cs="Times New Roman"/>
                <w:sz w:val="16"/>
                <w:szCs w:val="16"/>
                <w:lang w:val="en-US"/>
              </w:rPr>
              <w:t>eters</w:t>
            </w:r>
            <w:r w:rsidRPr="00C377B1">
              <w:rPr>
                <w:rFonts w:ascii="Verdana" w:hAnsi="Verdana" w:cs="Times New Roman"/>
                <w:sz w:val="16"/>
                <w:szCs w:val="16"/>
                <w:lang w:val="en-US"/>
              </w:rPr>
              <w:t xml:space="preserve"> for the adequate transit of the drilling equipment </w:t>
            </w:r>
            <w:r w:rsidRPr="00C377B1">
              <w:rPr>
                <w:rFonts w:ascii="Verdana" w:hAnsi="Verdana" w:cs="Times New Roman"/>
                <w:i/>
                <w:iCs/>
                <w:sz w:val="16"/>
                <w:szCs w:val="16"/>
                <w:lang w:val="en-US"/>
              </w:rPr>
              <w:t xml:space="preserve">. </w:t>
            </w:r>
          </w:p>
        </w:tc>
      </w:tr>
      <w:tr w:rsidR="00DC213D" w:rsidRPr="00CE7512" w14:paraId="3BC59B14" w14:textId="3F77B7DE" w:rsidTr="00C377B1">
        <w:tc>
          <w:tcPr>
            <w:tcW w:w="4788" w:type="dxa"/>
            <w:shd w:val="clear" w:color="auto" w:fill="auto"/>
          </w:tcPr>
          <w:p w14:paraId="79D0010F"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4.2.10. </w:t>
            </w:r>
            <w:r w:rsidRPr="00C377B1">
              <w:rPr>
                <w:rFonts w:ascii="Verdana" w:hAnsi="Verdana"/>
                <w:sz w:val="16"/>
                <w:szCs w:val="16"/>
              </w:rPr>
              <w:t>Durante los trabajos de perforación y mantenimiento de pozos, y durante todas las etapas del proyecto, el permisionario debe instruir al personal que interviene en estas actividades a proteger el ambiente, así como a evitar que se capture, persiga, cace, colecte, trafique o perjudique a las especies de flora y fauna silvestres que habitan en la zona.</w:t>
            </w:r>
          </w:p>
        </w:tc>
        <w:tc>
          <w:tcPr>
            <w:tcW w:w="4788" w:type="dxa"/>
            <w:shd w:val="clear" w:color="auto" w:fill="auto"/>
          </w:tcPr>
          <w:p w14:paraId="6ED59763" w14:textId="782B2D62"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4.2.10. </w:t>
            </w:r>
            <w:r w:rsidRPr="00C377B1">
              <w:rPr>
                <w:rFonts w:ascii="Verdana" w:hAnsi="Verdana" w:cs="Times New Roman"/>
                <w:sz w:val="16"/>
                <w:szCs w:val="16"/>
                <w:lang w:val="en-US"/>
              </w:rPr>
              <w:t xml:space="preserve">During drilling and maintenance of wells, and during all stages of the project, the </w:t>
            </w:r>
            <w:r w:rsidR="008F7C01">
              <w:rPr>
                <w:rFonts w:ascii="Verdana" w:hAnsi="Verdana" w:cs="Times New Roman"/>
                <w:sz w:val="16"/>
                <w:szCs w:val="16"/>
                <w:lang w:val="en-US"/>
              </w:rPr>
              <w:t>permit holder</w:t>
            </w:r>
            <w:r w:rsidRPr="00C377B1">
              <w:rPr>
                <w:rFonts w:ascii="Verdana" w:hAnsi="Verdana" w:cs="Times New Roman"/>
                <w:sz w:val="16"/>
                <w:szCs w:val="16"/>
                <w:lang w:val="en-US"/>
              </w:rPr>
              <w:t xml:space="preserve"> must instruct the personnel involved in these activities to protect the environment, as well as to prevent capture, chase, hunt, collect, traffic or harm the species of wild flora and fauna that inhabit the area.</w:t>
            </w:r>
          </w:p>
        </w:tc>
      </w:tr>
      <w:tr w:rsidR="00DC213D" w:rsidRPr="00C377B1" w14:paraId="407BE708" w14:textId="131DA5B5" w:rsidTr="00C377B1">
        <w:tc>
          <w:tcPr>
            <w:tcW w:w="4788" w:type="dxa"/>
            <w:shd w:val="clear" w:color="auto" w:fill="auto"/>
          </w:tcPr>
          <w:p w14:paraId="26DB2735"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4.3. Perforación de pozos</w:t>
            </w:r>
          </w:p>
        </w:tc>
        <w:tc>
          <w:tcPr>
            <w:tcW w:w="4788" w:type="dxa"/>
            <w:shd w:val="clear" w:color="auto" w:fill="auto"/>
          </w:tcPr>
          <w:p w14:paraId="736AC43A" w14:textId="200D9A58" w:rsidR="00DC213D" w:rsidRPr="008F7C01" w:rsidRDefault="00DC213D" w:rsidP="00C377B1">
            <w:pPr>
              <w:pStyle w:val="Texto"/>
              <w:spacing w:line="227" w:lineRule="exact"/>
              <w:ind w:firstLine="0"/>
              <w:rPr>
                <w:rFonts w:ascii="Verdana" w:hAnsi="Verdana"/>
                <w:b/>
                <w:sz w:val="16"/>
                <w:szCs w:val="16"/>
                <w:lang w:val="en-US"/>
              </w:rPr>
            </w:pPr>
            <w:r w:rsidRPr="008F7C01">
              <w:rPr>
                <w:rFonts w:ascii="Verdana" w:hAnsi="Verdana" w:cs="Times New Roman"/>
                <w:b/>
                <w:bCs/>
                <w:sz w:val="16"/>
                <w:szCs w:val="16"/>
                <w:lang w:val="en-US"/>
              </w:rPr>
              <w:t>4.3. Well drilling</w:t>
            </w:r>
          </w:p>
        </w:tc>
      </w:tr>
      <w:tr w:rsidR="00DC213D" w:rsidRPr="00CE7512" w14:paraId="7A7759B1" w14:textId="61F6DD1B" w:rsidTr="00C377B1">
        <w:tc>
          <w:tcPr>
            <w:tcW w:w="4788" w:type="dxa"/>
            <w:shd w:val="clear" w:color="auto" w:fill="auto"/>
          </w:tcPr>
          <w:p w14:paraId="6C5B0262"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4.3.1. </w:t>
            </w:r>
            <w:r w:rsidRPr="00C377B1">
              <w:rPr>
                <w:rFonts w:ascii="Verdana" w:hAnsi="Verdana"/>
                <w:sz w:val="16"/>
                <w:szCs w:val="16"/>
              </w:rPr>
              <w:t>La presa de lodos debe ubicarse en terreno estable y debe estar compactada, impermeabilizada y recubierta con una lona plastificada en el fondo y las paredes, y debe contar con una profundidad máxima de 3 metros que permita almacenar temporalmente los residuos de la perforación, que evite tanto la infiltración de lixiviados al subsuelo como la contaminación de los acuíferos.</w:t>
            </w:r>
          </w:p>
        </w:tc>
        <w:tc>
          <w:tcPr>
            <w:tcW w:w="4788" w:type="dxa"/>
            <w:shd w:val="clear" w:color="auto" w:fill="auto"/>
          </w:tcPr>
          <w:p w14:paraId="568D2E59" w14:textId="0A4018A0"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4.3.1. </w:t>
            </w:r>
            <w:r w:rsidRPr="00C377B1">
              <w:rPr>
                <w:rFonts w:ascii="Verdana" w:hAnsi="Verdana" w:cs="Times New Roman"/>
                <w:sz w:val="16"/>
                <w:szCs w:val="16"/>
                <w:lang w:val="en-US"/>
              </w:rPr>
              <w:t xml:space="preserve">The sludge dam must be located on stable ground and must be compacted, waterproofed and covered with a plasticized canvas on the bottom and walls, and must have a maximum depth of 3 meters that allows temporary storage of drilling </w:t>
            </w:r>
            <w:r w:rsidR="008F7C01">
              <w:rPr>
                <w:rFonts w:ascii="Verdana" w:hAnsi="Verdana" w:cs="Times New Roman"/>
                <w:sz w:val="16"/>
                <w:szCs w:val="16"/>
                <w:lang w:val="en-US"/>
              </w:rPr>
              <w:t>wastes</w:t>
            </w:r>
            <w:r w:rsidRPr="00C377B1">
              <w:rPr>
                <w:rFonts w:ascii="Verdana" w:hAnsi="Verdana" w:cs="Times New Roman"/>
                <w:sz w:val="16"/>
                <w:szCs w:val="16"/>
                <w:lang w:val="en-US"/>
              </w:rPr>
              <w:t>, to avoid both</w:t>
            </w:r>
            <w:r w:rsidR="008F7C01">
              <w:rPr>
                <w:rFonts w:ascii="Verdana" w:hAnsi="Verdana" w:cs="Times New Roman"/>
                <w:sz w:val="16"/>
                <w:szCs w:val="16"/>
                <w:lang w:val="en-US"/>
              </w:rPr>
              <w:t xml:space="preserve"> the</w:t>
            </w:r>
            <w:r w:rsidRPr="00C377B1">
              <w:rPr>
                <w:rFonts w:ascii="Verdana" w:hAnsi="Verdana" w:cs="Times New Roman"/>
                <w:sz w:val="16"/>
                <w:szCs w:val="16"/>
                <w:lang w:val="en-US"/>
              </w:rPr>
              <w:t xml:space="preserve"> infiltration of leachate into the subsoil and </w:t>
            </w:r>
            <w:r w:rsidR="008F7C01">
              <w:rPr>
                <w:rFonts w:ascii="Verdana" w:hAnsi="Verdana" w:cs="Times New Roman"/>
                <w:sz w:val="16"/>
                <w:szCs w:val="16"/>
                <w:lang w:val="en-US"/>
              </w:rPr>
              <w:t xml:space="preserve">the </w:t>
            </w:r>
            <w:r w:rsidRPr="00C377B1">
              <w:rPr>
                <w:rFonts w:ascii="Verdana" w:hAnsi="Verdana" w:cs="Times New Roman"/>
                <w:sz w:val="16"/>
                <w:szCs w:val="16"/>
                <w:lang w:val="en-US"/>
              </w:rPr>
              <w:t>contamination of aquifers.</w:t>
            </w:r>
          </w:p>
        </w:tc>
      </w:tr>
      <w:tr w:rsidR="00DC213D" w:rsidRPr="00CE7512" w14:paraId="0042C734" w14:textId="0137E87F" w:rsidTr="00C377B1">
        <w:tc>
          <w:tcPr>
            <w:tcW w:w="4788" w:type="dxa"/>
            <w:shd w:val="clear" w:color="auto" w:fill="auto"/>
          </w:tcPr>
          <w:p w14:paraId="4FB8D150"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4.3.2. </w:t>
            </w:r>
            <w:r w:rsidRPr="00C377B1">
              <w:rPr>
                <w:rFonts w:ascii="Verdana" w:hAnsi="Verdana"/>
                <w:sz w:val="16"/>
                <w:szCs w:val="16"/>
              </w:rPr>
              <w:t>Se debe realizar el almacenamiento y resguardo de maquinaria, equipo y materiales, dentro de la plataforma con el fin de garantizar la aplicación de medidas preventivas de protección al ambiente y evitar daños al entorno.</w:t>
            </w:r>
          </w:p>
        </w:tc>
        <w:tc>
          <w:tcPr>
            <w:tcW w:w="4788" w:type="dxa"/>
            <w:shd w:val="clear" w:color="auto" w:fill="auto"/>
          </w:tcPr>
          <w:p w14:paraId="58DF13A5" w14:textId="6BD2CBD1"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4.3.2. </w:t>
            </w:r>
            <w:r w:rsidRPr="00C377B1">
              <w:rPr>
                <w:rFonts w:ascii="Verdana" w:hAnsi="Verdana" w:cs="Times New Roman"/>
                <w:sz w:val="16"/>
                <w:szCs w:val="16"/>
                <w:lang w:val="en-US"/>
              </w:rPr>
              <w:t>The storage and protection of machinery, equipment and materials must be carried out within the platform in order to guarantee the application of preventive measures to protect the environment and avoid damage to the environment.</w:t>
            </w:r>
          </w:p>
        </w:tc>
      </w:tr>
      <w:tr w:rsidR="00DC213D" w:rsidRPr="00CE7512" w14:paraId="75551B6F" w14:textId="01019409" w:rsidTr="00C377B1">
        <w:tc>
          <w:tcPr>
            <w:tcW w:w="4788" w:type="dxa"/>
            <w:shd w:val="clear" w:color="auto" w:fill="auto"/>
          </w:tcPr>
          <w:p w14:paraId="1CE0C0E7"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4.3.3. </w:t>
            </w:r>
            <w:r w:rsidRPr="00C377B1">
              <w:rPr>
                <w:rFonts w:ascii="Verdana" w:hAnsi="Verdana"/>
                <w:sz w:val="16"/>
                <w:szCs w:val="16"/>
              </w:rPr>
              <w:t>Los combustibles que se utilicen durante las actividades de perforación se deben almacenar en depósitos metálicos, con tapa que minimice las fugas y con capacidad hasta de 30 m</w:t>
            </w:r>
            <w:r w:rsidRPr="00C377B1">
              <w:rPr>
                <w:rFonts w:ascii="Verdana" w:hAnsi="Verdana"/>
                <w:sz w:val="16"/>
                <w:szCs w:val="16"/>
                <w:vertAlign w:val="superscript"/>
              </w:rPr>
              <w:t>3</w:t>
            </w:r>
            <w:r w:rsidRPr="00C377B1">
              <w:rPr>
                <w:rFonts w:ascii="Verdana" w:hAnsi="Verdana"/>
                <w:sz w:val="16"/>
                <w:szCs w:val="16"/>
              </w:rPr>
              <w:t>.</w:t>
            </w:r>
          </w:p>
        </w:tc>
        <w:tc>
          <w:tcPr>
            <w:tcW w:w="4788" w:type="dxa"/>
            <w:shd w:val="clear" w:color="auto" w:fill="auto"/>
          </w:tcPr>
          <w:p w14:paraId="3498DC36" w14:textId="50908E95"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4.3.3. </w:t>
            </w:r>
            <w:r w:rsidR="008F7C01">
              <w:rPr>
                <w:rFonts w:ascii="Verdana" w:hAnsi="Verdana" w:cs="Times New Roman"/>
                <w:sz w:val="16"/>
                <w:szCs w:val="16"/>
                <w:lang w:val="en-US"/>
              </w:rPr>
              <w:t>The f</w:t>
            </w:r>
            <w:r w:rsidRPr="00C377B1">
              <w:rPr>
                <w:rFonts w:ascii="Verdana" w:hAnsi="Verdana" w:cs="Times New Roman"/>
                <w:sz w:val="16"/>
                <w:szCs w:val="16"/>
                <w:lang w:val="en-US"/>
              </w:rPr>
              <w:t xml:space="preserve">uels </w:t>
            </w:r>
            <w:r w:rsidR="008F7C01">
              <w:rPr>
                <w:rFonts w:ascii="Verdana" w:hAnsi="Verdana" w:cs="Times New Roman"/>
                <w:sz w:val="16"/>
                <w:szCs w:val="16"/>
                <w:lang w:val="en-US"/>
              </w:rPr>
              <w:t xml:space="preserve">that are </w:t>
            </w:r>
            <w:r w:rsidRPr="00C377B1">
              <w:rPr>
                <w:rFonts w:ascii="Verdana" w:hAnsi="Verdana" w:cs="Times New Roman"/>
                <w:sz w:val="16"/>
                <w:szCs w:val="16"/>
                <w:lang w:val="en-US"/>
              </w:rPr>
              <w:t>used during</w:t>
            </w:r>
            <w:r w:rsidR="008F7C01">
              <w:rPr>
                <w:rFonts w:ascii="Verdana" w:hAnsi="Verdana" w:cs="Times New Roman"/>
                <w:sz w:val="16"/>
                <w:szCs w:val="16"/>
                <w:lang w:val="en-US"/>
              </w:rPr>
              <w:t xml:space="preserve"> the</w:t>
            </w:r>
            <w:r w:rsidRPr="00C377B1">
              <w:rPr>
                <w:rFonts w:ascii="Verdana" w:hAnsi="Verdana" w:cs="Times New Roman"/>
                <w:sz w:val="16"/>
                <w:szCs w:val="16"/>
                <w:lang w:val="en-US"/>
              </w:rPr>
              <w:t xml:space="preserve"> drilling activities </w:t>
            </w:r>
            <w:r w:rsidR="008F7C01">
              <w:rPr>
                <w:rFonts w:ascii="Verdana" w:hAnsi="Verdana" w:cs="Times New Roman"/>
                <w:sz w:val="16"/>
                <w:szCs w:val="16"/>
                <w:lang w:val="en-US"/>
              </w:rPr>
              <w:t xml:space="preserve">must </w:t>
            </w:r>
            <w:r w:rsidRPr="00C377B1">
              <w:rPr>
                <w:rFonts w:ascii="Verdana" w:hAnsi="Verdana" w:cs="Times New Roman"/>
                <w:sz w:val="16"/>
                <w:szCs w:val="16"/>
                <w:lang w:val="en-US"/>
              </w:rPr>
              <w:t xml:space="preserve">be stored in metal tanks, with a </w:t>
            </w:r>
            <w:r w:rsidR="008F7C01">
              <w:rPr>
                <w:rFonts w:ascii="Verdana" w:hAnsi="Verdana" w:cs="Times New Roman"/>
                <w:sz w:val="16"/>
                <w:szCs w:val="16"/>
                <w:lang w:val="en-US"/>
              </w:rPr>
              <w:t>cover</w:t>
            </w:r>
            <w:r w:rsidRPr="00C377B1">
              <w:rPr>
                <w:rFonts w:ascii="Verdana" w:hAnsi="Verdana" w:cs="Times New Roman"/>
                <w:sz w:val="16"/>
                <w:szCs w:val="16"/>
                <w:lang w:val="en-US"/>
              </w:rPr>
              <w:t xml:space="preserve"> that minimizes leaks and with a capacity of up to 30 m</w:t>
            </w:r>
            <w:r w:rsidRPr="008F7C01">
              <w:rPr>
                <w:rFonts w:ascii="Verdana" w:hAnsi="Verdana" w:cs="Times New Roman"/>
                <w:sz w:val="15"/>
                <w:szCs w:val="15"/>
                <w:vertAlign w:val="superscript"/>
                <w:lang w:val="en-US"/>
              </w:rPr>
              <w:t xml:space="preserve">3 </w:t>
            </w:r>
            <w:r w:rsidRPr="00C377B1">
              <w:rPr>
                <w:rFonts w:ascii="Verdana" w:hAnsi="Verdana" w:cs="Times New Roman"/>
                <w:sz w:val="16"/>
                <w:szCs w:val="16"/>
                <w:lang w:val="en-US"/>
              </w:rPr>
              <w:t>.</w:t>
            </w:r>
          </w:p>
        </w:tc>
      </w:tr>
      <w:tr w:rsidR="00DC213D" w:rsidRPr="00CE7512" w14:paraId="71D51AB1" w14:textId="6744CD45" w:rsidTr="00C377B1">
        <w:tc>
          <w:tcPr>
            <w:tcW w:w="4788" w:type="dxa"/>
            <w:shd w:val="clear" w:color="auto" w:fill="auto"/>
          </w:tcPr>
          <w:p w14:paraId="5D0A5E6B"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4.3.4. </w:t>
            </w:r>
            <w:r w:rsidRPr="00C377B1">
              <w:rPr>
                <w:rFonts w:ascii="Verdana" w:hAnsi="Verdana"/>
                <w:sz w:val="16"/>
                <w:szCs w:val="16"/>
              </w:rPr>
              <w:t>Se deben almacenar de manera temporal los residuos sólidos urbanos generados durante las diferentes etapas del proyecto, conforme a lo que disponga la autoridad local competente.</w:t>
            </w:r>
          </w:p>
        </w:tc>
        <w:tc>
          <w:tcPr>
            <w:tcW w:w="4788" w:type="dxa"/>
            <w:shd w:val="clear" w:color="auto" w:fill="auto"/>
          </w:tcPr>
          <w:p w14:paraId="5583CA9C" w14:textId="507FD64B"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4.3.4. </w:t>
            </w:r>
            <w:r w:rsidRPr="00C377B1">
              <w:rPr>
                <w:rFonts w:ascii="Verdana" w:hAnsi="Verdana" w:cs="Times New Roman"/>
                <w:sz w:val="16"/>
                <w:szCs w:val="16"/>
                <w:lang w:val="en-US"/>
              </w:rPr>
              <w:t>The urban solid waste</w:t>
            </w:r>
            <w:r w:rsidR="008F7C01">
              <w:rPr>
                <w:rFonts w:ascii="Verdana" w:hAnsi="Verdana" w:cs="Times New Roman"/>
                <w:sz w:val="16"/>
                <w:szCs w:val="16"/>
                <w:lang w:val="en-US"/>
              </w:rPr>
              <w:t>s</w:t>
            </w:r>
            <w:r w:rsidRPr="00C377B1">
              <w:rPr>
                <w:rFonts w:ascii="Verdana" w:hAnsi="Verdana" w:cs="Times New Roman"/>
                <w:sz w:val="16"/>
                <w:szCs w:val="16"/>
                <w:lang w:val="en-US"/>
              </w:rPr>
              <w:t xml:space="preserve"> generated during the different stages of the project must be stored temporarily, according to what is provided by the </w:t>
            </w:r>
            <w:r w:rsidR="008F7C01">
              <w:rPr>
                <w:rFonts w:ascii="Verdana" w:hAnsi="Verdana" w:cs="Times New Roman"/>
                <w:sz w:val="16"/>
                <w:szCs w:val="16"/>
                <w:lang w:val="en-US"/>
              </w:rPr>
              <w:t>appropriate local authority</w:t>
            </w:r>
            <w:r w:rsidRPr="00C377B1">
              <w:rPr>
                <w:rFonts w:ascii="Verdana" w:hAnsi="Verdana" w:cs="Times New Roman"/>
                <w:sz w:val="16"/>
                <w:szCs w:val="16"/>
                <w:lang w:val="en-US"/>
              </w:rPr>
              <w:t>.</w:t>
            </w:r>
          </w:p>
        </w:tc>
      </w:tr>
      <w:tr w:rsidR="00DC213D" w:rsidRPr="00CE7512" w14:paraId="6D5407AE" w14:textId="3C00B277" w:rsidTr="00C377B1">
        <w:tc>
          <w:tcPr>
            <w:tcW w:w="4788" w:type="dxa"/>
            <w:shd w:val="clear" w:color="auto" w:fill="auto"/>
          </w:tcPr>
          <w:p w14:paraId="176DE0C1"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 xml:space="preserve">4.3.5. </w:t>
            </w:r>
            <w:r w:rsidRPr="00C377B1">
              <w:rPr>
                <w:rFonts w:ascii="Verdana" w:hAnsi="Verdana"/>
                <w:sz w:val="16"/>
                <w:szCs w:val="16"/>
              </w:rPr>
              <w:t>En la perforación de pozos geotérmicos no se deben usar fluidos base aceite.</w:t>
            </w:r>
          </w:p>
        </w:tc>
        <w:tc>
          <w:tcPr>
            <w:tcW w:w="4788" w:type="dxa"/>
            <w:shd w:val="clear" w:color="auto" w:fill="auto"/>
          </w:tcPr>
          <w:p w14:paraId="01CB5960" w14:textId="0E8B4847"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4.3.5. </w:t>
            </w:r>
            <w:r w:rsidRPr="00C377B1">
              <w:rPr>
                <w:rFonts w:ascii="Verdana" w:hAnsi="Verdana" w:cs="Times New Roman"/>
                <w:sz w:val="16"/>
                <w:szCs w:val="16"/>
                <w:lang w:val="en-US"/>
              </w:rPr>
              <w:t xml:space="preserve">In </w:t>
            </w:r>
            <w:r w:rsidR="008F7C01">
              <w:rPr>
                <w:rFonts w:ascii="Verdana" w:hAnsi="Verdana" w:cs="Times New Roman"/>
                <w:sz w:val="16"/>
                <w:szCs w:val="16"/>
                <w:lang w:val="en-US"/>
              </w:rPr>
              <w:t xml:space="preserve">the </w:t>
            </w:r>
            <w:r w:rsidRPr="00C377B1">
              <w:rPr>
                <w:rFonts w:ascii="Verdana" w:hAnsi="Verdana" w:cs="Times New Roman"/>
                <w:sz w:val="16"/>
                <w:szCs w:val="16"/>
                <w:lang w:val="en-US"/>
              </w:rPr>
              <w:t>drilling of geothermal wells, oil-based fluids should not be used.</w:t>
            </w:r>
          </w:p>
        </w:tc>
      </w:tr>
      <w:tr w:rsidR="00DC213D" w:rsidRPr="00CE7512" w14:paraId="5AD861C6" w14:textId="713058B1" w:rsidTr="00C377B1">
        <w:tc>
          <w:tcPr>
            <w:tcW w:w="4788" w:type="dxa"/>
            <w:shd w:val="clear" w:color="auto" w:fill="auto"/>
          </w:tcPr>
          <w:p w14:paraId="4BB7878F"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lastRenderedPageBreak/>
              <w:t>4.3.6.</w:t>
            </w:r>
            <w:r w:rsidRPr="00C377B1">
              <w:rPr>
                <w:rFonts w:ascii="Verdana" w:hAnsi="Verdana"/>
                <w:sz w:val="16"/>
                <w:szCs w:val="16"/>
              </w:rPr>
              <w:t xml:space="preserve"> Al término de la perforación del pozo, para el manejo y disposición final de los recortes y fluidos de perforación almacenados en la presa de lodos, se procederá a su caracterización CRETI, de acuerdo a lo establecido en la NOM-052-SEMARNAT-2005 o la versión vigente de la misma, a través del análisis de una muestra representativa compuesta, integrada con muestras representativas, colectadas de acuerdo con un plan de muestreo y los métodos para toma de muestras establecidos en la normatividad vigente, o en su defecto, y ante la ausencia de un método de muestreo establecido, se podrá optar por el método EPA Test </w:t>
            </w:r>
            <w:proofErr w:type="spellStart"/>
            <w:r w:rsidRPr="00C377B1">
              <w:rPr>
                <w:rFonts w:ascii="Verdana" w:hAnsi="Verdana"/>
                <w:sz w:val="16"/>
                <w:szCs w:val="16"/>
              </w:rPr>
              <w:t>Methods</w:t>
            </w:r>
            <w:proofErr w:type="spellEnd"/>
            <w:r w:rsidRPr="00C377B1">
              <w:rPr>
                <w:rFonts w:ascii="Verdana" w:hAnsi="Verdana"/>
                <w:sz w:val="16"/>
                <w:szCs w:val="16"/>
              </w:rPr>
              <w:t xml:space="preserve"> </w:t>
            </w:r>
            <w:proofErr w:type="spellStart"/>
            <w:r w:rsidRPr="00C377B1">
              <w:rPr>
                <w:rFonts w:ascii="Verdana" w:hAnsi="Verdana"/>
                <w:sz w:val="16"/>
                <w:szCs w:val="16"/>
              </w:rPr>
              <w:t>for</w:t>
            </w:r>
            <w:proofErr w:type="spellEnd"/>
            <w:r w:rsidRPr="00C377B1">
              <w:rPr>
                <w:rFonts w:ascii="Verdana" w:hAnsi="Verdana"/>
                <w:sz w:val="16"/>
                <w:szCs w:val="16"/>
              </w:rPr>
              <w:t xml:space="preserve"> </w:t>
            </w:r>
            <w:proofErr w:type="spellStart"/>
            <w:r w:rsidRPr="00C377B1">
              <w:rPr>
                <w:rFonts w:ascii="Verdana" w:hAnsi="Verdana"/>
                <w:sz w:val="16"/>
                <w:szCs w:val="16"/>
              </w:rPr>
              <w:t>Evaluating</w:t>
            </w:r>
            <w:proofErr w:type="spellEnd"/>
            <w:r w:rsidRPr="00C377B1">
              <w:rPr>
                <w:rFonts w:ascii="Verdana" w:hAnsi="Verdana"/>
                <w:sz w:val="16"/>
                <w:szCs w:val="16"/>
              </w:rPr>
              <w:t xml:space="preserve"> Solid </w:t>
            </w:r>
            <w:proofErr w:type="spellStart"/>
            <w:r w:rsidRPr="00C377B1">
              <w:rPr>
                <w:rFonts w:ascii="Verdana" w:hAnsi="Verdana"/>
                <w:sz w:val="16"/>
                <w:szCs w:val="16"/>
              </w:rPr>
              <w:t>Waste</w:t>
            </w:r>
            <w:proofErr w:type="spellEnd"/>
            <w:r w:rsidRPr="00C377B1">
              <w:rPr>
                <w:rFonts w:ascii="Verdana" w:hAnsi="Verdana"/>
                <w:sz w:val="16"/>
                <w:szCs w:val="16"/>
              </w:rPr>
              <w:t xml:space="preserve">, </w:t>
            </w:r>
            <w:proofErr w:type="spellStart"/>
            <w:r w:rsidRPr="00C377B1">
              <w:rPr>
                <w:rFonts w:ascii="Verdana" w:hAnsi="Verdana"/>
                <w:sz w:val="16"/>
                <w:szCs w:val="16"/>
              </w:rPr>
              <w:t>Physical</w:t>
            </w:r>
            <w:proofErr w:type="spellEnd"/>
            <w:r w:rsidRPr="00C377B1">
              <w:rPr>
                <w:rFonts w:ascii="Verdana" w:hAnsi="Verdana"/>
                <w:sz w:val="16"/>
                <w:szCs w:val="16"/>
              </w:rPr>
              <w:t xml:space="preserve">/Chemical </w:t>
            </w:r>
            <w:proofErr w:type="spellStart"/>
            <w:r w:rsidRPr="00C377B1">
              <w:rPr>
                <w:rFonts w:ascii="Verdana" w:hAnsi="Verdana"/>
                <w:sz w:val="16"/>
                <w:szCs w:val="16"/>
              </w:rPr>
              <w:t>Methods</w:t>
            </w:r>
            <w:proofErr w:type="spellEnd"/>
            <w:r w:rsidRPr="00C377B1">
              <w:rPr>
                <w:rFonts w:ascii="Verdana" w:hAnsi="Verdana"/>
                <w:sz w:val="16"/>
                <w:szCs w:val="16"/>
              </w:rPr>
              <w:t xml:space="preserve"> SW 846.</w:t>
            </w:r>
          </w:p>
        </w:tc>
        <w:tc>
          <w:tcPr>
            <w:tcW w:w="4788" w:type="dxa"/>
            <w:shd w:val="clear" w:color="auto" w:fill="auto"/>
          </w:tcPr>
          <w:p w14:paraId="66C76D92" w14:textId="6F22678F"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4.3.6. </w:t>
            </w:r>
            <w:r w:rsidRPr="00C377B1">
              <w:rPr>
                <w:rFonts w:ascii="Verdana" w:hAnsi="Verdana" w:cs="Times New Roman"/>
                <w:sz w:val="16"/>
                <w:szCs w:val="16"/>
                <w:lang w:val="en-US"/>
              </w:rPr>
              <w:t>At the end of the drilling of the well, for the handling and final disposal of the cuttings and drilling fluids stored in the sludge dam, its CRETI characterization</w:t>
            </w:r>
            <w:r w:rsidR="00020782">
              <w:rPr>
                <w:rFonts w:ascii="Verdana" w:hAnsi="Verdana" w:cs="Times New Roman"/>
                <w:sz w:val="16"/>
                <w:szCs w:val="16"/>
                <w:lang w:val="en-US"/>
              </w:rPr>
              <w:t xml:space="preserve"> will proceed</w:t>
            </w:r>
            <w:r w:rsidRPr="00C377B1">
              <w:rPr>
                <w:rFonts w:ascii="Verdana" w:hAnsi="Verdana" w:cs="Times New Roman"/>
                <w:sz w:val="16"/>
                <w:szCs w:val="16"/>
                <w:lang w:val="en-US"/>
              </w:rPr>
              <w:t xml:space="preserve">, in accordance with the provisions of NOM-052-SEMARNAT-2005 or the current version of the same, through the analysis of a representative composite sample, integrated with representative samples, collected according to a sampling plan and the methods for sampling established in current regulations, or failing that, and before In the absence of an established sampling method, the EPA Test Methods for Evaluating Solid Waste, Physical/Chemical Methods SW 846 may be chosen.  </w:t>
            </w:r>
          </w:p>
        </w:tc>
      </w:tr>
      <w:tr w:rsidR="00DC213D" w:rsidRPr="00CE7512" w14:paraId="3C85699C" w14:textId="0BC360C5" w:rsidTr="00C377B1">
        <w:tc>
          <w:tcPr>
            <w:tcW w:w="4788" w:type="dxa"/>
            <w:shd w:val="clear" w:color="auto" w:fill="auto"/>
          </w:tcPr>
          <w:p w14:paraId="3A2BC731"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sz w:val="16"/>
                <w:szCs w:val="16"/>
              </w:rPr>
              <w:t>Los residuos que por sus características se consideren como peligrosos, deben manejarse y disponerse conforme a lo dispuesto por la Ley General para la Prevención y Gestión Integral de los Residuos y su Reglamento.</w:t>
            </w:r>
          </w:p>
        </w:tc>
        <w:tc>
          <w:tcPr>
            <w:tcW w:w="4788" w:type="dxa"/>
            <w:shd w:val="clear" w:color="auto" w:fill="auto"/>
          </w:tcPr>
          <w:p w14:paraId="61641A2A" w14:textId="409D48C0" w:rsidR="00DC213D" w:rsidRPr="00C377B1" w:rsidRDefault="00020782" w:rsidP="00C377B1">
            <w:pPr>
              <w:pStyle w:val="Texto"/>
              <w:spacing w:line="241" w:lineRule="exact"/>
              <w:ind w:firstLine="0"/>
              <w:rPr>
                <w:rFonts w:ascii="Verdana" w:hAnsi="Verdana"/>
                <w:sz w:val="16"/>
                <w:szCs w:val="16"/>
                <w:lang w:val="en-US"/>
              </w:rPr>
            </w:pPr>
            <w:r>
              <w:rPr>
                <w:rFonts w:ascii="Verdana" w:hAnsi="Verdana" w:cs="Times New Roman"/>
                <w:sz w:val="16"/>
                <w:szCs w:val="16"/>
                <w:lang w:val="en-US"/>
              </w:rPr>
              <w:t>The wastes</w:t>
            </w:r>
            <w:r w:rsidR="00DC213D" w:rsidRPr="00C377B1">
              <w:rPr>
                <w:rFonts w:ascii="Verdana" w:hAnsi="Verdana" w:cs="Times New Roman"/>
                <w:sz w:val="16"/>
                <w:szCs w:val="16"/>
                <w:lang w:val="en-US"/>
              </w:rPr>
              <w:t xml:space="preserve"> that, due to</w:t>
            </w:r>
            <w:r>
              <w:rPr>
                <w:rFonts w:ascii="Verdana" w:hAnsi="Verdana" w:cs="Times New Roman"/>
                <w:sz w:val="16"/>
                <w:szCs w:val="16"/>
                <w:lang w:val="en-US"/>
              </w:rPr>
              <w:t xml:space="preserve"> their</w:t>
            </w:r>
            <w:r w:rsidR="00DC213D" w:rsidRPr="00C377B1">
              <w:rPr>
                <w:rFonts w:ascii="Verdana" w:hAnsi="Verdana" w:cs="Times New Roman"/>
                <w:sz w:val="16"/>
                <w:szCs w:val="16"/>
                <w:lang w:val="en-US"/>
              </w:rPr>
              <w:t xml:space="preserve"> characteristics</w:t>
            </w:r>
            <w:r>
              <w:rPr>
                <w:rFonts w:ascii="Verdana" w:hAnsi="Verdana" w:cs="Times New Roman"/>
                <w:sz w:val="16"/>
                <w:szCs w:val="16"/>
                <w:lang w:val="en-US"/>
              </w:rPr>
              <w:t xml:space="preserve"> are</w:t>
            </w:r>
            <w:r w:rsidR="00DC213D" w:rsidRPr="00C377B1">
              <w:rPr>
                <w:rFonts w:ascii="Verdana" w:hAnsi="Verdana" w:cs="Times New Roman"/>
                <w:sz w:val="16"/>
                <w:szCs w:val="16"/>
                <w:lang w:val="en-US"/>
              </w:rPr>
              <w:t xml:space="preserve"> considered hazardous, must be managed and disposed of in accordance with the provisions of the General Law for the Prevention and Integral Management of Waste</w:t>
            </w:r>
            <w:r>
              <w:rPr>
                <w:rFonts w:ascii="Verdana" w:hAnsi="Verdana" w:cs="Times New Roman"/>
                <w:sz w:val="16"/>
                <w:szCs w:val="16"/>
                <w:lang w:val="en-US"/>
              </w:rPr>
              <w:t>s</w:t>
            </w:r>
            <w:r w:rsidR="00DC213D" w:rsidRPr="00C377B1">
              <w:rPr>
                <w:rFonts w:ascii="Verdana" w:hAnsi="Verdana" w:cs="Times New Roman"/>
                <w:sz w:val="16"/>
                <w:szCs w:val="16"/>
                <w:lang w:val="en-US"/>
              </w:rPr>
              <w:t xml:space="preserve"> and its Regulation.</w:t>
            </w:r>
          </w:p>
        </w:tc>
      </w:tr>
      <w:tr w:rsidR="00DC213D" w:rsidRPr="00CE7512" w14:paraId="30276D6A" w14:textId="584CAABA" w:rsidTr="00C377B1">
        <w:tc>
          <w:tcPr>
            <w:tcW w:w="4788" w:type="dxa"/>
            <w:shd w:val="clear" w:color="auto" w:fill="auto"/>
          </w:tcPr>
          <w:p w14:paraId="65315219"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4.3.7. </w:t>
            </w:r>
            <w:r w:rsidRPr="00C377B1">
              <w:rPr>
                <w:rFonts w:ascii="Verdana" w:hAnsi="Verdana"/>
                <w:sz w:val="16"/>
                <w:szCs w:val="16"/>
              </w:rPr>
              <w:t>Se debe dar mantenimiento preventivo al equipo de perforación para controlar la emisión de gases contaminantes lo cual quedará asentado en una bitácora de obra como documento probatorio.</w:t>
            </w:r>
          </w:p>
        </w:tc>
        <w:tc>
          <w:tcPr>
            <w:tcW w:w="4788" w:type="dxa"/>
            <w:shd w:val="clear" w:color="auto" w:fill="auto"/>
          </w:tcPr>
          <w:p w14:paraId="103E89E0" w14:textId="61853845"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4.3.7. </w:t>
            </w:r>
            <w:r w:rsidRPr="00C377B1">
              <w:rPr>
                <w:rFonts w:ascii="Verdana" w:hAnsi="Verdana" w:cs="Times New Roman"/>
                <w:sz w:val="16"/>
                <w:szCs w:val="16"/>
                <w:lang w:val="en-US"/>
              </w:rPr>
              <w:t xml:space="preserve">Preventive maintenance should be given to the drilling equipment to control the emission of pollutant gases, which will be recorded in a </w:t>
            </w:r>
            <w:r w:rsidR="00020782">
              <w:rPr>
                <w:rFonts w:ascii="Verdana" w:hAnsi="Verdana" w:cs="Times New Roman"/>
                <w:sz w:val="16"/>
                <w:szCs w:val="16"/>
                <w:lang w:val="en-US"/>
              </w:rPr>
              <w:t xml:space="preserve">Works </w:t>
            </w:r>
            <w:r w:rsidRPr="00C377B1">
              <w:rPr>
                <w:rFonts w:ascii="Verdana" w:hAnsi="Verdana" w:cs="Times New Roman"/>
                <w:sz w:val="16"/>
                <w:szCs w:val="16"/>
                <w:lang w:val="en-US"/>
              </w:rPr>
              <w:t>log as a supporting document.</w:t>
            </w:r>
          </w:p>
        </w:tc>
      </w:tr>
      <w:tr w:rsidR="00DC213D" w:rsidRPr="00CE7512" w14:paraId="715F5CDC" w14:textId="4A3C03DB" w:rsidTr="00C377B1">
        <w:tc>
          <w:tcPr>
            <w:tcW w:w="4788" w:type="dxa"/>
            <w:shd w:val="clear" w:color="auto" w:fill="auto"/>
          </w:tcPr>
          <w:p w14:paraId="739D374C"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4.3.8. </w:t>
            </w:r>
            <w:r w:rsidRPr="00C377B1">
              <w:rPr>
                <w:rFonts w:ascii="Verdana" w:hAnsi="Verdana"/>
                <w:sz w:val="16"/>
                <w:szCs w:val="16"/>
              </w:rPr>
              <w:t>En caso de descontrol de pozos geotérmicos se deben aplicar los Planes de Emergencia y Contingencia, elaborados por el permisionario, mismos que deberán ser aprobados por la SENER y/o autoridad competente.</w:t>
            </w:r>
          </w:p>
        </w:tc>
        <w:tc>
          <w:tcPr>
            <w:tcW w:w="4788" w:type="dxa"/>
            <w:shd w:val="clear" w:color="auto" w:fill="auto"/>
          </w:tcPr>
          <w:p w14:paraId="7B6CCC36" w14:textId="04700074"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4.3.8. </w:t>
            </w:r>
            <w:r w:rsidRPr="00C377B1">
              <w:rPr>
                <w:rFonts w:ascii="Verdana" w:hAnsi="Verdana" w:cs="Times New Roman"/>
                <w:sz w:val="16"/>
                <w:szCs w:val="16"/>
                <w:lang w:val="en-US"/>
              </w:rPr>
              <w:t xml:space="preserve">In </w:t>
            </w:r>
            <w:r w:rsidR="00020782">
              <w:rPr>
                <w:rFonts w:ascii="Verdana" w:hAnsi="Verdana" w:cs="Times New Roman"/>
                <w:sz w:val="16"/>
                <w:szCs w:val="16"/>
                <w:lang w:val="en-US"/>
              </w:rPr>
              <w:t xml:space="preserve">the </w:t>
            </w:r>
            <w:r w:rsidRPr="00C377B1">
              <w:rPr>
                <w:rFonts w:ascii="Verdana" w:hAnsi="Verdana" w:cs="Times New Roman"/>
                <w:sz w:val="16"/>
                <w:szCs w:val="16"/>
                <w:lang w:val="en-US"/>
              </w:rPr>
              <w:t xml:space="preserve">case of uncontrolled geothermal wells, the Emergency and Contingency Plans, prepared by the permit holder, must be applied, which must be approved by the SENER </w:t>
            </w:r>
            <w:r w:rsidR="008F7C01">
              <w:rPr>
                <w:rFonts w:ascii="Verdana" w:hAnsi="Verdana" w:cs="Times New Roman"/>
                <w:sz w:val="16"/>
                <w:szCs w:val="16"/>
                <w:lang w:val="en-US"/>
              </w:rPr>
              <w:t>and/or</w:t>
            </w:r>
            <w:r w:rsidRPr="00C377B1">
              <w:rPr>
                <w:rFonts w:ascii="Verdana" w:hAnsi="Verdana" w:cs="Times New Roman"/>
                <w:sz w:val="16"/>
                <w:szCs w:val="16"/>
                <w:lang w:val="en-US"/>
              </w:rPr>
              <w:t xml:space="preserve"> </w:t>
            </w:r>
            <w:r w:rsidR="00020782">
              <w:rPr>
                <w:rFonts w:ascii="Verdana" w:hAnsi="Verdana" w:cs="Times New Roman"/>
                <w:sz w:val="16"/>
                <w:szCs w:val="16"/>
                <w:lang w:val="en-US"/>
              </w:rPr>
              <w:t xml:space="preserve">the </w:t>
            </w:r>
            <w:r w:rsidR="008F7C01">
              <w:rPr>
                <w:rFonts w:ascii="Verdana" w:hAnsi="Verdana" w:cs="Times New Roman"/>
                <w:sz w:val="16"/>
                <w:szCs w:val="16"/>
                <w:lang w:val="en-US"/>
              </w:rPr>
              <w:t>appropriate authority</w:t>
            </w:r>
            <w:r w:rsidRPr="00C377B1">
              <w:rPr>
                <w:rFonts w:ascii="Verdana" w:hAnsi="Verdana" w:cs="Times New Roman"/>
                <w:sz w:val="16"/>
                <w:szCs w:val="16"/>
                <w:lang w:val="en-US"/>
              </w:rPr>
              <w:t>.</w:t>
            </w:r>
          </w:p>
        </w:tc>
      </w:tr>
      <w:tr w:rsidR="00DC213D" w:rsidRPr="00C377B1" w14:paraId="5CC1ACF9" w14:textId="17E323CA" w:rsidTr="00C377B1">
        <w:tc>
          <w:tcPr>
            <w:tcW w:w="4788" w:type="dxa"/>
            <w:shd w:val="clear" w:color="auto" w:fill="auto"/>
          </w:tcPr>
          <w:p w14:paraId="727A66AB"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4.4. Evaluación de pozos geotérmicos</w:t>
            </w:r>
          </w:p>
        </w:tc>
        <w:tc>
          <w:tcPr>
            <w:tcW w:w="4788" w:type="dxa"/>
            <w:shd w:val="clear" w:color="auto" w:fill="auto"/>
          </w:tcPr>
          <w:p w14:paraId="7FE0ACB5" w14:textId="46253309" w:rsidR="00DC213D" w:rsidRPr="00020782" w:rsidRDefault="00DC213D" w:rsidP="00C377B1">
            <w:pPr>
              <w:pStyle w:val="Texto"/>
              <w:spacing w:line="241" w:lineRule="exact"/>
              <w:ind w:firstLine="0"/>
              <w:rPr>
                <w:rFonts w:ascii="Verdana" w:hAnsi="Verdana"/>
                <w:b/>
                <w:sz w:val="16"/>
                <w:szCs w:val="16"/>
                <w:lang w:val="en-US"/>
              </w:rPr>
            </w:pPr>
            <w:r w:rsidRPr="00020782">
              <w:rPr>
                <w:rFonts w:ascii="Verdana" w:hAnsi="Verdana" w:cs="Times New Roman"/>
                <w:b/>
                <w:bCs/>
                <w:sz w:val="16"/>
                <w:szCs w:val="16"/>
                <w:lang w:val="en-US"/>
              </w:rPr>
              <w:t>4.4. Geothermal Well Evaluation</w:t>
            </w:r>
          </w:p>
        </w:tc>
      </w:tr>
      <w:tr w:rsidR="00DC213D" w:rsidRPr="00CE7512" w14:paraId="159620E2" w14:textId="694EA206" w:rsidTr="00C377B1">
        <w:tc>
          <w:tcPr>
            <w:tcW w:w="4788" w:type="dxa"/>
            <w:shd w:val="clear" w:color="auto" w:fill="auto"/>
          </w:tcPr>
          <w:p w14:paraId="0D15BA3B"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4.4.1. </w:t>
            </w:r>
            <w:r w:rsidRPr="00C377B1">
              <w:rPr>
                <w:rFonts w:ascii="Verdana" w:hAnsi="Verdana"/>
                <w:sz w:val="16"/>
                <w:szCs w:val="16"/>
              </w:rPr>
              <w:t>La evaluación preliminar del pozo exploratorio geotérmico debe tener una duración máxima de 30 días.</w:t>
            </w:r>
          </w:p>
        </w:tc>
        <w:tc>
          <w:tcPr>
            <w:tcW w:w="4788" w:type="dxa"/>
            <w:shd w:val="clear" w:color="auto" w:fill="auto"/>
          </w:tcPr>
          <w:p w14:paraId="08AAAD34" w14:textId="1C23BE62" w:rsidR="00DC213D" w:rsidRPr="00020782" w:rsidRDefault="00DC213D" w:rsidP="00C377B1">
            <w:pPr>
              <w:pStyle w:val="Texto"/>
              <w:spacing w:line="241" w:lineRule="exact"/>
              <w:ind w:firstLine="0"/>
              <w:rPr>
                <w:rFonts w:ascii="Verdana" w:hAnsi="Verdana"/>
                <w:b/>
                <w:sz w:val="16"/>
                <w:szCs w:val="16"/>
                <w:lang w:val="en-US"/>
              </w:rPr>
            </w:pPr>
            <w:r w:rsidRPr="00020782">
              <w:rPr>
                <w:rFonts w:ascii="Verdana" w:hAnsi="Verdana" w:cs="Times New Roman"/>
                <w:b/>
                <w:bCs/>
                <w:sz w:val="16"/>
                <w:szCs w:val="16"/>
                <w:lang w:val="en-US"/>
              </w:rPr>
              <w:t xml:space="preserve">4.4.1. </w:t>
            </w:r>
            <w:r w:rsidRPr="00020782">
              <w:rPr>
                <w:rFonts w:ascii="Verdana" w:hAnsi="Verdana" w:cs="Times New Roman"/>
                <w:sz w:val="16"/>
                <w:szCs w:val="16"/>
                <w:lang w:val="en-US"/>
              </w:rPr>
              <w:t>The preliminary evaluation of the geothermal exploratory well must have a maximum duration of 30 days.</w:t>
            </w:r>
          </w:p>
        </w:tc>
      </w:tr>
      <w:tr w:rsidR="00DC213D" w:rsidRPr="00CE7512" w14:paraId="0F743106" w14:textId="16C36262" w:rsidTr="00C377B1">
        <w:tc>
          <w:tcPr>
            <w:tcW w:w="4788" w:type="dxa"/>
            <w:shd w:val="clear" w:color="auto" w:fill="auto"/>
          </w:tcPr>
          <w:p w14:paraId="3B784176"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4.4.2. </w:t>
            </w:r>
            <w:r w:rsidRPr="00C377B1">
              <w:rPr>
                <w:rFonts w:ascii="Verdana" w:hAnsi="Verdana"/>
                <w:sz w:val="16"/>
                <w:szCs w:val="16"/>
              </w:rPr>
              <w:t>La evaluación preliminar de los pozos se debe realizar con el equipo de control de las descargas de vapor, utilizando válvulas para alta temperatura, silenciadores centrífugos, tuberías de descarga y vertedores.</w:t>
            </w:r>
          </w:p>
        </w:tc>
        <w:tc>
          <w:tcPr>
            <w:tcW w:w="4788" w:type="dxa"/>
            <w:shd w:val="clear" w:color="auto" w:fill="auto"/>
          </w:tcPr>
          <w:p w14:paraId="60A20FCF" w14:textId="224B6E79" w:rsidR="00DC213D" w:rsidRPr="00020782" w:rsidRDefault="00DC213D" w:rsidP="00C377B1">
            <w:pPr>
              <w:pStyle w:val="Texto"/>
              <w:spacing w:line="241" w:lineRule="exact"/>
              <w:ind w:firstLine="0"/>
              <w:rPr>
                <w:rFonts w:ascii="Verdana" w:hAnsi="Verdana"/>
                <w:b/>
                <w:sz w:val="16"/>
                <w:szCs w:val="16"/>
                <w:lang w:val="en-US"/>
              </w:rPr>
            </w:pPr>
            <w:r w:rsidRPr="00020782">
              <w:rPr>
                <w:rFonts w:ascii="Verdana" w:hAnsi="Verdana" w:cs="Times New Roman"/>
                <w:b/>
                <w:bCs/>
                <w:sz w:val="16"/>
                <w:szCs w:val="16"/>
                <w:lang w:val="en-US"/>
              </w:rPr>
              <w:t xml:space="preserve">4.4.2. </w:t>
            </w:r>
            <w:r w:rsidRPr="00020782">
              <w:rPr>
                <w:rFonts w:ascii="Verdana" w:hAnsi="Verdana" w:cs="Times New Roman"/>
                <w:sz w:val="16"/>
                <w:szCs w:val="16"/>
                <w:lang w:val="en-US"/>
              </w:rPr>
              <w:t>The preliminary evaluation of the wells should be carried out with the steam discharge control equipment, using high temperature valves, centrifugal silencers, discharge pipes and dumps.</w:t>
            </w:r>
          </w:p>
        </w:tc>
      </w:tr>
      <w:tr w:rsidR="00DC213D" w:rsidRPr="00CE7512" w14:paraId="6E703E7A" w14:textId="4445599B" w:rsidTr="00C377B1">
        <w:tc>
          <w:tcPr>
            <w:tcW w:w="4788" w:type="dxa"/>
            <w:shd w:val="clear" w:color="auto" w:fill="auto"/>
          </w:tcPr>
          <w:p w14:paraId="77896EE5"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4.4.3. </w:t>
            </w:r>
            <w:r w:rsidRPr="00C377B1">
              <w:rPr>
                <w:rFonts w:ascii="Verdana" w:hAnsi="Verdana"/>
                <w:sz w:val="16"/>
                <w:szCs w:val="16"/>
              </w:rPr>
              <w:t>En caso de que el pozo geotérmico sea productor, el agua separada producida por el mismo se debe dejar en la presa de lodos (que debe estar libre de lodos de perforación) y se le debe instalar un serpentín con tubería de acero para su evaporación.</w:t>
            </w:r>
          </w:p>
        </w:tc>
        <w:tc>
          <w:tcPr>
            <w:tcW w:w="4788" w:type="dxa"/>
            <w:shd w:val="clear" w:color="auto" w:fill="auto"/>
          </w:tcPr>
          <w:p w14:paraId="338B6E3E" w14:textId="166B33BB" w:rsidR="00DC213D" w:rsidRPr="00020782" w:rsidRDefault="00DC213D" w:rsidP="00C377B1">
            <w:pPr>
              <w:pStyle w:val="Texto"/>
              <w:spacing w:line="241" w:lineRule="exact"/>
              <w:ind w:firstLine="0"/>
              <w:rPr>
                <w:rFonts w:ascii="Verdana" w:hAnsi="Verdana"/>
                <w:b/>
                <w:sz w:val="16"/>
                <w:szCs w:val="16"/>
                <w:lang w:val="en-US"/>
              </w:rPr>
            </w:pPr>
            <w:r w:rsidRPr="00020782">
              <w:rPr>
                <w:rFonts w:ascii="Verdana" w:hAnsi="Verdana" w:cs="Times New Roman"/>
                <w:b/>
                <w:bCs/>
                <w:sz w:val="16"/>
                <w:szCs w:val="16"/>
                <w:lang w:val="en-US"/>
              </w:rPr>
              <w:t xml:space="preserve">4.4.3. </w:t>
            </w:r>
            <w:r w:rsidRPr="00020782">
              <w:rPr>
                <w:rFonts w:ascii="Verdana" w:hAnsi="Verdana" w:cs="Times New Roman"/>
                <w:sz w:val="16"/>
                <w:szCs w:val="16"/>
                <w:lang w:val="en-US"/>
              </w:rPr>
              <w:t>If the geothermal well is a producer, the separated water produced by it must be left in the sludge dam (which must be free of drilling mud) and a coil with</w:t>
            </w:r>
            <w:r w:rsidR="00020782">
              <w:rPr>
                <w:rFonts w:ascii="Verdana" w:hAnsi="Verdana" w:cs="Times New Roman"/>
                <w:sz w:val="16"/>
                <w:szCs w:val="16"/>
                <w:lang w:val="en-US"/>
              </w:rPr>
              <w:t xml:space="preserve"> a</w:t>
            </w:r>
            <w:r w:rsidRPr="00020782">
              <w:rPr>
                <w:rFonts w:ascii="Verdana" w:hAnsi="Verdana" w:cs="Times New Roman"/>
                <w:sz w:val="16"/>
                <w:szCs w:val="16"/>
                <w:lang w:val="en-US"/>
              </w:rPr>
              <w:t xml:space="preserve"> steel pipe must be installed for evaporation.</w:t>
            </w:r>
          </w:p>
        </w:tc>
      </w:tr>
      <w:tr w:rsidR="00DC213D" w:rsidRPr="00CE7512" w14:paraId="6B51F342" w14:textId="07111FB0" w:rsidTr="00C377B1">
        <w:tc>
          <w:tcPr>
            <w:tcW w:w="4788" w:type="dxa"/>
            <w:shd w:val="clear" w:color="auto" w:fill="auto"/>
          </w:tcPr>
          <w:p w14:paraId="6319AEC0"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4.4.4. </w:t>
            </w:r>
            <w:r w:rsidRPr="00C377B1">
              <w:rPr>
                <w:rFonts w:ascii="Verdana" w:hAnsi="Verdana"/>
                <w:sz w:val="16"/>
                <w:szCs w:val="16"/>
              </w:rPr>
              <w:t>En la apertura de un pozo para limpieza y evaluación preliminar, se debe:</w:t>
            </w:r>
          </w:p>
        </w:tc>
        <w:tc>
          <w:tcPr>
            <w:tcW w:w="4788" w:type="dxa"/>
            <w:shd w:val="clear" w:color="auto" w:fill="auto"/>
          </w:tcPr>
          <w:p w14:paraId="36F94A47" w14:textId="51B24680" w:rsidR="00DC213D" w:rsidRPr="00020782" w:rsidRDefault="00DC213D" w:rsidP="00C377B1">
            <w:pPr>
              <w:pStyle w:val="Texto"/>
              <w:spacing w:line="241" w:lineRule="exact"/>
              <w:ind w:firstLine="0"/>
              <w:rPr>
                <w:rFonts w:ascii="Verdana" w:hAnsi="Verdana"/>
                <w:b/>
                <w:sz w:val="16"/>
                <w:szCs w:val="16"/>
                <w:lang w:val="en-US"/>
              </w:rPr>
            </w:pPr>
            <w:r w:rsidRPr="00020782">
              <w:rPr>
                <w:rFonts w:ascii="Verdana" w:hAnsi="Verdana" w:cs="Times New Roman"/>
                <w:b/>
                <w:bCs/>
                <w:sz w:val="16"/>
                <w:szCs w:val="16"/>
                <w:lang w:val="en-US"/>
              </w:rPr>
              <w:t xml:space="preserve">4.4.4. </w:t>
            </w:r>
            <w:r w:rsidRPr="00020782">
              <w:rPr>
                <w:rFonts w:ascii="Verdana" w:hAnsi="Verdana" w:cs="Times New Roman"/>
                <w:sz w:val="16"/>
                <w:szCs w:val="16"/>
                <w:lang w:val="en-US"/>
              </w:rPr>
              <w:t xml:space="preserve">When opening a well for cleaning and preliminary evaluation, </w:t>
            </w:r>
            <w:r w:rsidR="00020782">
              <w:rPr>
                <w:rFonts w:ascii="Verdana" w:hAnsi="Verdana" w:cs="Times New Roman"/>
                <w:sz w:val="16"/>
                <w:szCs w:val="16"/>
                <w:lang w:val="en-US"/>
              </w:rPr>
              <w:t>one</w:t>
            </w:r>
            <w:r w:rsidRPr="00020782">
              <w:rPr>
                <w:rFonts w:ascii="Verdana" w:hAnsi="Verdana" w:cs="Times New Roman"/>
                <w:sz w:val="16"/>
                <w:szCs w:val="16"/>
                <w:lang w:val="en-US"/>
              </w:rPr>
              <w:t xml:space="preserve"> must:</w:t>
            </w:r>
          </w:p>
        </w:tc>
      </w:tr>
      <w:tr w:rsidR="00DC213D" w:rsidRPr="00CE7512" w14:paraId="675A8848" w14:textId="14A34722" w:rsidTr="00C377B1">
        <w:tc>
          <w:tcPr>
            <w:tcW w:w="4788" w:type="dxa"/>
            <w:shd w:val="clear" w:color="auto" w:fill="auto"/>
          </w:tcPr>
          <w:p w14:paraId="41EE2051"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a) </w:t>
            </w:r>
            <w:r w:rsidRPr="00C377B1">
              <w:rPr>
                <w:rFonts w:ascii="Verdana" w:hAnsi="Verdana"/>
                <w:sz w:val="16"/>
                <w:szCs w:val="16"/>
              </w:rPr>
              <w:t>Evitar las descargas de vapor o mezclas de vapor y agua en forma vertical, y</w:t>
            </w:r>
          </w:p>
        </w:tc>
        <w:tc>
          <w:tcPr>
            <w:tcW w:w="4788" w:type="dxa"/>
            <w:shd w:val="clear" w:color="auto" w:fill="auto"/>
          </w:tcPr>
          <w:p w14:paraId="56ECA5D0" w14:textId="64B07797"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a) </w:t>
            </w:r>
            <w:r w:rsidRPr="00C377B1">
              <w:rPr>
                <w:rFonts w:ascii="Verdana" w:hAnsi="Verdana" w:cs="Times New Roman"/>
                <w:sz w:val="16"/>
                <w:szCs w:val="16"/>
                <w:lang w:val="en-US"/>
              </w:rPr>
              <w:t>Avoid steam discharges or mixtures of steam and water vertically, and</w:t>
            </w:r>
          </w:p>
        </w:tc>
      </w:tr>
      <w:tr w:rsidR="00DC213D" w:rsidRPr="00CE7512" w14:paraId="6ECD69E0" w14:textId="4FA1FAD2" w:rsidTr="00C377B1">
        <w:tc>
          <w:tcPr>
            <w:tcW w:w="4788" w:type="dxa"/>
            <w:shd w:val="clear" w:color="auto" w:fill="auto"/>
          </w:tcPr>
          <w:p w14:paraId="172B2F97"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b) </w:t>
            </w:r>
            <w:r w:rsidRPr="00C377B1">
              <w:rPr>
                <w:rFonts w:ascii="Verdana" w:hAnsi="Verdana"/>
                <w:sz w:val="16"/>
                <w:szCs w:val="16"/>
              </w:rPr>
              <w:t xml:space="preserve">Dirigir la descarga lateral hacia el silenciador para reducir la emisión de ruido y vapor proveniente del </w:t>
            </w:r>
            <w:r w:rsidRPr="00C377B1">
              <w:rPr>
                <w:rFonts w:ascii="Verdana" w:hAnsi="Verdana"/>
                <w:sz w:val="16"/>
                <w:szCs w:val="16"/>
              </w:rPr>
              <w:lastRenderedPageBreak/>
              <w:t>mismo.</w:t>
            </w:r>
          </w:p>
        </w:tc>
        <w:tc>
          <w:tcPr>
            <w:tcW w:w="4788" w:type="dxa"/>
            <w:shd w:val="clear" w:color="auto" w:fill="auto"/>
          </w:tcPr>
          <w:p w14:paraId="14203776" w14:textId="60E8B698"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lastRenderedPageBreak/>
              <w:t xml:space="preserve">b) </w:t>
            </w:r>
            <w:r w:rsidRPr="00C377B1">
              <w:rPr>
                <w:rFonts w:ascii="Verdana" w:hAnsi="Verdana" w:cs="Times New Roman"/>
                <w:sz w:val="16"/>
                <w:szCs w:val="16"/>
                <w:lang w:val="en-US"/>
              </w:rPr>
              <w:t>Direct the side discharge towards the silencer to reduce the emission of noise and steam from it.</w:t>
            </w:r>
          </w:p>
        </w:tc>
      </w:tr>
      <w:tr w:rsidR="00DC213D" w:rsidRPr="00CE7512" w14:paraId="61297FE5" w14:textId="32FC764C" w:rsidTr="00C377B1">
        <w:tc>
          <w:tcPr>
            <w:tcW w:w="4788" w:type="dxa"/>
            <w:shd w:val="clear" w:color="auto" w:fill="auto"/>
          </w:tcPr>
          <w:p w14:paraId="5963B527" w14:textId="77777777" w:rsidR="00DC213D" w:rsidRPr="00C377B1" w:rsidRDefault="00DC213D" w:rsidP="00C377B1">
            <w:pPr>
              <w:pStyle w:val="Texto"/>
              <w:spacing w:line="241" w:lineRule="exact"/>
              <w:ind w:firstLine="0"/>
              <w:rPr>
                <w:rFonts w:ascii="Verdana" w:hAnsi="Verdana"/>
                <w:b/>
                <w:sz w:val="16"/>
                <w:szCs w:val="16"/>
              </w:rPr>
            </w:pPr>
            <w:r w:rsidRPr="00C377B1">
              <w:rPr>
                <w:rFonts w:ascii="Verdana" w:hAnsi="Verdana"/>
                <w:b/>
                <w:sz w:val="16"/>
                <w:szCs w:val="16"/>
              </w:rPr>
              <w:t>4.5. Terminación de actividades y abandono del sitio</w:t>
            </w:r>
          </w:p>
        </w:tc>
        <w:tc>
          <w:tcPr>
            <w:tcW w:w="4788" w:type="dxa"/>
            <w:shd w:val="clear" w:color="auto" w:fill="auto"/>
          </w:tcPr>
          <w:p w14:paraId="1A52FF94" w14:textId="5AB1BDC8"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4.5. Termination of activities and abandonment of the site</w:t>
            </w:r>
          </w:p>
        </w:tc>
      </w:tr>
      <w:tr w:rsidR="00DC213D" w:rsidRPr="00CE7512" w14:paraId="291578A4" w14:textId="7D238C8E" w:rsidTr="00C377B1">
        <w:tc>
          <w:tcPr>
            <w:tcW w:w="4788" w:type="dxa"/>
            <w:shd w:val="clear" w:color="auto" w:fill="auto"/>
          </w:tcPr>
          <w:p w14:paraId="101C4F28" w14:textId="77777777" w:rsidR="00DC213D" w:rsidRPr="00216533" w:rsidRDefault="00DC213D" w:rsidP="00C377B1">
            <w:pPr>
              <w:pStyle w:val="Texto"/>
              <w:spacing w:line="241" w:lineRule="exact"/>
              <w:ind w:firstLine="0"/>
              <w:rPr>
                <w:rFonts w:ascii="Verdana" w:hAnsi="Verdana"/>
                <w:sz w:val="16"/>
                <w:szCs w:val="16"/>
              </w:rPr>
            </w:pPr>
            <w:r w:rsidRPr="00216533">
              <w:rPr>
                <w:rFonts w:ascii="Verdana" w:hAnsi="Verdana"/>
                <w:b/>
                <w:sz w:val="16"/>
                <w:szCs w:val="16"/>
              </w:rPr>
              <w:t xml:space="preserve">4.5.1. </w:t>
            </w:r>
            <w:r w:rsidRPr="00216533">
              <w:rPr>
                <w:rFonts w:ascii="Verdana" w:hAnsi="Verdana"/>
                <w:sz w:val="16"/>
                <w:szCs w:val="16"/>
              </w:rPr>
              <w:t>Al término de las actividades de perforación de pozos, se debe proceder al desmantelamiento y al retiro total del equipo de perforación y de los sanitarios portátiles.</w:t>
            </w:r>
          </w:p>
        </w:tc>
        <w:tc>
          <w:tcPr>
            <w:tcW w:w="4788" w:type="dxa"/>
            <w:shd w:val="clear" w:color="auto" w:fill="auto"/>
          </w:tcPr>
          <w:p w14:paraId="57D421D7" w14:textId="6FCA9651" w:rsidR="00DC213D" w:rsidRPr="00216533" w:rsidRDefault="00DC213D" w:rsidP="00C377B1">
            <w:pPr>
              <w:pStyle w:val="Texto"/>
              <w:spacing w:line="241" w:lineRule="exact"/>
              <w:ind w:firstLine="0"/>
              <w:rPr>
                <w:rFonts w:ascii="Verdana" w:hAnsi="Verdana"/>
                <w:b/>
                <w:sz w:val="16"/>
                <w:szCs w:val="16"/>
                <w:lang w:val="en-US"/>
              </w:rPr>
            </w:pPr>
            <w:r w:rsidRPr="00216533">
              <w:rPr>
                <w:rFonts w:ascii="Verdana" w:hAnsi="Verdana" w:cs="Times New Roman"/>
                <w:b/>
                <w:bCs/>
                <w:sz w:val="16"/>
                <w:szCs w:val="16"/>
                <w:lang w:val="en-US"/>
              </w:rPr>
              <w:t xml:space="preserve">4.5.1. </w:t>
            </w:r>
            <w:r w:rsidRPr="00216533">
              <w:rPr>
                <w:rFonts w:ascii="Verdana" w:hAnsi="Verdana" w:cs="Times New Roman"/>
                <w:sz w:val="16"/>
                <w:szCs w:val="16"/>
                <w:lang w:val="en-US"/>
              </w:rPr>
              <w:t>At the end of the well drilling activities, the dismantling and total removal of the drilling equipment and portable toilets must be carried out.</w:t>
            </w:r>
          </w:p>
        </w:tc>
      </w:tr>
      <w:tr w:rsidR="00DC213D" w:rsidRPr="00CE7512" w14:paraId="25C1B4CD" w14:textId="0023117F" w:rsidTr="00C377B1">
        <w:tc>
          <w:tcPr>
            <w:tcW w:w="4788" w:type="dxa"/>
            <w:shd w:val="clear" w:color="auto" w:fill="auto"/>
          </w:tcPr>
          <w:p w14:paraId="37C1ED84"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 xml:space="preserve">4.5.2. </w:t>
            </w:r>
            <w:r w:rsidRPr="00C377B1">
              <w:rPr>
                <w:rFonts w:ascii="Verdana" w:hAnsi="Verdana"/>
                <w:sz w:val="16"/>
                <w:szCs w:val="16"/>
              </w:rPr>
              <w:t>Al término de las actividades se debe realizar la limpieza del sitio, a fin de evitar la contaminación de áreas aledañas; disponiendo los residuos peligrosos y de manejo especial de acuerdo con lo establecido en la Ley General para la Prevención y Gestión Integral de los Residuos y su Reglamento.</w:t>
            </w:r>
          </w:p>
        </w:tc>
        <w:tc>
          <w:tcPr>
            <w:tcW w:w="4788" w:type="dxa"/>
            <w:shd w:val="clear" w:color="auto" w:fill="auto"/>
          </w:tcPr>
          <w:p w14:paraId="5C62E730" w14:textId="3127430F"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4.5.2. </w:t>
            </w:r>
            <w:r w:rsidRPr="00C377B1">
              <w:rPr>
                <w:rFonts w:ascii="Verdana" w:hAnsi="Verdana" w:cs="Times New Roman"/>
                <w:sz w:val="16"/>
                <w:szCs w:val="16"/>
                <w:lang w:val="en-US"/>
              </w:rPr>
              <w:t xml:space="preserve">At the end of the activities, the site must be cleaned, in order to avoid contamination of surrounding areas; </w:t>
            </w:r>
            <w:r w:rsidR="00216533">
              <w:rPr>
                <w:rFonts w:ascii="Verdana" w:hAnsi="Verdana" w:cs="Times New Roman"/>
                <w:sz w:val="16"/>
                <w:szCs w:val="16"/>
                <w:lang w:val="en-US"/>
              </w:rPr>
              <w:t xml:space="preserve">by </w:t>
            </w:r>
            <w:r w:rsidRPr="00C377B1">
              <w:rPr>
                <w:rFonts w:ascii="Verdana" w:hAnsi="Verdana" w:cs="Times New Roman"/>
                <w:sz w:val="16"/>
                <w:szCs w:val="16"/>
                <w:lang w:val="en-US"/>
              </w:rPr>
              <w:t>disposing of hazardous waste</w:t>
            </w:r>
            <w:r w:rsidR="00216533">
              <w:rPr>
                <w:rFonts w:ascii="Verdana" w:hAnsi="Verdana" w:cs="Times New Roman"/>
                <w:sz w:val="16"/>
                <w:szCs w:val="16"/>
                <w:lang w:val="en-US"/>
              </w:rPr>
              <w:t>s</w:t>
            </w:r>
            <w:r w:rsidRPr="00C377B1">
              <w:rPr>
                <w:rFonts w:ascii="Verdana" w:hAnsi="Verdana" w:cs="Times New Roman"/>
                <w:sz w:val="16"/>
                <w:szCs w:val="16"/>
                <w:lang w:val="en-US"/>
              </w:rPr>
              <w:t xml:space="preserve"> and </w:t>
            </w:r>
            <w:r w:rsidR="00216533">
              <w:rPr>
                <w:rFonts w:ascii="Verdana" w:hAnsi="Verdana" w:cs="Times New Roman"/>
                <w:sz w:val="16"/>
                <w:szCs w:val="16"/>
                <w:lang w:val="en-US"/>
              </w:rPr>
              <w:t>wastes requiring special handling</w:t>
            </w:r>
            <w:r w:rsidRPr="00C377B1">
              <w:rPr>
                <w:rFonts w:ascii="Verdana" w:hAnsi="Verdana" w:cs="Times New Roman"/>
                <w:sz w:val="16"/>
                <w:szCs w:val="16"/>
                <w:lang w:val="en-US"/>
              </w:rPr>
              <w:t xml:space="preserve"> in accordance with the provisions of the General Law for the Prevention and Integral Management of Waste</w:t>
            </w:r>
            <w:r w:rsidR="00216533">
              <w:rPr>
                <w:rFonts w:ascii="Verdana" w:hAnsi="Verdana" w:cs="Times New Roman"/>
                <w:sz w:val="16"/>
                <w:szCs w:val="16"/>
                <w:lang w:val="en-US"/>
              </w:rPr>
              <w:t>s</w:t>
            </w:r>
            <w:r w:rsidRPr="00C377B1">
              <w:rPr>
                <w:rFonts w:ascii="Verdana" w:hAnsi="Verdana" w:cs="Times New Roman"/>
                <w:sz w:val="16"/>
                <w:szCs w:val="16"/>
                <w:lang w:val="en-US"/>
              </w:rPr>
              <w:t xml:space="preserve"> and its Regulation.</w:t>
            </w:r>
          </w:p>
        </w:tc>
      </w:tr>
      <w:tr w:rsidR="00DC213D" w:rsidRPr="00CE7512" w14:paraId="604BFE01" w14:textId="594C032A" w:rsidTr="00C377B1">
        <w:tc>
          <w:tcPr>
            <w:tcW w:w="4788" w:type="dxa"/>
            <w:shd w:val="clear" w:color="auto" w:fill="auto"/>
          </w:tcPr>
          <w:p w14:paraId="1341D9C4"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4.5.3.</w:t>
            </w:r>
            <w:r w:rsidRPr="00C377B1">
              <w:rPr>
                <w:rFonts w:ascii="Verdana" w:hAnsi="Verdana"/>
                <w:sz w:val="16"/>
                <w:szCs w:val="16"/>
              </w:rPr>
              <w:t xml:space="preserve"> En caso de que el pozo exploratorio geotérmico resulte improductivo, se debe taponar al cabo de un lapso máximo de 1 año. Asimismo, se debe proceder al cierre definitivo del mismo conforme a las disposiciones técnicas de la NOM-004-CONAGUA-1996.</w:t>
            </w:r>
          </w:p>
        </w:tc>
        <w:tc>
          <w:tcPr>
            <w:tcW w:w="4788" w:type="dxa"/>
            <w:shd w:val="clear" w:color="auto" w:fill="auto"/>
          </w:tcPr>
          <w:p w14:paraId="54224B9B" w14:textId="740190CE"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4.5.3. </w:t>
            </w:r>
            <w:r w:rsidRPr="00C377B1">
              <w:rPr>
                <w:rFonts w:ascii="Verdana" w:hAnsi="Verdana" w:cs="Times New Roman"/>
                <w:sz w:val="16"/>
                <w:szCs w:val="16"/>
                <w:lang w:val="en-US"/>
              </w:rPr>
              <w:t xml:space="preserve">If the geothermal exploratory well is unproductive, it should be plugged after a maximum period of 1 year. </w:t>
            </w:r>
            <w:r w:rsidR="00216533">
              <w:rPr>
                <w:rFonts w:ascii="Verdana" w:hAnsi="Verdana" w:cs="Times New Roman"/>
                <w:sz w:val="16"/>
                <w:szCs w:val="16"/>
                <w:lang w:val="en-US"/>
              </w:rPr>
              <w:t>Furthermore</w:t>
            </w:r>
            <w:r w:rsidRPr="00C377B1">
              <w:rPr>
                <w:rFonts w:ascii="Verdana" w:hAnsi="Verdana" w:cs="Times New Roman"/>
                <w:sz w:val="16"/>
                <w:szCs w:val="16"/>
                <w:lang w:val="en-US"/>
              </w:rPr>
              <w:t xml:space="preserve">, it must be </w:t>
            </w:r>
            <w:r w:rsidR="00216533">
              <w:rPr>
                <w:rFonts w:ascii="Verdana" w:hAnsi="Verdana" w:cs="Times New Roman"/>
                <w:sz w:val="16"/>
                <w:szCs w:val="16"/>
                <w:lang w:val="en-US"/>
              </w:rPr>
              <w:t>permanently</w:t>
            </w:r>
            <w:r w:rsidRPr="00C377B1">
              <w:rPr>
                <w:rFonts w:ascii="Verdana" w:hAnsi="Verdana" w:cs="Times New Roman"/>
                <w:sz w:val="16"/>
                <w:szCs w:val="16"/>
                <w:lang w:val="en-US"/>
              </w:rPr>
              <w:t xml:space="preserve"> closed in accordance with the technical provisions of NOM-004-CONAGUA-1996.</w:t>
            </w:r>
          </w:p>
        </w:tc>
      </w:tr>
      <w:tr w:rsidR="00DC213D" w:rsidRPr="00CE7512" w14:paraId="1A422DE9" w14:textId="42BB61FC" w:rsidTr="00C377B1">
        <w:tc>
          <w:tcPr>
            <w:tcW w:w="4788" w:type="dxa"/>
            <w:shd w:val="clear" w:color="auto" w:fill="auto"/>
          </w:tcPr>
          <w:p w14:paraId="5E5C6958"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4.5.4.</w:t>
            </w:r>
            <w:r w:rsidRPr="00C377B1">
              <w:rPr>
                <w:rFonts w:ascii="Verdana" w:hAnsi="Verdana"/>
                <w:sz w:val="16"/>
                <w:szCs w:val="16"/>
              </w:rPr>
              <w:t xml:space="preserve"> En el caso de que el pozo resulte improductivo, el área y zonas aledañas a la plataforma que hayan resultado afectadas, deben ser rehabilitadas a condiciones similares a las prevalecientes en las áreas adyacentes al momento del inicio de los trabajos de perforación, retirando los lodos de perforación de la presa.</w:t>
            </w:r>
          </w:p>
        </w:tc>
        <w:tc>
          <w:tcPr>
            <w:tcW w:w="4788" w:type="dxa"/>
            <w:shd w:val="clear" w:color="auto" w:fill="auto"/>
          </w:tcPr>
          <w:p w14:paraId="29AAD0DF" w14:textId="7299E959"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4.5.4. </w:t>
            </w:r>
            <w:r w:rsidRPr="00C377B1">
              <w:rPr>
                <w:rFonts w:ascii="Verdana" w:hAnsi="Verdana" w:cs="Times New Roman"/>
                <w:sz w:val="16"/>
                <w:szCs w:val="16"/>
                <w:lang w:val="en-US"/>
              </w:rPr>
              <w:t xml:space="preserve">In the event that the well is unproductive, the area and areas adjacent to the platform that have been affected must be rehabilitated under conditions similar to those prevailing in the adjacent areas at the time of the start of drilling work, removing sludge from </w:t>
            </w:r>
            <w:r w:rsidR="00216533">
              <w:rPr>
                <w:rFonts w:ascii="Verdana" w:hAnsi="Verdana" w:cs="Times New Roman"/>
                <w:sz w:val="16"/>
                <w:szCs w:val="16"/>
                <w:lang w:val="en-US"/>
              </w:rPr>
              <w:t xml:space="preserve">the </w:t>
            </w:r>
            <w:r w:rsidRPr="00C377B1">
              <w:rPr>
                <w:rFonts w:ascii="Verdana" w:hAnsi="Verdana" w:cs="Times New Roman"/>
                <w:sz w:val="16"/>
                <w:szCs w:val="16"/>
                <w:lang w:val="en-US"/>
              </w:rPr>
              <w:t>drilling of the dam.</w:t>
            </w:r>
          </w:p>
        </w:tc>
      </w:tr>
      <w:tr w:rsidR="00DC213D" w:rsidRPr="00CE7512" w14:paraId="1C7E29B7" w14:textId="191BCA10" w:rsidTr="00C377B1">
        <w:tc>
          <w:tcPr>
            <w:tcW w:w="4788" w:type="dxa"/>
            <w:shd w:val="clear" w:color="auto" w:fill="auto"/>
          </w:tcPr>
          <w:p w14:paraId="77E80E6B"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4.5.5.</w:t>
            </w:r>
            <w:r w:rsidRPr="00C377B1">
              <w:rPr>
                <w:rFonts w:ascii="Verdana" w:hAnsi="Verdana"/>
                <w:sz w:val="16"/>
                <w:szCs w:val="16"/>
              </w:rPr>
              <w:t xml:space="preserve"> En caso de que el pozo resulte productivo, se debe instalar una rejilla metálica en el área de contrapozo a fin de evitar un riesgo para la fauna.</w:t>
            </w:r>
          </w:p>
        </w:tc>
        <w:tc>
          <w:tcPr>
            <w:tcW w:w="4788" w:type="dxa"/>
            <w:shd w:val="clear" w:color="auto" w:fill="auto"/>
          </w:tcPr>
          <w:p w14:paraId="5A23937D" w14:textId="02D29F42"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4.5.5. </w:t>
            </w:r>
            <w:r w:rsidRPr="00C377B1">
              <w:rPr>
                <w:rFonts w:ascii="Verdana" w:hAnsi="Verdana" w:cs="Times New Roman"/>
                <w:sz w:val="16"/>
                <w:szCs w:val="16"/>
                <w:lang w:val="en-US"/>
              </w:rPr>
              <w:t xml:space="preserve">In the event that the well is productive, a metal grid must be installed in the </w:t>
            </w:r>
            <w:r w:rsidR="00216533">
              <w:rPr>
                <w:rFonts w:ascii="Verdana" w:hAnsi="Verdana" w:cs="Times New Roman"/>
                <w:sz w:val="16"/>
                <w:szCs w:val="16"/>
                <w:lang w:val="en-US"/>
              </w:rPr>
              <w:t>counter well</w:t>
            </w:r>
            <w:r w:rsidRPr="00C377B1">
              <w:rPr>
                <w:rFonts w:ascii="Verdana" w:hAnsi="Verdana" w:cs="Times New Roman"/>
                <w:sz w:val="16"/>
                <w:szCs w:val="16"/>
                <w:lang w:val="en-US"/>
              </w:rPr>
              <w:t xml:space="preserve"> area in order to avoid a risk to wildlife.</w:t>
            </w:r>
          </w:p>
        </w:tc>
      </w:tr>
      <w:tr w:rsidR="00DC213D" w:rsidRPr="00C377B1" w14:paraId="0B0A9624" w14:textId="21DE0DC9" w:rsidTr="00C377B1">
        <w:tc>
          <w:tcPr>
            <w:tcW w:w="4788" w:type="dxa"/>
            <w:shd w:val="clear" w:color="auto" w:fill="auto"/>
          </w:tcPr>
          <w:p w14:paraId="2F131B49" w14:textId="77777777" w:rsidR="00DC213D" w:rsidRPr="00C377B1" w:rsidRDefault="00DC213D" w:rsidP="00C377B1">
            <w:pPr>
              <w:pStyle w:val="Texto"/>
              <w:spacing w:line="241" w:lineRule="exact"/>
              <w:ind w:firstLine="0"/>
              <w:rPr>
                <w:rFonts w:ascii="Verdana" w:hAnsi="Verdana"/>
                <w:b/>
                <w:sz w:val="16"/>
                <w:szCs w:val="16"/>
              </w:rPr>
            </w:pPr>
            <w:r w:rsidRPr="00C377B1">
              <w:rPr>
                <w:rFonts w:ascii="Verdana" w:hAnsi="Verdana"/>
                <w:b/>
                <w:sz w:val="16"/>
                <w:szCs w:val="16"/>
              </w:rPr>
              <w:t>5. Procedimiento de evaluación de la conformidad</w:t>
            </w:r>
          </w:p>
        </w:tc>
        <w:tc>
          <w:tcPr>
            <w:tcW w:w="4788" w:type="dxa"/>
            <w:shd w:val="clear" w:color="auto" w:fill="auto"/>
          </w:tcPr>
          <w:p w14:paraId="5EC396A8" w14:textId="5F92CE56" w:rsidR="00DC213D" w:rsidRPr="00216533" w:rsidRDefault="00DC213D" w:rsidP="00C377B1">
            <w:pPr>
              <w:pStyle w:val="Texto"/>
              <w:spacing w:line="241" w:lineRule="exact"/>
              <w:ind w:firstLine="0"/>
              <w:rPr>
                <w:rFonts w:ascii="Verdana" w:hAnsi="Verdana"/>
                <w:b/>
                <w:sz w:val="16"/>
                <w:szCs w:val="16"/>
                <w:lang w:val="en-US"/>
              </w:rPr>
            </w:pPr>
            <w:r w:rsidRPr="00216533">
              <w:rPr>
                <w:rFonts w:ascii="Verdana" w:hAnsi="Verdana" w:cs="Times New Roman"/>
                <w:b/>
                <w:bCs/>
                <w:sz w:val="16"/>
                <w:szCs w:val="16"/>
                <w:lang w:val="en-US"/>
              </w:rPr>
              <w:t xml:space="preserve">5. </w:t>
            </w:r>
            <w:r w:rsidR="00216533">
              <w:rPr>
                <w:rFonts w:ascii="Verdana" w:hAnsi="Verdana" w:cs="Times New Roman"/>
                <w:b/>
                <w:bCs/>
                <w:sz w:val="16"/>
                <w:szCs w:val="16"/>
                <w:lang w:val="en-US"/>
              </w:rPr>
              <w:t>Procedure for the evaluation of conformity</w:t>
            </w:r>
          </w:p>
        </w:tc>
      </w:tr>
      <w:tr w:rsidR="00DC213D" w:rsidRPr="00CE7512" w14:paraId="063018D0" w14:textId="1077A58B" w:rsidTr="00C377B1">
        <w:tc>
          <w:tcPr>
            <w:tcW w:w="4788" w:type="dxa"/>
            <w:shd w:val="clear" w:color="auto" w:fill="auto"/>
          </w:tcPr>
          <w:p w14:paraId="302E95A8"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5.1.</w:t>
            </w:r>
            <w:r w:rsidRPr="00C377B1">
              <w:rPr>
                <w:rFonts w:ascii="Verdana" w:hAnsi="Verdana"/>
                <w:sz w:val="16"/>
                <w:szCs w:val="16"/>
              </w:rPr>
              <w:t xml:space="preserve"> Este procedimiento es aplicable a la evaluación de la conformidad de la presente Norma Oficial Mexicana.</w:t>
            </w:r>
          </w:p>
        </w:tc>
        <w:tc>
          <w:tcPr>
            <w:tcW w:w="4788" w:type="dxa"/>
            <w:shd w:val="clear" w:color="auto" w:fill="auto"/>
          </w:tcPr>
          <w:p w14:paraId="5916784C" w14:textId="737CD2B9" w:rsidR="00DC213D" w:rsidRPr="00216533" w:rsidRDefault="00DC213D" w:rsidP="00C377B1">
            <w:pPr>
              <w:pStyle w:val="Texto"/>
              <w:spacing w:line="241" w:lineRule="exact"/>
              <w:ind w:firstLine="0"/>
              <w:rPr>
                <w:rFonts w:ascii="Verdana" w:hAnsi="Verdana"/>
                <w:b/>
                <w:sz w:val="16"/>
                <w:szCs w:val="16"/>
                <w:lang w:val="en-US"/>
              </w:rPr>
            </w:pPr>
            <w:r w:rsidRPr="00216533">
              <w:rPr>
                <w:rFonts w:ascii="Verdana" w:hAnsi="Verdana" w:cs="Times New Roman"/>
                <w:b/>
                <w:bCs/>
                <w:sz w:val="16"/>
                <w:szCs w:val="16"/>
                <w:lang w:val="en-US"/>
              </w:rPr>
              <w:t xml:space="preserve">5.1. </w:t>
            </w:r>
            <w:r w:rsidRPr="00216533">
              <w:rPr>
                <w:rFonts w:ascii="Verdana" w:hAnsi="Verdana" w:cs="Times New Roman"/>
                <w:sz w:val="16"/>
                <w:szCs w:val="16"/>
                <w:lang w:val="en-US"/>
              </w:rPr>
              <w:t>This procedure is applicable to the conformity assessment of this Official Mexican Standard.</w:t>
            </w:r>
          </w:p>
        </w:tc>
      </w:tr>
      <w:tr w:rsidR="00DC213D" w:rsidRPr="00CE7512" w14:paraId="442B59F1" w14:textId="4E11DB4B" w:rsidTr="00C377B1">
        <w:tc>
          <w:tcPr>
            <w:tcW w:w="4788" w:type="dxa"/>
            <w:shd w:val="clear" w:color="auto" w:fill="auto"/>
          </w:tcPr>
          <w:p w14:paraId="7E34A1AD"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5.2.</w:t>
            </w:r>
            <w:r w:rsidRPr="00C377B1">
              <w:rPr>
                <w:rFonts w:ascii="Verdana" w:hAnsi="Verdana"/>
                <w:sz w:val="16"/>
                <w:szCs w:val="16"/>
              </w:rPr>
              <w:t xml:space="preserve"> Para efectos de este procedimiento, se deben considerar las definiciones contenidas en la Ley Federal sobre Metrología y Normalización y su Reglamento.</w:t>
            </w:r>
          </w:p>
        </w:tc>
        <w:tc>
          <w:tcPr>
            <w:tcW w:w="4788" w:type="dxa"/>
            <w:shd w:val="clear" w:color="auto" w:fill="auto"/>
          </w:tcPr>
          <w:p w14:paraId="1E16A45D" w14:textId="78B4F786"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5.2. </w:t>
            </w:r>
            <w:r w:rsidRPr="00C377B1">
              <w:rPr>
                <w:rFonts w:ascii="Verdana" w:hAnsi="Verdana" w:cs="Times New Roman"/>
                <w:sz w:val="16"/>
                <w:szCs w:val="16"/>
                <w:lang w:val="en-US"/>
              </w:rPr>
              <w:t xml:space="preserve">For the purposes of this procedure, the definitions contained in the Federal Law on Metrology and Standardization and its Regulation must be </w:t>
            </w:r>
            <w:r w:rsidR="00216533">
              <w:rPr>
                <w:rFonts w:ascii="Verdana" w:hAnsi="Verdana" w:cs="Times New Roman"/>
                <w:sz w:val="16"/>
                <w:szCs w:val="16"/>
                <w:lang w:val="en-US"/>
              </w:rPr>
              <w:t>taken into consideration.</w:t>
            </w:r>
          </w:p>
        </w:tc>
      </w:tr>
      <w:tr w:rsidR="00DC213D" w:rsidRPr="00CE7512" w14:paraId="2CC67B97" w14:textId="65AC4EA3" w:rsidTr="00C377B1">
        <w:tc>
          <w:tcPr>
            <w:tcW w:w="4788" w:type="dxa"/>
            <w:shd w:val="clear" w:color="auto" w:fill="auto"/>
          </w:tcPr>
          <w:p w14:paraId="4E264233" w14:textId="77777777" w:rsidR="00DC213D" w:rsidRPr="00C377B1" w:rsidRDefault="00DC213D" w:rsidP="00C377B1">
            <w:pPr>
              <w:pStyle w:val="Texto"/>
              <w:spacing w:line="241" w:lineRule="exact"/>
              <w:ind w:firstLine="0"/>
              <w:rPr>
                <w:rFonts w:ascii="Verdana" w:hAnsi="Verdana"/>
                <w:sz w:val="16"/>
                <w:szCs w:val="16"/>
              </w:rPr>
            </w:pPr>
            <w:r w:rsidRPr="00C377B1">
              <w:rPr>
                <w:rFonts w:ascii="Verdana" w:hAnsi="Verdana"/>
                <w:b/>
                <w:sz w:val="16"/>
                <w:szCs w:val="16"/>
              </w:rPr>
              <w:t>5.3.</w:t>
            </w:r>
            <w:r w:rsidRPr="00C377B1">
              <w:rPr>
                <w:rFonts w:ascii="Verdana" w:hAnsi="Verdana"/>
                <w:sz w:val="16"/>
                <w:szCs w:val="16"/>
              </w:rPr>
              <w:t xml:space="preserve"> La evaluación de la conformidad se realizará por la Procuraduría Federal de Protección al Ambiente y por la Comisión Nacional del Agua, en el ámbito de sus atribuciones y competencias, o a solicitud de parte, por Unidades de Verificación acreditadas y aprobadas, en los términos y alcances que establece la Ley Federal sobre Metrología y Normalización y su Reglamento.</w:t>
            </w:r>
          </w:p>
        </w:tc>
        <w:tc>
          <w:tcPr>
            <w:tcW w:w="4788" w:type="dxa"/>
            <w:shd w:val="clear" w:color="auto" w:fill="auto"/>
          </w:tcPr>
          <w:p w14:paraId="1E51AEAA" w14:textId="1F34F725" w:rsidR="00DC213D" w:rsidRPr="00C377B1" w:rsidRDefault="00DC213D" w:rsidP="00C377B1">
            <w:pPr>
              <w:pStyle w:val="Texto"/>
              <w:spacing w:line="241" w:lineRule="exact"/>
              <w:ind w:firstLine="0"/>
              <w:rPr>
                <w:rFonts w:ascii="Verdana" w:hAnsi="Verdana"/>
                <w:b/>
                <w:sz w:val="16"/>
                <w:szCs w:val="16"/>
                <w:lang w:val="en-US"/>
              </w:rPr>
            </w:pPr>
            <w:r w:rsidRPr="00C377B1">
              <w:rPr>
                <w:rFonts w:ascii="Verdana" w:hAnsi="Verdana" w:cs="Times New Roman"/>
                <w:b/>
                <w:bCs/>
                <w:sz w:val="16"/>
                <w:szCs w:val="16"/>
                <w:lang w:val="en-US"/>
              </w:rPr>
              <w:t xml:space="preserve">5.3. </w:t>
            </w:r>
            <w:r w:rsidRPr="00C377B1">
              <w:rPr>
                <w:rFonts w:ascii="Verdana" w:hAnsi="Verdana" w:cs="Times New Roman"/>
                <w:sz w:val="16"/>
                <w:szCs w:val="16"/>
                <w:lang w:val="en-US"/>
              </w:rPr>
              <w:t xml:space="preserve">The conformity assessment will be carried out by the Federal </w:t>
            </w:r>
            <w:r w:rsidR="00216533">
              <w:rPr>
                <w:rFonts w:ascii="Verdana" w:hAnsi="Verdana" w:cs="Times New Roman"/>
                <w:sz w:val="16"/>
                <w:szCs w:val="16"/>
                <w:lang w:val="en-US"/>
              </w:rPr>
              <w:t>Prosecutor for the</w:t>
            </w:r>
            <w:r w:rsidRPr="00C377B1">
              <w:rPr>
                <w:rFonts w:ascii="Verdana" w:hAnsi="Verdana" w:cs="Times New Roman"/>
                <w:sz w:val="16"/>
                <w:szCs w:val="16"/>
                <w:lang w:val="en-US"/>
              </w:rPr>
              <w:t xml:space="preserve"> Protection</w:t>
            </w:r>
            <w:r w:rsidR="00216533">
              <w:rPr>
                <w:rFonts w:ascii="Verdana" w:hAnsi="Verdana" w:cs="Times New Roman"/>
                <w:sz w:val="16"/>
                <w:szCs w:val="16"/>
                <w:lang w:val="en-US"/>
              </w:rPr>
              <w:t xml:space="preserve"> of the environment</w:t>
            </w:r>
            <w:r w:rsidRPr="00C377B1">
              <w:rPr>
                <w:rFonts w:ascii="Verdana" w:hAnsi="Verdana" w:cs="Times New Roman"/>
                <w:sz w:val="16"/>
                <w:szCs w:val="16"/>
                <w:lang w:val="en-US"/>
              </w:rPr>
              <w:t xml:space="preserve"> and the National Water Commission, within the scope of </w:t>
            </w:r>
            <w:r w:rsidR="00216533">
              <w:rPr>
                <w:rFonts w:ascii="Verdana" w:hAnsi="Verdana" w:cs="Times New Roman"/>
                <w:sz w:val="16"/>
                <w:szCs w:val="16"/>
                <w:lang w:val="en-US"/>
              </w:rPr>
              <w:t>their</w:t>
            </w:r>
            <w:r w:rsidRPr="00C377B1">
              <w:rPr>
                <w:rFonts w:ascii="Verdana" w:hAnsi="Verdana" w:cs="Times New Roman"/>
                <w:sz w:val="16"/>
                <w:szCs w:val="16"/>
                <w:lang w:val="en-US"/>
              </w:rPr>
              <w:t xml:space="preserve"> powers and </w:t>
            </w:r>
            <w:r w:rsidR="00216533">
              <w:rPr>
                <w:rFonts w:ascii="Verdana" w:hAnsi="Verdana" w:cs="Times New Roman"/>
                <w:sz w:val="16"/>
                <w:szCs w:val="16"/>
                <w:lang w:val="en-US"/>
              </w:rPr>
              <w:t>abilities</w:t>
            </w:r>
            <w:r w:rsidRPr="00C377B1">
              <w:rPr>
                <w:rFonts w:ascii="Verdana" w:hAnsi="Verdana" w:cs="Times New Roman"/>
                <w:sz w:val="16"/>
                <w:szCs w:val="16"/>
                <w:lang w:val="en-US"/>
              </w:rPr>
              <w:t xml:space="preserve">, or at the request of a party, by </w:t>
            </w:r>
            <w:r w:rsidR="00216533">
              <w:rPr>
                <w:rFonts w:ascii="Verdana" w:hAnsi="Verdana" w:cs="Times New Roman"/>
                <w:sz w:val="16"/>
                <w:szCs w:val="16"/>
                <w:lang w:val="en-US"/>
              </w:rPr>
              <w:t xml:space="preserve">an </w:t>
            </w:r>
            <w:r w:rsidRPr="00C377B1">
              <w:rPr>
                <w:rFonts w:ascii="Verdana" w:hAnsi="Verdana" w:cs="Times New Roman"/>
                <w:sz w:val="16"/>
                <w:szCs w:val="16"/>
                <w:lang w:val="en-US"/>
              </w:rPr>
              <w:t xml:space="preserve">accredited and approved </w:t>
            </w:r>
            <w:r w:rsidR="00216533">
              <w:rPr>
                <w:rFonts w:ascii="Verdana" w:hAnsi="Verdana" w:cs="Times New Roman"/>
                <w:sz w:val="16"/>
                <w:szCs w:val="16"/>
                <w:lang w:val="en-US"/>
              </w:rPr>
              <w:t xml:space="preserve">Unit of </w:t>
            </w:r>
            <w:r w:rsidRPr="00C377B1">
              <w:rPr>
                <w:rFonts w:ascii="Verdana" w:hAnsi="Verdana" w:cs="Times New Roman"/>
                <w:sz w:val="16"/>
                <w:szCs w:val="16"/>
                <w:lang w:val="en-US"/>
              </w:rPr>
              <w:t xml:space="preserve">Verification, </w:t>
            </w:r>
            <w:r w:rsidR="00216533">
              <w:rPr>
                <w:rFonts w:ascii="Verdana" w:hAnsi="Verdana" w:cs="Times New Roman"/>
                <w:sz w:val="16"/>
                <w:szCs w:val="16"/>
                <w:lang w:val="en-US"/>
              </w:rPr>
              <w:t xml:space="preserve">under </w:t>
            </w:r>
            <w:r w:rsidRPr="00C377B1">
              <w:rPr>
                <w:rFonts w:ascii="Verdana" w:hAnsi="Verdana" w:cs="Times New Roman"/>
                <w:sz w:val="16"/>
                <w:szCs w:val="16"/>
                <w:lang w:val="en-US"/>
              </w:rPr>
              <w:t xml:space="preserve">the terms and scope </w:t>
            </w:r>
            <w:r w:rsidR="00216533">
              <w:rPr>
                <w:rFonts w:ascii="Verdana" w:hAnsi="Verdana" w:cs="Times New Roman"/>
                <w:sz w:val="16"/>
                <w:szCs w:val="16"/>
                <w:lang w:val="en-US"/>
              </w:rPr>
              <w:t xml:space="preserve">established by </w:t>
            </w:r>
            <w:r w:rsidRPr="00C377B1">
              <w:rPr>
                <w:rFonts w:ascii="Verdana" w:hAnsi="Verdana" w:cs="Times New Roman"/>
                <w:sz w:val="16"/>
                <w:szCs w:val="16"/>
                <w:lang w:val="en-US"/>
              </w:rPr>
              <w:t xml:space="preserve"> the Federal Law on Metrology and Standardization and its Regulation.</w:t>
            </w:r>
          </w:p>
        </w:tc>
      </w:tr>
      <w:tr w:rsidR="00DC213D" w:rsidRPr="00CE7512" w14:paraId="2E7C3DFA" w14:textId="3EA6755E" w:rsidTr="00C377B1">
        <w:tc>
          <w:tcPr>
            <w:tcW w:w="4788" w:type="dxa"/>
            <w:shd w:val="clear" w:color="auto" w:fill="auto"/>
          </w:tcPr>
          <w:p w14:paraId="55801A42" w14:textId="77777777" w:rsidR="00DC213D" w:rsidRPr="00C377B1" w:rsidRDefault="00DC213D" w:rsidP="00C377B1">
            <w:pPr>
              <w:pStyle w:val="Texto"/>
              <w:spacing w:line="228" w:lineRule="exact"/>
              <w:ind w:firstLine="0"/>
              <w:rPr>
                <w:rFonts w:ascii="Verdana" w:hAnsi="Verdana"/>
                <w:sz w:val="16"/>
                <w:szCs w:val="16"/>
              </w:rPr>
            </w:pPr>
            <w:r w:rsidRPr="00C377B1">
              <w:rPr>
                <w:rFonts w:ascii="Verdana" w:hAnsi="Verdana"/>
                <w:b/>
                <w:sz w:val="16"/>
                <w:szCs w:val="16"/>
              </w:rPr>
              <w:t>5.3.1.</w:t>
            </w:r>
            <w:r w:rsidRPr="00C377B1">
              <w:rPr>
                <w:rFonts w:ascii="Verdana" w:hAnsi="Verdana"/>
                <w:sz w:val="16"/>
                <w:szCs w:val="16"/>
              </w:rPr>
              <w:t xml:space="preserve"> Para que la evaluación de la conformidad la realice la Unidad de Verificación el permisionario deberá consultar el listado de Unidades de Verificación acreditadas y aprobadas para la presente Norma Oficial Mexicana.</w:t>
            </w:r>
          </w:p>
        </w:tc>
        <w:tc>
          <w:tcPr>
            <w:tcW w:w="4788" w:type="dxa"/>
            <w:shd w:val="clear" w:color="auto" w:fill="auto"/>
          </w:tcPr>
          <w:p w14:paraId="12F1672D" w14:textId="66DFB910" w:rsidR="00DC213D" w:rsidRPr="00C377B1" w:rsidRDefault="00DC213D" w:rsidP="00C377B1">
            <w:pPr>
              <w:pStyle w:val="Texto"/>
              <w:spacing w:line="228" w:lineRule="exact"/>
              <w:ind w:firstLine="0"/>
              <w:rPr>
                <w:rFonts w:ascii="Verdana" w:hAnsi="Verdana"/>
                <w:b/>
                <w:sz w:val="16"/>
                <w:szCs w:val="16"/>
                <w:lang w:val="en-US"/>
              </w:rPr>
            </w:pPr>
            <w:r w:rsidRPr="00C377B1">
              <w:rPr>
                <w:rFonts w:ascii="Verdana" w:hAnsi="Verdana" w:cs="Times New Roman"/>
                <w:b/>
                <w:bCs/>
                <w:sz w:val="16"/>
                <w:szCs w:val="16"/>
                <w:lang w:val="en-US"/>
              </w:rPr>
              <w:t xml:space="preserve">5.3.1. </w:t>
            </w:r>
            <w:r w:rsidRPr="00C377B1">
              <w:rPr>
                <w:rFonts w:ascii="Verdana" w:hAnsi="Verdana" w:cs="Times New Roman"/>
                <w:sz w:val="16"/>
                <w:szCs w:val="16"/>
                <w:lang w:val="en-US"/>
              </w:rPr>
              <w:t>For the conformity assessment to be carried out by the Unit</w:t>
            </w:r>
            <w:r w:rsidR="00216533" w:rsidRPr="00C377B1">
              <w:rPr>
                <w:rFonts w:ascii="Verdana" w:hAnsi="Verdana" w:cs="Times New Roman"/>
                <w:sz w:val="16"/>
                <w:szCs w:val="16"/>
                <w:lang w:val="en-US"/>
              </w:rPr>
              <w:t xml:space="preserve"> </w:t>
            </w:r>
            <w:r w:rsidR="00216533">
              <w:rPr>
                <w:rFonts w:ascii="Verdana" w:hAnsi="Verdana" w:cs="Times New Roman"/>
                <w:sz w:val="16"/>
                <w:szCs w:val="16"/>
                <w:lang w:val="en-US"/>
              </w:rPr>
              <w:t xml:space="preserve">of </w:t>
            </w:r>
            <w:r w:rsidR="00216533" w:rsidRPr="00C377B1">
              <w:rPr>
                <w:rFonts w:ascii="Verdana" w:hAnsi="Verdana" w:cs="Times New Roman"/>
                <w:sz w:val="16"/>
                <w:szCs w:val="16"/>
                <w:lang w:val="en-US"/>
              </w:rPr>
              <w:t>Verification</w:t>
            </w:r>
            <w:r w:rsidRPr="00C377B1">
              <w:rPr>
                <w:rFonts w:ascii="Verdana" w:hAnsi="Verdana" w:cs="Times New Roman"/>
                <w:sz w:val="16"/>
                <w:szCs w:val="16"/>
                <w:lang w:val="en-US"/>
              </w:rPr>
              <w:t xml:space="preserve">, the permit holder must consult the list of </w:t>
            </w:r>
            <w:r w:rsidR="00216533">
              <w:rPr>
                <w:rFonts w:ascii="Verdana" w:hAnsi="Verdana" w:cs="Times New Roman"/>
                <w:sz w:val="16"/>
                <w:szCs w:val="16"/>
                <w:lang w:val="en-US"/>
              </w:rPr>
              <w:t>Unit of Verification</w:t>
            </w:r>
            <w:r w:rsidRPr="00C377B1">
              <w:rPr>
                <w:rFonts w:ascii="Verdana" w:hAnsi="Verdana" w:cs="Times New Roman"/>
                <w:sz w:val="16"/>
                <w:szCs w:val="16"/>
                <w:lang w:val="en-US"/>
              </w:rPr>
              <w:t>s accredited and approved for this Official Mexican Standard.</w:t>
            </w:r>
          </w:p>
        </w:tc>
      </w:tr>
      <w:tr w:rsidR="00DC213D" w:rsidRPr="00CE7512" w14:paraId="308E924F" w14:textId="520FDC86" w:rsidTr="00C377B1">
        <w:tc>
          <w:tcPr>
            <w:tcW w:w="4788" w:type="dxa"/>
            <w:shd w:val="clear" w:color="auto" w:fill="auto"/>
          </w:tcPr>
          <w:p w14:paraId="6F627E27" w14:textId="77777777" w:rsidR="00DC213D" w:rsidRPr="00C377B1" w:rsidRDefault="00DC213D" w:rsidP="00C377B1">
            <w:pPr>
              <w:pStyle w:val="Texto"/>
              <w:spacing w:line="228" w:lineRule="exact"/>
              <w:ind w:firstLine="0"/>
              <w:rPr>
                <w:rFonts w:ascii="Verdana" w:hAnsi="Verdana"/>
                <w:sz w:val="16"/>
                <w:szCs w:val="16"/>
              </w:rPr>
            </w:pPr>
            <w:r w:rsidRPr="00C377B1">
              <w:rPr>
                <w:rFonts w:ascii="Verdana" w:hAnsi="Verdana"/>
                <w:b/>
                <w:sz w:val="16"/>
                <w:szCs w:val="16"/>
              </w:rPr>
              <w:lastRenderedPageBreak/>
              <w:t>5.4.</w:t>
            </w:r>
            <w:r w:rsidRPr="00C377B1">
              <w:rPr>
                <w:rFonts w:ascii="Verdana" w:hAnsi="Verdana"/>
                <w:sz w:val="16"/>
                <w:szCs w:val="16"/>
              </w:rPr>
              <w:t xml:space="preserve"> La evaluación de la conformidad se realizará en las etapas de preparación del sitio y construcción, perforación, evaluación de pozos geotérmicos, así como en la terminación de actividades y abandono del sitio, atendiendo el cumplimiento de las especificaciones establecidas en la presente norma, con base en las siguientes acciones:</w:t>
            </w:r>
          </w:p>
        </w:tc>
        <w:tc>
          <w:tcPr>
            <w:tcW w:w="4788" w:type="dxa"/>
            <w:shd w:val="clear" w:color="auto" w:fill="auto"/>
          </w:tcPr>
          <w:p w14:paraId="458BDCD7" w14:textId="3FDC3187" w:rsidR="00DC213D" w:rsidRPr="00C377B1" w:rsidRDefault="00DC213D" w:rsidP="00C377B1">
            <w:pPr>
              <w:pStyle w:val="Texto"/>
              <w:spacing w:line="228" w:lineRule="exact"/>
              <w:ind w:firstLine="0"/>
              <w:rPr>
                <w:rFonts w:ascii="Verdana" w:hAnsi="Verdana"/>
                <w:b/>
                <w:sz w:val="16"/>
                <w:szCs w:val="16"/>
                <w:lang w:val="en-US"/>
              </w:rPr>
            </w:pPr>
            <w:r w:rsidRPr="00C377B1">
              <w:rPr>
                <w:rFonts w:ascii="Verdana" w:hAnsi="Verdana" w:cs="Times New Roman"/>
                <w:b/>
                <w:bCs/>
                <w:sz w:val="16"/>
                <w:szCs w:val="16"/>
                <w:lang w:val="en-US"/>
              </w:rPr>
              <w:t xml:space="preserve">5.4. </w:t>
            </w:r>
            <w:r w:rsidRPr="00C377B1">
              <w:rPr>
                <w:rFonts w:ascii="Verdana" w:hAnsi="Verdana" w:cs="Times New Roman"/>
                <w:sz w:val="16"/>
                <w:szCs w:val="16"/>
                <w:lang w:val="en-US"/>
              </w:rPr>
              <w:t>The conformity assessment will be carried out in the stages of site preparation and construction, drilling, evaluation of geothermal wells, as well as in the termination of activities and abandonment of the site, taking care of compliance with the specifications established in this standard, based in the following actions:</w:t>
            </w:r>
          </w:p>
        </w:tc>
      </w:tr>
      <w:tr w:rsidR="00DC213D" w:rsidRPr="00CE7512" w14:paraId="6A592FCE" w14:textId="21A40DFB" w:rsidTr="00C377B1">
        <w:tc>
          <w:tcPr>
            <w:tcW w:w="4788" w:type="dxa"/>
            <w:shd w:val="clear" w:color="auto" w:fill="auto"/>
          </w:tcPr>
          <w:p w14:paraId="688FA927" w14:textId="77777777" w:rsidR="00DC213D" w:rsidRPr="00C377B1" w:rsidRDefault="00DC213D" w:rsidP="00C377B1">
            <w:pPr>
              <w:pStyle w:val="Texto"/>
              <w:spacing w:line="228" w:lineRule="exact"/>
              <w:ind w:firstLine="0"/>
              <w:rPr>
                <w:rFonts w:ascii="Verdana" w:hAnsi="Verdana"/>
                <w:sz w:val="16"/>
                <w:szCs w:val="16"/>
              </w:rPr>
            </w:pPr>
            <w:r w:rsidRPr="00C377B1">
              <w:rPr>
                <w:rFonts w:ascii="Verdana" w:hAnsi="Verdana"/>
                <w:b/>
                <w:sz w:val="16"/>
                <w:szCs w:val="16"/>
              </w:rPr>
              <w:t>5.4.1.</w:t>
            </w:r>
            <w:r w:rsidRPr="00C377B1">
              <w:rPr>
                <w:rFonts w:ascii="Verdana" w:hAnsi="Verdana"/>
                <w:sz w:val="16"/>
                <w:szCs w:val="16"/>
              </w:rPr>
              <w:t xml:space="preserve"> Durante las etapas de preparación del sitio y construcción, perforación y evaluación de pozos geotérmicos verificar, en campo, las siguientes actividades, dejando registro documental sobre:</w:t>
            </w:r>
          </w:p>
        </w:tc>
        <w:tc>
          <w:tcPr>
            <w:tcW w:w="4788" w:type="dxa"/>
            <w:shd w:val="clear" w:color="auto" w:fill="auto"/>
          </w:tcPr>
          <w:p w14:paraId="2DB922E9" w14:textId="4D325F8C" w:rsidR="00DC213D" w:rsidRPr="00C377B1" w:rsidRDefault="00DC213D" w:rsidP="00C377B1">
            <w:pPr>
              <w:pStyle w:val="Texto"/>
              <w:spacing w:line="228" w:lineRule="exact"/>
              <w:ind w:firstLine="0"/>
              <w:rPr>
                <w:rFonts w:ascii="Verdana" w:hAnsi="Verdana"/>
                <w:b/>
                <w:sz w:val="16"/>
                <w:szCs w:val="16"/>
                <w:lang w:val="en-US"/>
              </w:rPr>
            </w:pPr>
            <w:r w:rsidRPr="00C377B1">
              <w:rPr>
                <w:rFonts w:ascii="Verdana" w:hAnsi="Verdana" w:cs="Times New Roman"/>
                <w:b/>
                <w:bCs/>
                <w:sz w:val="16"/>
                <w:szCs w:val="16"/>
                <w:lang w:val="en-US"/>
              </w:rPr>
              <w:t xml:space="preserve">5.4.1. </w:t>
            </w:r>
            <w:r w:rsidRPr="00C377B1">
              <w:rPr>
                <w:rFonts w:ascii="Verdana" w:hAnsi="Verdana" w:cs="Times New Roman"/>
                <w:sz w:val="16"/>
                <w:szCs w:val="16"/>
                <w:lang w:val="en-US"/>
              </w:rPr>
              <w:t xml:space="preserve">During the stages of site preparation and construction, drilling and evaluation of geothermal wells verify, in the field, the following activities, leaving </w:t>
            </w:r>
            <w:r w:rsidR="00216533">
              <w:rPr>
                <w:rFonts w:ascii="Verdana" w:hAnsi="Verdana" w:cs="Times New Roman"/>
                <w:sz w:val="16"/>
                <w:szCs w:val="16"/>
                <w:lang w:val="en-US"/>
              </w:rPr>
              <w:t>a documentation</w:t>
            </w:r>
            <w:r w:rsidRPr="00C377B1">
              <w:rPr>
                <w:rFonts w:ascii="Verdana" w:hAnsi="Verdana" w:cs="Times New Roman"/>
                <w:sz w:val="16"/>
                <w:szCs w:val="16"/>
                <w:lang w:val="en-US"/>
              </w:rPr>
              <w:t xml:space="preserve"> record on:</w:t>
            </w:r>
          </w:p>
        </w:tc>
      </w:tr>
      <w:tr w:rsidR="00DC213D" w:rsidRPr="00CE7512" w14:paraId="654D0140" w14:textId="327D1E7C" w:rsidTr="00C377B1">
        <w:tc>
          <w:tcPr>
            <w:tcW w:w="4788" w:type="dxa"/>
            <w:shd w:val="clear" w:color="auto" w:fill="auto"/>
          </w:tcPr>
          <w:p w14:paraId="7A8BEE97"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Las especificaciones de los señalamientos, de acuerdo con 4.2.1.</w:t>
            </w:r>
          </w:p>
        </w:tc>
        <w:tc>
          <w:tcPr>
            <w:tcW w:w="4788" w:type="dxa"/>
            <w:shd w:val="clear" w:color="auto" w:fill="auto"/>
          </w:tcPr>
          <w:p w14:paraId="05074CB9" w14:textId="225A0B5A"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The specifications of the signs, in accordance with 4.2.1.              </w:t>
            </w:r>
          </w:p>
        </w:tc>
      </w:tr>
      <w:tr w:rsidR="00DC213D" w:rsidRPr="00CE7512" w14:paraId="6E885C77" w14:textId="0417083D" w:rsidTr="00C377B1">
        <w:tc>
          <w:tcPr>
            <w:tcW w:w="4788" w:type="dxa"/>
            <w:shd w:val="clear" w:color="auto" w:fill="auto"/>
          </w:tcPr>
          <w:p w14:paraId="5635F1C1"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Medición de la superficie de la plataforma de perforación y de la presa de lodos para verificar el cumplimiento de la especificación 4.2.3.</w:t>
            </w:r>
          </w:p>
        </w:tc>
        <w:tc>
          <w:tcPr>
            <w:tcW w:w="4788" w:type="dxa"/>
            <w:shd w:val="clear" w:color="auto" w:fill="auto"/>
          </w:tcPr>
          <w:p w14:paraId="02A3B407" w14:textId="73724E30"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Measurement of the surface of the drilling rig and sludge dam to verify compliance with the specification 4.2.3.              </w:t>
            </w:r>
          </w:p>
        </w:tc>
      </w:tr>
      <w:tr w:rsidR="00DC213D" w:rsidRPr="00CE7512" w14:paraId="21165AA5" w14:textId="5D3E15EE" w:rsidTr="00C377B1">
        <w:tc>
          <w:tcPr>
            <w:tcW w:w="4788" w:type="dxa"/>
            <w:shd w:val="clear" w:color="auto" w:fill="auto"/>
          </w:tcPr>
          <w:p w14:paraId="00503BE4"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Existencia de obras de ingeniería para conservar las corrientes superficiales de acuerdo con el punto 4.2.4.</w:t>
            </w:r>
          </w:p>
        </w:tc>
        <w:tc>
          <w:tcPr>
            <w:tcW w:w="4788" w:type="dxa"/>
            <w:shd w:val="clear" w:color="auto" w:fill="auto"/>
          </w:tcPr>
          <w:p w14:paraId="31DC3DCE" w14:textId="032E871F"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Existence of engineering works to conserve surface currents in accordance with point 4.2.4.              </w:t>
            </w:r>
          </w:p>
        </w:tc>
      </w:tr>
      <w:tr w:rsidR="00DC213D" w:rsidRPr="00CE7512" w14:paraId="2791840B" w14:textId="693BD95B" w:rsidTr="00C377B1">
        <w:tc>
          <w:tcPr>
            <w:tcW w:w="4788" w:type="dxa"/>
            <w:shd w:val="clear" w:color="auto" w:fill="auto"/>
          </w:tcPr>
          <w:p w14:paraId="71A023FD"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Ausencia de barreras físicas, así como de la utilización del material generado por los trabajos de nivelación y excavación, según el reporte de la bitácora de obra, de acuerdo con el punto 4.2.5.</w:t>
            </w:r>
          </w:p>
        </w:tc>
        <w:tc>
          <w:tcPr>
            <w:tcW w:w="4788" w:type="dxa"/>
            <w:shd w:val="clear" w:color="auto" w:fill="auto"/>
          </w:tcPr>
          <w:p w14:paraId="380E69E0" w14:textId="2B025128"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Absence of physical barriers, as well as the use of the material generated by the leveling and excavation work, according to the report of the work logbook, in accordance with point 4.2.5.              </w:t>
            </w:r>
          </w:p>
        </w:tc>
      </w:tr>
      <w:tr w:rsidR="00DC213D" w:rsidRPr="00CE7512" w14:paraId="0E0BD7F1" w14:textId="1C008CD8" w:rsidTr="00C377B1">
        <w:tc>
          <w:tcPr>
            <w:tcW w:w="4788" w:type="dxa"/>
            <w:shd w:val="clear" w:color="auto" w:fill="auto"/>
          </w:tcPr>
          <w:p w14:paraId="14835977"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Compactación e impermeabilización, así como las características de la lona plastificada conforme a las especificaciones del punto 4.2.6, a través de las especificaciones proporcionadas por el proveedor de la lona y los resultados de las pruebas de compactación del suelo.</w:t>
            </w:r>
          </w:p>
        </w:tc>
        <w:tc>
          <w:tcPr>
            <w:tcW w:w="4788" w:type="dxa"/>
            <w:shd w:val="clear" w:color="auto" w:fill="auto"/>
          </w:tcPr>
          <w:p w14:paraId="5C280578" w14:textId="12F03B69"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Compaction and waterproofing, as well as the characteristics of the plasticized canvas according to the specifications of section 4.2.6, through the specifications provided by the canvas supplier and the results of the soil compaction tests.              </w:t>
            </w:r>
          </w:p>
        </w:tc>
      </w:tr>
      <w:tr w:rsidR="00DC213D" w:rsidRPr="00CE7512" w14:paraId="67B16767" w14:textId="0666C5FB" w:rsidTr="00C377B1">
        <w:tc>
          <w:tcPr>
            <w:tcW w:w="4788" w:type="dxa"/>
            <w:shd w:val="clear" w:color="auto" w:fill="auto"/>
          </w:tcPr>
          <w:p w14:paraId="7767E461"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Instalación de sanitarios portátiles, para verificar el cumplimiento de la especificación 4.2.7.</w:t>
            </w:r>
          </w:p>
        </w:tc>
        <w:tc>
          <w:tcPr>
            <w:tcW w:w="4788" w:type="dxa"/>
            <w:shd w:val="clear" w:color="auto" w:fill="auto"/>
          </w:tcPr>
          <w:p w14:paraId="2FC5EB8D" w14:textId="2523E764"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Installation of portable toilets, to verify compliance with the specification 4.2.7.              </w:t>
            </w:r>
          </w:p>
        </w:tc>
      </w:tr>
      <w:tr w:rsidR="00DC213D" w:rsidRPr="00CE7512" w14:paraId="68F75B0D" w14:textId="56EA50FF" w:rsidTr="00C377B1">
        <w:tc>
          <w:tcPr>
            <w:tcW w:w="4788" w:type="dxa"/>
            <w:shd w:val="clear" w:color="auto" w:fill="auto"/>
          </w:tcPr>
          <w:p w14:paraId="1BD8D886"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No utilización de agroquímicos, ni quema de vegetación durante las actividades de deshierbe, de conformidad con el punto 4.2.8.</w:t>
            </w:r>
          </w:p>
        </w:tc>
        <w:tc>
          <w:tcPr>
            <w:tcW w:w="4788" w:type="dxa"/>
            <w:shd w:val="clear" w:color="auto" w:fill="auto"/>
          </w:tcPr>
          <w:p w14:paraId="76321921" w14:textId="6D709C4D"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No use of agrochemicals, or burning of vegetation during weeding activities, in accordance with point 4.2.8.              </w:t>
            </w:r>
          </w:p>
        </w:tc>
      </w:tr>
      <w:tr w:rsidR="00DC213D" w:rsidRPr="00CE7512" w14:paraId="14E9F308" w14:textId="7AFB06AA" w:rsidTr="00C377B1">
        <w:tc>
          <w:tcPr>
            <w:tcW w:w="4788" w:type="dxa"/>
            <w:shd w:val="clear" w:color="auto" w:fill="auto"/>
          </w:tcPr>
          <w:p w14:paraId="746D01C6"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Medición del ancho de los de nuevos caminos construidos para verificar el cumplimiento de la especificación 4.2.9.</w:t>
            </w:r>
          </w:p>
        </w:tc>
        <w:tc>
          <w:tcPr>
            <w:tcW w:w="4788" w:type="dxa"/>
            <w:shd w:val="clear" w:color="auto" w:fill="auto"/>
          </w:tcPr>
          <w:p w14:paraId="0B3B9562" w14:textId="14291FED"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Measurement of the width of the new roads built to verify compliance with the specification 4.2.9.              </w:t>
            </w:r>
          </w:p>
        </w:tc>
      </w:tr>
      <w:tr w:rsidR="00DC213D" w:rsidRPr="00CE7512" w14:paraId="718DCCD2" w14:textId="07DE7A31" w:rsidTr="00C377B1">
        <w:tc>
          <w:tcPr>
            <w:tcW w:w="4788" w:type="dxa"/>
            <w:shd w:val="clear" w:color="auto" w:fill="auto"/>
          </w:tcPr>
          <w:p w14:paraId="6E1D352C"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Evidencia documental de la capacitación del personal que participa en todas las actividades de exploración para no afectar las especies de flora y fauna silvestre para verificar el cumplimiento del punto 4.2.10.</w:t>
            </w:r>
          </w:p>
        </w:tc>
        <w:tc>
          <w:tcPr>
            <w:tcW w:w="4788" w:type="dxa"/>
            <w:shd w:val="clear" w:color="auto" w:fill="auto"/>
          </w:tcPr>
          <w:p w14:paraId="7D025601" w14:textId="08BA7495"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Documentary evidence of the training of personnel involved in all exploration activities so as not to affect species of flora and fauna to verify compliance with point 4.2.10.              </w:t>
            </w:r>
          </w:p>
        </w:tc>
      </w:tr>
      <w:tr w:rsidR="00DC213D" w:rsidRPr="00CE7512" w14:paraId="1F00036C" w14:textId="5DAA6B02" w:rsidTr="00C377B1">
        <w:tc>
          <w:tcPr>
            <w:tcW w:w="4788" w:type="dxa"/>
            <w:shd w:val="clear" w:color="auto" w:fill="auto"/>
          </w:tcPr>
          <w:p w14:paraId="67F78D99"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Ubicación, compactación e impermeabilización de la presa de lodos, así como sus dimensiones en cuanto a cumplimiento de las especificaciones del punto 4.3.1.</w:t>
            </w:r>
          </w:p>
        </w:tc>
        <w:tc>
          <w:tcPr>
            <w:tcW w:w="4788" w:type="dxa"/>
            <w:shd w:val="clear" w:color="auto" w:fill="auto"/>
          </w:tcPr>
          <w:p w14:paraId="6DD8154C" w14:textId="7417356B"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Location, compaction and waterproofing of the sludge dam, as well as its dimensions in compliance with the specifications of section 4.3.1.              </w:t>
            </w:r>
          </w:p>
        </w:tc>
      </w:tr>
      <w:tr w:rsidR="00DC213D" w:rsidRPr="00CE7512" w14:paraId="54B9294C" w14:textId="15B60231" w:rsidTr="00C377B1">
        <w:tc>
          <w:tcPr>
            <w:tcW w:w="4788" w:type="dxa"/>
            <w:shd w:val="clear" w:color="auto" w:fill="auto"/>
          </w:tcPr>
          <w:p w14:paraId="5E8FFBBB"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Almacenamiento y resguardo de la maquinaria, equipo y materiales dentro de la plataforma en cuanto a cumplimiento de las especificaciones del punto 4.3.2.</w:t>
            </w:r>
          </w:p>
        </w:tc>
        <w:tc>
          <w:tcPr>
            <w:tcW w:w="4788" w:type="dxa"/>
            <w:shd w:val="clear" w:color="auto" w:fill="auto"/>
          </w:tcPr>
          <w:p w14:paraId="027ED5C4" w14:textId="3C95CCCA"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Storage and </w:t>
            </w:r>
            <w:r w:rsidR="00E67073">
              <w:rPr>
                <w:rFonts w:ascii="Verdana" w:hAnsi="Verdana" w:cs="Times New Roman"/>
                <w:sz w:val="16"/>
                <w:szCs w:val="16"/>
                <w:lang w:val="en-US"/>
              </w:rPr>
              <w:t>safekeeping</w:t>
            </w:r>
            <w:r w:rsidRPr="00C377B1">
              <w:rPr>
                <w:rFonts w:ascii="Verdana" w:hAnsi="Verdana" w:cs="Times New Roman"/>
                <w:sz w:val="16"/>
                <w:szCs w:val="16"/>
                <w:lang w:val="en-US"/>
              </w:rPr>
              <w:t xml:space="preserve"> of</w:t>
            </w:r>
            <w:r w:rsidR="00E67073">
              <w:rPr>
                <w:rFonts w:ascii="Verdana" w:hAnsi="Verdana" w:cs="Times New Roman"/>
                <w:sz w:val="16"/>
                <w:szCs w:val="16"/>
                <w:lang w:val="en-US"/>
              </w:rPr>
              <w:t xml:space="preserve"> the</w:t>
            </w:r>
            <w:r w:rsidRPr="00C377B1">
              <w:rPr>
                <w:rFonts w:ascii="Verdana" w:hAnsi="Verdana" w:cs="Times New Roman"/>
                <w:sz w:val="16"/>
                <w:szCs w:val="16"/>
                <w:lang w:val="en-US"/>
              </w:rPr>
              <w:t xml:space="preserve"> machinery, equipment and materials within the platform in terms of compliance with the specifications of section 4.3.2.              </w:t>
            </w:r>
          </w:p>
        </w:tc>
      </w:tr>
      <w:tr w:rsidR="00DC213D" w:rsidRPr="00CE7512" w14:paraId="5C21C1A1" w14:textId="56DB6A03" w:rsidTr="00C377B1">
        <w:tc>
          <w:tcPr>
            <w:tcW w:w="4788" w:type="dxa"/>
            <w:shd w:val="clear" w:color="auto" w:fill="auto"/>
          </w:tcPr>
          <w:p w14:paraId="5E7225D2"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lastRenderedPageBreak/>
              <w:t>‒</w:t>
            </w:r>
            <w:r w:rsidRPr="00C377B1">
              <w:rPr>
                <w:rFonts w:ascii="Verdana" w:hAnsi="Verdana"/>
                <w:sz w:val="16"/>
                <w:szCs w:val="16"/>
              </w:rPr>
              <w:tab/>
              <w:t>Almacenamiento de combustibles y las características de los sistemas de almacenamiento para que cumplan con la especificación 4.3.3.</w:t>
            </w:r>
          </w:p>
        </w:tc>
        <w:tc>
          <w:tcPr>
            <w:tcW w:w="4788" w:type="dxa"/>
            <w:shd w:val="clear" w:color="auto" w:fill="auto"/>
          </w:tcPr>
          <w:p w14:paraId="3A7EDC92" w14:textId="14E46854"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Storage of fuels and the characteristics of storage systems to comply with the specification 4.3.3.              </w:t>
            </w:r>
          </w:p>
        </w:tc>
      </w:tr>
      <w:tr w:rsidR="00DC213D" w:rsidRPr="00CE7512" w14:paraId="3684D8F9" w14:textId="2FE0919A" w:rsidTr="00C377B1">
        <w:tc>
          <w:tcPr>
            <w:tcW w:w="4788" w:type="dxa"/>
            <w:shd w:val="clear" w:color="auto" w:fill="auto"/>
          </w:tcPr>
          <w:p w14:paraId="160E1D40"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Existencia de los oficios de notificación de la autoridad local competente sobre el manejo de los residuos sólidos urbanos para verificar el cumplimiento del punto 4.3.4.</w:t>
            </w:r>
          </w:p>
        </w:tc>
        <w:tc>
          <w:tcPr>
            <w:tcW w:w="4788" w:type="dxa"/>
            <w:shd w:val="clear" w:color="auto" w:fill="auto"/>
          </w:tcPr>
          <w:p w14:paraId="553E7C23" w14:textId="076DF52D"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Existence of notification </w:t>
            </w:r>
            <w:r w:rsidR="00E67073">
              <w:rPr>
                <w:rFonts w:ascii="Verdana" w:hAnsi="Verdana" w:cs="Times New Roman"/>
                <w:sz w:val="16"/>
                <w:szCs w:val="16"/>
                <w:lang w:val="en-US"/>
              </w:rPr>
              <w:t>documents</w:t>
            </w:r>
            <w:r w:rsidRPr="00C377B1">
              <w:rPr>
                <w:rFonts w:ascii="Verdana" w:hAnsi="Verdana" w:cs="Times New Roman"/>
                <w:sz w:val="16"/>
                <w:szCs w:val="16"/>
                <w:lang w:val="en-US"/>
              </w:rPr>
              <w:t xml:space="preserve"> of the </w:t>
            </w:r>
            <w:r w:rsidR="008F7C01">
              <w:rPr>
                <w:rFonts w:ascii="Verdana" w:hAnsi="Verdana" w:cs="Times New Roman"/>
                <w:sz w:val="16"/>
                <w:szCs w:val="16"/>
                <w:lang w:val="en-US"/>
              </w:rPr>
              <w:t>appropriate local authority</w:t>
            </w:r>
            <w:r w:rsidRPr="00C377B1">
              <w:rPr>
                <w:rFonts w:ascii="Verdana" w:hAnsi="Verdana" w:cs="Times New Roman"/>
                <w:sz w:val="16"/>
                <w:szCs w:val="16"/>
                <w:lang w:val="en-US"/>
              </w:rPr>
              <w:t xml:space="preserve"> on the management of urban solid waste</w:t>
            </w:r>
            <w:r w:rsidR="00E67073">
              <w:rPr>
                <w:rFonts w:ascii="Verdana" w:hAnsi="Verdana" w:cs="Times New Roman"/>
                <w:sz w:val="16"/>
                <w:szCs w:val="16"/>
                <w:lang w:val="en-US"/>
              </w:rPr>
              <w:t>s</w:t>
            </w:r>
            <w:r w:rsidRPr="00C377B1">
              <w:rPr>
                <w:rFonts w:ascii="Verdana" w:hAnsi="Verdana" w:cs="Times New Roman"/>
                <w:sz w:val="16"/>
                <w:szCs w:val="16"/>
                <w:lang w:val="en-US"/>
              </w:rPr>
              <w:t xml:space="preserve"> to verify compliance with section 4.3.4.              </w:t>
            </w:r>
          </w:p>
        </w:tc>
      </w:tr>
      <w:tr w:rsidR="00DC213D" w:rsidRPr="00CE7512" w14:paraId="75761042" w14:textId="592D3796" w:rsidTr="00C377B1">
        <w:tc>
          <w:tcPr>
            <w:tcW w:w="4788" w:type="dxa"/>
            <w:shd w:val="clear" w:color="auto" w:fill="auto"/>
          </w:tcPr>
          <w:p w14:paraId="21848F31"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Uso en cantidad y formulación de lodos base agua en cuanto al cumplimiento del punto 4.3.5.</w:t>
            </w:r>
          </w:p>
        </w:tc>
        <w:tc>
          <w:tcPr>
            <w:tcW w:w="4788" w:type="dxa"/>
            <w:shd w:val="clear" w:color="auto" w:fill="auto"/>
          </w:tcPr>
          <w:p w14:paraId="36BA4C69" w14:textId="553EE478"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Use in quantity and formulation of water-based sludge in compliance with section 4.3.5.              </w:t>
            </w:r>
          </w:p>
        </w:tc>
      </w:tr>
      <w:tr w:rsidR="00DC213D" w:rsidRPr="00CE7512" w14:paraId="282FE388" w14:textId="24122699" w:rsidTr="00C377B1">
        <w:tc>
          <w:tcPr>
            <w:tcW w:w="4788" w:type="dxa"/>
            <w:shd w:val="clear" w:color="auto" w:fill="auto"/>
          </w:tcPr>
          <w:p w14:paraId="4D5A9C6D"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Verificar la existencia de resultados de análisis para determinar si los recortes de perforación son peligrosos en correspondencia a la especificación 4.3.6.</w:t>
            </w:r>
          </w:p>
        </w:tc>
        <w:tc>
          <w:tcPr>
            <w:tcW w:w="4788" w:type="dxa"/>
            <w:shd w:val="clear" w:color="auto" w:fill="auto"/>
          </w:tcPr>
          <w:p w14:paraId="675F75E0" w14:textId="68CFB472"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Verify the existence of analysis results to determine if drilling cuts are dangerous in accordance with specification 4.3.6.              </w:t>
            </w:r>
          </w:p>
        </w:tc>
      </w:tr>
      <w:tr w:rsidR="00DC213D" w:rsidRPr="00CE7512" w14:paraId="26AE3401" w14:textId="5439F85A" w:rsidTr="00C377B1">
        <w:tc>
          <w:tcPr>
            <w:tcW w:w="4788" w:type="dxa"/>
            <w:shd w:val="clear" w:color="auto" w:fill="auto"/>
          </w:tcPr>
          <w:p w14:paraId="50389B64"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Existencia del programa de mantenimiento preventivo registrado en la bitácora de obra correspondiente a la especificación 4.3.7.</w:t>
            </w:r>
          </w:p>
        </w:tc>
        <w:tc>
          <w:tcPr>
            <w:tcW w:w="4788" w:type="dxa"/>
            <w:shd w:val="clear" w:color="auto" w:fill="auto"/>
          </w:tcPr>
          <w:p w14:paraId="4EF976B3" w14:textId="034A65FD"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Existence of the preventive maintenance program registered in the work log corresponding to specification 4.3.7.              </w:t>
            </w:r>
          </w:p>
        </w:tc>
      </w:tr>
      <w:tr w:rsidR="00DC213D" w:rsidRPr="00CE7512" w14:paraId="228B60FD" w14:textId="534BA158" w:rsidTr="00C377B1">
        <w:tc>
          <w:tcPr>
            <w:tcW w:w="4788" w:type="dxa"/>
            <w:shd w:val="clear" w:color="auto" w:fill="auto"/>
          </w:tcPr>
          <w:p w14:paraId="040DDAB1" w14:textId="77777777" w:rsidR="00DC213D" w:rsidRPr="00C377B1" w:rsidRDefault="00DC213D" w:rsidP="00C377B1">
            <w:pPr>
              <w:pStyle w:val="ROMANOS"/>
              <w:spacing w:line="228"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Existencia de los Planes de Emergencia y Contingencia correspondiente a la especificación 4.3.8.</w:t>
            </w:r>
          </w:p>
        </w:tc>
        <w:tc>
          <w:tcPr>
            <w:tcW w:w="4788" w:type="dxa"/>
            <w:shd w:val="clear" w:color="auto" w:fill="auto"/>
          </w:tcPr>
          <w:p w14:paraId="17799186" w14:textId="583755F4" w:rsidR="00DC213D" w:rsidRPr="00C377B1" w:rsidRDefault="00DC213D" w:rsidP="00C377B1">
            <w:pPr>
              <w:pStyle w:val="ROMANOS"/>
              <w:spacing w:line="228" w:lineRule="exact"/>
              <w:ind w:left="0" w:firstLine="0"/>
              <w:rPr>
                <w:rFonts w:ascii="Verdana" w:hAnsi="Verdana"/>
                <w:sz w:val="16"/>
                <w:szCs w:val="16"/>
                <w:lang w:val="en-US"/>
              </w:rPr>
            </w:pPr>
            <w:r w:rsidRPr="00C377B1">
              <w:rPr>
                <w:rFonts w:ascii="Verdana" w:hAnsi="Verdana" w:cs="Times New Roman"/>
                <w:sz w:val="16"/>
                <w:szCs w:val="16"/>
                <w:lang w:val="en-US"/>
              </w:rPr>
              <w:t xml:space="preserve">- Existence of the Emergency and Contingency Plans corresponding to the specification 4.3.8.              </w:t>
            </w:r>
          </w:p>
        </w:tc>
      </w:tr>
      <w:tr w:rsidR="00DC213D" w:rsidRPr="00CE7512" w14:paraId="28BB86DE" w14:textId="2DD09261" w:rsidTr="00C377B1">
        <w:tc>
          <w:tcPr>
            <w:tcW w:w="4788" w:type="dxa"/>
            <w:shd w:val="clear" w:color="auto" w:fill="auto"/>
          </w:tcPr>
          <w:p w14:paraId="58149596" w14:textId="77777777" w:rsidR="00DC213D" w:rsidRPr="00C377B1" w:rsidRDefault="00DC213D" w:rsidP="00C377B1">
            <w:pPr>
              <w:pStyle w:val="Texto"/>
              <w:spacing w:line="227" w:lineRule="exact"/>
              <w:ind w:firstLine="0"/>
              <w:rPr>
                <w:rFonts w:ascii="Verdana" w:hAnsi="Verdana"/>
                <w:sz w:val="16"/>
                <w:szCs w:val="16"/>
              </w:rPr>
            </w:pPr>
            <w:r w:rsidRPr="00C377B1">
              <w:rPr>
                <w:rFonts w:ascii="Verdana" w:hAnsi="Verdana"/>
                <w:b/>
                <w:sz w:val="16"/>
                <w:szCs w:val="16"/>
              </w:rPr>
              <w:t>5.4.2.</w:t>
            </w:r>
            <w:r w:rsidRPr="00C377B1">
              <w:rPr>
                <w:rFonts w:ascii="Verdana" w:hAnsi="Verdana"/>
                <w:sz w:val="16"/>
                <w:szCs w:val="16"/>
              </w:rPr>
              <w:t xml:space="preserve"> Durante la etapa de evaluación de pozos geotérmicos, verificar y documentar:</w:t>
            </w:r>
          </w:p>
        </w:tc>
        <w:tc>
          <w:tcPr>
            <w:tcW w:w="4788" w:type="dxa"/>
            <w:shd w:val="clear" w:color="auto" w:fill="auto"/>
          </w:tcPr>
          <w:p w14:paraId="358C5EC4" w14:textId="5DE95093" w:rsidR="00DC213D" w:rsidRPr="00C377B1" w:rsidRDefault="00DC213D" w:rsidP="00C377B1">
            <w:pPr>
              <w:pStyle w:val="Texto"/>
              <w:spacing w:line="227" w:lineRule="exact"/>
              <w:ind w:firstLine="0"/>
              <w:rPr>
                <w:rFonts w:ascii="Verdana" w:hAnsi="Verdana"/>
                <w:b/>
                <w:sz w:val="16"/>
                <w:szCs w:val="16"/>
                <w:lang w:val="en-US"/>
              </w:rPr>
            </w:pPr>
            <w:r w:rsidRPr="00C377B1">
              <w:rPr>
                <w:rFonts w:ascii="Verdana" w:hAnsi="Verdana" w:cs="Times New Roman"/>
                <w:b/>
                <w:bCs/>
                <w:sz w:val="16"/>
                <w:szCs w:val="16"/>
                <w:lang w:val="en-US"/>
              </w:rPr>
              <w:t xml:space="preserve">5.4.2. </w:t>
            </w:r>
            <w:r w:rsidRPr="00C377B1">
              <w:rPr>
                <w:rFonts w:ascii="Verdana" w:hAnsi="Verdana" w:cs="Times New Roman"/>
                <w:sz w:val="16"/>
                <w:szCs w:val="16"/>
                <w:lang w:val="en-US"/>
              </w:rPr>
              <w:t>During the geothermal well evaluation stage, verify and document:</w:t>
            </w:r>
          </w:p>
        </w:tc>
      </w:tr>
      <w:tr w:rsidR="00DC213D" w:rsidRPr="00CE7512" w14:paraId="366B3807" w14:textId="651C62A3" w:rsidTr="00C377B1">
        <w:tc>
          <w:tcPr>
            <w:tcW w:w="4788" w:type="dxa"/>
            <w:shd w:val="clear" w:color="auto" w:fill="auto"/>
          </w:tcPr>
          <w:p w14:paraId="3D31B14A" w14:textId="77777777" w:rsidR="00DC213D" w:rsidRPr="00C377B1" w:rsidRDefault="00DC213D" w:rsidP="00C377B1">
            <w:pPr>
              <w:pStyle w:val="ROMANOS"/>
              <w:spacing w:line="22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Registro documental del inicio al término de la etapa de evaluación preliminar para verificar el cumplimiento de la especificación 4.4.1.</w:t>
            </w:r>
          </w:p>
        </w:tc>
        <w:tc>
          <w:tcPr>
            <w:tcW w:w="4788" w:type="dxa"/>
            <w:shd w:val="clear" w:color="auto" w:fill="auto"/>
          </w:tcPr>
          <w:p w14:paraId="0D00F477" w14:textId="30A74679" w:rsidR="00DC213D" w:rsidRPr="00C377B1" w:rsidRDefault="00DC213D" w:rsidP="00C377B1">
            <w:pPr>
              <w:pStyle w:val="ROMANOS"/>
              <w:spacing w:line="227" w:lineRule="exact"/>
              <w:ind w:left="0" w:firstLine="0"/>
              <w:rPr>
                <w:rFonts w:ascii="Verdana" w:hAnsi="Verdana"/>
                <w:sz w:val="16"/>
                <w:szCs w:val="16"/>
                <w:lang w:val="en-US"/>
              </w:rPr>
            </w:pPr>
            <w:r w:rsidRPr="00C377B1">
              <w:rPr>
                <w:rFonts w:ascii="Verdana" w:hAnsi="Verdana" w:cs="Times New Roman"/>
                <w:sz w:val="16"/>
                <w:szCs w:val="16"/>
                <w:lang w:val="en-US"/>
              </w:rPr>
              <w:t>- Documenta</w:t>
            </w:r>
            <w:r w:rsidR="00E67073">
              <w:rPr>
                <w:rFonts w:ascii="Verdana" w:hAnsi="Verdana" w:cs="Times New Roman"/>
                <w:sz w:val="16"/>
                <w:szCs w:val="16"/>
                <w:lang w:val="en-US"/>
              </w:rPr>
              <w:t>tion</w:t>
            </w:r>
            <w:r w:rsidRPr="00C377B1">
              <w:rPr>
                <w:rFonts w:ascii="Verdana" w:hAnsi="Verdana" w:cs="Times New Roman"/>
                <w:sz w:val="16"/>
                <w:szCs w:val="16"/>
                <w:lang w:val="en-US"/>
              </w:rPr>
              <w:t xml:space="preserve"> record from the beginning to the end of the preliminary evaluation stage to verify compliance with the specification 4.4.1.              </w:t>
            </w:r>
          </w:p>
        </w:tc>
      </w:tr>
      <w:tr w:rsidR="00DC213D" w:rsidRPr="00CE7512" w14:paraId="29B92870" w14:textId="78AF2642" w:rsidTr="00C377B1">
        <w:tc>
          <w:tcPr>
            <w:tcW w:w="4788" w:type="dxa"/>
            <w:shd w:val="clear" w:color="auto" w:fill="auto"/>
          </w:tcPr>
          <w:p w14:paraId="4A513DB5" w14:textId="77777777" w:rsidR="00DC213D" w:rsidRPr="00C377B1" w:rsidRDefault="00DC213D" w:rsidP="00C377B1">
            <w:pPr>
              <w:pStyle w:val="ROMANOS"/>
              <w:spacing w:line="22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Existencia de equipo de control de descargas de vapor y válvulas de alta temperatura, silenciadores centrífugos, tuberías de descarga y vertedores de conformidad con la especificación 4.4.2.</w:t>
            </w:r>
          </w:p>
        </w:tc>
        <w:tc>
          <w:tcPr>
            <w:tcW w:w="4788" w:type="dxa"/>
            <w:shd w:val="clear" w:color="auto" w:fill="auto"/>
          </w:tcPr>
          <w:p w14:paraId="725BB88C" w14:textId="54A6384F" w:rsidR="00DC213D" w:rsidRPr="00C377B1" w:rsidRDefault="00DC213D" w:rsidP="00C377B1">
            <w:pPr>
              <w:pStyle w:val="ROMANOS"/>
              <w:spacing w:line="227" w:lineRule="exact"/>
              <w:ind w:left="0" w:firstLine="0"/>
              <w:rPr>
                <w:rFonts w:ascii="Verdana" w:hAnsi="Verdana"/>
                <w:sz w:val="16"/>
                <w:szCs w:val="16"/>
                <w:lang w:val="en-US"/>
              </w:rPr>
            </w:pPr>
            <w:r w:rsidRPr="00C377B1">
              <w:rPr>
                <w:rFonts w:ascii="Verdana" w:hAnsi="Verdana" w:cs="Times New Roman"/>
                <w:sz w:val="16"/>
                <w:szCs w:val="16"/>
                <w:lang w:val="en-US"/>
              </w:rPr>
              <w:t xml:space="preserve">- Existence of control equipment for steam discharges and high temperature valves, centrifugal silencers, discharge pipes and dumps according to specification 4.4.2.              </w:t>
            </w:r>
          </w:p>
        </w:tc>
      </w:tr>
      <w:tr w:rsidR="00DC213D" w:rsidRPr="00CE7512" w14:paraId="279731B1" w14:textId="43C3B564" w:rsidTr="00C377B1">
        <w:tc>
          <w:tcPr>
            <w:tcW w:w="4788" w:type="dxa"/>
            <w:shd w:val="clear" w:color="auto" w:fill="auto"/>
          </w:tcPr>
          <w:p w14:paraId="3F5128CE" w14:textId="77777777" w:rsidR="00DC213D" w:rsidRPr="00C377B1" w:rsidRDefault="00DC213D" w:rsidP="00C377B1">
            <w:pPr>
              <w:pStyle w:val="ROMANOS"/>
              <w:spacing w:line="22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Manejo del agua obtenida del pozo de acuerdo a lo establecido en la especificación 4.4.3.</w:t>
            </w:r>
          </w:p>
        </w:tc>
        <w:tc>
          <w:tcPr>
            <w:tcW w:w="4788" w:type="dxa"/>
            <w:shd w:val="clear" w:color="auto" w:fill="auto"/>
          </w:tcPr>
          <w:p w14:paraId="461291C6" w14:textId="07CB173A" w:rsidR="00DC213D" w:rsidRPr="00C377B1" w:rsidRDefault="00DC213D" w:rsidP="00C377B1">
            <w:pPr>
              <w:pStyle w:val="ROMANOS"/>
              <w:spacing w:line="227" w:lineRule="exact"/>
              <w:ind w:left="0" w:firstLine="0"/>
              <w:rPr>
                <w:rFonts w:ascii="Verdana" w:hAnsi="Verdana"/>
                <w:sz w:val="16"/>
                <w:szCs w:val="16"/>
                <w:lang w:val="en-US"/>
              </w:rPr>
            </w:pPr>
            <w:r w:rsidRPr="00C377B1">
              <w:rPr>
                <w:rFonts w:ascii="Verdana" w:hAnsi="Verdana" w:cs="Times New Roman"/>
                <w:sz w:val="16"/>
                <w:szCs w:val="16"/>
                <w:lang w:val="en-US"/>
              </w:rPr>
              <w:t xml:space="preserve">- Management of water obtained from the well according to what is established in specification 4.4.3.              </w:t>
            </w:r>
          </w:p>
        </w:tc>
      </w:tr>
      <w:tr w:rsidR="00DC213D" w:rsidRPr="00CE7512" w14:paraId="11665394" w14:textId="516F279B" w:rsidTr="00C377B1">
        <w:tc>
          <w:tcPr>
            <w:tcW w:w="4788" w:type="dxa"/>
            <w:shd w:val="clear" w:color="auto" w:fill="auto"/>
          </w:tcPr>
          <w:p w14:paraId="6E5A1862" w14:textId="77777777" w:rsidR="00DC213D" w:rsidRPr="00C377B1" w:rsidRDefault="00DC213D" w:rsidP="00C377B1">
            <w:pPr>
              <w:pStyle w:val="ROMANOS"/>
              <w:spacing w:line="22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Descarga lateral dirigida al silenciador de conformidad con la especificación 4.4.4.</w:t>
            </w:r>
          </w:p>
        </w:tc>
        <w:tc>
          <w:tcPr>
            <w:tcW w:w="4788" w:type="dxa"/>
            <w:shd w:val="clear" w:color="auto" w:fill="auto"/>
          </w:tcPr>
          <w:p w14:paraId="304F3482" w14:textId="1546CE76" w:rsidR="00DC213D" w:rsidRPr="00C377B1" w:rsidRDefault="00DC213D" w:rsidP="00C377B1">
            <w:pPr>
              <w:pStyle w:val="ROMANOS"/>
              <w:spacing w:line="227" w:lineRule="exact"/>
              <w:ind w:left="0" w:firstLine="0"/>
              <w:rPr>
                <w:rFonts w:ascii="Verdana" w:hAnsi="Verdana"/>
                <w:sz w:val="16"/>
                <w:szCs w:val="16"/>
                <w:lang w:val="en-US"/>
              </w:rPr>
            </w:pPr>
            <w:r w:rsidRPr="00C377B1">
              <w:rPr>
                <w:rFonts w:ascii="Verdana" w:hAnsi="Verdana" w:cs="Times New Roman"/>
                <w:sz w:val="16"/>
                <w:szCs w:val="16"/>
                <w:lang w:val="en-US"/>
              </w:rPr>
              <w:t xml:space="preserve">- Side discharge directed to the silencer in accordance with specification 4.4.4.              </w:t>
            </w:r>
          </w:p>
        </w:tc>
      </w:tr>
      <w:tr w:rsidR="00DC213D" w:rsidRPr="00CE7512" w14:paraId="44505502" w14:textId="699E38D7" w:rsidTr="00C377B1">
        <w:tc>
          <w:tcPr>
            <w:tcW w:w="4788" w:type="dxa"/>
            <w:shd w:val="clear" w:color="auto" w:fill="auto"/>
          </w:tcPr>
          <w:p w14:paraId="1DA0FE81"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b/>
                <w:sz w:val="16"/>
                <w:szCs w:val="16"/>
              </w:rPr>
              <w:t>5.4.3.</w:t>
            </w:r>
            <w:r w:rsidRPr="00C377B1">
              <w:rPr>
                <w:rFonts w:ascii="Verdana" w:hAnsi="Verdana"/>
                <w:sz w:val="16"/>
                <w:szCs w:val="16"/>
              </w:rPr>
              <w:t xml:space="preserve"> Al término de actividades, verificar y documentar:</w:t>
            </w:r>
          </w:p>
        </w:tc>
        <w:tc>
          <w:tcPr>
            <w:tcW w:w="4788" w:type="dxa"/>
            <w:shd w:val="clear" w:color="auto" w:fill="auto"/>
          </w:tcPr>
          <w:p w14:paraId="75F7733C" w14:textId="586B35CB" w:rsidR="00DC213D" w:rsidRPr="00C377B1" w:rsidRDefault="00DC213D" w:rsidP="00C377B1">
            <w:pPr>
              <w:pStyle w:val="Texto"/>
              <w:spacing w:line="247" w:lineRule="exact"/>
              <w:ind w:firstLine="0"/>
              <w:rPr>
                <w:rFonts w:ascii="Verdana" w:hAnsi="Verdana"/>
                <w:b/>
                <w:sz w:val="16"/>
                <w:szCs w:val="16"/>
                <w:lang w:val="en-US"/>
              </w:rPr>
            </w:pPr>
            <w:r w:rsidRPr="00C377B1">
              <w:rPr>
                <w:rFonts w:ascii="Verdana" w:hAnsi="Verdana" w:cs="Times New Roman"/>
                <w:b/>
                <w:bCs/>
                <w:sz w:val="16"/>
                <w:szCs w:val="16"/>
                <w:lang w:val="en-US"/>
              </w:rPr>
              <w:t xml:space="preserve">5.4.3. </w:t>
            </w:r>
            <w:r w:rsidRPr="00C377B1">
              <w:rPr>
                <w:rFonts w:ascii="Verdana" w:hAnsi="Verdana" w:cs="Times New Roman"/>
                <w:sz w:val="16"/>
                <w:szCs w:val="16"/>
                <w:lang w:val="en-US"/>
              </w:rPr>
              <w:t>At the end of activities, verify and document:</w:t>
            </w:r>
          </w:p>
        </w:tc>
      </w:tr>
      <w:tr w:rsidR="00DC213D" w:rsidRPr="00CE7512" w14:paraId="3F1C1A74" w14:textId="310CAA8D" w:rsidTr="00C377B1">
        <w:tc>
          <w:tcPr>
            <w:tcW w:w="4788" w:type="dxa"/>
            <w:shd w:val="clear" w:color="auto" w:fill="auto"/>
          </w:tcPr>
          <w:p w14:paraId="58DA05C4"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Desmantelamiento y retiro total del equipo de perforación, de los sanitarios portátiles, de las casetas móviles instalados en la plataforma de conformidad con el punto 4.5.1.</w:t>
            </w:r>
          </w:p>
        </w:tc>
        <w:tc>
          <w:tcPr>
            <w:tcW w:w="4788" w:type="dxa"/>
            <w:shd w:val="clear" w:color="auto" w:fill="auto"/>
          </w:tcPr>
          <w:p w14:paraId="4DF7B079" w14:textId="23FB9E0A"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Dismantling and total removal of drilling equipment, portable toilets, mobile booths installed on the platform in accordance with point 4.5.1.              </w:t>
            </w:r>
          </w:p>
        </w:tc>
      </w:tr>
      <w:tr w:rsidR="00DC213D" w:rsidRPr="00CE7512" w14:paraId="21B42491" w14:textId="3239F636" w:rsidTr="00C377B1">
        <w:tc>
          <w:tcPr>
            <w:tcW w:w="4788" w:type="dxa"/>
            <w:shd w:val="clear" w:color="auto" w:fill="auto"/>
          </w:tcPr>
          <w:p w14:paraId="342F9D59"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Limpieza del sitio y disposición final de los residuos generados en cumplimiento al punto 4.5.2.</w:t>
            </w:r>
          </w:p>
        </w:tc>
        <w:tc>
          <w:tcPr>
            <w:tcW w:w="4788" w:type="dxa"/>
            <w:shd w:val="clear" w:color="auto" w:fill="auto"/>
          </w:tcPr>
          <w:p w14:paraId="74A750CD" w14:textId="06EAB1B0"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Cleaning of the site and final disposal of waste generated in compliance with point 4.5.2.              </w:t>
            </w:r>
          </w:p>
        </w:tc>
      </w:tr>
      <w:tr w:rsidR="00DC213D" w:rsidRPr="00CE7512" w14:paraId="68BB2C7C" w14:textId="51D3CAD9" w:rsidTr="00C377B1">
        <w:tc>
          <w:tcPr>
            <w:tcW w:w="4788" w:type="dxa"/>
            <w:shd w:val="clear" w:color="auto" w:fill="auto"/>
          </w:tcPr>
          <w:p w14:paraId="16EBA239"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Instalación de la rejilla metálica en el área de contrapozo de conformidad con la especificación 4.5.5.</w:t>
            </w:r>
          </w:p>
        </w:tc>
        <w:tc>
          <w:tcPr>
            <w:tcW w:w="4788" w:type="dxa"/>
            <w:shd w:val="clear" w:color="auto" w:fill="auto"/>
          </w:tcPr>
          <w:p w14:paraId="4519C2C5" w14:textId="4E09B4EF"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Installation of the metal grid in the counter</w:t>
            </w:r>
            <w:r w:rsidR="00E67073">
              <w:rPr>
                <w:rFonts w:ascii="Verdana" w:hAnsi="Verdana" w:cs="Times New Roman"/>
                <w:sz w:val="16"/>
                <w:szCs w:val="16"/>
                <w:lang w:val="en-US"/>
              </w:rPr>
              <w:t xml:space="preserve"> well </w:t>
            </w:r>
            <w:r w:rsidRPr="00C377B1">
              <w:rPr>
                <w:rFonts w:ascii="Verdana" w:hAnsi="Verdana" w:cs="Times New Roman"/>
                <w:sz w:val="16"/>
                <w:szCs w:val="16"/>
                <w:lang w:val="en-US"/>
              </w:rPr>
              <w:t xml:space="preserve">area in accordance with specification 4.5.5.              </w:t>
            </w:r>
          </w:p>
        </w:tc>
      </w:tr>
      <w:tr w:rsidR="00DC213D" w:rsidRPr="00CE7512" w14:paraId="64305525" w14:textId="0851D48A" w:rsidTr="00C377B1">
        <w:tc>
          <w:tcPr>
            <w:tcW w:w="4788" w:type="dxa"/>
            <w:shd w:val="clear" w:color="auto" w:fill="auto"/>
          </w:tcPr>
          <w:p w14:paraId="6FA691B2"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b/>
                <w:sz w:val="16"/>
                <w:szCs w:val="16"/>
              </w:rPr>
              <w:t>5.4.4.</w:t>
            </w:r>
            <w:r w:rsidRPr="00C377B1">
              <w:rPr>
                <w:rFonts w:ascii="Verdana" w:hAnsi="Verdana"/>
                <w:sz w:val="16"/>
                <w:szCs w:val="16"/>
              </w:rPr>
              <w:t xml:space="preserve"> En caso de que los pozos resulten improductivos:</w:t>
            </w:r>
          </w:p>
        </w:tc>
        <w:tc>
          <w:tcPr>
            <w:tcW w:w="4788" w:type="dxa"/>
            <w:shd w:val="clear" w:color="auto" w:fill="auto"/>
          </w:tcPr>
          <w:p w14:paraId="465364DC" w14:textId="092C1C00" w:rsidR="00DC213D" w:rsidRPr="00C377B1" w:rsidRDefault="00DC213D" w:rsidP="00C377B1">
            <w:pPr>
              <w:pStyle w:val="Texto"/>
              <w:spacing w:line="247" w:lineRule="exact"/>
              <w:ind w:firstLine="0"/>
              <w:rPr>
                <w:rFonts w:ascii="Verdana" w:hAnsi="Verdana"/>
                <w:b/>
                <w:sz w:val="16"/>
                <w:szCs w:val="16"/>
                <w:lang w:val="en-US"/>
              </w:rPr>
            </w:pPr>
            <w:r w:rsidRPr="00C377B1">
              <w:rPr>
                <w:rFonts w:ascii="Verdana" w:hAnsi="Verdana" w:cs="Times New Roman"/>
                <w:b/>
                <w:bCs/>
                <w:sz w:val="16"/>
                <w:szCs w:val="16"/>
                <w:lang w:val="en-US"/>
              </w:rPr>
              <w:t xml:space="preserve">5.4.4. </w:t>
            </w:r>
            <w:r w:rsidRPr="00C377B1">
              <w:rPr>
                <w:rFonts w:ascii="Verdana" w:hAnsi="Verdana" w:cs="Times New Roman"/>
                <w:sz w:val="16"/>
                <w:szCs w:val="16"/>
                <w:lang w:val="en-US"/>
              </w:rPr>
              <w:t>In case the wells are unproductive:</w:t>
            </w:r>
          </w:p>
        </w:tc>
      </w:tr>
      <w:tr w:rsidR="00DC213D" w:rsidRPr="00CE7512" w14:paraId="7171F310" w14:textId="085124A4" w:rsidTr="00C377B1">
        <w:tc>
          <w:tcPr>
            <w:tcW w:w="4788" w:type="dxa"/>
            <w:shd w:val="clear" w:color="auto" w:fill="auto"/>
          </w:tcPr>
          <w:p w14:paraId="2D3F5378"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Comprobar que el taponamiento y cierre definitivo de pozos se haya realizado conforme a la NOM-004-CONAGUA-1996 de conformidad con el punto 4.5.3.</w:t>
            </w:r>
          </w:p>
        </w:tc>
        <w:tc>
          <w:tcPr>
            <w:tcW w:w="4788" w:type="dxa"/>
            <w:shd w:val="clear" w:color="auto" w:fill="auto"/>
          </w:tcPr>
          <w:p w14:paraId="2BF75D74" w14:textId="7C3ADBBA"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Check that the final plugging and closing of wells has been carried out in accordance with NOM-004-CONAGUA-1996 in accordance with section 4.5.3.              </w:t>
            </w:r>
          </w:p>
        </w:tc>
      </w:tr>
      <w:tr w:rsidR="00DC213D" w:rsidRPr="00CE7512" w14:paraId="3920FEC5" w14:textId="4BC8F59E" w:rsidTr="00C377B1">
        <w:tc>
          <w:tcPr>
            <w:tcW w:w="4788" w:type="dxa"/>
            <w:shd w:val="clear" w:color="auto" w:fill="auto"/>
          </w:tcPr>
          <w:p w14:paraId="3B86B02A"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lastRenderedPageBreak/>
              <w:t>‒</w:t>
            </w:r>
            <w:r w:rsidRPr="00C377B1">
              <w:rPr>
                <w:rFonts w:ascii="Verdana" w:hAnsi="Verdana"/>
                <w:sz w:val="16"/>
                <w:szCs w:val="16"/>
              </w:rPr>
              <w:tab/>
              <w:t>Verificar y registrar que la rehabilitación y el retiro de lodos de la presa se llevó a cabo conforme al punto 4.5.4.</w:t>
            </w:r>
          </w:p>
        </w:tc>
        <w:tc>
          <w:tcPr>
            <w:tcW w:w="4788" w:type="dxa"/>
            <w:shd w:val="clear" w:color="auto" w:fill="auto"/>
          </w:tcPr>
          <w:p w14:paraId="77839D5D" w14:textId="790C6375"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Verify and record that the rehabilitation and removal of sludge from the dam was carried out in accordance with section 4.5.4.              </w:t>
            </w:r>
          </w:p>
        </w:tc>
      </w:tr>
      <w:tr w:rsidR="00DC213D" w:rsidRPr="00CE7512" w14:paraId="7A114F15" w14:textId="0F38F95E" w:rsidTr="00C377B1">
        <w:tc>
          <w:tcPr>
            <w:tcW w:w="4788" w:type="dxa"/>
            <w:shd w:val="clear" w:color="auto" w:fill="auto"/>
          </w:tcPr>
          <w:p w14:paraId="41DA984B"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sz w:val="16"/>
                <w:szCs w:val="16"/>
              </w:rPr>
              <w:t>La PROFEPA, en el ámbito de sus atribuciones y competencias, o las Unidades de Verificación deberán observar lo dispuesto por los artículos 7, 8, 10 y 12 del “Acuerdo mediante el cual se establece el procedimiento para la evaluación de la conformidad para normas oficiales mexicanas expedidas por la Secretaría de Medio Ambiente y Recursos Naturales”, publicado en el Diario Oficial de la Federación el 2 de enero de 2006.</w:t>
            </w:r>
          </w:p>
        </w:tc>
        <w:tc>
          <w:tcPr>
            <w:tcW w:w="4788" w:type="dxa"/>
            <w:shd w:val="clear" w:color="auto" w:fill="auto"/>
          </w:tcPr>
          <w:p w14:paraId="17C332F0" w14:textId="59697773" w:rsidR="00DC213D" w:rsidRPr="00C377B1" w:rsidRDefault="00DC213D" w:rsidP="00C377B1">
            <w:pPr>
              <w:pStyle w:val="Texto"/>
              <w:spacing w:line="247" w:lineRule="exact"/>
              <w:ind w:firstLine="0"/>
              <w:rPr>
                <w:rFonts w:ascii="Verdana" w:hAnsi="Verdana"/>
                <w:sz w:val="16"/>
                <w:szCs w:val="16"/>
                <w:lang w:val="en-US"/>
              </w:rPr>
            </w:pPr>
            <w:r w:rsidRPr="00C377B1">
              <w:rPr>
                <w:rFonts w:ascii="Verdana" w:hAnsi="Verdana" w:cs="Times New Roman"/>
                <w:sz w:val="16"/>
                <w:szCs w:val="16"/>
                <w:lang w:val="en-US"/>
              </w:rPr>
              <w:t xml:space="preserve">PROFEPA, within the scope of its </w:t>
            </w:r>
            <w:r w:rsidR="00E67073">
              <w:rPr>
                <w:rFonts w:ascii="Verdana" w:hAnsi="Verdana" w:cs="Times New Roman"/>
                <w:sz w:val="16"/>
                <w:szCs w:val="16"/>
                <w:lang w:val="en-US"/>
              </w:rPr>
              <w:t>powers</w:t>
            </w:r>
            <w:r w:rsidRPr="00C377B1">
              <w:rPr>
                <w:rFonts w:ascii="Verdana" w:hAnsi="Verdana" w:cs="Times New Roman"/>
                <w:sz w:val="16"/>
                <w:szCs w:val="16"/>
                <w:lang w:val="en-US"/>
              </w:rPr>
              <w:t xml:space="preserve"> and </w:t>
            </w:r>
            <w:r w:rsidR="00E67073">
              <w:rPr>
                <w:rFonts w:ascii="Verdana" w:hAnsi="Verdana" w:cs="Times New Roman"/>
                <w:sz w:val="16"/>
                <w:szCs w:val="16"/>
                <w:lang w:val="en-US"/>
              </w:rPr>
              <w:t>authority</w:t>
            </w:r>
            <w:r w:rsidRPr="00C377B1">
              <w:rPr>
                <w:rFonts w:ascii="Verdana" w:hAnsi="Verdana" w:cs="Times New Roman"/>
                <w:sz w:val="16"/>
                <w:szCs w:val="16"/>
                <w:lang w:val="en-US"/>
              </w:rPr>
              <w:t xml:space="preserve">, or the </w:t>
            </w:r>
            <w:r w:rsidR="00216533">
              <w:rPr>
                <w:rFonts w:ascii="Verdana" w:hAnsi="Verdana" w:cs="Times New Roman"/>
                <w:sz w:val="16"/>
                <w:szCs w:val="16"/>
                <w:lang w:val="en-US"/>
              </w:rPr>
              <w:t>Unit of Verification</w:t>
            </w:r>
            <w:r w:rsidRPr="00C377B1">
              <w:rPr>
                <w:rFonts w:ascii="Verdana" w:hAnsi="Verdana" w:cs="Times New Roman"/>
                <w:sz w:val="16"/>
                <w:szCs w:val="16"/>
                <w:lang w:val="en-US"/>
              </w:rPr>
              <w:t xml:space="preserve">s </w:t>
            </w:r>
            <w:r w:rsidR="00E67073">
              <w:rPr>
                <w:rFonts w:ascii="Verdana" w:hAnsi="Verdana" w:cs="Times New Roman"/>
                <w:sz w:val="16"/>
                <w:szCs w:val="16"/>
                <w:lang w:val="en-US"/>
              </w:rPr>
              <w:t>must</w:t>
            </w:r>
            <w:r w:rsidRPr="00C377B1">
              <w:rPr>
                <w:rFonts w:ascii="Verdana" w:hAnsi="Verdana" w:cs="Times New Roman"/>
                <w:sz w:val="16"/>
                <w:szCs w:val="16"/>
                <w:lang w:val="en-US"/>
              </w:rPr>
              <w:t xml:space="preserve"> observe the provisions of articles 7, 8, 10 and 12 of the “Agreement through which the procedure for conformity assessment for official standards is established </w:t>
            </w:r>
            <w:r w:rsidR="00E67073">
              <w:rPr>
                <w:rFonts w:ascii="Verdana" w:hAnsi="Verdana" w:cs="Times New Roman"/>
                <w:sz w:val="16"/>
                <w:szCs w:val="16"/>
                <w:lang w:val="en-US"/>
              </w:rPr>
              <w:t>for Official Mexican Standards</w:t>
            </w:r>
            <w:r w:rsidRPr="00C377B1">
              <w:rPr>
                <w:rFonts w:ascii="Verdana" w:hAnsi="Verdana" w:cs="Times New Roman"/>
                <w:sz w:val="16"/>
                <w:szCs w:val="16"/>
                <w:lang w:val="en-US"/>
              </w:rPr>
              <w:t xml:space="preserve"> issued by the Secretary of Environment and Natural Resources,”</w:t>
            </w:r>
            <w:r w:rsidR="00E67073">
              <w:rPr>
                <w:rFonts w:ascii="Verdana" w:hAnsi="Verdana" w:cs="Times New Roman"/>
                <w:sz w:val="16"/>
                <w:szCs w:val="16"/>
                <w:lang w:val="en-US"/>
              </w:rPr>
              <w:t xml:space="preserve"> </w:t>
            </w:r>
            <w:r w:rsidRPr="00C377B1">
              <w:rPr>
                <w:rFonts w:ascii="Verdana" w:hAnsi="Verdana" w:cs="Times New Roman"/>
                <w:sz w:val="16"/>
                <w:szCs w:val="16"/>
                <w:lang w:val="en-US"/>
              </w:rPr>
              <w:t>published in the Official Daily of the Federation on January 2, 2006.</w:t>
            </w:r>
          </w:p>
        </w:tc>
      </w:tr>
      <w:tr w:rsidR="00DC213D" w:rsidRPr="00C377B1" w14:paraId="6438E34C" w14:textId="3685E5F9" w:rsidTr="00C377B1">
        <w:tc>
          <w:tcPr>
            <w:tcW w:w="4788" w:type="dxa"/>
            <w:shd w:val="clear" w:color="auto" w:fill="auto"/>
          </w:tcPr>
          <w:p w14:paraId="0513D0AB" w14:textId="77777777" w:rsidR="00DC213D" w:rsidRPr="00C377B1" w:rsidRDefault="00DC213D" w:rsidP="00C377B1">
            <w:pPr>
              <w:pStyle w:val="Texto"/>
              <w:spacing w:line="247" w:lineRule="exact"/>
              <w:ind w:firstLine="0"/>
              <w:rPr>
                <w:rFonts w:ascii="Verdana" w:hAnsi="Verdana"/>
                <w:b/>
                <w:sz w:val="16"/>
                <w:szCs w:val="16"/>
              </w:rPr>
            </w:pPr>
            <w:r w:rsidRPr="00C377B1">
              <w:rPr>
                <w:rFonts w:ascii="Verdana" w:hAnsi="Verdana"/>
                <w:b/>
                <w:sz w:val="16"/>
                <w:szCs w:val="16"/>
              </w:rPr>
              <w:t>6. Bibliografía</w:t>
            </w:r>
          </w:p>
        </w:tc>
        <w:tc>
          <w:tcPr>
            <w:tcW w:w="4788" w:type="dxa"/>
            <w:shd w:val="clear" w:color="auto" w:fill="auto"/>
          </w:tcPr>
          <w:p w14:paraId="49D4518E" w14:textId="06913EEC" w:rsidR="00DC213D" w:rsidRPr="00E67073" w:rsidRDefault="00DC213D" w:rsidP="00C377B1">
            <w:pPr>
              <w:pStyle w:val="Texto"/>
              <w:spacing w:line="247" w:lineRule="exact"/>
              <w:ind w:firstLine="0"/>
              <w:rPr>
                <w:rFonts w:ascii="Verdana" w:hAnsi="Verdana"/>
                <w:b/>
                <w:sz w:val="16"/>
                <w:szCs w:val="16"/>
                <w:lang w:val="en-US"/>
              </w:rPr>
            </w:pPr>
            <w:r w:rsidRPr="00E67073">
              <w:rPr>
                <w:rFonts w:ascii="Verdana" w:hAnsi="Verdana" w:cs="Times New Roman"/>
                <w:b/>
                <w:bCs/>
                <w:sz w:val="16"/>
                <w:szCs w:val="16"/>
                <w:lang w:val="en-US"/>
              </w:rPr>
              <w:t>6. Bibliography</w:t>
            </w:r>
          </w:p>
        </w:tc>
      </w:tr>
      <w:tr w:rsidR="00DC213D" w:rsidRPr="00CE7512" w14:paraId="19948D71" w14:textId="71499517" w:rsidTr="00C377B1">
        <w:tc>
          <w:tcPr>
            <w:tcW w:w="4788" w:type="dxa"/>
            <w:shd w:val="clear" w:color="auto" w:fill="auto"/>
          </w:tcPr>
          <w:p w14:paraId="7574B6C5"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 xml:space="preserve">Acuerdo CE-OESE-004/89, que establece los criterios ecológicos para la selección, exploración y preparación de sitios destinados a la instalación de sistemas </w:t>
            </w:r>
            <w:proofErr w:type="spellStart"/>
            <w:r w:rsidRPr="00C377B1">
              <w:rPr>
                <w:rFonts w:ascii="Verdana" w:hAnsi="Verdana"/>
                <w:sz w:val="16"/>
                <w:szCs w:val="16"/>
              </w:rPr>
              <w:t>geotermoeléctricos</w:t>
            </w:r>
            <w:proofErr w:type="spellEnd"/>
            <w:r w:rsidRPr="00C377B1">
              <w:rPr>
                <w:rFonts w:ascii="Verdana" w:hAnsi="Verdana"/>
                <w:sz w:val="16"/>
                <w:szCs w:val="16"/>
              </w:rPr>
              <w:t>, así como para la construcción de los mismos, publicados en el Diario Oficial de la Federación el 7 de junio de 1989.</w:t>
            </w:r>
          </w:p>
        </w:tc>
        <w:tc>
          <w:tcPr>
            <w:tcW w:w="4788" w:type="dxa"/>
            <w:shd w:val="clear" w:color="auto" w:fill="auto"/>
          </w:tcPr>
          <w:p w14:paraId="2EE991C3" w14:textId="1612F5D6" w:rsidR="00DC213D" w:rsidRPr="00E67073" w:rsidRDefault="00DC213D" w:rsidP="00C377B1">
            <w:pPr>
              <w:pStyle w:val="ROMANOS"/>
              <w:spacing w:line="247" w:lineRule="exact"/>
              <w:ind w:left="0" w:firstLine="0"/>
              <w:rPr>
                <w:rFonts w:ascii="Verdana" w:hAnsi="Verdana"/>
                <w:sz w:val="16"/>
                <w:szCs w:val="16"/>
                <w:lang w:val="en-US"/>
              </w:rPr>
            </w:pPr>
            <w:r w:rsidRPr="00E67073">
              <w:rPr>
                <w:rFonts w:ascii="Verdana" w:hAnsi="Verdana" w:cs="Times New Roman"/>
                <w:sz w:val="16"/>
                <w:szCs w:val="16"/>
                <w:lang w:val="en-US"/>
              </w:rPr>
              <w:t xml:space="preserve">- Agreement CE-OESE-004/89, which establishes the ecological criteria for the selection, exploration and preparation of sites for the installation of geothermal systems , as well as for the construction thereof, published in the Official Daily of the Federation on June 7, 1989.              </w:t>
            </w:r>
          </w:p>
        </w:tc>
      </w:tr>
      <w:tr w:rsidR="00DC213D" w:rsidRPr="00CE7512" w14:paraId="53783000" w14:textId="5189A9CD" w:rsidTr="00C377B1">
        <w:tc>
          <w:tcPr>
            <w:tcW w:w="4788" w:type="dxa"/>
            <w:shd w:val="clear" w:color="auto" w:fill="auto"/>
          </w:tcPr>
          <w:p w14:paraId="7302F4D9" w14:textId="77777777" w:rsidR="00DC213D" w:rsidRPr="00C377B1" w:rsidRDefault="00DC213D" w:rsidP="00C377B1">
            <w:pPr>
              <w:pStyle w:val="ROMANOS"/>
              <w:spacing w:line="247" w:lineRule="exact"/>
              <w:ind w:left="0" w:firstLine="0"/>
              <w:rPr>
                <w:rFonts w:ascii="Verdana" w:hAnsi="Verdana"/>
                <w:sz w:val="16"/>
                <w:szCs w:val="16"/>
              </w:rPr>
            </w:pPr>
            <w:r w:rsidRPr="00C377B1">
              <w:rPr>
                <w:rFonts w:ascii="Verdana" w:hAnsi="Verdana"/>
                <w:sz w:val="16"/>
                <w:szCs w:val="16"/>
              </w:rPr>
              <w:t>‒</w:t>
            </w:r>
            <w:r w:rsidRPr="00C377B1">
              <w:rPr>
                <w:rFonts w:ascii="Verdana" w:hAnsi="Verdana"/>
                <w:sz w:val="16"/>
                <w:szCs w:val="16"/>
              </w:rPr>
              <w:tab/>
              <w:t>Metodología OLADE para la Exploración Geotérmica -</w:t>
            </w:r>
            <w:proofErr w:type="spellStart"/>
            <w:r w:rsidRPr="00C377B1">
              <w:rPr>
                <w:rFonts w:ascii="Verdana" w:hAnsi="Verdana"/>
                <w:sz w:val="16"/>
                <w:szCs w:val="16"/>
              </w:rPr>
              <w:t>Olade</w:t>
            </w:r>
            <w:proofErr w:type="spellEnd"/>
            <w:r w:rsidRPr="00C377B1">
              <w:rPr>
                <w:rFonts w:ascii="Verdana" w:hAnsi="Verdana"/>
                <w:sz w:val="16"/>
                <w:szCs w:val="16"/>
              </w:rPr>
              <w:t xml:space="preserve"> </w:t>
            </w:r>
            <w:proofErr w:type="spellStart"/>
            <w:r w:rsidRPr="00C377B1">
              <w:rPr>
                <w:rFonts w:ascii="Verdana" w:hAnsi="Verdana"/>
                <w:sz w:val="16"/>
                <w:szCs w:val="16"/>
              </w:rPr>
              <w:t>Methodology</w:t>
            </w:r>
            <w:proofErr w:type="spellEnd"/>
            <w:r w:rsidRPr="00C377B1">
              <w:rPr>
                <w:rFonts w:ascii="Verdana" w:hAnsi="Verdana"/>
                <w:sz w:val="16"/>
                <w:szCs w:val="16"/>
              </w:rPr>
              <w:t xml:space="preserve"> </w:t>
            </w:r>
            <w:proofErr w:type="spellStart"/>
            <w:r w:rsidRPr="00C377B1">
              <w:rPr>
                <w:rFonts w:ascii="Verdana" w:hAnsi="Verdana"/>
                <w:sz w:val="16"/>
                <w:szCs w:val="16"/>
              </w:rPr>
              <w:t>for</w:t>
            </w:r>
            <w:proofErr w:type="spellEnd"/>
            <w:r w:rsidRPr="00C377B1">
              <w:rPr>
                <w:rFonts w:ascii="Verdana" w:hAnsi="Verdana"/>
                <w:sz w:val="16"/>
                <w:szCs w:val="16"/>
              </w:rPr>
              <w:t xml:space="preserve"> </w:t>
            </w:r>
            <w:proofErr w:type="spellStart"/>
            <w:r w:rsidRPr="00C377B1">
              <w:rPr>
                <w:rFonts w:ascii="Verdana" w:hAnsi="Verdana"/>
                <w:sz w:val="16"/>
                <w:szCs w:val="16"/>
              </w:rPr>
              <w:t>Geothermal</w:t>
            </w:r>
            <w:proofErr w:type="spellEnd"/>
            <w:r w:rsidRPr="00C377B1">
              <w:rPr>
                <w:rFonts w:ascii="Verdana" w:hAnsi="Verdana"/>
                <w:sz w:val="16"/>
                <w:szCs w:val="16"/>
              </w:rPr>
              <w:t xml:space="preserve"> </w:t>
            </w:r>
            <w:proofErr w:type="spellStart"/>
            <w:r w:rsidRPr="00C377B1">
              <w:rPr>
                <w:rFonts w:ascii="Verdana" w:hAnsi="Verdana"/>
                <w:sz w:val="16"/>
                <w:szCs w:val="16"/>
              </w:rPr>
              <w:t>Exploration</w:t>
            </w:r>
            <w:proofErr w:type="spellEnd"/>
            <w:r w:rsidRPr="00C377B1">
              <w:rPr>
                <w:rFonts w:ascii="Verdana" w:hAnsi="Verdana"/>
                <w:sz w:val="16"/>
                <w:szCs w:val="16"/>
              </w:rPr>
              <w:t>-.</w:t>
            </w:r>
          </w:p>
        </w:tc>
        <w:tc>
          <w:tcPr>
            <w:tcW w:w="4788" w:type="dxa"/>
            <w:shd w:val="clear" w:color="auto" w:fill="auto"/>
          </w:tcPr>
          <w:p w14:paraId="2943EDA6" w14:textId="471B19FF" w:rsidR="00DC213D" w:rsidRPr="00E67073" w:rsidRDefault="00DC213D" w:rsidP="00C377B1">
            <w:pPr>
              <w:pStyle w:val="ROMANOS"/>
              <w:spacing w:line="247" w:lineRule="exact"/>
              <w:ind w:left="0" w:firstLine="0"/>
              <w:rPr>
                <w:rFonts w:ascii="Verdana" w:hAnsi="Verdana"/>
                <w:sz w:val="16"/>
                <w:szCs w:val="16"/>
                <w:lang w:val="en-US"/>
              </w:rPr>
            </w:pPr>
            <w:r w:rsidRPr="00E67073">
              <w:rPr>
                <w:rFonts w:ascii="Verdana" w:hAnsi="Verdana" w:cs="Times New Roman"/>
                <w:sz w:val="16"/>
                <w:szCs w:val="16"/>
                <w:lang w:val="en-US"/>
              </w:rPr>
              <w:t>- OLADE Methodology for Geothermal Exploration</w:t>
            </w:r>
            <w:r w:rsidR="00E67073">
              <w:rPr>
                <w:rFonts w:ascii="Verdana" w:hAnsi="Verdana" w:cs="Times New Roman"/>
                <w:sz w:val="16"/>
                <w:szCs w:val="16"/>
                <w:lang w:val="en-US"/>
              </w:rPr>
              <w:t>-.</w:t>
            </w:r>
            <w:r w:rsidRPr="00E67073">
              <w:rPr>
                <w:rFonts w:ascii="Verdana" w:hAnsi="Verdana" w:cs="Times New Roman"/>
                <w:sz w:val="16"/>
                <w:szCs w:val="16"/>
                <w:lang w:val="en-US"/>
              </w:rPr>
              <w:t xml:space="preserve">      </w:t>
            </w:r>
          </w:p>
        </w:tc>
      </w:tr>
      <w:tr w:rsidR="00DC213D" w:rsidRPr="00C377B1" w14:paraId="6FC3E1C5" w14:textId="2E00BA6B" w:rsidTr="00C377B1">
        <w:tc>
          <w:tcPr>
            <w:tcW w:w="4788" w:type="dxa"/>
            <w:shd w:val="clear" w:color="auto" w:fill="auto"/>
          </w:tcPr>
          <w:p w14:paraId="44D663EA" w14:textId="77777777"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sz w:val="16"/>
                <w:szCs w:val="16"/>
              </w:rPr>
              <w:t>‒</w:t>
            </w:r>
            <w:r w:rsidRPr="00C377B1">
              <w:rPr>
                <w:rFonts w:ascii="Verdana" w:hAnsi="Verdana"/>
                <w:sz w:val="16"/>
                <w:szCs w:val="16"/>
              </w:rPr>
              <w:tab/>
              <w:t xml:space="preserve">Organización Latinoamericana de Energía y Banco Interamericano de Desarrollo, 132 p. Casilla 6413, C.C.I., </w:t>
            </w:r>
            <w:proofErr w:type="spellStart"/>
            <w:r w:rsidRPr="00C377B1">
              <w:rPr>
                <w:rFonts w:ascii="Verdana" w:hAnsi="Verdana"/>
                <w:sz w:val="16"/>
                <w:szCs w:val="16"/>
              </w:rPr>
              <w:t>Telex</w:t>
            </w:r>
            <w:proofErr w:type="spellEnd"/>
            <w:r w:rsidRPr="00C377B1">
              <w:rPr>
                <w:rFonts w:ascii="Verdana" w:hAnsi="Verdana"/>
                <w:sz w:val="16"/>
                <w:szCs w:val="16"/>
              </w:rPr>
              <w:t xml:space="preserve"> 2728 OLADE-ED. </w:t>
            </w:r>
            <w:r w:rsidRPr="00C377B1">
              <w:rPr>
                <w:rFonts w:ascii="Verdana" w:hAnsi="Verdana"/>
                <w:sz w:val="16"/>
                <w:szCs w:val="16"/>
                <w:lang w:val="en-US"/>
              </w:rPr>
              <w:t>Quito, Ecuador, 1986.</w:t>
            </w:r>
          </w:p>
        </w:tc>
        <w:tc>
          <w:tcPr>
            <w:tcW w:w="4788" w:type="dxa"/>
            <w:shd w:val="clear" w:color="auto" w:fill="auto"/>
          </w:tcPr>
          <w:p w14:paraId="6CFC6ECA" w14:textId="5D0D2D87"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Latin American Energy Organization and Inter-American Development Bank, 132 p. Box 6413, CCI, Telex 2728 OLADE-ED. </w:t>
            </w:r>
            <w:r w:rsidRPr="00C377B1">
              <w:rPr>
                <w:rFonts w:ascii="Verdana" w:hAnsi="Verdana" w:cs="Times New Roman"/>
                <w:sz w:val="16"/>
                <w:szCs w:val="16"/>
              </w:rPr>
              <w:t xml:space="preserve">Quito, Ecuador, 1986.              </w:t>
            </w:r>
          </w:p>
        </w:tc>
      </w:tr>
      <w:tr w:rsidR="00DC213D" w:rsidRPr="00CE7512" w14:paraId="03FEAB71" w14:textId="2B332602" w:rsidTr="00C377B1">
        <w:tc>
          <w:tcPr>
            <w:tcW w:w="4788" w:type="dxa"/>
            <w:shd w:val="clear" w:color="auto" w:fill="auto"/>
          </w:tcPr>
          <w:p w14:paraId="48B933A2" w14:textId="77777777"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sz w:val="16"/>
                <w:szCs w:val="16"/>
                <w:lang w:val="en-US"/>
              </w:rPr>
              <w:t>‒</w:t>
            </w:r>
            <w:r w:rsidRPr="00C377B1">
              <w:rPr>
                <w:rFonts w:ascii="Verdana" w:hAnsi="Verdana"/>
                <w:sz w:val="16"/>
                <w:szCs w:val="16"/>
                <w:lang w:val="en-US"/>
              </w:rPr>
              <w:tab/>
              <w:t>EPA Test Methods for Evaluating Solid Waste, Physical/Chemical Methods SW 846.</w:t>
            </w:r>
          </w:p>
        </w:tc>
        <w:tc>
          <w:tcPr>
            <w:tcW w:w="4788" w:type="dxa"/>
            <w:shd w:val="clear" w:color="auto" w:fill="auto"/>
          </w:tcPr>
          <w:p w14:paraId="6445E07C" w14:textId="109BEA68" w:rsidR="00DC213D" w:rsidRPr="00C377B1" w:rsidRDefault="00DC213D" w:rsidP="00C377B1">
            <w:pPr>
              <w:pStyle w:val="ROMANOS"/>
              <w:spacing w:line="247" w:lineRule="exact"/>
              <w:ind w:left="0" w:firstLine="0"/>
              <w:rPr>
                <w:rFonts w:ascii="Verdana" w:hAnsi="Verdana"/>
                <w:sz w:val="16"/>
                <w:szCs w:val="16"/>
                <w:lang w:val="en-US"/>
              </w:rPr>
            </w:pPr>
            <w:r w:rsidRPr="00C377B1">
              <w:rPr>
                <w:rFonts w:ascii="Verdana" w:hAnsi="Verdana" w:cs="Times New Roman"/>
                <w:sz w:val="16"/>
                <w:szCs w:val="16"/>
                <w:lang w:val="en-US"/>
              </w:rPr>
              <w:t xml:space="preserve">- EPA Test Methods for Evaluating Solid Waste, Physical/Chemical Methods SW 846.              </w:t>
            </w:r>
          </w:p>
        </w:tc>
      </w:tr>
      <w:tr w:rsidR="00DC213D" w:rsidRPr="00C377B1" w14:paraId="16639262" w14:textId="67C1D301" w:rsidTr="00C377B1">
        <w:tc>
          <w:tcPr>
            <w:tcW w:w="4788" w:type="dxa"/>
            <w:shd w:val="clear" w:color="auto" w:fill="auto"/>
          </w:tcPr>
          <w:p w14:paraId="5C03BC81" w14:textId="77777777" w:rsidR="00DC213D" w:rsidRPr="00C377B1" w:rsidRDefault="00DC213D" w:rsidP="00C377B1">
            <w:pPr>
              <w:pStyle w:val="Texto"/>
              <w:spacing w:line="247" w:lineRule="exact"/>
              <w:ind w:firstLine="0"/>
              <w:rPr>
                <w:rFonts w:ascii="Verdana" w:hAnsi="Verdana"/>
                <w:b/>
                <w:sz w:val="16"/>
                <w:szCs w:val="16"/>
              </w:rPr>
            </w:pPr>
            <w:r w:rsidRPr="00C377B1">
              <w:rPr>
                <w:rFonts w:ascii="Verdana" w:hAnsi="Verdana"/>
                <w:b/>
                <w:sz w:val="16"/>
                <w:szCs w:val="16"/>
              </w:rPr>
              <w:t>7. Concordancia con Normas Internacionales</w:t>
            </w:r>
          </w:p>
        </w:tc>
        <w:tc>
          <w:tcPr>
            <w:tcW w:w="4788" w:type="dxa"/>
            <w:shd w:val="clear" w:color="auto" w:fill="auto"/>
          </w:tcPr>
          <w:p w14:paraId="11C8C507" w14:textId="3FEC7889" w:rsidR="00DC213D" w:rsidRPr="00E67073" w:rsidRDefault="00DC213D" w:rsidP="00C377B1">
            <w:pPr>
              <w:pStyle w:val="Texto"/>
              <w:spacing w:line="247" w:lineRule="exact"/>
              <w:ind w:firstLine="0"/>
              <w:rPr>
                <w:rFonts w:ascii="Verdana" w:hAnsi="Verdana"/>
                <w:b/>
                <w:sz w:val="16"/>
                <w:szCs w:val="16"/>
                <w:lang w:val="en-US"/>
              </w:rPr>
            </w:pPr>
            <w:r w:rsidRPr="00E67073">
              <w:rPr>
                <w:rFonts w:ascii="Verdana" w:hAnsi="Verdana" w:cs="Times New Roman"/>
                <w:b/>
                <w:bCs/>
                <w:sz w:val="16"/>
                <w:szCs w:val="16"/>
                <w:lang w:val="en-US"/>
              </w:rPr>
              <w:t>7. Concordance with International Standards</w:t>
            </w:r>
          </w:p>
        </w:tc>
      </w:tr>
      <w:tr w:rsidR="00DC213D" w:rsidRPr="00CE7512" w14:paraId="0ABD7DA8" w14:textId="5E3B5417" w:rsidTr="00C377B1">
        <w:tc>
          <w:tcPr>
            <w:tcW w:w="4788" w:type="dxa"/>
            <w:shd w:val="clear" w:color="auto" w:fill="auto"/>
          </w:tcPr>
          <w:p w14:paraId="04F37433"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sz w:val="16"/>
                <w:szCs w:val="16"/>
              </w:rPr>
              <w:t>Esta Norma Oficial Mexicana no es equivalente (NEQ) con ninguna Norma Internacional, por no existir esta última al momento de su elaboración.</w:t>
            </w:r>
          </w:p>
        </w:tc>
        <w:tc>
          <w:tcPr>
            <w:tcW w:w="4788" w:type="dxa"/>
            <w:shd w:val="clear" w:color="auto" w:fill="auto"/>
          </w:tcPr>
          <w:p w14:paraId="2515D930" w14:textId="6817BCEE" w:rsidR="00DC213D" w:rsidRPr="00E67073" w:rsidRDefault="00DC213D" w:rsidP="00C377B1">
            <w:pPr>
              <w:pStyle w:val="Texto"/>
              <w:spacing w:line="247" w:lineRule="exact"/>
              <w:ind w:firstLine="0"/>
              <w:rPr>
                <w:rFonts w:ascii="Verdana" w:hAnsi="Verdana"/>
                <w:sz w:val="16"/>
                <w:szCs w:val="16"/>
                <w:lang w:val="en-US"/>
              </w:rPr>
            </w:pPr>
            <w:r w:rsidRPr="00E67073">
              <w:rPr>
                <w:rFonts w:ascii="Verdana" w:hAnsi="Verdana" w:cs="Times New Roman"/>
                <w:sz w:val="16"/>
                <w:szCs w:val="16"/>
                <w:lang w:val="en-US"/>
              </w:rPr>
              <w:t xml:space="preserve">This Official Mexican Standard is not equivalent (NEQ) with any International Standard, since the latter does not exist at the time of its </w:t>
            </w:r>
            <w:r w:rsidR="00BD26E3" w:rsidRPr="00E67073">
              <w:rPr>
                <w:rFonts w:ascii="Verdana" w:hAnsi="Verdana" w:cs="Times New Roman"/>
                <w:sz w:val="16"/>
                <w:szCs w:val="16"/>
                <w:lang w:val="en-US"/>
              </w:rPr>
              <w:t>preparation</w:t>
            </w:r>
            <w:r w:rsidRPr="00E67073">
              <w:rPr>
                <w:rFonts w:ascii="Verdana" w:hAnsi="Verdana" w:cs="Times New Roman"/>
                <w:sz w:val="16"/>
                <w:szCs w:val="16"/>
                <w:lang w:val="en-US"/>
              </w:rPr>
              <w:t>.</w:t>
            </w:r>
          </w:p>
        </w:tc>
      </w:tr>
      <w:tr w:rsidR="00DC213D" w:rsidRPr="00C377B1" w14:paraId="2CF3C041" w14:textId="5239D051" w:rsidTr="00C377B1">
        <w:tc>
          <w:tcPr>
            <w:tcW w:w="4788" w:type="dxa"/>
            <w:shd w:val="clear" w:color="auto" w:fill="auto"/>
          </w:tcPr>
          <w:p w14:paraId="228A4131" w14:textId="77777777" w:rsidR="00DC213D" w:rsidRPr="00C377B1" w:rsidRDefault="00DC213D" w:rsidP="00C377B1">
            <w:pPr>
              <w:pStyle w:val="Texto"/>
              <w:spacing w:line="247" w:lineRule="exact"/>
              <w:ind w:firstLine="0"/>
              <w:rPr>
                <w:rFonts w:ascii="Verdana" w:hAnsi="Verdana"/>
                <w:b/>
                <w:sz w:val="16"/>
                <w:szCs w:val="16"/>
              </w:rPr>
            </w:pPr>
            <w:r w:rsidRPr="00C377B1">
              <w:rPr>
                <w:rFonts w:ascii="Verdana" w:hAnsi="Verdana"/>
                <w:b/>
                <w:sz w:val="16"/>
                <w:szCs w:val="16"/>
              </w:rPr>
              <w:t>8. Vigilancia de esta Norma</w:t>
            </w:r>
          </w:p>
        </w:tc>
        <w:tc>
          <w:tcPr>
            <w:tcW w:w="4788" w:type="dxa"/>
            <w:shd w:val="clear" w:color="auto" w:fill="auto"/>
          </w:tcPr>
          <w:p w14:paraId="0EF99104" w14:textId="62ECF9D2" w:rsidR="00DC213D" w:rsidRPr="00E67073" w:rsidRDefault="00DC213D" w:rsidP="00C377B1">
            <w:pPr>
              <w:pStyle w:val="Texto"/>
              <w:spacing w:line="247" w:lineRule="exact"/>
              <w:ind w:firstLine="0"/>
              <w:rPr>
                <w:rFonts w:ascii="Verdana" w:hAnsi="Verdana"/>
                <w:b/>
                <w:sz w:val="16"/>
                <w:szCs w:val="16"/>
                <w:lang w:val="en-US"/>
              </w:rPr>
            </w:pPr>
            <w:r w:rsidRPr="00E67073">
              <w:rPr>
                <w:rFonts w:ascii="Verdana" w:hAnsi="Verdana" w:cs="Times New Roman"/>
                <w:b/>
                <w:bCs/>
                <w:sz w:val="16"/>
                <w:szCs w:val="16"/>
                <w:lang w:val="en-US"/>
              </w:rPr>
              <w:t xml:space="preserve">8. </w:t>
            </w:r>
            <w:r w:rsidR="00E67073">
              <w:rPr>
                <w:rFonts w:ascii="Verdana" w:hAnsi="Verdana" w:cs="Times New Roman"/>
                <w:b/>
                <w:bCs/>
                <w:sz w:val="16"/>
                <w:szCs w:val="16"/>
                <w:lang w:val="en-US"/>
              </w:rPr>
              <w:t>Oversight</w:t>
            </w:r>
            <w:r w:rsidRPr="00E67073">
              <w:rPr>
                <w:rFonts w:ascii="Verdana" w:hAnsi="Verdana" w:cs="Times New Roman"/>
                <w:b/>
                <w:bCs/>
                <w:sz w:val="16"/>
                <w:szCs w:val="16"/>
                <w:lang w:val="en-US"/>
              </w:rPr>
              <w:t xml:space="preserve"> of this Standard</w:t>
            </w:r>
          </w:p>
        </w:tc>
      </w:tr>
      <w:tr w:rsidR="00DC213D" w:rsidRPr="00CE7512" w14:paraId="4C5D74A2" w14:textId="173CF4E9" w:rsidTr="00C377B1">
        <w:tc>
          <w:tcPr>
            <w:tcW w:w="4788" w:type="dxa"/>
            <w:shd w:val="clear" w:color="auto" w:fill="auto"/>
          </w:tcPr>
          <w:p w14:paraId="1E235415"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sz w:val="16"/>
                <w:szCs w:val="16"/>
              </w:rPr>
              <w:t>La vigilancia del cumplimiento de la presente Norma Oficial Mexicana corresponde a la SEMARNAT, por conducto de la Procuraduría Federal de Protección al Ambiente, respecto de las especificaciones técnicas de protección ambiental, y a la Comisión Nacional del Agua, por lo que se refiere a los pozos geotérmicos exploratorios cuyo personal realizará los trabajos de inspección y vigilancia que sean necesarios. Las violaciones a la misma se sancionarán en los términos de la Ley General del Equilibrio Ecológico y la Protección al Ambiente, de la Ley General para la Prevención y Gestión Integral de Residuos, de la Ley de Aguas Nacionales y demás ordenamientos jurídicos aplicables.</w:t>
            </w:r>
          </w:p>
        </w:tc>
        <w:tc>
          <w:tcPr>
            <w:tcW w:w="4788" w:type="dxa"/>
            <w:shd w:val="clear" w:color="auto" w:fill="auto"/>
          </w:tcPr>
          <w:p w14:paraId="188C59CD" w14:textId="481F5235" w:rsidR="00DC213D" w:rsidRPr="00C377B1" w:rsidRDefault="00E67073" w:rsidP="00C377B1">
            <w:pPr>
              <w:pStyle w:val="Texto"/>
              <w:spacing w:line="247" w:lineRule="exact"/>
              <w:ind w:firstLine="0"/>
              <w:rPr>
                <w:rFonts w:ascii="Verdana" w:hAnsi="Verdana"/>
                <w:sz w:val="16"/>
                <w:szCs w:val="16"/>
                <w:lang w:val="en-US"/>
              </w:rPr>
            </w:pPr>
            <w:r>
              <w:rPr>
                <w:rFonts w:ascii="Verdana" w:hAnsi="Verdana" w:cs="Times New Roman"/>
                <w:sz w:val="16"/>
                <w:szCs w:val="16"/>
                <w:lang w:val="en-US"/>
              </w:rPr>
              <w:t>The oversight to the</w:t>
            </w:r>
            <w:r w:rsidR="00DC213D" w:rsidRPr="00C377B1">
              <w:rPr>
                <w:rFonts w:ascii="Verdana" w:hAnsi="Verdana" w:cs="Times New Roman"/>
                <w:sz w:val="16"/>
                <w:szCs w:val="16"/>
                <w:lang w:val="en-US"/>
              </w:rPr>
              <w:t xml:space="preserve"> compliance with this Official Mexican Standard corresponds to the SEMARNAT, through the Federal </w:t>
            </w:r>
            <w:r>
              <w:rPr>
                <w:rFonts w:ascii="Verdana" w:hAnsi="Verdana" w:cs="Times New Roman"/>
                <w:sz w:val="16"/>
                <w:szCs w:val="16"/>
                <w:lang w:val="en-US"/>
              </w:rPr>
              <w:t>Prosecutor for the Protection of the</w:t>
            </w:r>
            <w:r w:rsidR="00DC213D" w:rsidRPr="00C377B1">
              <w:rPr>
                <w:rFonts w:ascii="Verdana" w:hAnsi="Verdana" w:cs="Times New Roman"/>
                <w:sz w:val="16"/>
                <w:szCs w:val="16"/>
                <w:lang w:val="en-US"/>
              </w:rPr>
              <w:t xml:space="preserve"> Environment, regarding the technical specifications of environmental protection, and the National Water Commission, as regards the </w:t>
            </w:r>
            <w:r w:rsidRPr="00C377B1">
              <w:rPr>
                <w:rFonts w:ascii="Verdana" w:hAnsi="Verdana" w:cs="Times New Roman"/>
                <w:sz w:val="16"/>
                <w:szCs w:val="16"/>
                <w:lang w:val="en-US"/>
              </w:rPr>
              <w:t>exploratory</w:t>
            </w:r>
            <w:r w:rsidRPr="00C377B1">
              <w:rPr>
                <w:rFonts w:ascii="Verdana" w:hAnsi="Verdana" w:cs="Times New Roman"/>
                <w:sz w:val="16"/>
                <w:szCs w:val="16"/>
                <w:lang w:val="en-US"/>
              </w:rPr>
              <w:t xml:space="preserve"> </w:t>
            </w:r>
            <w:r w:rsidRPr="00C377B1">
              <w:rPr>
                <w:rFonts w:ascii="Verdana" w:hAnsi="Verdana" w:cs="Times New Roman"/>
                <w:sz w:val="16"/>
                <w:szCs w:val="16"/>
                <w:lang w:val="en-US"/>
              </w:rPr>
              <w:t>geothermal</w:t>
            </w:r>
            <w:r w:rsidRPr="00C377B1">
              <w:rPr>
                <w:rFonts w:ascii="Verdana" w:hAnsi="Verdana" w:cs="Times New Roman"/>
                <w:sz w:val="16"/>
                <w:szCs w:val="16"/>
                <w:lang w:val="en-US"/>
              </w:rPr>
              <w:t xml:space="preserve"> </w:t>
            </w:r>
            <w:r w:rsidR="00DC213D" w:rsidRPr="00C377B1">
              <w:rPr>
                <w:rFonts w:ascii="Verdana" w:hAnsi="Verdana" w:cs="Times New Roman"/>
                <w:sz w:val="16"/>
                <w:szCs w:val="16"/>
                <w:lang w:val="en-US"/>
              </w:rPr>
              <w:t xml:space="preserve">wells whose personnel will carry out the necessary inspection and </w:t>
            </w:r>
            <w:r>
              <w:rPr>
                <w:rFonts w:ascii="Verdana" w:hAnsi="Verdana" w:cs="Times New Roman"/>
                <w:sz w:val="16"/>
                <w:szCs w:val="16"/>
                <w:lang w:val="en-US"/>
              </w:rPr>
              <w:t>oversight</w:t>
            </w:r>
            <w:r w:rsidR="00DC213D" w:rsidRPr="00C377B1">
              <w:rPr>
                <w:rFonts w:ascii="Verdana" w:hAnsi="Verdana" w:cs="Times New Roman"/>
                <w:sz w:val="16"/>
                <w:szCs w:val="16"/>
                <w:lang w:val="en-US"/>
              </w:rPr>
              <w:t xml:space="preserve"> work. Violations of it will be sanctioned under the terms of the </w:t>
            </w:r>
            <w:r>
              <w:rPr>
                <w:rFonts w:ascii="Verdana" w:hAnsi="Verdana" w:cs="Times New Roman"/>
                <w:sz w:val="16"/>
                <w:szCs w:val="16"/>
                <w:lang w:val="en-US"/>
              </w:rPr>
              <w:t>General Law of Ecological Equilibrium and Protection of the Environment</w:t>
            </w:r>
            <w:r w:rsidR="00DC213D" w:rsidRPr="00C377B1">
              <w:rPr>
                <w:rFonts w:ascii="Verdana" w:hAnsi="Verdana" w:cs="Times New Roman"/>
                <w:sz w:val="16"/>
                <w:szCs w:val="16"/>
                <w:lang w:val="en-US"/>
              </w:rPr>
              <w:t>, of the General Law for the Prevention and Integral Management of Waste</w:t>
            </w:r>
            <w:r>
              <w:rPr>
                <w:rFonts w:ascii="Verdana" w:hAnsi="Verdana" w:cs="Times New Roman"/>
                <w:sz w:val="16"/>
                <w:szCs w:val="16"/>
                <w:lang w:val="en-US"/>
              </w:rPr>
              <w:t>s</w:t>
            </w:r>
            <w:r w:rsidR="00DC213D" w:rsidRPr="00C377B1">
              <w:rPr>
                <w:rFonts w:ascii="Verdana" w:hAnsi="Verdana" w:cs="Times New Roman"/>
                <w:sz w:val="16"/>
                <w:szCs w:val="16"/>
                <w:lang w:val="en-US"/>
              </w:rPr>
              <w:t xml:space="preserve">, of the </w:t>
            </w:r>
            <w:r>
              <w:rPr>
                <w:rFonts w:ascii="Verdana" w:hAnsi="Verdana" w:cs="Times New Roman"/>
                <w:sz w:val="16"/>
                <w:szCs w:val="16"/>
                <w:lang w:val="en-US"/>
              </w:rPr>
              <w:t>Law of National Waters</w:t>
            </w:r>
            <w:r w:rsidR="00DC213D" w:rsidRPr="00C377B1">
              <w:rPr>
                <w:rFonts w:ascii="Verdana" w:hAnsi="Verdana" w:cs="Times New Roman"/>
                <w:sz w:val="16"/>
                <w:szCs w:val="16"/>
                <w:lang w:val="en-US"/>
              </w:rPr>
              <w:t xml:space="preserve"> and other applicable legal systems.</w:t>
            </w:r>
          </w:p>
        </w:tc>
      </w:tr>
      <w:tr w:rsidR="00DC213D" w:rsidRPr="00C377B1" w14:paraId="796277BD" w14:textId="5B5DC811" w:rsidTr="00C377B1">
        <w:tc>
          <w:tcPr>
            <w:tcW w:w="4788" w:type="dxa"/>
            <w:shd w:val="clear" w:color="auto" w:fill="auto"/>
          </w:tcPr>
          <w:p w14:paraId="38503DDF" w14:textId="77777777" w:rsidR="00DC213D" w:rsidRPr="00C377B1" w:rsidRDefault="00DC213D" w:rsidP="00C377B1">
            <w:pPr>
              <w:pStyle w:val="ANOTACION"/>
              <w:spacing w:line="247" w:lineRule="exact"/>
              <w:rPr>
                <w:rFonts w:ascii="Verdana" w:hAnsi="Verdana"/>
                <w:sz w:val="16"/>
                <w:szCs w:val="16"/>
              </w:rPr>
            </w:pPr>
            <w:r w:rsidRPr="00C377B1">
              <w:rPr>
                <w:rFonts w:ascii="Verdana" w:hAnsi="Verdana"/>
                <w:sz w:val="16"/>
                <w:szCs w:val="16"/>
              </w:rPr>
              <w:t>TRANSITORIOS</w:t>
            </w:r>
          </w:p>
        </w:tc>
        <w:tc>
          <w:tcPr>
            <w:tcW w:w="4788" w:type="dxa"/>
            <w:shd w:val="clear" w:color="auto" w:fill="auto"/>
          </w:tcPr>
          <w:p w14:paraId="37D10FAA" w14:textId="5443C215" w:rsidR="00DC213D" w:rsidRPr="00C377B1" w:rsidRDefault="00DC213D" w:rsidP="00C377B1">
            <w:pPr>
              <w:pStyle w:val="ANOTACION"/>
              <w:spacing w:line="247" w:lineRule="exact"/>
              <w:rPr>
                <w:rFonts w:ascii="Verdana" w:hAnsi="Verdana"/>
                <w:sz w:val="16"/>
                <w:szCs w:val="16"/>
                <w:lang w:val="en-US"/>
              </w:rPr>
            </w:pPr>
            <w:r w:rsidRPr="00C377B1">
              <w:rPr>
                <w:rFonts w:ascii="Verdana" w:hAnsi="Verdana"/>
                <w:bCs/>
                <w:sz w:val="16"/>
                <w:szCs w:val="16"/>
              </w:rPr>
              <w:t>TRANSIT</w:t>
            </w:r>
            <w:r w:rsidR="00E67073">
              <w:rPr>
                <w:rFonts w:ascii="Verdana" w:hAnsi="Verdana"/>
                <w:bCs/>
                <w:sz w:val="16"/>
                <w:szCs w:val="16"/>
              </w:rPr>
              <w:t>IONAL ARTICLES</w:t>
            </w:r>
          </w:p>
        </w:tc>
      </w:tr>
      <w:tr w:rsidR="00DC213D" w:rsidRPr="00CE7512" w14:paraId="632B58C1" w14:textId="6A52BE47" w:rsidTr="00C377B1">
        <w:tc>
          <w:tcPr>
            <w:tcW w:w="4788" w:type="dxa"/>
            <w:shd w:val="clear" w:color="auto" w:fill="auto"/>
          </w:tcPr>
          <w:p w14:paraId="519884CC"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b/>
                <w:sz w:val="16"/>
                <w:szCs w:val="16"/>
              </w:rPr>
              <w:lastRenderedPageBreak/>
              <w:t>PRIMERO.-</w:t>
            </w:r>
            <w:r w:rsidRPr="00C377B1">
              <w:rPr>
                <w:rFonts w:ascii="Verdana" w:hAnsi="Verdana"/>
                <w:sz w:val="16"/>
                <w:szCs w:val="16"/>
              </w:rPr>
              <w:t xml:space="preserve"> La presente Norma entrará en vigor a los sesenta días hábiles posteriores al de su publicación en el Diario Oficial de la Federación.</w:t>
            </w:r>
          </w:p>
        </w:tc>
        <w:tc>
          <w:tcPr>
            <w:tcW w:w="4788" w:type="dxa"/>
            <w:shd w:val="clear" w:color="auto" w:fill="auto"/>
          </w:tcPr>
          <w:p w14:paraId="035A9B9D" w14:textId="403A2E6B" w:rsidR="00DC213D" w:rsidRPr="00C377B1" w:rsidRDefault="00DC213D" w:rsidP="00C377B1">
            <w:pPr>
              <w:pStyle w:val="Texto"/>
              <w:spacing w:line="247" w:lineRule="exact"/>
              <w:ind w:firstLine="0"/>
              <w:rPr>
                <w:rFonts w:ascii="Verdana" w:hAnsi="Verdana"/>
                <w:b/>
                <w:sz w:val="16"/>
                <w:szCs w:val="16"/>
                <w:lang w:val="en-US"/>
              </w:rPr>
            </w:pPr>
            <w:r w:rsidRPr="00C377B1">
              <w:rPr>
                <w:rFonts w:ascii="Verdana" w:hAnsi="Verdana" w:cs="Times New Roman"/>
                <w:b/>
                <w:bCs/>
                <w:sz w:val="16"/>
                <w:szCs w:val="16"/>
                <w:lang w:val="en-US"/>
              </w:rPr>
              <w:t xml:space="preserve">FIRST.- </w:t>
            </w:r>
            <w:r w:rsidRPr="00C377B1">
              <w:rPr>
                <w:rFonts w:ascii="Verdana" w:hAnsi="Verdana" w:cs="Times New Roman"/>
                <w:sz w:val="16"/>
                <w:szCs w:val="16"/>
                <w:lang w:val="en-US"/>
              </w:rPr>
              <w:t>This Standard shall enter into force sixty business days after its publication in the Official Daily of the Federation.</w:t>
            </w:r>
          </w:p>
        </w:tc>
      </w:tr>
      <w:tr w:rsidR="00DC213D" w:rsidRPr="00CE7512" w14:paraId="339E942A" w14:textId="46108624" w:rsidTr="00C377B1">
        <w:tc>
          <w:tcPr>
            <w:tcW w:w="4788" w:type="dxa"/>
            <w:shd w:val="clear" w:color="auto" w:fill="auto"/>
          </w:tcPr>
          <w:p w14:paraId="10F8CB5E"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b/>
                <w:sz w:val="16"/>
                <w:szCs w:val="16"/>
              </w:rPr>
              <w:t>SEGUNDO.-</w:t>
            </w:r>
            <w:r w:rsidRPr="00C377B1">
              <w:rPr>
                <w:rFonts w:ascii="Verdana" w:hAnsi="Verdana"/>
                <w:sz w:val="16"/>
                <w:szCs w:val="16"/>
              </w:rPr>
              <w:t xml:space="preserve"> La SEMARNAT, por conducto de la PROFEPA y la CONAGUA, dentro de los sesenta días hábiles siguientes a la entrada en vigor de la presente Norma Oficial Mexicana, publicará en el Diario Oficial de la Federación, una Convocatoria Nacional para la aprobación de Unidades de Verificación previamente acreditadas.</w:t>
            </w:r>
          </w:p>
        </w:tc>
        <w:tc>
          <w:tcPr>
            <w:tcW w:w="4788" w:type="dxa"/>
            <w:shd w:val="clear" w:color="auto" w:fill="auto"/>
          </w:tcPr>
          <w:p w14:paraId="02F6DE16" w14:textId="52BDE43A" w:rsidR="00DC213D" w:rsidRPr="00C377B1" w:rsidRDefault="00DC213D" w:rsidP="00C377B1">
            <w:pPr>
              <w:pStyle w:val="Texto"/>
              <w:spacing w:line="247" w:lineRule="exact"/>
              <w:ind w:firstLine="0"/>
              <w:rPr>
                <w:rFonts w:ascii="Verdana" w:hAnsi="Verdana"/>
                <w:b/>
                <w:sz w:val="16"/>
                <w:szCs w:val="16"/>
                <w:lang w:val="en-US"/>
              </w:rPr>
            </w:pPr>
            <w:r w:rsidRPr="00C377B1">
              <w:rPr>
                <w:rFonts w:ascii="Verdana" w:hAnsi="Verdana" w:cs="Times New Roman"/>
                <w:b/>
                <w:bCs/>
                <w:sz w:val="16"/>
                <w:szCs w:val="16"/>
                <w:lang w:val="en-US"/>
              </w:rPr>
              <w:t xml:space="preserve">SECOND.- </w:t>
            </w:r>
            <w:r w:rsidRPr="00C377B1">
              <w:rPr>
                <w:rFonts w:ascii="Verdana" w:hAnsi="Verdana" w:cs="Times New Roman"/>
                <w:sz w:val="16"/>
                <w:szCs w:val="16"/>
                <w:lang w:val="en-US"/>
              </w:rPr>
              <w:t xml:space="preserve">SEMARNAT, through PROFEPA and CONAGUA, within sixty business days following the entry into force of this Official Mexican Standard, will publish in the Official Daily of the Federation, a National Call for the approval of </w:t>
            </w:r>
            <w:r w:rsidR="00216533">
              <w:rPr>
                <w:rFonts w:ascii="Verdana" w:hAnsi="Verdana" w:cs="Times New Roman"/>
                <w:sz w:val="16"/>
                <w:szCs w:val="16"/>
                <w:lang w:val="en-US"/>
              </w:rPr>
              <w:t>Unit of Verification</w:t>
            </w:r>
            <w:r w:rsidRPr="00C377B1">
              <w:rPr>
                <w:rFonts w:ascii="Verdana" w:hAnsi="Verdana" w:cs="Times New Roman"/>
                <w:sz w:val="16"/>
                <w:szCs w:val="16"/>
                <w:lang w:val="en-US"/>
              </w:rPr>
              <w:t>s previously accredited.</w:t>
            </w:r>
          </w:p>
        </w:tc>
      </w:tr>
      <w:tr w:rsidR="00DC213D" w:rsidRPr="00C377B1" w14:paraId="4DE7A5A9" w14:textId="53B29EA6" w:rsidTr="00C377B1">
        <w:tc>
          <w:tcPr>
            <w:tcW w:w="4788" w:type="dxa"/>
            <w:shd w:val="clear" w:color="auto" w:fill="auto"/>
          </w:tcPr>
          <w:p w14:paraId="65A6DFE1" w14:textId="77777777" w:rsidR="00DC213D" w:rsidRPr="00C377B1" w:rsidRDefault="00DC213D" w:rsidP="00C377B1">
            <w:pPr>
              <w:pStyle w:val="Texto"/>
              <w:spacing w:line="247" w:lineRule="exact"/>
              <w:ind w:firstLine="0"/>
              <w:rPr>
                <w:rFonts w:ascii="Verdana" w:hAnsi="Verdana"/>
                <w:sz w:val="16"/>
                <w:szCs w:val="16"/>
              </w:rPr>
            </w:pPr>
            <w:r w:rsidRPr="00C377B1">
              <w:rPr>
                <w:rFonts w:ascii="Verdana" w:hAnsi="Verdana"/>
                <w:sz w:val="16"/>
                <w:szCs w:val="16"/>
              </w:rPr>
              <w:t xml:space="preserve">Ciudad de México, a los veintiséis días del mes de octubre de 2017.- El Subsecretario de Fomento y Normatividad Ambiental de la Secretaría de Medio Ambiente y Recursos Naturales y Presidente del Comité Consultivo Nacional de Normalización de Medio Ambiente y Recursos Naturales, </w:t>
            </w:r>
            <w:r w:rsidRPr="00C377B1">
              <w:rPr>
                <w:rFonts w:ascii="Verdana" w:hAnsi="Verdana"/>
                <w:b/>
                <w:sz w:val="16"/>
                <w:szCs w:val="16"/>
              </w:rPr>
              <w:t>Cuauhtémoc Ochoa Fernández</w:t>
            </w:r>
            <w:r w:rsidRPr="00C377B1">
              <w:rPr>
                <w:rFonts w:ascii="Verdana" w:hAnsi="Verdana"/>
                <w:sz w:val="16"/>
                <w:szCs w:val="16"/>
              </w:rPr>
              <w:t>.- Rúbrica.</w:t>
            </w:r>
          </w:p>
        </w:tc>
        <w:tc>
          <w:tcPr>
            <w:tcW w:w="4788" w:type="dxa"/>
            <w:shd w:val="clear" w:color="auto" w:fill="auto"/>
          </w:tcPr>
          <w:p w14:paraId="067D2A0A" w14:textId="748D9DF3" w:rsidR="00DC213D" w:rsidRPr="00C377B1" w:rsidRDefault="00DC213D" w:rsidP="00C377B1">
            <w:pPr>
              <w:pStyle w:val="Texto"/>
              <w:spacing w:line="247" w:lineRule="exact"/>
              <w:ind w:firstLine="0"/>
              <w:rPr>
                <w:rFonts w:ascii="Verdana" w:hAnsi="Verdana"/>
                <w:sz w:val="16"/>
                <w:szCs w:val="16"/>
                <w:lang w:val="en-US"/>
              </w:rPr>
            </w:pPr>
            <w:r w:rsidRPr="00C377B1">
              <w:rPr>
                <w:rFonts w:ascii="Verdana" w:hAnsi="Verdana" w:cs="Times New Roman"/>
                <w:sz w:val="16"/>
                <w:szCs w:val="16"/>
                <w:lang w:val="en-US"/>
              </w:rPr>
              <w:t xml:space="preserve">Mexico City, on the twenty-sixth day of October 2017.- The Undersecretary of Environmental Promotion and Regulations of the Secretary of Environment and Natural Resources and President of the National Consultative Committee for the Standardization of Environment and Natural Resources, </w:t>
            </w:r>
            <w:r w:rsidRPr="00C377B1">
              <w:rPr>
                <w:rFonts w:ascii="Verdana" w:hAnsi="Verdana" w:cs="Times New Roman"/>
                <w:b/>
                <w:bCs/>
                <w:sz w:val="16"/>
                <w:szCs w:val="16"/>
                <w:lang w:val="en-US"/>
              </w:rPr>
              <w:t xml:space="preserve">Cuauhtémoc Ochoa Fernández </w:t>
            </w:r>
            <w:r w:rsidRPr="00C377B1">
              <w:rPr>
                <w:rFonts w:ascii="Verdana" w:hAnsi="Verdana" w:cs="Times New Roman"/>
                <w:sz w:val="16"/>
                <w:szCs w:val="16"/>
                <w:lang w:val="en-US"/>
              </w:rPr>
              <w:t xml:space="preserve">.- </w:t>
            </w:r>
            <w:r w:rsidR="00E67073">
              <w:rPr>
                <w:rFonts w:ascii="Verdana" w:hAnsi="Verdana" w:cs="Times New Roman"/>
                <w:sz w:val="16"/>
                <w:szCs w:val="16"/>
                <w:lang w:val="en-US"/>
              </w:rPr>
              <w:t>Signed</w:t>
            </w:r>
            <w:r w:rsidRPr="00C377B1">
              <w:rPr>
                <w:rFonts w:ascii="Verdana" w:hAnsi="Verdana" w:cs="Times New Roman"/>
                <w:sz w:val="16"/>
                <w:szCs w:val="16"/>
                <w:lang w:val="en-US"/>
              </w:rPr>
              <w:t>.</w:t>
            </w:r>
          </w:p>
        </w:tc>
      </w:tr>
    </w:tbl>
    <w:p w14:paraId="2BEAB231" w14:textId="57C9A8ED" w:rsidR="00A84ACC" w:rsidRPr="00667595" w:rsidRDefault="00A84ACC" w:rsidP="00D853C8">
      <w:pPr>
        <w:pStyle w:val="Texto"/>
        <w:spacing w:line="247" w:lineRule="exact"/>
        <w:ind w:firstLine="0"/>
        <w:rPr>
          <w:rFonts w:ascii="Verdana" w:hAnsi="Verdana"/>
          <w:sz w:val="16"/>
          <w:szCs w:val="16"/>
          <w:lang w:val="en-US"/>
        </w:rPr>
      </w:pPr>
    </w:p>
    <w:sectPr w:rsidR="00A84ACC" w:rsidRPr="00667595" w:rsidSect="00E67073">
      <w:headerReference w:type="even" r:id="rId9"/>
      <w:headerReference w:type="default" r:id="rId10"/>
      <w:footerReference w:type="default" r:id="rId11"/>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7E430" w14:textId="77777777" w:rsidR="00CB38E6" w:rsidRDefault="00CB38E6">
      <w:r>
        <w:separator/>
      </w:r>
    </w:p>
  </w:endnote>
  <w:endnote w:type="continuationSeparator" w:id="0">
    <w:p w14:paraId="42E5C130" w14:textId="77777777" w:rsidR="00CB38E6" w:rsidRDefault="00CB3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Aibri">
    <w:altName w:val="Calibri"/>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9AE5D" w14:textId="48B973EC" w:rsidR="00E67073" w:rsidRPr="00E67073" w:rsidRDefault="00E67073">
    <w:pPr>
      <w:pStyle w:val="Footer"/>
      <w:rPr>
        <w:rFonts w:ascii="Verdana" w:hAnsi="Verdana"/>
        <w:b/>
        <w:bCs/>
        <w:sz w:val="16"/>
        <w:szCs w:val="16"/>
        <w:lang w:val="es-MX"/>
      </w:rPr>
    </w:pPr>
    <w:r w:rsidRPr="00E67073">
      <w:rPr>
        <w:rFonts w:ascii="Verdana" w:hAnsi="Verdana"/>
        <w:b/>
        <w:bCs/>
        <w:sz w:val="16"/>
        <w:szCs w:val="16"/>
        <w:lang w:val="es-MX"/>
      </w:rPr>
      <w:t xml:space="preserve">Derechos Reservados © 2020 Lic. Glenn Louis McBride </w:t>
    </w:r>
    <w:r>
      <w:rPr>
        <w:rFonts w:ascii="Verdana" w:hAnsi="Verdana"/>
        <w:b/>
        <w:bCs/>
        <w:sz w:val="16"/>
        <w:szCs w:val="16"/>
        <w:lang w:val="es-MX"/>
      </w:rPr>
      <w:t xml:space="preserve">                                                                     </w:t>
    </w:r>
    <w:r w:rsidRPr="00E67073">
      <w:rPr>
        <w:rFonts w:ascii="Verdana" w:hAnsi="Verdana"/>
        <w:b/>
        <w:bCs/>
        <w:sz w:val="16"/>
        <w:szCs w:val="16"/>
        <w:lang w:val="es-MX"/>
      </w:rPr>
      <w:t xml:space="preserve">    </w:t>
    </w:r>
    <w:r w:rsidRPr="00E67073">
      <w:rPr>
        <w:rFonts w:ascii="Verdana" w:hAnsi="Verdana"/>
        <w:b/>
        <w:bCs/>
        <w:sz w:val="16"/>
        <w:szCs w:val="16"/>
        <w:lang w:val="es-MX"/>
      </w:rPr>
      <w:fldChar w:fldCharType="begin"/>
    </w:r>
    <w:r w:rsidRPr="00E67073">
      <w:rPr>
        <w:rFonts w:ascii="Verdana" w:hAnsi="Verdana"/>
        <w:b/>
        <w:bCs/>
        <w:sz w:val="16"/>
        <w:szCs w:val="16"/>
        <w:lang w:val="es-MX"/>
      </w:rPr>
      <w:instrText xml:space="preserve"> PAGE   \* MERGEFORMAT </w:instrText>
    </w:r>
    <w:r w:rsidRPr="00E67073">
      <w:rPr>
        <w:rFonts w:ascii="Verdana" w:hAnsi="Verdana"/>
        <w:b/>
        <w:bCs/>
        <w:sz w:val="16"/>
        <w:szCs w:val="16"/>
        <w:lang w:val="es-MX"/>
      </w:rPr>
      <w:fldChar w:fldCharType="separate"/>
    </w:r>
    <w:r w:rsidRPr="00E67073">
      <w:rPr>
        <w:rFonts w:ascii="Verdana" w:hAnsi="Verdana"/>
        <w:b/>
        <w:bCs/>
        <w:noProof/>
        <w:sz w:val="16"/>
        <w:szCs w:val="16"/>
        <w:lang w:val="es-MX"/>
      </w:rPr>
      <w:t>1</w:t>
    </w:r>
    <w:r w:rsidRPr="00E67073">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89F52" w14:textId="77777777" w:rsidR="00CB38E6" w:rsidRDefault="00CB38E6">
      <w:r>
        <w:separator/>
      </w:r>
    </w:p>
  </w:footnote>
  <w:footnote w:type="continuationSeparator" w:id="0">
    <w:p w14:paraId="27621228" w14:textId="77777777" w:rsidR="00CB38E6" w:rsidRDefault="00CB3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EF84F" w14:textId="77777777" w:rsidR="00CE7512" w:rsidRPr="00A84ACC" w:rsidRDefault="00CE7512" w:rsidP="00511FD5">
    <w:pPr>
      <w:pStyle w:val="Fechas"/>
      <w:rPr>
        <w:rFonts w:cs="Times New Roman"/>
      </w:rPr>
    </w:pPr>
    <w:r w:rsidRPr="00A84ACC">
      <w:rPr>
        <w:rFonts w:cs="Times New Roman"/>
      </w:rPr>
      <w:t xml:space="preserve">     (Primera Sección)</w:t>
    </w:r>
    <w:r w:rsidRPr="00A84ACC">
      <w:rPr>
        <w:rFonts w:cs="Times New Roman"/>
      </w:rPr>
      <w:tab/>
      <w:t>DIARIO OFICIAL</w:t>
    </w:r>
    <w:r w:rsidRPr="00A84ACC">
      <w:rPr>
        <w:rFonts w:cs="Times New Roman"/>
      </w:rPr>
      <w:tab/>
      <w:t>Miércoles 22 de noviembre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F543D" w14:textId="6ADF3B6F" w:rsidR="00CE7512" w:rsidRDefault="00CE7512" w:rsidP="00667595">
    <w:pPr>
      <w:pStyle w:val="Header"/>
      <w:rPr>
        <w:rFonts w:ascii="Verdana" w:hAnsi="Verdana"/>
        <w:sz w:val="16"/>
        <w:szCs w:val="16"/>
        <w:lang w:val="en-US"/>
      </w:rPr>
    </w:pPr>
    <w:r w:rsidRPr="00667595">
      <w:rPr>
        <w:rFonts w:ascii="Verdana" w:hAnsi="Verdana"/>
        <w:b/>
        <w:bCs/>
        <w:sz w:val="16"/>
        <w:szCs w:val="16"/>
        <w:lang w:val="en-US"/>
      </w:rPr>
      <w:t>NOM-150-SEMARNAT-2017, which establishes technical specifications for environmental protection that must be observed in construction activities and the preliminary evaluation of geothermal wells for exploration, located in uncultivated agricultural areas, livestock and outside protected natural areas and forest land</w:t>
    </w:r>
    <w:r w:rsidRPr="00667595">
      <w:rPr>
        <w:rFonts w:ascii="Verdana" w:hAnsi="Verdana"/>
        <w:sz w:val="16"/>
        <w:szCs w:val="16"/>
        <w:lang w:val="en-US"/>
      </w:rPr>
      <w:t>.  Published in the DOF on November 22, 2017</w:t>
    </w:r>
  </w:p>
  <w:p w14:paraId="10F8083D" w14:textId="77777777" w:rsidR="00CE7512" w:rsidRPr="00667595" w:rsidRDefault="00CE7512" w:rsidP="00667595">
    <w:pPr>
      <w:pStyle w:val="Header"/>
      <w:rPr>
        <w:rFonts w:ascii="Verdana" w:hAnsi="Verdana"/>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B30A0"/>
    <w:multiLevelType w:val="hybridMultilevel"/>
    <w:tmpl w:val="53427CB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EA747D2"/>
    <w:multiLevelType w:val="hybridMultilevel"/>
    <w:tmpl w:val="1DB6426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16FD1A03"/>
    <w:multiLevelType w:val="hybridMultilevel"/>
    <w:tmpl w:val="38C2BCE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A3061CA"/>
    <w:multiLevelType w:val="hybridMultilevel"/>
    <w:tmpl w:val="014063B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BAE1B04"/>
    <w:multiLevelType w:val="hybridMultilevel"/>
    <w:tmpl w:val="39BA12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DF6238B"/>
    <w:multiLevelType w:val="hybridMultilevel"/>
    <w:tmpl w:val="78C476F8"/>
    <w:lvl w:ilvl="0" w:tplc="080A0001">
      <w:start w:val="1"/>
      <w:numFmt w:val="bullet"/>
      <w:lvlText w:val=""/>
      <w:lvlJc w:val="left"/>
      <w:pPr>
        <w:ind w:left="2206" w:hanging="360"/>
      </w:pPr>
      <w:rPr>
        <w:rFonts w:ascii="Symbol" w:hAnsi="Symbol" w:hint="default"/>
      </w:rPr>
    </w:lvl>
    <w:lvl w:ilvl="1" w:tplc="080A0003" w:tentative="1">
      <w:start w:val="1"/>
      <w:numFmt w:val="bullet"/>
      <w:lvlText w:val="o"/>
      <w:lvlJc w:val="left"/>
      <w:pPr>
        <w:ind w:left="2926" w:hanging="360"/>
      </w:pPr>
      <w:rPr>
        <w:rFonts w:ascii="Courier New" w:hAnsi="Courier New" w:cs="Courier New" w:hint="default"/>
      </w:rPr>
    </w:lvl>
    <w:lvl w:ilvl="2" w:tplc="080A0005" w:tentative="1">
      <w:start w:val="1"/>
      <w:numFmt w:val="bullet"/>
      <w:lvlText w:val=""/>
      <w:lvlJc w:val="left"/>
      <w:pPr>
        <w:ind w:left="3646" w:hanging="360"/>
      </w:pPr>
      <w:rPr>
        <w:rFonts w:ascii="Wingdings" w:hAnsi="Wingdings" w:hint="default"/>
      </w:rPr>
    </w:lvl>
    <w:lvl w:ilvl="3" w:tplc="080A0001" w:tentative="1">
      <w:start w:val="1"/>
      <w:numFmt w:val="bullet"/>
      <w:lvlText w:val=""/>
      <w:lvlJc w:val="left"/>
      <w:pPr>
        <w:ind w:left="4366" w:hanging="360"/>
      </w:pPr>
      <w:rPr>
        <w:rFonts w:ascii="Symbol" w:hAnsi="Symbol" w:hint="default"/>
      </w:rPr>
    </w:lvl>
    <w:lvl w:ilvl="4" w:tplc="080A0003" w:tentative="1">
      <w:start w:val="1"/>
      <w:numFmt w:val="bullet"/>
      <w:lvlText w:val="o"/>
      <w:lvlJc w:val="left"/>
      <w:pPr>
        <w:ind w:left="5086" w:hanging="360"/>
      </w:pPr>
      <w:rPr>
        <w:rFonts w:ascii="Courier New" w:hAnsi="Courier New" w:cs="Courier New" w:hint="default"/>
      </w:rPr>
    </w:lvl>
    <w:lvl w:ilvl="5" w:tplc="080A0005" w:tentative="1">
      <w:start w:val="1"/>
      <w:numFmt w:val="bullet"/>
      <w:lvlText w:val=""/>
      <w:lvlJc w:val="left"/>
      <w:pPr>
        <w:ind w:left="5806" w:hanging="360"/>
      </w:pPr>
      <w:rPr>
        <w:rFonts w:ascii="Wingdings" w:hAnsi="Wingdings" w:hint="default"/>
      </w:rPr>
    </w:lvl>
    <w:lvl w:ilvl="6" w:tplc="080A0001" w:tentative="1">
      <w:start w:val="1"/>
      <w:numFmt w:val="bullet"/>
      <w:lvlText w:val=""/>
      <w:lvlJc w:val="left"/>
      <w:pPr>
        <w:ind w:left="6526" w:hanging="360"/>
      </w:pPr>
      <w:rPr>
        <w:rFonts w:ascii="Symbol" w:hAnsi="Symbol" w:hint="default"/>
      </w:rPr>
    </w:lvl>
    <w:lvl w:ilvl="7" w:tplc="080A0003" w:tentative="1">
      <w:start w:val="1"/>
      <w:numFmt w:val="bullet"/>
      <w:lvlText w:val="o"/>
      <w:lvlJc w:val="left"/>
      <w:pPr>
        <w:ind w:left="7246" w:hanging="360"/>
      </w:pPr>
      <w:rPr>
        <w:rFonts w:ascii="Courier New" w:hAnsi="Courier New" w:cs="Courier New" w:hint="default"/>
      </w:rPr>
    </w:lvl>
    <w:lvl w:ilvl="8" w:tplc="080A0005" w:tentative="1">
      <w:start w:val="1"/>
      <w:numFmt w:val="bullet"/>
      <w:lvlText w:val=""/>
      <w:lvlJc w:val="left"/>
      <w:pPr>
        <w:ind w:left="7966" w:hanging="360"/>
      </w:pPr>
      <w:rPr>
        <w:rFonts w:ascii="Wingdings" w:hAnsi="Wingdings" w:hint="default"/>
      </w:rPr>
    </w:lvl>
  </w:abstractNum>
  <w:abstractNum w:abstractNumId="6" w15:restartNumberingAfterBreak="0">
    <w:nsid w:val="26F24C9B"/>
    <w:multiLevelType w:val="hybridMultilevel"/>
    <w:tmpl w:val="4032469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9" w15:restartNumberingAfterBreak="0">
    <w:nsid w:val="3F9565C2"/>
    <w:multiLevelType w:val="hybridMultilevel"/>
    <w:tmpl w:val="0F8EF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2980831"/>
    <w:multiLevelType w:val="hybridMultilevel"/>
    <w:tmpl w:val="95985E32"/>
    <w:lvl w:ilvl="0" w:tplc="3FFADDAC">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1" w15:restartNumberingAfterBreak="0">
    <w:nsid w:val="43FF5977"/>
    <w:multiLevelType w:val="hybridMultilevel"/>
    <w:tmpl w:val="FE522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5D35CF"/>
    <w:multiLevelType w:val="hybridMultilevel"/>
    <w:tmpl w:val="0ACA3FB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652F17BF"/>
    <w:multiLevelType w:val="hybridMultilevel"/>
    <w:tmpl w:val="110402D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5" w15:restartNumberingAfterBreak="0">
    <w:nsid w:val="78A81068"/>
    <w:multiLevelType w:val="hybridMultilevel"/>
    <w:tmpl w:val="31F86AA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8"/>
  </w:num>
  <w:num w:numId="2">
    <w:abstractNumId w:val="14"/>
  </w:num>
  <w:num w:numId="3">
    <w:abstractNumId w:val="7"/>
  </w:num>
  <w:num w:numId="4">
    <w:abstractNumId w:val="3"/>
  </w:num>
  <w:num w:numId="5">
    <w:abstractNumId w:val="10"/>
  </w:num>
  <w:num w:numId="6">
    <w:abstractNumId w:val="15"/>
  </w:num>
  <w:num w:numId="7">
    <w:abstractNumId w:val="13"/>
  </w:num>
  <w:num w:numId="8">
    <w:abstractNumId w:val="1"/>
  </w:num>
  <w:num w:numId="9">
    <w:abstractNumId w:val="0"/>
  </w:num>
  <w:num w:numId="10">
    <w:abstractNumId w:val="4"/>
  </w:num>
  <w:num w:numId="11">
    <w:abstractNumId w:val="2"/>
  </w:num>
  <w:num w:numId="12">
    <w:abstractNumId w:val="12"/>
  </w:num>
  <w:num w:numId="13">
    <w:abstractNumId w:val="9"/>
  </w:num>
  <w:num w:numId="14">
    <w:abstractNumId w:val="11"/>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E5"/>
    <w:rsid w:val="00007D5B"/>
    <w:rsid w:val="00020782"/>
    <w:rsid w:val="00023FDE"/>
    <w:rsid w:val="00025505"/>
    <w:rsid w:val="00030FA7"/>
    <w:rsid w:val="000468AF"/>
    <w:rsid w:val="00046AF3"/>
    <w:rsid w:val="00047AFF"/>
    <w:rsid w:val="000643A3"/>
    <w:rsid w:val="00070CDB"/>
    <w:rsid w:val="00072226"/>
    <w:rsid w:val="0008366A"/>
    <w:rsid w:val="00083B96"/>
    <w:rsid w:val="000852C4"/>
    <w:rsid w:val="00085CFF"/>
    <w:rsid w:val="00090755"/>
    <w:rsid w:val="000934C4"/>
    <w:rsid w:val="000B42E5"/>
    <w:rsid w:val="000B698E"/>
    <w:rsid w:val="000C50D4"/>
    <w:rsid w:val="000C632A"/>
    <w:rsid w:val="000E6BF1"/>
    <w:rsid w:val="000F0FA3"/>
    <w:rsid w:val="000F3ABE"/>
    <w:rsid w:val="000F706A"/>
    <w:rsid w:val="0010703B"/>
    <w:rsid w:val="001303A7"/>
    <w:rsid w:val="00140A5C"/>
    <w:rsid w:val="00155A7E"/>
    <w:rsid w:val="001574EC"/>
    <w:rsid w:val="00163AE3"/>
    <w:rsid w:val="001642EF"/>
    <w:rsid w:val="00166A5A"/>
    <w:rsid w:val="00173E9D"/>
    <w:rsid w:val="001748E8"/>
    <w:rsid w:val="00176B02"/>
    <w:rsid w:val="00181964"/>
    <w:rsid w:val="001910AB"/>
    <w:rsid w:val="00195422"/>
    <w:rsid w:val="001A1CAD"/>
    <w:rsid w:val="001A2BCE"/>
    <w:rsid w:val="001B1144"/>
    <w:rsid w:val="001B6981"/>
    <w:rsid w:val="001C1DC9"/>
    <w:rsid w:val="001E47D0"/>
    <w:rsid w:val="001E5A57"/>
    <w:rsid w:val="001E6CB1"/>
    <w:rsid w:val="001F09BB"/>
    <w:rsid w:val="001F6325"/>
    <w:rsid w:val="0020245C"/>
    <w:rsid w:val="00216533"/>
    <w:rsid w:val="002214D8"/>
    <w:rsid w:val="0025082C"/>
    <w:rsid w:val="00254852"/>
    <w:rsid w:val="00255299"/>
    <w:rsid w:val="00282554"/>
    <w:rsid w:val="00285BE5"/>
    <w:rsid w:val="00286668"/>
    <w:rsid w:val="00286818"/>
    <w:rsid w:val="00290296"/>
    <w:rsid w:val="0029033A"/>
    <w:rsid w:val="00291CA7"/>
    <w:rsid w:val="002940B6"/>
    <w:rsid w:val="002B00EE"/>
    <w:rsid w:val="002B127D"/>
    <w:rsid w:val="002B36E8"/>
    <w:rsid w:val="002B37B4"/>
    <w:rsid w:val="002B3857"/>
    <w:rsid w:val="002C3644"/>
    <w:rsid w:val="002D476D"/>
    <w:rsid w:val="002E0094"/>
    <w:rsid w:val="002E4517"/>
    <w:rsid w:val="002F6279"/>
    <w:rsid w:val="002F666A"/>
    <w:rsid w:val="0030321A"/>
    <w:rsid w:val="00306951"/>
    <w:rsid w:val="00323864"/>
    <w:rsid w:val="0032394E"/>
    <w:rsid w:val="003264DE"/>
    <w:rsid w:val="00326B04"/>
    <w:rsid w:val="00330780"/>
    <w:rsid w:val="003340A4"/>
    <w:rsid w:val="00357A6B"/>
    <w:rsid w:val="0036410B"/>
    <w:rsid w:val="003656C6"/>
    <w:rsid w:val="00373DFE"/>
    <w:rsid w:val="0039202C"/>
    <w:rsid w:val="003958AA"/>
    <w:rsid w:val="003967FE"/>
    <w:rsid w:val="003A09A3"/>
    <w:rsid w:val="003B2214"/>
    <w:rsid w:val="003B46F2"/>
    <w:rsid w:val="003C5EB9"/>
    <w:rsid w:val="003D1A22"/>
    <w:rsid w:val="003D3A40"/>
    <w:rsid w:val="003D6457"/>
    <w:rsid w:val="003E5783"/>
    <w:rsid w:val="003E7472"/>
    <w:rsid w:val="00410B8C"/>
    <w:rsid w:val="00412ED6"/>
    <w:rsid w:val="004142D5"/>
    <w:rsid w:val="004273D0"/>
    <w:rsid w:val="0042779F"/>
    <w:rsid w:val="004352A9"/>
    <w:rsid w:val="00440349"/>
    <w:rsid w:val="0044530C"/>
    <w:rsid w:val="00453D17"/>
    <w:rsid w:val="0046400A"/>
    <w:rsid w:val="00464085"/>
    <w:rsid w:val="004652D9"/>
    <w:rsid w:val="00465E99"/>
    <w:rsid w:val="00475BE2"/>
    <w:rsid w:val="00491FF9"/>
    <w:rsid w:val="004A7426"/>
    <w:rsid w:val="004B1E4D"/>
    <w:rsid w:val="004B2F2C"/>
    <w:rsid w:val="004C174C"/>
    <w:rsid w:val="004C49C6"/>
    <w:rsid w:val="004C577A"/>
    <w:rsid w:val="004C6FCF"/>
    <w:rsid w:val="004D4A72"/>
    <w:rsid w:val="004E6B1F"/>
    <w:rsid w:val="004E77FB"/>
    <w:rsid w:val="004F3FE9"/>
    <w:rsid w:val="004F6559"/>
    <w:rsid w:val="00502367"/>
    <w:rsid w:val="00511FD5"/>
    <w:rsid w:val="00512CDB"/>
    <w:rsid w:val="00514993"/>
    <w:rsid w:val="00522551"/>
    <w:rsid w:val="00526356"/>
    <w:rsid w:val="00534337"/>
    <w:rsid w:val="00534A44"/>
    <w:rsid w:val="0053581A"/>
    <w:rsid w:val="00535845"/>
    <w:rsid w:val="0054345D"/>
    <w:rsid w:val="005438AB"/>
    <w:rsid w:val="00543991"/>
    <w:rsid w:val="0054733E"/>
    <w:rsid w:val="0055349C"/>
    <w:rsid w:val="00565E3D"/>
    <w:rsid w:val="00567317"/>
    <w:rsid w:val="005724B9"/>
    <w:rsid w:val="00573106"/>
    <w:rsid w:val="005A0268"/>
    <w:rsid w:val="005A0954"/>
    <w:rsid w:val="005C1E69"/>
    <w:rsid w:val="005C4019"/>
    <w:rsid w:val="005C75DE"/>
    <w:rsid w:val="005D3024"/>
    <w:rsid w:val="005D4388"/>
    <w:rsid w:val="005D7D14"/>
    <w:rsid w:val="005E761D"/>
    <w:rsid w:val="005F043D"/>
    <w:rsid w:val="005F12B7"/>
    <w:rsid w:val="005F3E72"/>
    <w:rsid w:val="005F4AC0"/>
    <w:rsid w:val="00600838"/>
    <w:rsid w:val="006231E1"/>
    <w:rsid w:val="006252C1"/>
    <w:rsid w:val="00627360"/>
    <w:rsid w:val="00627D1A"/>
    <w:rsid w:val="0063495E"/>
    <w:rsid w:val="00634C63"/>
    <w:rsid w:val="00636AB3"/>
    <w:rsid w:val="0064172B"/>
    <w:rsid w:val="00656CFF"/>
    <w:rsid w:val="00667595"/>
    <w:rsid w:val="00670946"/>
    <w:rsid w:val="006711A8"/>
    <w:rsid w:val="00674139"/>
    <w:rsid w:val="00681BC5"/>
    <w:rsid w:val="00686752"/>
    <w:rsid w:val="00691836"/>
    <w:rsid w:val="0069357B"/>
    <w:rsid w:val="00697B7C"/>
    <w:rsid w:val="006B7539"/>
    <w:rsid w:val="006C30AE"/>
    <w:rsid w:val="006D2E40"/>
    <w:rsid w:val="006E2487"/>
    <w:rsid w:val="006E4EE3"/>
    <w:rsid w:val="006E66EC"/>
    <w:rsid w:val="006F785A"/>
    <w:rsid w:val="00702705"/>
    <w:rsid w:val="0070415B"/>
    <w:rsid w:val="00717A6D"/>
    <w:rsid w:val="0072248B"/>
    <w:rsid w:val="00724703"/>
    <w:rsid w:val="00735E9D"/>
    <w:rsid w:val="00737435"/>
    <w:rsid w:val="00741ABD"/>
    <w:rsid w:val="00746FC8"/>
    <w:rsid w:val="007570C1"/>
    <w:rsid w:val="007578BE"/>
    <w:rsid w:val="007709F9"/>
    <w:rsid w:val="00793D07"/>
    <w:rsid w:val="00797AB4"/>
    <w:rsid w:val="00797DCB"/>
    <w:rsid w:val="007A0956"/>
    <w:rsid w:val="007D00B8"/>
    <w:rsid w:val="007D0C3B"/>
    <w:rsid w:val="007D286A"/>
    <w:rsid w:val="007F0344"/>
    <w:rsid w:val="008116CE"/>
    <w:rsid w:val="0081602D"/>
    <w:rsid w:val="00816C4D"/>
    <w:rsid w:val="00827CE1"/>
    <w:rsid w:val="0083080F"/>
    <w:rsid w:val="00832E88"/>
    <w:rsid w:val="008412BC"/>
    <w:rsid w:val="00842BE6"/>
    <w:rsid w:val="00842FB8"/>
    <w:rsid w:val="008651ED"/>
    <w:rsid w:val="00875A59"/>
    <w:rsid w:val="00877B39"/>
    <w:rsid w:val="008918DC"/>
    <w:rsid w:val="008922B8"/>
    <w:rsid w:val="0089558E"/>
    <w:rsid w:val="008A0F8C"/>
    <w:rsid w:val="008A23F3"/>
    <w:rsid w:val="008B5BD2"/>
    <w:rsid w:val="008C46C1"/>
    <w:rsid w:val="008D06EA"/>
    <w:rsid w:val="008D17A5"/>
    <w:rsid w:val="008E35DF"/>
    <w:rsid w:val="008F5142"/>
    <w:rsid w:val="008F7A18"/>
    <w:rsid w:val="008F7C01"/>
    <w:rsid w:val="00913D77"/>
    <w:rsid w:val="009167A0"/>
    <w:rsid w:val="009200A2"/>
    <w:rsid w:val="009329FB"/>
    <w:rsid w:val="00945F33"/>
    <w:rsid w:val="00947152"/>
    <w:rsid w:val="0095358D"/>
    <w:rsid w:val="00975511"/>
    <w:rsid w:val="009855BF"/>
    <w:rsid w:val="009932CA"/>
    <w:rsid w:val="009A7654"/>
    <w:rsid w:val="009C02DA"/>
    <w:rsid w:val="009E1274"/>
    <w:rsid w:val="009E1AC6"/>
    <w:rsid w:val="009E3B35"/>
    <w:rsid w:val="009E63EA"/>
    <w:rsid w:val="009F050F"/>
    <w:rsid w:val="00A20CE5"/>
    <w:rsid w:val="00A31E9B"/>
    <w:rsid w:val="00A333DC"/>
    <w:rsid w:val="00A35A4B"/>
    <w:rsid w:val="00A53D31"/>
    <w:rsid w:val="00A7010C"/>
    <w:rsid w:val="00A73F8A"/>
    <w:rsid w:val="00A76032"/>
    <w:rsid w:val="00A8099D"/>
    <w:rsid w:val="00A81D62"/>
    <w:rsid w:val="00A84922"/>
    <w:rsid w:val="00A84ACC"/>
    <w:rsid w:val="00A90AE8"/>
    <w:rsid w:val="00A971BB"/>
    <w:rsid w:val="00AA7550"/>
    <w:rsid w:val="00AB4563"/>
    <w:rsid w:val="00AB7088"/>
    <w:rsid w:val="00AC2AA2"/>
    <w:rsid w:val="00AD24D5"/>
    <w:rsid w:val="00AD28FC"/>
    <w:rsid w:val="00AD54E0"/>
    <w:rsid w:val="00AE00D6"/>
    <w:rsid w:val="00B00632"/>
    <w:rsid w:val="00B073A2"/>
    <w:rsid w:val="00B14C29"/>
    <w:rsid w:val="00B16746"/>
    <w:rsid w:val="00B170E8"/>
    <w:rsid w:val="00B17DFA"/>
    <w:rsid w:val="00B3769E"/>
    <w:rsid w:val="00B63531"/>
    <w:rsid w:val="00B7008A"/>
    <w:rsid w:val="00B717B3"/>
    <w:rsid w:val="00B71FBE"/>
    <w:rsid w:val="00B77E98"/>
    <w:rsid w:val="00B859B6"/>
    <w:rsid w:val="00B94AC9"/>
    <w:rsid w:val="00BA6EB9"/>
    <w:rsid w:val="00BB1CCD"/>
    <w:rsid w:val="00BB26D3"/>
    <w:rsid w:val="00BD2155"/>
    <w:rsid w:val="00BD26E3"/>
    <w:rsid w:val="00BF091C"/>
    <w:rsid w:val="00BF4401"/>
    <w:rsid w:val="00C009E0"/>
    <w:rsid w:val="00C01B5D"/>
    <w:rsid w:val="00C258E4"/>
    <w:rsid w:val="00C377B1"/>
    <w:rsid w:val="00C5515A"/>
    <w:rsid w:val="00C563D2"/>
    <w:rsid w:val="00C7152E"/>
    <w:rsid w:val="00C72F0B"/>
    <w:rsid w:val="00C8415B"/>
    <w:rsid w:val="00C9060E"/>
    <w:rsid w:val="00C91B84"/>
    <w:rsid w:val="00C96371"/>
    <w:rsid w:val="00C97590"/>
    <w:rsid w:val="00CA0BAE"/>
    <w:rsid w:val="00CA2FDC"/>
    <w:rsid w:val="00CA3BBA"/>
    <w:rsid w:val="00CA42E8"/>
    <w:rsid w:val="00CB318C"/>
    <w:rsid w:val="00CB38E6"/>
    <w:rsid w:val="00CB6995"/>
    <w:rsid w:val="00CC0602"/>
    <w:rsid w:val="00CC39A6"/>
    <w:rsid w:val="00CC71C5"/>
    <w:rsid w:val="00CD6850"/>
    <w:rsid w:val="00CE06BF"/>
    <w:rsid w:val="00CE50C9"/>
    <w:rsid w:val="00CE7512"/>
    <w:rsid w:val="00CF3B2E"/>
    <w:rsid w:val="00CF6193"/>
    <w:rsid w:val="00D04785"/>
    <w:rsid w:val="00D32C7D"/>
    <w:rsid w:val="00D34588"/>
    <w:rsid w:val="00D3478E"/>
    <w:rsid w:val="00D34D1C"/>
    <w:rsid w:val="00D35E96"/>
    <w:rsid w:val="00D36C73"/>
    <w:rsid w:val="00D42FD2"/>
    <w:rsid w:val="00D54C2F"/>
    <w:rsid w:val="00D60AAD"/>
    <w:rsid w:val="00D64953"/>
    <w:rsid w:val="00D75B20"/>
    <w:rsid w:val="00D81BA7"/>
    <w:rsid w:val="00D853C8"/>
    <w:rsid w:val="00D87572"/>
    <w:rsid w:val="00DA0A97"/>
    <w:rsid w:val="00DB3001"/>
    <w:rsid w:val="00DB4A71"/>
    <w:rsid w:val="00DC213D"/>
    <w:rsid w:val="00DC4962"/>
    <w:rsid w:val="00DD2418"/>
    <w:rsid w:val="00DD497E"/>
    <w:rsid w:val="00DE4C7A"/>
    <w:rsid w:val="00DF6036"/>
    <w:rsid w:val="00DF6BC3"/>
    <w:rsid w:val="00E01296"/>
    <w:rsid w:val="00E07303"/>
    <w:rsid w:val="00E21F6A"/>
    <w:rsid w:val="00E22EC6"/>
    <w:rsid w:val="00E30B22"/>
    <w:rsid w:val="00E3798A"/>
    <w:rsid w:val="00E42835"/>
    <w:rsid w:val="00E460F3"/>
    <w:rsid w:val="00E50177"/>
    <w:rsid w:val="00E5027B"/>
    <w:rsid w:val="00E5172E"/>
    <w:rsid w:val="00E5626A"/>
    <w:rsid w:val="00E67073"/>
    <w:rsid w:val="00E772E5"/>
    <w:rsid w:val="00E80F87"/>
    <w:rsid w:val="00E82585"/>
    <w:rsid w:val="00E8621C"/>
    <w:rsid w:val="00E90E7F"/>
    <w:rsid w:val="00EA0ABD"/>
    <w:rsid w:val="00EA4096"/>
    <w:rsid w:val="00EA46E7"/>
    <w:rsid w:val="00EA6075"/>
    <w:rsid w:val="00EB1636"/>
    <w:rsid w:val="00EB3C2A"/>
    <w:rsid w:val="00EE6353"/>
    <w:rsid w:val="00EF1962"/>
    <w:rsid w:val="00EF226B"/>
    <w:rsid w:val="00F007E0"/>
    <w:rsid w:val="00F00937"/>
    <w:rsid w:val="00F0429A"/>
    <w:rsid w:val="00F049B3"/>
    <w:rsid w:val="00F22399"/>
    <w:rsid w:val="00F315C9"/>
    <w:rsid w:val="00F31F2D"/>
    <w:rsid w:val="00F42E31"/>
    <w:rsid w:val="00F47EC0"/>
    <w:rsid w:val="00F512E2"/>
    <w:rsid w:val="00F51E5E"/>
    <w:rsid w:val="00F64B32"/>
    <w:rsid w:val="00F70C4B"/>
    <w:rsid w:val="00F76B05"/>
    <w:rsid w:val="00F808C0"/>
    <w:rsid w:val="00F83712"/>
    <w:rsid w:val="00F84AC0"/>
    <w:rsid w:val="00F859B1"/>
    <w:rsid w:val="00F85CA3"/>
    <w:rsid w:val="00F95C77"/>
    <w:rsid w:val="00FA13C3"/>
    <w:rsid w:val="00FA1D7F"/>
    <w:rsid w:val="00FA672D"/>
    <w:rsid w:val="00FB21B1"/>
    <w:rsid w:val="00FB2AB3"/>
    <w:rsid w:val="00FC03A2"/>
    <w:rsid w:val="00FC3E3F"/>
    <w:rsid w:val="00FC5DD1"/>
    <w:rsid w:val="00FD0D2C"/>
    <w:rsid w:val="00FD44E8"/>
    <w:rsid w:val="00FD7200"/>
    <w:rsid w:val="00FE5F30"/>
    <w:rsid w:val="00FE6ABD"/>
    <w:rsid w:val="00FF4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EAD4F"/>
  <w15:chartTrackingRefBased/>
  <w15:docId w15:val="{FB3EB4C2-A705-4E8B-A2BF-64737AA7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Prrafodelista">
    <w:name w:val="Párrafo de lista"/>
    <w:basedOn w:val="Normal"/>
    <w:qFormat/>
    <w:rsid w:val="00A20CE5"/>
    <w:pPr>
      <w:ind w:left="720"/>
    </w:pPr>
    <w:rPr>
      <w:rFonts w:ascii="CaAibri" w:hAnsi="CaAibri" w:cs="CaAibri"/>
      <w:sz w:val="22"/>
      <w:szCs w:val="20"/>
      <w:lang w:val="es-MX" w:eastAsia="es-MX"/>
    </w:rPr>
  </w:style>
  <w:style w:type="paragraph" w:customStyle="1" w:styleId="Default">
    <w:name w:val="Default"/>
    <w:rsid w:val="00A20CE5"/>
    <w:rPr>
      <w:rFonts w:ascii="ArAal" w:hAnsi="ArAal" w:cs="ArAal"/>
      <w:color w:val="000000"/>
      <w:sz w:val="24"/>
      <w:lang w:val="es-MX" w:eastAsia="es-MX"/>
    </w:rPr>
  </w:style>
  <w:style w:type="paragraph" w:styleId="BalloonText">
    <w:name w:val="Balloon Text"/>
    <w:basedOn w:val="Normal"/>
    <w:link w:val="BalloonTextChar"/>
    <w:uiPriority w:val="99"/>
    <w:semiHidden/>
    <w:unhideWhenUsed/>
    <w:rsid w:val="004C6FCF"/>
    <w:rPr>
      <w:rFonts w:ascii="Segoe UI" w:hAnsi="Segoe UI" w:cs="Segoe UI"/>
      <w:sz w:val="18"/>
      <w:szCs w:val="18"/>
    </w:rPr>
  </w:style>
  <w:style w:type="character" w:customStyle="1" w:styleId="BalloonTextChar">
    <w:name w:val="Balloon Text Char"/>
    <w:link w:val="BalloonText"/>
    <w:uiPriority w:val="99"/>
    <w:semiHidden/>
    <w:rsid w:val="004C6FCF"/>
    <w:rPr>
      <w:rFonts w:ascii="Segoe UI" w:hAnsi="Segoe UI" w:cs="Segoe UI"/>
      <w:sz w:val="18"/>
      <w:szCs w:val="18"/>
      <w:lang w:val="es-ES" w:eastAsia="es-ES"/>
    </w:rPr>
  </w:style>
  <w:style w:type="paragraph" w:customStyle="1" w:styleId="Sumario">
    <w:name w:val="Sumario"/>
    <w:basedOn w:val="Normal"/>
    <w:rsid w:val="00A84AC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A84ACC"/>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D85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C213D"/>
    <w:rPr>
      <w:color w:val="0563C1"/>
      <w:u w:val="single"/>
    </w:rPr>
  </w:style>
  <w:style w:type="character" w:styleId="UnresolvedMention">
    <w:name w:val="Unresolved Mention"/>
    <w:uiPriority w:val="99"/>
    <w:semiHidden/>
    <w:unhideWhenUsed/>
    <w:rsid w:val="00DC2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is.camargo@semarnat.gob.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uis.camargo@semarnat.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18</Pages>
  <Words>11196</Words>
  <Characters>63821</Characters>
  <Application>Microsoft Office Word</Application>
  <DocSecurity>0</DocSecurity>
  <Lines>531</Lines>
  <Paragraphs>149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74868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NOM-150-SEMARNAT-2017</dc:title>
  <dc:subject/>
  <dc:creator>TRANSLATED BY LIC. GLENN LOUIS MCBRIDE</dc:creator>
  <cp:keywords/>
  <dc:description/>
  <cp:lastModifiedBy>GLENN MCBRIDE</cp:lastModifiedBy>
  <cp:revision>2</cp:revision>
  <cp:lastPrinted>2017-11-14T01:00:00Z</cp:lastPrinted>
  <dcterms:created xsi:type="dcterms:W3CDTF">2020-01-15T23:31:00Z</dcterms:created>
  <dcterms:modified xsi:type="dcterms:W3CDTF">2020-01-15T23:31:00Z</dcterms:modified>
</cp:coreProperties>
</file>