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AD24E9" w:rsidRPr="00AD24E9" w14:paraId="6D08239A" w14:textId="347E993F" w:rsidTr="00B37C12">
        <w:tc>
          <w:tcPr>
            <w:tcW w:w="4788" w:type="dxa"/>
          </w:tcPr>
          <w:p w14:paraId="46B37123" w14:textId="7CD2398B" w:rsidR="00AD24E9" w:rsidRPr="006F11F4" w:rsidRDefault="00AD24E9" w:rsidP="00AD24E9">
            <w:pPr>
              <w:pStyle w:val="Titulo1"/>
              <w:pBdr>
                <w:bottom w:val="none" w:sz="0" w:space="0" w:color="auto"/>
              </w:pBdr>
              <w:rPr>
                <w:rFonts w:ascii="Verdana" w:hAnsi="Verdana" w:cs="Times New Roman"/>
                <w:sz w:val="16"/>
                <w:szCs w:val="16"/>
              </w:rPr>
            </w:pPr>
            <w:r w:rsidRPr="006F11F4">
              <w:rPr>
                <w:rFonts w:ascii="Verdana" w:hAnsi="Verdana" w:cs="Times New Roman"/>
                <w:sz w:val="16"/>
                <w:szCs w:val="16"/>
              </w:rPr>
              <w:t>NORMA Oficial Mexicana NOM-231-SSA1-2016, Artículos de alfarería vidriada, cerámica vidriada, porcelana y artículos de vidrio</w:t>
            </w:r>
            <w:r w:rsidR="00307BA1">
              <w:rPr>
                <w:rFonts w:ascii="Verdana" w:hAnsi="Verdana" w:cs="Times New Roman"/>
                <w:sz w:val="16"/>
                <w:szCs w:val="16"/>
              </w:rPr>
              <w:t xml:space="preserve"> </w:t>
            </w:r>
            <w:r w:rsidRPr="006F11F4">
              <w:rPr>
                <w:rFonts w:ascii="Verdana" w:hAnsi="Verdana" w:cs="Times New Roman"/>
                <w:sz w:val="16"/>
                <w:szCs w:val="16"/>
              </w:rPr>
              <w:t>-</w:t>
            </w:r>
            <w:r w:rsidR="00307BA1">
              <w:rPr>
                <w:rFonts w:ascii="Verdana" w:hAnsi="Verdana" w:cs="Times New Roman"/>
                <w:sz w:val="16"/>
                <w:szCs w:val="16"/>
              </w:rPr>
              <w:t xml:space="preserve"> </w:t>
            </w:r>
            <w:r w:rsidRPr="006F11F4">
              <w:rPr>
                <w:rFonts w:ascii="Verdana" w:hAnsi="Verdana" w:cs="Times New Roman"/>
                <w:sz w:val="16"/>
                <w:szCs w:val="16"/>
              </w:rPr>
              <w:t>Límites máximos permisibles de plomo y cadmio solubles</w:t>
            </w:r>
            <w:r w:rsidR="00307BA1">
              <w:rPr>
                <w:rFonts w:ascii="Verdana" w:hAnsi="Verdana" w:cs="Times New Roman"/>
                <w:sz w:val="16"/>
                <w:szCs w:val="16"/>
              </w:rPr>
              <w:t xml:space="preserve"> </w:t>
            </w:r>
            <w:r w:rsidRPr="006F11F4">
              <w:rPr>
                <w:rFonts w:ascii="Verdana" w:hAnsi="Verdana" w:cs="Times New Roman"/>
                <w:sz w:val="16"/>
                <w:szCs w:val="16"/>
              </w:rPr>
              <w:t>-</w:t>
            </w:r>
            <w:r w:rsidR="00307BA1">
              <w:rPr>
                <w:rFonts w:ascii="Verdana" w:hAnsi="Verdana" w:cs="Times New Roman"/>
                <w:sz w:val="16"/>
                <w:szCs w:val="16"/>
              </w:rPr>
              <w:t xml:space="preserve"> </w:t>
            </w:r>
            <w:r w:rsidRPr="006F11F4">
              <w:rPr>
                <w:rFonts w:ascii="Verdana" w:hAnsi="Verdana" w:cs="Times New Roman"/>
                <w:sz w:val="16"/>
                <w:szCs w:val="16"/>
              </w:rPr>
              <w:t>Método de Ensayo.</w:t>
            </w:r>
          </w:p>
        </w:tc>
        <w:tc>
          <w:tcPr>
            <w:tcW w:w="4788" w:type="dxa"/>
          </w:tcPr>
          <w:p w14:paraId="5744468E" w14:textId="77777777" w:rsidR="00AD24E9" w:rsidRDefault="00307BA1" w:rsidP="00AD24E9">
            <w:pPr>
              <w:pStyle w:val="Titulo1"/>
              <w:pBdr>
                <w:bottom w:val="none" w:sz="0" w:space="0" w:color="auto"/>
              </w:pBdr>
              <w:rPr>
                <w:rFonts w:ascii="Verdana" w:hAnsi="Verdana" w:cs="Times New Roman"/>
                <w:bCs/>
                <w:sz w:val="16"/>
                <w:szCs w:val="16"/>
                <w:lang w:val="en-US"/>
              </w:rPr>
            </w:pPr>
            <w:r>
              <w:rPr>
                <w:rFonts w:ascii="Verdana" w:hAnsi="Verdana" w:cs="Times New Roman"/>
                <w:bCs/>
                <w:sz w:val="16"/>
                <w:szCs w:val="16"/>
                <w:lang w:val="en-US"/>
              </w:rPr>
              <w:t>Official Mexican Standard</w:t>
            </w:r>
            <w:r w:rsidR="00AD24E9" w:rsidRPr="00A96DA8">
              <w:rPr>
                <w:rFonts w:ascii="Verdana" w:hAnsi="Verdana" w:cs="Times New Roman"/>
                <w:bCs/>
                <w:sz w:val="16"/>
                <w:szCs w:val="16"/>
                <w:lang w:val="en-US"/>
              </w:rPr>
              <w:t xml:space="preserve"> NOM-231-SSA1-2016, Articles of glazed pottery, glazed ceramics, porcelain and glass articles</w:t>
            </w:r>
            <w:r>
              <w:rPr>
                <w:rFonts w:ascii="Verdana" w:hAnsi="Verdana" w:cs="Times New Roman"/>
                <w:bCs/>
                <w:sz w:val="16"/>
                <w:szCs w:val="16"/>
                <w:lang w:val="en-US"/>
              </w:rPr>
              <w:t xml:space="preserve"> </w:t>
            </w:r>
            <w:r w:rsidR="00AD24E9" w:rsidRPr="00A96DA8">
              <w:rPr>
                <w:rFonts w:ascii="Verdana" w:hAnsi="Verdana" w:cs="Times New Roman"/>
                <w:bCs/>
                <w:sz w:val="16"/>
                <w:szCs w:val="16"/>
                <w:lang w:val="en-US"/>
              </w:rPr>
              <w:t>-</w:t>
            </w:r>
            <w:r>
              <w:rPr>
                <w:rFonts w:ascii="Verdana" w:hAnsi="Verdana" w:cs="Times New Roman"/>
                <w:bCs/>
                <w:sz w:val="16"/>
                <w:szCs w:val="16"/>
                <w:lang w:val="en-US"/>
              </w:rPr>
              <w:t xml:space="preserve"> </w:t>
            </w:r>
            <w:r w:rsidR="00AD24E9" w:rsidRPr="00A96DA8">
              <w:rPr>
                <w:rFonts w:ascii="Verdana" w:hAnsi="Verdana" w:cs="Times New Roman"/>
                <w:bCs/>
                <w:sz w:val="16"/>
                <w:szCs w:val="16"/>
                <w:lang w:val="en-US"/>
              </w:rPr>
              <w:t>Maximum permissible limits of soluble lead and cadmium</w:t>
            </w:r>
            <w:r>
              <w:rPr>
                <w:rFonts w:ascii="Verdana" w:hAnsi="Verdana" w:cs="Times New Roman"/>
                <w:bCs/>
                <w:sz w:val="16"/>
                <w:szCs w:val="16"/>
                <w:lang w:val="en-US"/>
              </w:rPr>
              <w:t xml:space="preserve"> </w:t>
            </w:r>
            <w:r w:rsidR="00AD24E9" w:rsidRPr="00A96DA8">
              <w:rPr>
                <w:rFonts w:ascii="Verdana" w:hAnsi="Verdana" w:cs="Times New Roman"/>
                <w:bCs/>
                <w:sz w:val="16"/>
                <w:szCs w:val="16"/>
                <w:lang w:val="en-US"/>
              </w:rPr>
              <w:t>-Test Method.</w:t>
            </w:r>
            <w:r>
              <w:rPr>
                <w:rFonts w:ascii="Verdana" w:hAnsi="Verdana" w:cs="Times New Roman"/>
                <w:bCs/>
                <w:sz w:val="16"/>
                <w:szCs w:val="16"/>
                <w:lang w:val="en-US"/>
              </w:rPr>
              <w:t xml:space="preserve">  </w:t>
            </w:r>
          </w:p>
          <w:p w14:paraId="77C9CDD1" w14:textId="40CB6DE8" w:rsidR="00307BA1" w:rsidRPr="00AD24E9" w:rsidRDefault="00307BA1" w:rsidP="00AD24E9">
            <w:pPr>
              <w:pStyle w:val="Titulo1"/>
              <w:pBdr>
                <w:bottom w:val="none" w:sz="0" w:space="0" w:color="auto"/>
              </w:pBdr>
              <w:rPr>
                <w:rFonts w:ascii="Verdana" w:hAnsi="Verdana" w:cs="Times New Roman"/>
                <w:sz w:val="16"/>
                <w:szCs w:val="16"/>
                <w:lang w:val="en-US"/>
              </w:rPr>
            </w:pPr>
          </w:p>
        </w:tc>
      </w:tr>
      <w:tr w:rsidR="00AD24E9" w:rsidRPr="00307BA1" w14:paraId="0CBF1E36" w14:textId="13E9B327" w:rsidTr="00B37C12">
        <w:tc>
          <w:tcPr>
            <w:tcW w:w="4788" w:type="dxa"/>
          </w:tcPr>
          <w:p w14:paraId="6C4ACD9E" w14:textId="77777777" w:rsidR="00AD24E9" w:rsidRPr="006F11F4" w:rsidRDefault="00AD24E9" w:rsidP="00AD24E9">
            <w:pPr>
              <w:pStyle w:val="Titulo2"/>
              <w:pBdr>
                <w:top w:val="none" w:sz="0" w:space="0" w:color="auto"/>
              </w:pBdr>
              <w:rPr>
                <w:rFonts w:ascii="Verdana" w:hAnsi="Verdana"/>
                <w:sz w:val="16"/>
                <w:szCs w:val="16"/>
              </w:rPr>
            </w:pPr>
            <w:r w:rsidRPr="006F11F4">
              <w:rPr>
                <w:rFonts w:ascii="Verdana" w:hAnsi="Verdana"/>
                <w:sz w:val="16"/>
                <w:szCs w:val="16"/>
              </w:rPr>
              <w:t>Al margen un sello con el Escudo Nacional, que dice: Estados Unidos Mexicanos.- Secretaría de Salud.</w:t>
            </w:r>
          </w:p>
        </w:tc>
        <w:tc>
          <w:tcPr>
            <w:tcW w:w="4788" w:type="dxa"/>
          </w:tcPr>
          <w:p w14:paraId="078AAC20" w14:textId="2F898311" w:rsidR="00AD24E9" w:rsidRPr="00307BA1" w:rsidRDefault="00307BA1" w:rsidP="00AD24E9">
            <w:pPr>
              <w:pStyle w:val="Titulo2"/>
              <w:pBdr>
                <w:top w:val="none" w:sz="0" w:space="0" w:color="auto"/>
              </w:pBdr>
              <w:rPr>
                <w:rFonts w:ascii="Verdana" w:hAnsi="Verdana"/>
                <w:sz w:val="16"/>
                <w:szCs w:val="16"/>
                <w:lang w:val="en-US"/>
              </w:rPr>
            </w:pPr>
            <w:r>
              <w:rPr>
                <w:rFonts w:ascii="Verdana" w:hAnsi="Verdana" w:cs="Times New Roman"/>
                <w:sz w:val="16"/>
                <w:szCs w:val="16"/>
                <w:lang w:val="en-US"/>
              </w:rPr>
              <w:t xml:space="preserve">In the margin a stamp with the National Seal, that says: United Mexican States. </w:t>
            </w:r>
            <w:r w:rsidR="00AD24E9" w:rsidRPr="00A96DA8">
              <w:rPr>
                <w:rFonts w:ascii="Verdana" w:hAnsi="Verdana" w:cs="Times New Roman"/>
                <w:sz w:val="16"/>
                <w:szCs w:val="16"/>
                <w:lang w:val="en-US"/>
              </w:rPr>
              <w:t xml:space="preserve">- </w:t>
            </w:r>
            <w:r>
              <w:rPr>
                <w:rFonts w:ascii="Verdana" w:hAnsi="Verdana" w:cs="Times New Roman"/>
                <w:sz w:val="16"/>
                <w:szCs w:val="16"/>
                <w:lang w:val="en-US"/>
              </w:rPr>
              <w:t>Secretary</w:t>
            </w:r>
            <w:r w:rsidR="00AD24E9" w:rsidRPr="00A96DA8">
              <w:rPr>
                <w:rFonts w:ascii="Verdana" w:hAnsi="Verdana" w:cs="Times New Roman"/>
                <w:sz w:val="16"/>
                <w:szCs w:val="16"/>
                <w:lang w:val="en-US"/>
              </w:rPr>
              <w:t xml:space="preserve"> of Health.</w:t>
            </w:r>
          </w:p>
        </w:tc>
      </w:tr>
      <w:tr w:rsidR="00AD24E9" w:rsidRPr="00AD24E9" w14:paraId="078419E8" w14:textId="6DF9E9A4" w:rsidTr="00B37C12">
        <w:tc>
          <w:tcPr>
            <w:tcW w:w="4788" w:type="dxa"/>
          </w:tcPr>
          <w:p w14:paraId="1AF6C22E" w14:textId="77777777" w:rsidR="00AD24E9" w:rsidRPr="006F11F4" w:rsidRDefault="00AD24E9" w:rsidP="00AD24E9">
            <w:pPr>
              <w:pStyle w:val="Texto"/>
              <w:spacing w:after="92" w:line="226" w:lineRule="exact"/>
              <w:ind w:firstLine="0"/>
              <w:rPr>
                <w:rFonts w:ascii="Verdana" w:hAnsi="Verdana"/>
                <w:sz w:val="16"/>
                <w:szCs w:val="16"/>
                <w:lang w:eastAsia="es-MX"/>
              </w:rPr>
            </w:pPr>
            <w:r w:rsidRPr="00B37C12">
              <w:rPr>
                <w:rFonts w:ascii="Verdana" w:hAnsi="Verdana"/>
                <w:b/>
                <w:bCs/>
                <w:sz w:val="16"/>
                <w:szCs w:val="16"/>
                <w:lang w:eastAsia="es-MX"/>
              </w:rPr>
              <w:t>JULIO SALVADOR SANCHEZ Y TEPOZ,</w:t>
            </w:r>
            <w:r w:rsidRPr="006F11F4">
              <w:rPr>
                <w:rFonts w:ascii="Verdana" w:hAnsi="Verdana"/>
                <w:sz w:val="16"/>
                <w:szCs w:val="16"/>
                <w:lang w:eastAsia="es-MX"/>
              </w:rPr>
              <w:t xml:space="preserve"> Comisionado Federal para la Protección contra Riesgos Sanitarios y Presidente del Comité Consultivo Nacional de Normalización de Regulación y Fomento Sanitario,  con fundamento en los artículos 39, de la Ley Orgánica de la Administración Pública Federal; 4, de la Ley  Federal de Procedimiento Administrativo; 3o, fracciones XXII y XXIV, 13 apartado A, fracciones I y II, 17 bis, 194, fracción I, 197, 201 y 214, de la Ley General de Salud; 38, fracción II, 40, fracciones I, ll, XI y XII, 41, 43 y 47, fracción IV de la Ley Federal sobre Metrología y Normalización; 28, del Reglamento de la Ley Federal sobre Metrología y Normalización; 12, del Reglamento de la Ley General de Salud en Materia de Control Sanitario de Actividades, Establecimientos, Productos y Servicios y; 3o, fracciones I, incisos i), l) y s) y II. y 10, fracción VIII, del Reglamento de la Comisión Federal para la Protección contra Riesgos Sanitarios, y</w:t>
            </w:r>
          </w:p>
        </w:tc>
        <w:tc>
          <w:tcPr>
            <w:tcW w:w="4788" w:type="dxa"/>
          </w:tcPr>
          <w:p w14:paraId="27852440" w14:textId="38A0A0C2" w:rsidR="00AD24E9" w:rsidRPr="00AD24E9" w:rsidRDefault="00AD24E9" w:rsidP="00AD24E9">
            <w:pPr>
              <w:pStyle w:val="Texto"/>
              <w:spacing w:after="92" w:line="226" w:lineRule="exact"/>
              <w:ind w:firstLine="0"/>
              <w:rPr>
                <w:rFonts w:ascii="Verdana" w:hAnsi="Verdana"/>
                <w:sz w:val="16"/>
                <w:szCs w:val="16"/>
                <w:lang w:val="en-US" w:eastAsia="es-MX"/>
              </w:rPr>
            </w:pPr>
            <w:r w:rsidRPr="00B37C12">
              <w:rPr>
                <w:rFonts w:ascii="Verdana" w:hAnsi="Verdana" w:cs="Times New Roman"/>
                <w:b/>
                <w:bCs/>
                <w:sz w:val="16"/>
                <w:szCs w:val="16"/>
                <w:lang w:val="en-US"/>
              </w:rPr>
              <w:t>JULIO SALVADOR SANCHEZ Y TEPOZ,</w:t>
            </w:r>
            <w:r w:rsidRPr="00A96DA8">
              <w:rPr>
                <w:rFonts w:ascii="Verdana" w:hAnsi="Verdana" w:cs="Times New Roman"/>
                <w:sz w:val="16"/>
                <w:szCs w:val="16"/>
                <w:lang w:val="en-US"/>
              </w:rPr>
              <w:t xml:space="preserve"> Federal Commissioner for Protection against Sanitary Risks and President of the National Consultative Committee for the Standardization of Sanitary Regulation and Promotion, based on articles 39 of the Organic Law of the Federal Public Administration; 4, the Federal Law of Administrative Procedure; 3, sections XXII and XXIV, 13 section A, sections I and II, 17 bis, 194, section I, 197, 201 and 214, of the </w:t>
            </w:r>
            <w:r w:rsidR="00307BA1">
              <w:rPr>
                <w:rFonts w:ascii="Verdana" w:hAnsi="Verdana" w:cs="Times New Roman"/>
                <w:sz w:val="16"/>
                <w:szCs w:val="16"/>
                <w:lang w:val="en-US"/>
              </w:rPr>
              <w:t>General Law of Health</w:t>
            </w:r>
            <w:r w:rsidRPr="00A96DA8">
              <w:rPr>
                <w:rFonts w:ascii="Verdana" w:hAnsi="Verdana" w:cs="Times New Roman"/>
                <w:sz w:val="16"/>
                <w:szCs w:val="16"/>
                <w:lang w:val="en-US"/>
              </w:rPr>
              <w:t xml:space="preserve">; 38, section II, 40, sections I, </w:t>
            </w:r>
            <w:proofErr w:type="spellStart"/>
            <w:r w:rsidRPr="00A96DA8">
              <w:rPr>
                <w:rFonts w:ascii="Verdana" w:hAnsi="Verdana" w:cs="Times New Roman"/>
                <w:sz w:val="16"/>
                <w:szCs w:val="16"/>
                <w:lang w:val="en-US"/>
              </w:rPr>
              <w:t>ll</w:t>
            </w:r>
            <w:proofErr w:type="spellEnd"/>
            <w:r w:rsidRPr="00A96DA8">
              <w:rPr>
                <w:rFonts w:ascii="Verdana" w:hAnsi="Verdana" w:cs="Times New Roman"/>
                <w:sz w:val="16"/>
                <w:szCs w:val="16"/>
                <w:lang w:val="en-US"/>
              </w:rPr>
              <w:t xml:space="preserve">, XI and XII, 41, 43 and 47, section IV of the Federal Law on Metrology and Standardization; 28, the Regulation of the Federal Law on Metrology and Standardization; 12, the Regulation of the </w:t>
            </w:r>
            <w:r w:rsidR="00307BA1">
              <w:rPr>
                <w:rFonts w:ascii="Verdana" w:hAnsi="Verdana" w:cs="Times New Roman"/>
                <w:sz w:val="16"/>
                <w:szCs w:val="16"/>
                <w:lang w:val="en-US"/>
              </w:rPr>
              <w:t>General Law of Health</w:t>
            </w:r>
            <w:r w:rsidRPr="00A96DA8">
              <w:rPr>
                <w:rFonts w:ascii="Verdana" w:hAnsi="Verdana" w:cs="Times New Roman"/>
                <w:sz w:val="16"/>
                <w:szCs w:val="16"/>
                <w:lang w:val="en-US"/>
              </w:rPr>
              <w:t xml:space="preserve"> on </w:t>
            </w:r>
            <w:r w:rsidR="00307BA1">
              <w:rPr>
                <w:rFonts w:ascii="Verdana" w:hAnsi="Verdana" w:cs="Times New Roman"/>
                <w:sz w:val="16"/>
                <w:szCs w:val="16"/>
                <w:lang w:val="en-US"/>
              </w:rPr>
              <w:t>Sanitary</w:t>
            </w:r>
            <w:r w:rsidRPr="00A96DA8">
              <w:rPr>
                <w:rFonts w:ascii="Verdana" w:hAnsi="Verdana" w:cs="Times New Roman"/>
                <w:sz w:val="16"/>
                <w:szCs w:val="16"/>
                <w:lang w:val="en-US"/>
              </w:rPr>
              <w:t xml:space="preserve"> Control of Activities, Establishments, Products and Services and; 3</w:t>
            </w:r>
            <w:r w:rsidR="00307BA1">
              <w:rPr>
                <w:rFonts w:ascii="Verdana" w:hAnsi="Verdana" w:cs="Times New Roman"/>
                <w:sz w:val="16"/>
                <w:szCs w:val="16"/>
                <w:lang w:val="en-US"/>
              </w:rPr>
              <w:t>,</w:t>
            </w:r>
            <w:r w:rsidRPr="00A96DA8">
              <w:rPr>
                <w:rFonts w:ascii="Verdana" w:hAnsi="Verdana" w:cs="Times New Roman"/>
                <w:sz w:val="16"/>
                <w:szCs w:val="16"/>
                <w:lang w:val="en-US"/>
              </w:rPr>
              <w:t xml:space="preserve"> </w:t>
            </w:r>
            <w:r w:rsidR="00307BA1">
              <w:rPr>
                <w:rFonts w:ascii="Verdana" w:hAnsi="Verdana" w:cs="Times New Roman"/>
                <w:sz w:val="16"/>
                <w:szCs w:val="16"/>
                <w:lang w:val="en-US"/>
              </w:rPr>
              <w:t>sections</w:t>
            </w:r>
            <w:r w:rsidRPr="00A96DA8">
              <w:rPr>
                <w:rFonts w:ascii="Verdana" w:hAnsi="Verdana" w:cs="Times New Roman"/>
                <w:sz w:val="16"/>
                <w:szCs w:val="16"/>
                <w:lang w:val="en-US"/>
              </w:rPr>
              <w:t xml:space="preserve"> I, sections </w:t>
            </w:r>
            <w:proofErr w:type="spellStart"/>
            <w:r w:rsidRPr="00A96DA8">
              <w:rPr>
                <w:rFonts w:ascii="Verdana" w:hAnsi="Verdana" w:cs="Times New Roman"/>
                <w:sz w:val="16"/>
                <w:szCs w:val="16"/>
                <w:lang w:val="en-US"/>
              </w:rPr>
              <w:t>i</w:t>
            </w:r>
            <w:proofErr w:type="spellEnd"/>
            <w:r w:rsidRPr="00A96DA8">
              <w:rPr>
                <w:rFonts w:ascii="Verdana" w:hAnsi="Verdana" w:cs="Times New Roman"/>
                <w:sz w:val="16"/>
                <w:szCs w:val="16"/>
                <w:lang w:val="en-US"/>
              </w:rPr>
              <w:t>), l) and s) and II. and 10, section VIII, of the Regulation of the Federal Commission for the Protection against Sanitary Risks, and</w:t>
            </w:r>
          </w:p>
        </w:tc>
      </w:tr>
      <w:tr w:rsidR="00AD24E9" w:rsidRPr="006F11F4" w14:paraId="1E18DF4D" w14:textId="39CC85D7" w:rsidTr="00B37C12">
        <w:tc>
          <w:tcPr>
            <w:tcW w:w="4788" w:type="dxa"/>
          </w:tcPr>
          <w:p w14:paraId="71E29FC9" w14:textId="77777777" w:rsidR="00AD24E9" w:rsidRPr="006F11F4" w:rsidRDefault="00AD24E9" w:rsidP="00AD24E9">
            <w:pPr>
              <w:pStyle w:val="ANOTACION"/>
              <w:spacing w:after="92" w:line="226" w:lineRule="exact"/>
              <w:rPr>
                <w:rFonts w:ascii="Verdana" w:hAnsi="Verdana"/>
                <w:sz w:val="16"/>
                <w:szCs w:val="16"/>
                <w:lang w:eastAsia="es-MX"/>
              </w:rPr>
            </w:pPr>
            <w:r w:rsidRPr="006F11F4">
              <w:rPr>
                <w:rFonts w:ascii="Verdana" w:hAnsi="Verdana"/>
                <w:sz w:val="16"/>
                <w:szCs w:val="16"/>
                <w:lang w:eastAsia="es-MX"/>
              </w:rPr>
              <w:t>CONSIDERANDO</w:t>
            </w:r>
          </w:p>
        </w:tc>
        <w:tc>
          <w:tcPr>
            <w:tcW w:w="4788" w:type="dxa"/>
          </w:tcPr>
          <w:p w14:paraId="763753BB" w14:textId="59B04E92" w:rsidR="00AD24E9" w:rsidRPr="006F11F4" w:rsidRDefault="00AD24E9" w:rsidP="00AD24E9">
            <w:pPr>
              <w:pStyle w:val="ANOTACION"/>
              <w:spacing w:after="92" w:line="226" w:lineRule="exact"/>
              <w:rPr>
                <w:rFonts w:ascii="Verdana" w:hAnsi="Verdana"/>
                <w:sz w:val="16"/>
                <w:szCs w:val="16"/>
                <w:lang w:eastAsia="es-MX"/>
              </w:rPr>
            </w:pPr>
            <w:r w:rsidRPr="00A96DA8">
              <w:rPr>
                <w:rFonts w:ascii="Verdana" w:hAnsi="Verdana"/>
                <w:bCs/>
                <w:sz w:val="16"/>
                <w:szCs w:val="16"/>
              </w:rPr>
              <w:t>CONSIDERING</w:t>
            </w:r>
          </w:p>
        </w:tc>
      </w:tr>
      <w:tr w:rsidR="00AD24E9" w:rsidRPr="00AD24E9" w14:paraId="6F2F1EE4" w14:textId="439429D7" w:rsidTr="00B37C12">
        <w:tc>
          <w:tcPr>
            <w:tcW w:w="4788" w:type="dxa"/>
          </w:tcPr>
          <w:p w14:paraId="3B3B5B6C"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Que en cumplimiento a lo previsto en el artículo 46, fracción I, de la Ley Federal sobre Metrología y Normalización, el Subcomité de Insumos para la Salud, presentó el 30 de junio de 2015 al Comité Consultivo Nacional de Normalización de Regulación y Fomento Sanitario, el anteproyecto de la presente Norma Oficial Mexicana;</w:t>
            </w:r>
          </w:p>
        </w:tc>
        <w:tc>
          <w:tcPr>
            <w:tcW w:w="4788" w:type="dxa"/>
          </w:tcPr>
          <w:p w14:paraId="2615EF27" w14:textId="6204E62F"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t xml:space="preserve">That in compliance with the provisions of article 46, section I, of the Federal Law on Metrology and Standardization, the Subcommittee on Health Supplies, presented on June 30, 2015 to the National Consultative Committee for Sanitary Regulation and Promotion Standardization, the </w:t>
            </w:r>
            <w:r w:rsidR="00307BA1">
              <w:rPr>
                <w:rFonts w:ascii="Verdana" w:hAnsi="Verdana" w:cs="Times New Roman"/>
                <w:sz w:val="16"/>
                <w:szCs w:val="16"/>
                <w:lang w:val="en-US"/>
              </w:rPr>
              <w:t>pre-project</w:t>
            </w:r>
            <w:r w:rsidRPr="00A96DA8">
              <w:rPr>
                <w:rFonts w:ascii="Verdana" w:hAnsi="Verdana" w:cs="Times New Roman"/>
                <w:sz w:val="16"/>
                <w:szCs w:val="16"/>
                <w:lang w:val="en-US"/>
              </w:rPr>
              <w:t xml:space="preserve"> of this Official Mexican Standard;</w:t>
            </w:r>
          </w:p>
        </w:tc>
      </w:tr>
      <w:tr w:rsidR="00AD24E9" w:rsidRPr="00AD24E9" w14:paraId="6EC91EEA" w14:textId="32848109" w:rsidTr="00B37C12">
        <w:tc>
          <w:tcPr>
            <w:tcW w:w="4788" w:type="dxa"/>
          </w:tcPr>
          <w:p w14:paraId="7DC0F6CD"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Que con fecha del 15 de diciembre de 2015, en cumplimiento del acuerdo del Comité Consultivo Nacional de Normalización de Regulación y Fomento Sanitario y de lo previsto en el artículo 47, fracción I, de la Ley Federal sobre Metrología y Normalización, se publicó en el Diario Oficial de la Federación el proyecto de la presente norma, a efecto de que dentro de los sesenta días naturales posteriores a dicha publicación, los interesados presentarán sus comentarios al Comité Consultivo Nacional de Normalización de Regulación y Fomento Sanitario;</w:t>
            </w:r>
          </w:p>
        </w:tc>
        <w:tc>
          <w:tcPr>
            <w:tcW w:w="4788" w:type="dxa"/>
          </w:tcPr>
          <w:p w14:paraId="20571641" w14:textId="130C8535"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t xml:space="preserve">That on December 15, 2015, in compliance with the agreement of the National </w:t>
            </w:r>
            <w:r w:rsidR="00307BA1">
              <w:rPr>
                <w:rFonts w:ascii="Verdana" w:hAnsi="Verdana" w:cs="Times New Roman"/>
                <w:sz w:val="16"/>
                <w:szCs w:val="16"/>
                <w:lang w:val="en-US"/>
              </w:rPr>
              <w:t>Consultative Committee</w:t>
            </w:r>
            <w:r w:rsidRPr="00A96DA8">
              <w:rPr>
                <w:rFonts w:ascii="Verdana" w:hAnsi="Verdana" w:cs="Times New Roman"/>
                <w:sz w:val="16"/>
                <w:szCs w:val="16"/>
                <w:lang w:val="en-US"/>
              </w:rPr>
              <w:t xml:space="preserve"> for Sanitary Regulation and Promotion and the provisions of article 47, section I, of the Federal Law on Metrology and Standardization, it was published in the Official </w:t>
            </w:r>
            <w:r w:rsidR="00307BA1">
              <w:rPr>
                <w:rFonts w:ascii="Verdana" w:hAnsi="Verdana" w:cs="Times New Roman"/>
                <w:sz w:val="16"/>
                <w:szCs w:val="16"/>
                <w:lang w:val="en-US"/>
              </w:rPr>
              <w:t>Daily</w:t>
            </w:r>
            <w:r w:rsidRPr="00A96DA8">
              <w:rPr>
                <w:rFonts w:ascii="Verdana" w:hAnsi="Verdana" w:cs="Times New Roman"/>
                <w:sz w:val="16"/>
                <w:szCs w:val="16"/>
                <w:lang w:val="en-US"/>
              </w:rPr>
              <w:t xml:space="preserve"> of the Federation the </w:t>
            </w:r>
            <w:r w:rsidR="00307BA1">
              <w:rPr>
                <w:rFonts w:ascii="Verdana" w:hAnsi="Verdana" w:cs="Times New Roman"/>
                <w:sz w:val="16"/>
                <w:szCs w:val="16"/>
                <w:lang w:val="en-US"/>
              </w:rPr>
              <w:t xml:space="preserve">project </w:t>
            </w:r>
            <w:r w:rsidRPr="00A96DA8">
              <w:rPr>
                <w:rFonts w:ascii="Verdana" w:hAnsi="Verdana" w:cs="Times New Roman"/>
                <w:sz w:val="16"/>
                <w:szCs w:val="16"/>
                <w:lang w:val="en-US"/>
              </w:rPr>
              <w:t xml:space="preserve">of this standard, so that within sixty calendar days after said publication, the interested parties </w:t>
            </w:r>
            <w:r w:rsidR="00307BA1">
              <w:rPr>
                <w:rFonts w:ascii="Verdana" w:hAnsi="Verdana" w:cs="Times New Roman"/>
                <w:sz w:val="16"/>
                <w:szCs w:val="16"/>
                <w:lang w:val="en-US"/>
              </w:rPr>
              <w:t>might</w:t>
            </w:r>
            <w:r w:rsidRPr="00A96DA8">
              <w:rPr>
                <w:rFonts w:ascii="Verdana" w:hAnsi="Verdana" w:cs="Times New Roman"/>
                <w:sz w:val="16"/>
                <w:szCs w:val="16"/>
                <w:lang w:val="en-US"/>
              </w:rPr>
              <w:t xml:space="preserve"> submit their comments to the National Consultative Committee </w:t>
            </w:r>
            <w:r w:rsidR="00307BA1">
              <w:rPr>
                <w:rFonts w:ascii="Verdana" w:hAnsi="Verdana" w:cs="Times New Roman"/>
                <w:sz w:val="16"/>
                <w:szCs w:val="16"/>
                <w:lang w:val="en-US"/>
              </w:rPr>
              <w:t xml:space="preserve">of Standardization of </w:t>
            </w:r>
            <w:r w:rsidRPr="00A96DA8">
              <w:rPr>
                <w:rFonts w:ascii="Verdana" w:hAnsi="Verdana" w:cs="Times New Roman"/>
                <w:sz w:val="16"/>
                <w:szCs w:val="16"/>
                <w:lang w:val="en-US"/>
              </w:rPr>
              <w:t xml:space="preserve"> Sanitary Regulation and Promotion;</w:t>
            </w:r>
          </w:p>
        </w:tc>
      </w:tr>
      <w:tr w:rsidR="00AD24E9" w:rsidRPr="00AD24E9" w14:paraId="75CC739F" w14:textId="47FD893D" w:rsidTr="00B37C12">
        <w:tc>
          <w:tcPr>
            <w:tcW w:w="4788" w:type="dxa"/>
          </w:tcPr>
          <w:p w14:paraId="34B3EE5F"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Que con fecha previa, fue publicada en el Diario Oficial de la Federación, la respuesta a los comentarios recibidos por el mencionado Comité, en los términos del artículo 47 fracción III de la Ley Federal sobre Metrología y Normalización, y</w:t>
            </w:r>
          </w:p>
        </w:tc>
        <w:tc>
          <w:tcPr>
            <w:tcW w:w="4788" w:type="dxa"/>
          </w:tcPr>
          <w:p w14:paraId="6486C9E4" w14:textId="6F97C1D0"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t xml:space="preserve">That previously, the response to the comments received by the aforementioned Committee was published in the Official </w:t>
            </w:r>
            <w:r w:rsidR="00307BA1">
              <w:rPr>
                <w:rFonts w:ascii="Verdana" w:hAnsi="Verdana" w:cs="Times New Roman"/>
                <w:sz w:val="16"/>
                <w:szCs w:val="16"/>
                <w:lang w:val="en-US"/>
              </w:rPr>
              <w:t>Daily</w:t>
            </w:r>
            <w:r w:rsidRPr="00A96DA8">
              <w:rPr>
                <w:rFonts w:ascii="Verdana" w:hAnsi="Verdana" w:cs="Times New Roman"/>
                <w:sz w:val="16"/>
                <w:szCs w:val="16"/>
                <w:lang w:val="en-US"/>
              </w:rPr>
              <w:t xml:space="preserve"> of the Federation, under the terms of article 47, section III of the Federal Law on Metrology and Standardization, and</w:t>
            </w:r>
          </w:p>
        </w:tc>
      </w:tr>
      <w:tr w:rsidR="00AD24E9" w:rsidRPr="00AD24E9" w14:paraId="296EB19F" w14:textId="21FC1CC7" w:rsidTr="00B37C12">
        <w:tc>
          <w:tcPr>
            <w:tcW w:w="4788" w:type="dxa"/>
          </w:tcPr>
          <w:p w14:paraId="3F7C950C"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 xml:space="preserve">Que en atención a las anteriores consideraciones, contando con la aprobación del Comité Consultivo Nacional de Normalización de Regulación y Fomento </w:t>
            </w:r>
            <w:r w:rsidRPr="006F11F4">
              <w:rPr>
                <w:rFonts w:ascii="Verdana" w:hAnsi="Verdana"/>
                <w:sz w:val="16"/>
                <w:szCs w:val="16"/>
                <w:lang w:eastAsia="es-MX"/>
              </w:rPr>
              <w:lastRenderedPageBreak/>
              <w:t>Sanitario, tengo a bien expedir y ordenar la publicación en el Diario Oficial de la Federación de la</w:t>
            </w:r>
          </w:p>
        </w:tc>
        <w:tc>
          <w:tcPr>
            <w:tcW w:w="4788" w:type="dxa"/>
          </w:tcPr>
          <w:p w14:paraId="5FE8B5D0" w14:textId="2B5E8571"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lastRenderedPageBreak/>
              <w:t xml:space="preserve">That in view of the above considerations, with the approval of the National </w:t>
            </w:r>
            <w:r w:rsidR="00307BA1">
              <w:rPr>
                <w:rFonts w:ascii="Verdana" w:hAnsi="Verdana" w:cs="Times New Roman"/>
                <w:sz w:val="16"/>
                <w:szCs w:val="16"/>
                <w:lang w:val="en-US"/>
              </w:rPr>
              <w:t>Consultative Committee</w:t>
            </w:r>
            <w:r w:rsidRPr="00A96DA8">
              <w:rPr>
                <w:rFonts w:ascii="Verdana" w:hAnsi="Verdana" w:cs="Times New Roman"/>
                <w:sz w:val="16"/>
                <w:szCs w:val="16"/>
                <w:lang w:val="en-US"/>
              </w:rPr>
              <w:t xml:space="preserve"> for Health Regulation and Promotion, I am pleased to issue </w:t>
            </w:r>
            <w:r w:rsidRPr="00A96DA8">
              <w:rPr>
                <w:rFonts w:ascii="Verdana" w:hAnsi="Verdana" w:cs="Times New Roman"/>
                <w:sz w:val="16"/>
                <w:szCs w:val="16"/>
                <w:lang w:val="en-US"/>
              </w:rPr>
              <w:lastRenderedPageBreak/>
              <w:t xml:space="preserve">and order the publication in the Official </w:t>
            </w:r>
            <w:r w:rsidR="00307BA1">
              <w:rPr>
                <w:rFonts w:ascii="Verdana" w:hAnsi="Verdana" w:cs="Times New Roman"/>
                <w:sz w:val="16"/>
                <w:szCs w:val="16"/>
                <w:lang w:val="en-US"/>
              </w:rPr>
              <w:t>Daily</w:t>
            </w:r>
            <w:r w:rsidRPr="00A96DA8">
              <w:rPr>
                <w:rFonts w:ascii="Verdana" w:hAnsi="Verdana" w:cs="Times New Roman"/>
                <w:sz w:val="16"/>
                <w:szCs w:val="16"/>
                <w:lang w:val="en-US"/>
              </w:rPr>
              <w:t xml:space="preserve"> of the Federation of the</w:t>
            </w:r>
          </w:p>
        </w:tc>
      </w:tr>
      <w:tr w:rsidR="00AD24E9" w:rsidRPr="00AD24E9" w14:paraId="35B57A68" w14:textId="7D93DD40" w:rsidTr="00B37C12">
        <w:tc>
          <w:tcPr>
            <w:tcW w:w="4788" w:type="dxa"/>
          </w:tcPr>
          <w:p w14:paraId="16A0E673" w14:textId="77777777" w:rsidR="00AD24E9" w:rsidRPr="006F11F4" w:rsidRDefault="00AD24E9" w:rsidP="00AD24E9">
            <w:pPr>
              <w:pStyle w:val="ANOTACION"/>
              <w:spacing w:after="92" w:line="226" w:lineRule="exact"/>
              <w:rPr>
                <w:rFonts w:ascii="Verdana" w:hAnsi="Verdana"/>
                <w:sz w:val="16"/>
                <w:szCs w:val="16"/>
                <w:lang w:eastAsia="es-MX"/>
              </w:rPr>
            </w:pPr>
            <w:r w:rsidRPr="006F11F4">
              <w:rPr>
                <w:rFonts w:ascii="Verdana" w:hAnsi="Verdana"/>
                <w:sz w:val="16"/>
                <w:szCs w:val="16"/>
                <w:lang w:eastAsia="es-MX"/>
              </w:rPr>
              <w:lastRenderedPageBreak/>
              <w:t>NORMA OFICIAL MEXICANA NOM-231-SSA1-2016, ARTICULOS DE ALFARERIA VIDRIADA, CERAMICA VIDRIADA, PORCELANA Y ARTICULOS DE VIDRIO-LIMITES MAXIMOS PERMISIBLES DE PLOMO Y CADMIO SOLUBLES-METODO DE ENSAYO</w:t>
            </w:r>
          </w:p>
        </w:tc>
        <w:tc>
          <w:tcPr>
            <w:tcW w:w="4788" w:type="dxa"/>
          </w:tcPr>
          <w:p w14:paraId="4F00796F" w14:textId="7DE13D49" w:rsidR="00307BA1" w:rsidRDefault="00307BA1" w:rsidP="00307BA1">
            <w:pPr>
              <w:pStyle w:val="Titulo1"/>
              <w:pBdr>
                <w:bottom w:val="none" w:sz="0" w:space="0" w:color="auto"/>
              </w:pBdr>
              <w:jc w:val="center"/>
              <w:rPr>
                <w:rFonts w:ascii="Verdana" w:hAnsi="Verdana" w:cs="Times New Roman"/>
                <w:bCs/>
                <w:sz w:val="16"/>
                <w:szCs w:val="16"/>
                <w:lang w:val="en-US"/>
              </w:rPr>
            </w:pPr>
            <w:r>
              <w:rPr>
                <w:rFonts w:ascii="Verdana" w:hAnsi="Verdana" w:cs="Times New Roman"/>
                <w:bCs/>
                <w:sz w:val="16"/>
                <w:szCs w:val="16"/>
                <w:lang w:val="en-US"/>
              </w:rPr>
              <w:t>OFFICIAL MEXICAN STANDARD</w:t>
            </w:r>
            <w:r w:rsidRPr="00A96DA8">
              <w:rPr>
                <w:rFonts w:ascii="Verdana" w:hAnsi="Verdana" w:cs="Times New Roman"/>
                <w:bCs/>
                <w:sz w:val="16"/>
                <w:szCs w:val="16"/>
                <w:lang w:val="en-US"/>
              </w:rPr>
              <w:t xml:space="preserve"> NOM-231-SSA1-2016, ARTICLES OF GLAZED POTTERY, GLAZED CERAMICS, PORCELAIN AND GLASS ARTICLES</w:t>
            </w:r>
            <w:r>
              <w:rPr>
                <w:rFonts w:ascii="Verdana" w:hAnsi="Verdana" w:cs="Times New Roman"/>
                <w:bCs/>
                <w:sz w:val="16"/>
                <w:szCs w:val="16"/>
                <w:lang w:val="en-US"/>
              </w:rPr>
              <w:t xml:space="preserve"> </w:t>
            </w:r>
            <w:r w:rsidRPr="00A96DA8">
              <w:rPr>
                <w:rFonts w:ascii="Verdana" w:hAnsi="Verdana" w:cs="Times New Roman"/>
                <w:bCs/>
                <w:sz w:val="16"/>
                <w:szCs w:val="16"/>
                <w:lang w:val="en-US"/>
              </w:rPr>
              <w:t>-</w:t>
            </w:r>
            <w:r>
              <w:rPr>
                <w:rFonts w:ascii="Verdana" w:hAnsi="Verdana" w:cs="Times New Roman"/>
                <w:bCs/>
                <w:sz w:val="16"/>
                <w:szCs w:val="16"/>
                <w:lang w:val="en-US"/>
              </w:rPr>
              <w:t xml:space="preserve"> </w:t>
            </w:r>
            <w:r w:rsidRPr="00A96DA8">
              <w:rPr>
                <w:rFonts w:ascii="Verdana" w:hAnsi="Verdana" w:cs="Times New Roman"/>
                <w:bCs/>
                <w:sz w:val="16"/>
                <w:szCs w:val="16"/>
                <w:lang w:val="en-US"/>
              </w:rPr>
              <w:t>MAXIMUM PERMISSIBLE LIMITS OF SOLUBLE LEAD AND CADMIUM</w:t>
            </w:r>
            <w:r>
              <w:rPr>
                <w:rFonts w:ascii="Verdana" w:hAnsi="Verdana" w:cs="Times New Roman"/>
                <w:bCs/>
                <w:sz w:val="16"/>
                <w:szCs w:val="16"/>
                <w:lang w:val="en-US"/>
              </w:rPr>
              <w:t xml:space="preserve"> </w:t>
            </w:r>
            <w:r w:rsidRPr="00A96DA8">
              <w:rPr>
                <w:rFonts w:ascii="Verdana" w:hAnsi="Verdana" w:cs="Times New Roman"/>
                <w:bCs/>
                <w:sz w:val="16"/>
                <w:szCs w:val="16"/>
                <w:lang w:val="en-US"/>
              </w:rPr>
              <w:t>-TEST METHOD.</w:t>
            </w:r>
          </w:p>
          <w:p w14:paraId="2C9BE7A6" w14:textId="05F97B6B" w:rsidR="00AD24E9" w:rsidRPr="00AD24E9" w:rsidRDefault="00AD24E9" w:rsidP="00AD24E9">
            <w:pPr>
              <w:pStyle w:val="ANOTACION"/>
              <w:spacing w:after="92" w:line="226" w:lineRule="exact"/>
              <w:rPr>
                <w:rFonts w:ascii="Verdana" w:hAnsi="Verdana"/>
                <w:sz w:val="16"/>
                <w:szCs w:val="16"/>
                <w:lang w:val="en-US" w:eastAsia="es-MX"/>
              </w:rPr>
            </w:pPr>
          </w:p>
        </w:tc>
      </w:tr>
      <w:tr w:rsidR="00AD24E9" w:rsidRPr="006F11F4" w14:paraId="58D82A10" w14:textId="74128778" w:rsidTr="00B37C12">
        <w:tc>
          <w:tcPr>
            <w:tcW w:w="4788" w:type="dxa"/>
          </w:tcPr>
          <w:p w14:paraId="0E25BD34" w14:textId="77777777" w:rsidR="00AD24E9" w:rsidRPr="006F11F4" w:rsidRDefault="00AD24E9" w:rsidP="00AD24E9">
            <w:pPr>
              <w:pStyle w:val="ANOTACION"/>
              <w:spacing w:after="92" w:line="226" w:lineRule="exact"/>
              <w:rPr>
                <w:rFonts w:ascii="Verdana" w:hAnsi="Verdana"/>
                <w:sz w:val="16"/>
                <w:szCs w:val="16"/>
                <w:lang w:eastAsia="es-MX"/>
              </w:rPr>
            </w:pPr>
            <w:r w:rsidRPr="006F11F4">
              <w:rPr>
                <w:rFonts w:ascii="Verdana" w:hAnsi="Verdana"/>
                <w:sz w:val="16"/>
                <w:szCs w:val="16"/>
                <w:lang w:eastAsia="es-MX"/>
              </w:rPr>
              <w:t>PREFACIO</w:t>
            </w:r>
          </w:p>
        </w:tc>
        <w:tc>
          <w:tcPr>
            <w:tcW w:w="4788" w:type="dxa"/>
          </w:tcPr>
          <w:p w14:paraId="05E40155" w14:textId="393E3129" w:rsidR="00AD24E9" w:rsidRPr="006F11F4" w:rsidRDefault="00AD24E9" w:rsidP="00AD24E9">
            <w:pPr>
              <w:pStyle w:val="ANOTACION"/>
              <w:spacing w:after="92" w:line="226" w:lineRule="exact"/>
              <w:rPr>
                <w:rFonts w:ascii="Verdana" w:hAnsi="Verdana"/>
                <w:sz w:val="16"/>
                <w:szCs w:val="16"/>
                <w:lang w:eastAsia="es-MX"/>
              </w:rPr>
            </w:pPr>
            <w:r w:rsidRPr="00A96DA8">
              <w:rPr>
                <w:rFonts w:ascii="Verdana" w:hAnsi="Verdana"/>
                <w:bCs/>
                <w:sz w:val="16"/>
                <w:szCs w:val="16"/>
              </w:rPr>
              <w:t>PREFACE</w:t>
            </w:r>
          </w:p>
        </w:tc>
      </w:tr>
      <w:tr w:rsidR="00AD24E9" w:rsidRPr="00AD24E9" w14:paraId="63A4BFBE" w14:textId="1713BB60" w:rsidTr="00B37C12">
        <w:tc>
          <w:tcPr>
            <w:tcW w:w="4788" w:type="dxa"/>
          </w:tcPr>
          <w:p w14:paraId="77D28E29"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En la elaboración de la presente Norma participaron los siguientes Organismos e Instituciones:</w:t>
            </w:r>
          </w:p>
        </w:tc>
        <w:tc>
          <w:tcPr>
            <w:tcW w:w="4788" w:type="dxa"/>
          </w:tcPr>
          <w:p w14:paraId="6B080CC4" w14:textId="21F0C6B7"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t>The following Organizations and Institutions participated in the preparation of this Standard:</w:t>
            </w:r>
          </w:p>
        </w:tc>
      </w:tr>
      <w:tr w:rsidR="00AD24E9" w:rsidRPr="006F11F4" w14:paraId="7A046D97" w14:textId="2EDEB291" w:rsidTr="00B37C12">
        <w:tc>
          <w:tcPr>
            <w:tcW w:w="4788" w:type="dxa"/>
          </w:tcPr>
          <w:p w14:paraId="425CB7D0"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SECRETARIA DE SALUD</w:t>
            </w:r>
          </w:p>
        </w:tc>
        <w:tc>
          <w:tcPr>
            <w:tcW w:w="4788" w:type="dxa"/>
          </w:tcPr>
          <w:p w14:paraId="307525CA" w14:textId="46F87C04"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rPr>
              <w:t>SECRETARY</w:t>
            </w:r>
            <w:r w:rsidR="00307BA1">
              <w:rPr>
                <w:rFonts w:ascii="Verdana" w:hAnsi="Verdana" w:cs="Times New Roman"/>
                <w:sz w:val="16"/>
                <w:szCs w:val="16"/>
              </w:rPr>
              <w:t xml:space="preserve"> OF HEALTH</w:t>
            </w:r>
          </w:p>
        </w:tc>
      </w:tr>
      <w:tr w:rsidR="00AD24E9" w:rsidRPr="00AD24E9" w14:paraId="26F89644" w14:textId="19378A4E" w:rsidTr="00B37C12">
        <w:tc>
          <w:tcPr>
            <w:tcW w:w="4788" w:type="dxa"/>
          </w:tcPr>
          <w:p w14:paraId="16ED418E"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Comisión Federal para la Protección contra Riesgos Sanitarios</w:t>
            </w:r>
          </w:p>
        </w:tc>
        <w:tc>
          <w:tcPr>
            <w:tcW w:w="4788" w:type="dxa"/>
          </w:tcPr>
          <w:p w14:paraId="02C1969A" w14:textId="132498D0"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t>Federal Commission for the Protection against Sanitary Risks</w:t>
            </w:r>
          </w:p>
        </w:tc>
      </w:tr>
      <w:tr w:rsidR="00AD24E9" w:rsidRPr="00AD24E9" w14:paraId="649DD40F" w14:textId="57BB3144" w:rsidTr="00B37C12">
        <w:tc>
          <w:tcPr>
            <w:tcW w:w="4788" w:type="dxa"/>
          </w:tcPr>
          <w:p w14:paraId="29A97297"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Comisión de Control Analítico y Ampliación de Cobertura</w:t>
            </w:r>
          </w:p>
        </w:tc>
        <w:tc>
          <w:tcPr>
            <w:tcW w:w="4788" w:type="dxa"/>
          </w:tcPr>
          <w:p w14:paraId="435DD4B3" w14:textId="7E0718AF"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t>Commission for Analytical Control and Expansion of Coverage</w:t>
            </w:r>
          </w:p>
        </w:tc>
      </w:tr>
      <w:tr w:rsidR="00AD24E9" w:rsidRPr="008D1161" w14:paraId="6162B2E7" w14:textId="01B59D17" w:rsidTr="00B37C12">
        <w:tc>
          <w:tcPr>
            <w:tcW w:w="4788" w:type="dxa"/>
          </w:tcPr>
          <w:p w14:paraId="15DD2F0D"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SECRETARIA DE SALUD DE MICHOACAN</w:t>
            </w:r>
          </w:p>
        </w:tc>
        <w:tc>
          <w:tcPr>
            <w:tcW w:w="4788" w:type="dxa"/>
          </w:tcPr>
          <w:p w14:paraId="2F582877" w14:textId="5C019F1C" w:rsidR="00AD24E9" w:rsidRPr="008D1161" w:rsidRDefault="00AD24E9" w:rsidP="00AD24E9">
            <w:pPr>
              <w:pStyle w:val="Texto"/>
              <w:spacing w:after="92" w:line="226" w:lineRule="exact"/>
              <w:ind w:firstLine="0"/>
              <w:rPr>
                <w:rFonts w:ascii="Verdana" w:hAnsi="Verdana"/>
                <w:sz w:val="16"/>
                <w:szCs w:val="16"/>
                <w:lang w:val="en-US" w:eastAsia="es-MX"/>
              </w:rPr>
            </w:pPr>
            <w:r w:rsidRPr="008D1161">
              <w:rPr>
                <w:rFonts w:ascii="Verdana" w:hAnsi="Verdana" w:cs="Times New Roman"/>
                <w:sz w:val="16"/>
                <w:szCs w:val="16"/>
                <w:lang w:val="en-US"/>
              </w:rPr>
              <w:t>SECRETARY OF HEALTH</w:t>
            </w:r>
            <w:r w:rsidR="008D1161" w:rsidRPr="008D1161">
              <w:rPr>
                <w:rFonts w:ascii="Verdana" w:hAnsi="Verdana" w:cs="Times New Roman"/>
                <w:sz w:val="16"/>
                <w:szCs w:val="16"/>
                <w:lang w:val="en-US"/>
              </w:rPr>
              <w:t xml:space="preserve"> OF MICHOACAN</w:t>
            </w:r>
          </w:p>
        </w:tc>
      </w:tr>
      <w:tr w:rsidR="00AD24E9" w:rsidRPr="008D1161" w14:paraId="2C04DE1A" w14:textId="64151E0B" w:rsidTr="00B37C12">
        <w:tc>
          <w:tcPr>
            <w:tcW w:w="4788" w:type="dxa"/>
          </w:tcPr>
          <w:p w14:paraId="22763611"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SECRETARIA DE SALUD DE TLAXCALA</w:t>
            </w:r>
          </w:p>
        </w:tc>
        <w:tc>
          <w:tcPr>
            <w:tcW w:w="4788" w:type="dxa"/>
          </w:tcPr>
          <w:p w14:paraId="192E8169" w14:textId="65F283F0" w:rsidR="00AD24E9" w:rsidRPr="008D1161" w:rsidRDefault="00AD24E9" w:rsidP="00AD24E9">
            <w:pPr>
              <w:pStyle w:val="Texto"/>
              <w:spacing w:after="92" w:line="226" w:lineRule="exact"/>
              <w:ind w:firstLine="0"/>
              <w:rPr>
                <w:rFonts w:ascii="Verdana" w:hAnsi="Verdana"/>
                <w:sz w:val="16"/>
                <w:szCs w:val="16"/>
                <w:lang w:val="en-US" w:eastAsia="es-MX"/>
              </w:rPr>
            </w:pPr>
            <w:r w:rsidRPr="008D1161">
              <w:rPr>
                <w:rFonts w:ascii="Verdana" w:hAnsi="Verdana" w:cs="Times New Roman"/>
                <w:sz w:val="16"/>
                <w:szCs w:val="16"/>
                <w:lang w:val="en-US"/>
              </w:rPr>
              <w:t>SECRETARY OF HEALTH</w:t>
            </w:r>
            <w:r w:rsidR="008D1161" w:rsidRPr="008D1161">
              <w:rPr>
                <w:rFonts w:ascii="Verdana" w:hAnsi="Verdana" w:cs="Times New Roman"/>
                <w:sz w:val="16"/>
                <w:szCs w:val="16"/>
                <w:lang w:val="en-US"/>
              </w:rPr>
              <w:t xml:space="preserve"> O</w:t>
            </w:r>
            <w:r w:rsidR="008D1161">
              <w:rPr>
                <w:rFonts w:ascii="Verdana" w:hAnsi="Verdana" w:cs="Times New Roman"/>
                <w:sz w:val="16"/>
                <w:szCs w:val="16"/>
                <w:lang w:val="en-US"/>
              </w:rPr>
              <w:t>F TLAXCALA</w:t>
            </w:r>
          </w:p>
        </w:tc>
      </w:tr>
      <w:tr w:rsidR="00AD24E9" w:rsidRPr="006F11F4" w14:paraId="358A5B57" w14:textId="282764D3" w:rsidTr="00B37C12">
        <w:tc>
          <w:tcPr>
            <w:tcW w:w="4788" w:type="dxa"/>
          </w:tcPr>
          <w:p w14:paraId="51C96090"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SOCIEDAD MEXICANA DE NORMALIZACION Y CERTIFICACION (NORMEX)</w:t>
            </w:r>
          </w:p>
        </w:tc>
        <w:tc>
          <w:tcPr>
            <w:tcW w:w="4788" w:type="dxa"/>
          </w:tcPr>
          <w:p w14:paraId="0A53B7AA" w14:textId="141D6356"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lang w:val="es-MX"/>
              </w:rPr>
              <w:t>SOCIEDAD MEXICANA DE NORMALIZACION Y CERTIFICACION (NORMEX)</w:t>
            </w:r>
          </w:p>
        </w:tc>
      </w:tr>
      <w:tr w:rsidR="00AD24E9" w:rsidRPr="006F11F4" w14:paraId="5DA08140" w14:textId="48B9B366" w:rsidTr="00B37C12">
        <w:tc>
          <w:tcPr>
            <w:tcW w:w="4788" w:type="dxa"/>
          </w:tcPr>
          <w:p w14:paraId="17DEE915"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AMERICAN QUALITY LABORATORY</w:t>
            </w:r>
          </w:p>
        </w:tc>
        <w:tc>
          <w:tcPr>
            <w:tcW w:w="4788" w:type="dxa"/>
          </w:tcPr>
          <w:p w14:paraId="17242434" w14:textId="467885DA"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rPr>
              <w:t>AMERICAN QUALITY LABORATORY</w:t>
            </w:r>
          </w:p>
        </w:tc>
      </w:tr>
      <w:tr w:rsidR="00AD24E9" w:rsidRPr="006F11F4" w14:paraId="0AA3DE7C" w14:textId="608D91B1" w:rsidTr="00B37C12">
        <w:tc>
          <w:tcPr>
            <w:tcW w:w="4788" w:type="dxa"/>
          </w:tcPr>
          <w:p w14:paraId="718B5E0C"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CENTRO DE CONTROL TOTAL DE CALIDADES, S.A. DE C.V.</w:t>
            </w:r>
          </w:p>
        </w:tc>
        <w:tc>
          <w:tcPr>
            <w:tcW w:w="4788" w:type="dxa"/>
          </w:tcPr>
          <w:p w14:paraId="321B12FC" w14:textId="18B3CB19"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lang w:val="es-MX"/>
              </w:rPr>
              <w:t>CENTRO DE CONTROL TOTAL DE CALIDADES, SA DE CV</w:t>
            </w:r>
          </w:p>
        </w:tc>
      </w:tr>
      <w:tr w:rsidR="00AD24E9" w:rsidRPr="006F11F4" w14:paraId="125E551D" w14:textId="53B425A9" w:rsidTr="00B37C12">
        <w:tc>
          <w:tcPr>
            <w:tcW w:w="4788" w:type="dxa"/>
          </w:tcPr>
          <w:p w14:paraId="4B9AF2B8"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LABORATORIOS ABC</w:t>
            </w:r>
          </w:p>
        </w:tc>
        <w:tc>
          <w:tcPr>
            <w:tcW w:w="4788" w:type="dxa"/>
          </w:tcPr>
          <w:p w14:paraId="4115B59D" w14:textId="44833BD3"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rPr>
              <w:t>ABC LABORATORIES</w:t>
            </w:r>
          </w:p>
        </w:tc>
      </w:tr>
      <w:tr w:rsidR="00AD24E9" w:rsidRPr="006F11F4" w14:paraId="73B01F92" w14:textId="78E50D1E" w:rsidTr="00B37C12">
        <w:tc>
          <w:tcPr>
            <w:tcW w:w="4788" w:type="dxa"/>
          </w:tcPr>
          <w:p w14:paraId="47F3EBF6"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LABORATORIO FERMI, S.A. DE C.V.</w:t>
            </w:r>
          </w:p>
        </w:tc>
        <w:tc>
          <w:tcPr>
            <w:tcW w:w="4788" w:type="dxa"/>
          </w:tcPr>
          <w:p w14:paraId="063523E0" w14:textId="799ADAE6"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lang w:val="es-MX"/>
              </w:rPr>
              <w:t>LABORATORIO FERMI, SA DE CV</w:t>
            </w:r>
          </w:p>
        </w:tc>
      </w:tr>
      <w:tr w:rsidR="00AD24E9" w:rsidRPr="00AD24E9" w14:paraId="1E67D1E6" w14:textId="3FADF21C" w:rsidTr="00B37C12">
        <w:tc>
          <w:tcPr>
            <w:tcW w:w="4788" w:type="dxa"/>
          </w:tcPr>
          <w:p w14:paraId="46B810C3"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FONDO NACIONAL DE ARTESANIAS FONART</w:t>
            </w:r>
          </w:p>
        </w:tc>
        <w:tc>
          <w:tcPr>
            <w:tcW w:w="4788" w:type="dxa"/>
          </w:tcPr>
          <w:p w14:paraId="0F2DFCAF" w14:textId="44CCB42C"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t>NATIONAL FUND OF CRAFTS FONART</w:t>
            </w:r>
          </w:p>
        </w:tc>
      </w:tr>
      <w:tr w:rsidR="00AD24E9" w:rsidRPr="006F11F4" w14:paraId="6FF555FB" w14:textId="72437740" w:rsidTr="00B37C12">
        <w:tc>
          <w:tcPr>
            <w:tcW w:w="4788" w:type="dxa"/>
          </w:tcPr>
          <w:p w14:paraId="0FEC1BDB"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METQUIM</w:t>
            </w:r>
          </w:p>
        </w:tc>
        <w:tc>
          <w:tcPr>
            <w:tcW w:w="4788" w:type="dxa"/>
          </w:tcPr>
          <w:p w14:paraId="2142BC80" w14:textId="7C28D752"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rPr>
              <w:t>METQUIM</w:t>
            </w:r>
          </w:p>
        </w:tc>
      </w:tr>
      <w:tr w:rsidR="00AD24E9" w:rsidRPr="006F11F4" w14:paraId="6F5BEE18" w14:textId="184643DC" w:rsidTr="00B37C12">
        <w:tc>
          <w:tcPr>
            <w:tcW w:w="4788" w:type="dxa"/>
          </w:tcPr>
          <w:p w14:paraId="31F06B95"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BUFETE QUIMICO, S.A. DE C.V.</w:t>
            </w:r>
          </w:p>
        </w:tc>
        <w:tc>
          <w:tcPr>
            <w:tcW w:w="4788" w:type="dxa"/>
          </w:tcPr>
          <w:p w14:paraId="5AA5FBBA" w14:textId="45D94EBD"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lang w:val="es-MX"/>
              </w:rPr>
              <w:t>BUFETE QUIMICO, SA DE CV</w:t>
            </w:r>
          </w:p>
        </w:tc>
      </w:tr>
      <w:tr w:rsidR="00AD24E9" w:rsidRPr="006F11F4" w14:paraId="466368CA" w14:textId="2CB7003D" w:rsidTr="00B37C12">
        <w:tc>
          <w:tcPr>
            <w:tcW w:w="4788" w:type="dxa"/>
          </w:tcPr>
          <w:p w14:paraId="34CA0D0D"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PIGMENTOS Y OXIDOS, S.A. DE C.V. (PYOSA)</w:t>
            </w:r>
          </w:p>
        </w:tc>
        <w:tc>
          <w:tcPr>
            <w:tcW w:w="4788" w:type="dxa"/>
          </w:tcPr>
          <w:p w14:paraId="0390ECB2" w14:textId="3CAE7C81" w:rsidR="00AD24E9" w:rsidRPr="006F11F4" w:rsidRDefault="00AD24E9" w:rsidP="00AD24E9">
            <w:pPr>
              <w:pStyle w:val="Texto"/>
              <w:spacing w:after="92" w:line="226" w:lineRule="exact"/>
              <w:ind w:firstLine="0"/>
              <w:rPr>
                <w:rFonts w:ascii="Verdana" w:hAnsi="Verdana"/>
                <w:sz w:val="16"/>
                <w:szCs w:val="16"/>
                <w:lang w:eastAsia="es-MX"/>
              </w:rPr>
            </w:pPr>
            <w:r w:rsidRPr="00A96DA8">
              <w:rPr>
                <w:rFonts w:ascii="Verdana" w:hAnsi="Verdana" w:cs="Times New Roman"/>
                <w:sz w:val="16"/>
                <w:szCs w:val="16"/>
                <w:lang w:val="es-MX"/>
              </w:rPr>
              <w:t>PIGMENTOS Y OXIDOS, SA DE CV (PYOSA)</w:t>
            </w:r>
          </w:p>
        </w:tc>
      </w:tr>
      <w:tr w:rsidR="00AD24E9" w:rsidRPr="00AD24E9" w14:paraId="2064E4ED" w14:textId="69D5158B" w:rsidTr="00B37C12">
        <w:tc>
          <w:tcPr>
            <w:tcW w:w="4788" w:type="dxa"/>
          </w:tcPr>
          <w:p w14:paraId="6EB7E8A5" w14:textId="77777777" w:rsidR="00AD24E9" w:rsidRPr="006F11F4" w:rsidRDefault="00AD24E9" w:rsidP="00AD24E9">
            <w:pPr>
              <w:pStyle w:val="Texto"/>
              <w:spacing w:after="92" w:line="226" w:lineRule="exact"/>
              <w:ind w:firstLine="0"/>
              <w:rPr>
                <w:rFonts w:ascii="Verdana" w:hAnsi="Verdana"/>
                <w:sz w:val="16"/>
                <w:szCs w:val="16"/>
                <w:lang w:eastAsia="es-MX"/>
              </w:rPr>
            </w:pPr>
            <w:r w:rsidRPr="006F11F4">
              <w:rPr>
                <w:rFonts w:ascii="Verdana" w:hAnsi="Verdana"/>
                <w:sz w:val="16"/>
                <w:szCs w:val="16"/>
                <w:lang w:eastAsia="es-MX"/>
              </w:rPr>
              <w:t>CENTRO NACIONAL DE VIGILANCIA EPIDEMIOLOGICA</w:t>
            </w:r>
          </w:p>
        </w:tc>
        <w:tc>
          <w:tcPr>
            <w:tcW w:w="4788" w:type="dxa"/>
          </w:tcPr>
          <w:p w14:paraId="2EA86E22" w14:textId="0CEB4485" w:rsidR="00AD24E9" w:rsidRPr="00AD24E9" w:rsidRDefault="00AD24E9" w:rsidP="00AD24E9">
            <w:pPr>
              <w:pStyle w:val="Texto"/>
              <w:spacing w:after="92" w:line="226" w:lineRule="exact"/>
              <w:ind w:firstLine="0"/>
              <w:rPr>
                <w:rFonts w:ascii="Verdana" w:hAnsi="Verdana"/>
                <w:sz w:val="16"/>
                <w:szCs w:val="16"/>
                <w:lang w:val="en-US" w:eastAsia="es-MX"/>
              </w:rPr>
            </w:pPr>
            <w:r w:rsidRPr="00A96DA8">
              <w:rPr>
                <w:rFonts w:ascii="Verdana" w:hAnsi="Verdana" w:cs="Times New Roman"/>
                <w:sz w:val="16"/>
                <w:szCs w:val="16"/>
                <w:lang w:val="en-US"/>
              </w:rPr>
              <w:t>NATIONAL CENTER FOR EPIDEMIOLOGICAL SURVEILLANCE</w:t>
            </w:r>
          </w:p>
        </w:tc>
      </w:tr>
      <w:tr w:rsidR="00AD24E9" w:rsidRPr="006F11F4" w14:paraId="2B111B70" w14:textId="0E95D2C4" w:rsidTr="00B37C12">
        <w:tc>
          <w:tcPr>
            <w:tcW w:w="4788" w:type="dxa"/>
          </w:tcPr>
          <w:p w14:paraId="59AF09A0"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LLOYD INTERNACIONAL</w:t>
            </w:r>
          </w:p>
        </w:tc>
        <w:tc>
          <w:tcPr>
            <w:tcW w:w="4788" w:type="dxa"/>
          </w:tcPr>
          <w:p w14:paraId="24C35676" w14:textId="38B06C1F" w:rsidR="00AD24E9" w:rsidRPr="006F11F4" w:rsidRDefault="00AD24E9" w:rsidP="00AD24E9">
            <w:pPr>
              <w:pStyle w:val="Texto"/>
              <w:spacing w:after="80"/>
              <w:ind w:firstLine="0"/>
              <w:rPr>
                <w:rFonts w:ascii="Verdana" w:hAnsi="Verdana"/>
                <w:sz w:val="16"/>
                <w:szCs w:val="16"/>
                <w:lang w:eastAsia="es-MX"/>
              </w:rPr>
            </w:pPr>
            <w:r w:rsidRPr="00A96DA8">
              <w:rPr>
                <w:rFonts w:ascii="Verdana" w:hAnsi="Verdana" w:cs="Times New Roman"/>
                <w:sz w:val="16"/>
                <w:szCs w:val="16"/>
              </w:rPr>
              <w:t>LLOYD INTERNATIONAL</w:t>
            </w:r>
          </w:p>
        </w:tc>
      </w:tr>
      <w:tr w:rsidR="00AD24E9" w:rsidRPr="006F11F4" w14:paraId="700C2832" w14:textId="74D8BB9D" w:rsidTr="00B37C12">
        <w:tc>
          <w:tcPr>
            <w:tcW w:w="4788" w:type="dxa"/>
          </w:tcPr>
          <w:p w14:paraId="4A566922"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CENTRO DE CONTROL DE CALIDADES</w:t>
            </w:r>
          </w:p>
        </w:tc>
        <w:tc>
          <w:tcPr>
            <w:tcW w:w="4788" w:type="dxa"/>
          </w:tcPr>
          <w:p w14:paraId="39A27291" w14:textId="6330B7E1" w:rsidR="00AD24E9" w:rsidRPr="006F11F4" w:rsidRDefault="00AD24E9" w:rsidP="00AD24E9">
            <w:pPr>
              <w:pStyle w:val="Texto"/>
              <w:spacing w:after="80"/>
              <w:ind w:firstLine="0"/>
              <w:rPr>
                <w:rFonts w:ascii="Verdana" w:hAnsi="Verdana"/>
                <w:sz w:val="16"/>
                <w:szCs w:val="16"/>
                <w:lang w:eastAsia="es-MX"/>
              </w:rPr>
            </w:pPr>
            <w:r w:rsidRPr="00A96DA8">
              <w:rPr>
                <w:rFonts w:ascii="Verdana" w:hAnsi="Verdana" w:cs="Times New Roman"/>
                <w:sz w:val="16"/>
                <w:szCs w:val="16"/>
              </w:rPr>
              <w:t>QUALITY CONTROL CENTER</w:t>
            </w:r>
          </w:p>
        </w:tc>
      </w:tr>
      <w:tr w:rsidR="00AD24E9" w:rsidRPr="006F11F4" w14:paraId="4770D49A" w14:textId="2811FA52" w:rsidTr="00B37C12">
        <w:tc>
          <w:tcPr>
            <w:tcW w:w="4788" w:type="dxa"/>
          </w:tcPr>
          <w:p w14:paraId="1D6F071E"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ASOCIACION NACIONAL DE CERAMISTAS</w:t>
            </w:r>
          </w:p>
        </w:tc>
        <w:tc>
          <w:tcPr>
            <w:tcW w:w="4788" w:type="dxa"/>
          </w:tcPr>
          <w:p w14:paraId="54BCE6DE" w14:textId="5F0B0BAD" w:rsidR="00AD24E9" w:rsidRPr="006F11F4" w:rsidRDefault="00AD24E9" w:rsidP="00AD24E9">
            <w:pPr>
              <w:pStyle w:val="Texto"/>
              <w:spacing w:after="80"/>
              <w:ind w:firstLine="0"/>
              <w:rPr>
                <w:rFonts w:ascii="Verdana" w:hAnsi="Verdana"/>
                <w:sz w:val="16"/>
                <w:szCs w:val="16"/>
                <w:lang w:eastAsia="es-MX"/>
              </w:rPr>
            </w:pPr>
            <w:r w:rsidRPr="00A96DA8">
              <w:rPr>
                <w:rFonts w:ascii="Verdana" w:hAnsi="Verdana" w:cs="Times New Roman"/>
                <w:sz w:val="16"/>
                <w:szCs w:val="16"/>
              </w:rPr>
              <w:t>NATIONAL ASSOCIATION OF CERAMISTS</w:t>
            </w:r>
          </w:p>
        </w:tc>
      </w:tr>
      <w:tr w:rsidR="00AD24E9" w:rsidRPr="006F11F4" w14:paraId="5D0D575A" w14:textId="6DF1ACA3" w:rsidTr="00B37C12">
        <w:tc>
          <w:tcPr>
            <w:tcW w:w="4788" w:type="dxa"/>
          </w:tcPr>
          <w:p w14:paraId="4E98F575"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CAMARA NACIONAL DE LA INDUSTRIA DE TRANSFORMACION (CANACINTRA), RAMA 35. FABRICANTES DE VIDRIO, ARTICULOS DE VIDRIO Y CRISTAL</w:t>
            </w:r>
          </w:p>
        </w:tc>
        <w:tc>
          <w:tcPr>
            <w:tcW w:w="4788" w:type="dxa"/>
          </w:tcPr>
          <w:p w14:paraId="6B78C8D2" w14:textId="45CBDCFD" w:rsidR="00AD24E9" w:rsidRPr="006F11F4" w:rsidRDefault="00AD24E9" w:rsidP="00AD24E9">
            <w:pPr>
              <w:pStyle w:val="Texto"/>
              <w:spacing w:after="80"/>
              <w:ind w:firstLine="0"/>
              <w:rPr>
                <w:rFonts w:ascii="Verdana" w:hAnsi="Verdana"/>
                <w:sz w:val="16"/>
                <w:szCs w:val="16"/>
                <w:lang w:eastAsia="es-MX"/>
              </w:rPr>
            </w:pPr>
            <w:r w:rsidRPr="00A96DA8">
              <w:rPr>
                <w:rFonts w:ascii="Verdana" w:hAnsi="Verdana" w:cs="Times New Roman"/>
                <w:sz w:val="16"/>
                <w:szCs w:val="16"/>
                <w:lang w:val="en-US"/>
              </w:rPr>
              <w:t xml:space="preserve">NATIONAL CHAMBER OF THE TRANSFORMATION INDUSTRY (CANACINTRA), BRANCH 35. </w:t>
            </w:r>
            <w:r w:rsidRPr="00A96DA8">
              <w:rPr>
                <w:rFonts w:ascii="Verdana" w:hAnsi="Verdana" w:cs="Times New Roman"/>
                <w:sz w:val="16"/>
                <w:szCs w:val="16"/>
              </w:rPr>
              <w:t>MANUFACTURERS OF GLASS, GLASS AND CRYSTAL ARTICLES</w:t>
            </w:r>
          </w:p>
        </w:tc>
      </w:tr>
      <w:tr w:rsidR="00AD24E9" w:rsidRPr="006F11F4" w14:paraId="32555676" w14:textId="13BD17CD" w:rsidTr="00B37C12">
        <w:tc>
          <w:tcPr>
            <w:tcW w:w="4788" w:type="dxa"/>
          </w:tcPr>
          <w:p w14:paraId="63DD0D55"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CRISA LIBBEY MEXICO, S. DE R.L. DE C.V.</w:t>
            </w:r>
          </w:p>
        </w:tc>
        <w:tc>
          <w:tcPr>
            <w:tcW w:w="4788" w:type="dxa"/>
          </w:tcPr>
          <w:p w14:paraId="5846E285" w14:textId="38E9BA64" w:rsidR="00AD24E9" w:rsidRPr="006F11F4" w:rsidRDefault="00AD24E9" w:rsidP="00AD24E9">
            <w:pPr>
              <w:pStyle w:val="Texto"/>
              <w:spacing w:after="80"/>
              <w:ind w:firstLine="0"/>
              <w:rPr>
                <w:rFonts w:ascii="Verdana" w:hAnsi="Verdana"/>
                <w:sz w:val="16"/>
                <w:szCs w:val="16"/>
                <w:lang w:eastAsia="es-MX"/>
              </w:rPr>
            </w:pPr>
            <w:r w:rsidRPr="00A96DA8">
              <w:rPr>
                <w:rFonts w:ascii="Verdana" w:hAnsi="Verdana" w:cs="Times New Roman"/>
                <w:sz w:val="16"/>
                <w:szCs w:val="16"/>
                <w:lang w:val="es-MX"/>
              </w:rPr>
              <w:t>CRISA LIBBEY MEXICO, S. DE RL DE CV</w:t>
            </w:r>
          </w:p>
        </w:tc>
      </w:tr>
      <w:tr w:rsidR="00AD24E9" w:rsidRPr="006F11F4" w14:paraId="2DB43681" w14:textId="326CFA5C" w:rsidTr="00B37C12">
        <w:tc>
          <w:tcPr>
            <w:tcW w:w="4788" w:type="dxa"/>
          </w:tcPr>
          <w:p w14:paraId="0EE2CBE1"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INSTITUTO POLITECNICO NACIONAL.</w:t>
            </w:r>
          </w:p>
        </w:tc>
        <w:tc>
          <w:tcPr>
            <w:tcW w:w="4788" w:type="dxa"/>
          </w:tcPr>
          <w:p w14:paraId="19CD606F" w14:textId="79A0580E" w:rsidR="00AD24E9" w:rsidRPr="006F11F4" w:rsidRDefault="00AD24E9" w:rsidP="00AD24E9">
            <w:pPr>
              <w:pStyle w:val="Texto"/>
              <w:spacing w:after="80"/>
              <w:ind w:firstLine="0"/>
              <w:rPr>
                <w:rFonts w:ascii="Verdana" w:hAnsi="Verdana"/>
                <w:sz w:val="16"/>
                <w:szCs w:val="16"/>
                <w:lang w:eastAsia="es-MX"/>
              </w:rPr>
            </w:pPr>
            <w:r w:rsidRPr="00A96DA8">
              <w:rPr>
                <w:rFonts w:ascii="Verdana" w:hAnsi="Verdana" w:cs="Times New Roman"/>
                <w:sz w:val="16"/>
                <w:szCs w:val="16"/>
              </w:rPr>
              <w:t>NATIONAL POLYTECHNIC INSTITUTE.</w:t>
            </w:r>
          </w:p>
        </w:tc>
      </w:tr>
      <w:tr w:rsidR="00AD24E9" w:rsidRPr="00AD24E9" w14:paraId="72992320" w14:textId="76F940F6" w:rsidTr="00B37C12">
        <w:tc>
          <w:tcPr>
            <w:tcW w:w="4788" w:type="dxa"/>
          </w:tcPr>
          <w:p w14:paraId="759BBC71"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Escuela Nacional de Ciencias Biológicas</w:t>
            </w:r>
          </w:p>
        </w:tc>
        <w:tc>
          <w:tcPr>
            <w:tcW w:w="4788" w:type="dxa"/>
          </w:tcPr>
          <w:p w14:paraId="533E17E0" w14:textId="175F071A" w:rsidR="00AD24E9" w:rsidRPr="00AD24E9" w:rsidRDefault="00AD24E9" w:rsidP="00AD24E9">
            <w:pPr>
              <w:pStyle w:val="Texto"/>
              <w:spacing w:after="80"/>
              <w:ind w:firstLine="0"/>
              <w:rPr>
                <w:rFonts w:ascii="Verdana" w:hAnsi="Verdana"/>
                <w:sz w:val="16"/>
                <w:szCs w:val="16"/>
                <w:lang w:val="en-US" w:eastAsia="es-MX"/>
              </w:rPr>
            </w:pPr>
            <w:r w:rsidRPr="00A96DA8">
              <w:rPr>
                <w:rFonts w:ascii="Verdana" w:hAnsi="Verdana" w:cs="Times New Roman"/>
                <w:sz w:val="16"/>
                <w:szCs w:val="16"/>
                <w:lang w:val="en-US"/>
              </w:rPr>
              <w:t>National School of Biological Sciences</w:t>
            </w:r>
          </w:p>
        </w:tc>
      </w:tr>
      <w:tr w:rsidR="00AD24E9" w:rsidRPr="006F11F4" w14:paraId="36D3BF10" w14:textId="1026C59E" w:rsidTr="00B37C12">
        <w:tc>
          <w:tcPr>
            <w:tcW w:w="4788" w:type="dxa"/>
          </w:tcPr>
          <w:p w14:paraId="77E56800" w14:textId="77777777" w:rsidR="00AD24E9" w:rsidRPr="006F11F4" w:rsidRDefault="00AD24E9" w:rsidP="00AD24E9">
            <w:pPr>
              <w:pStyle w:val="ANOTACION"/>
              <w:spacing w:after="80"/>
              <w:rPr>
                <w:rFonts w:ascii="Verdana" w:hAnsi="Verdana"/>
                <w:sz w:val="16"/>
                <w:szCs w:val="16"/>
                <w:lang w:eastAsia="es-MX"/>
              </w:rPr>
            </w:pPr>
            <w:r w:rsidRPr="006F11F4">
              <w:rPr>
                <w:rFonts w:ascii="Verdana" w:hAnsi="Verdana"/>
                <w:sz w:val="16"/>
                <w:szCs w:val="16"/>
                <w:lang w:eastAsia="es-MX"/>
              </w:rPr>
              <w:t>INDICE</w:t>
            </w:r>
          </w:p>
        </w:tc>
        <w:tc>
          <w:tcPr>
            <w:tcW w:w="4788" w:type="dxa"/>
          </w:tcPr>
          <w:p w14:paraId="3A77FEB0" w14:textId="33A02738" w:rsidR="00AD24E9" w:rsidRPr="006F11F4" w:rsidRDefault="00AD24E9" w:rsidP="00AD24E9">
            <w:pPr>
              <w:pStyle w:val="ANOTACION"/>
              <w:spacing w:after="80"/>
              <w:rPr>
                <w:rFonts w:ascii="Verdana" w:hAnsi="Verdana"/>
                <w:sz w:val="16"/>
                <w:szCs w:val="16"/>
                <w:lang w:eastAsia="es-MX"/>
              </w:rPr>
            </w:pPr>
            <w:r w:rsidRPr="00A96DA8">
              <w:rPr>
                <w:rFonts w:ascii="Verdana" w:hAnsi="Verdana"/>
                <w:bCs/>
                <w:sz w:val="16"/>
                <w:szCs w:val="16"/>
              </w:rPr>
              <w:t>INDEX</w:t>
            </w:r>
          </w:p>
        </w:tc>
      </w:tr>
      <w:tr w:rsidR="00AD24E9" w:rsidRPr="00AD24E9" w14:paraId="122B8AEA" w14:textId="287279EF" w:rsidTr="00B37C12">
        <w:tc>
          <w:tcPr>
            <w:tcW w:w="4788" w:type="dxa"/>
          </w:tcPr>
          <w:p w14:paraId="7455946A"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1.</w:t>
            </w:r>
            <w:r w:rsidRPr="006F11F4">
              <w:rPr>
                <w:rFonts w:ascii="Verdana" w:hAnsi="Verdana"/>
                <w:sz w:val="16"/>
                <w:szCs w:val="16"/>
                <w:lang w:eastAsia="es-MX"/>
              </w:rPr>
              <w:t xml:space="preserve"> Objetivo y campo de aplicación</w:t>
            </w:r>
          </w:p>
        </w:tc>
        <w:tc>
          <w:tcPr>
            <w:tcW w:w="4788" w:type="dxa"/>
          </w:tcPr>
          <w:p w14:paraId="4ABC910D" w14:textId="220D60B8"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t xml:space="preserve">1. </w:t>
            </w:r>
            <w:r w:rsidRPr="00A96DA8">
              <w:rPr>
                <w:rFonts w:ascii="Verdana" w:hAnsi="Verdana" w:cs="Times New Roman"/>
                <w:sz w:val="16"/>
                <w:szCs w:val="16"/>
                <w:lang w:val="en-US"/>
              </w:rPr>
              <w:t>Objective and field of application</w:t>
            </w:r>
          </w:p>
        </w:tc>
      </w:tr>
      <w:tr w:rsidR="00AD24E9" w:rsidRPr="006F11F4" w14:paraId="73ED5A55" w14:textId="3F1587A6" w:rsidTr="00B37C12">
        <w:tc>
          <w:tcPr>
            <w:tcW w:w="4788" w:type="dxa"/>
          </w:tcPr>
          <w:p w14:paraId="2B7CF5C5"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2.</w:t>
            </w:r>
            <w:r w:rsidRPr="006F11F4">
              <w:rPr>
                <w:rFonts w:ascii="Verdana" w:hAnsi="Verdana"/>
                <w:sz w:val="16"/>
                <w:szCs w:val="16"/>
                <w:lang w:eastAsia="es-MX"/>
              </w:rPr>
              <w:t xml:space="preserve"> Referencias normativas</w:t>
            </w:r>
          </w:p>
        </w:tc>
        <w:tc>
          <w:tcPr>
            <w:tcW w:w="4788" w:type="dxa"/>
          </w:tcPr>
          <w:p w14:paraId="3801C2AC" w14:textId="0D72B7E7"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2. </w:t>
            </w:r>
            <w:r w:rsidR="008D1161">
              <w:rPr>
                <w:rFonts w:ascii="Verdana" w:hAnsi="Verdana" w:cs="Times New Roman"/>
                <w:sz w:val="16"/>
                <w:szCs w:val="16"/>
                <w:lang w:val="en-US"/>
              </w:rPr>
              <w:t>Legislative</w:t>
            </w:r>
            <w:r w:rsidRPr="008D1161">
              <w:rPr>
                <w:rFonts w:ascii="Verdana" w:hAnsi="Verdana" w:cs="Times New Roman"/>
                <w:sz w:val="16"/>
                <w:szCs w:val="16"/>
                <w:lang w:val="en-US"/>
              </w:rPr>
              <w:t xml:space="preserve"> references</w:t>
            </w:r>
          </w:p>
        </w:tc>
      </w:tr>
      <w:tr w:rsidR="00AD24E9" w:rsidRPr="006F11F4" w14:paraId="2CB28576" w14:textId="36961262" w:rsidTr="00B37C12">
        <w:tc>
          <w:tcPr>
            <w:tcW w:w="4788" w:type="dxa"/>
          </w:tcPr>
          <w:p w14:paraId="73AF71ED"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lastRenderedPageBreak/>
              <w:t>3.</w:t>
            </w:r>
            <w:r w:rsidRPr="006F11F4">
              <w:rPr>
                <w:rFonts w:ascii="Verdana" w:hAnsi="Verdana"/>
                <w:sz w:val="16"/>
                <w:szCs w:val="16"/>
                <w:lang w:eastAsia="es-MX"/>
              </w:rPr>
              <w:t xml:space="preserve"> Términos y definiciones</w:t>
            </w:r>
          </w:p>
        </w:tc>
        <w:tc>
          <w:tcPr>
            <w:tcW w:w="4788" w:type="dxa"/>
          </w:tcPr>
          <w:p w14:paraId="364C0189" w14:textId="31001822"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3. </w:t>
            </w:r>
            <w:r w:rsidRPr="008D1161">
              <w:rPr>
                <w:rFonts w:ascii="Verdana" w:hAnsi="Verdana" w:cs="Times New Roman"/>
                <w:sz w:val="16"/>
                <w:szCs w:val="16"/>
                <w:lang w:val="en-US"/>
              </w:rPr>
              <w:t>Terms and definitions</w:t>
            </w:r>
          </w:p>
        </w:tc>
      </w:tr>
      <w:tr w:rsidR="00AD24E9" w:rsidRPr="006F11F4" w14:paraId="1D4F007B" w14:textId="1CE3A6A2" w:rsidTr="00B37C12">
        <w:tc>
          <w:tcPr>
            <w:tcW w:w="4788" w:type="dxa"/>
          </w:tcPr>
          <w:p w14:paraId="57B6DD27"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4.</w:t>
            </w:r>
            <w:r w:rsidRPr="006F11F4">
              <w:rPr>
                <w:rFonts w:ascii="Verdana" w:hAnsi="Verdana"/>
                <w:sz w:val="16"/>
                <w:szCs w:val="16"/>
                <w:lang w:eastAsia="es-MX"/>
              </w:rPr>
              <w:t xml:space="preserve"> Símbolos y términos abreviados</w:t>
            </w:r>
          </w:p>
        </w:tc>
        <w:tc>
          <w:tcPr>
            <w:tcW w:w="4788" w:type="dxa"/>
          </w:tcPr>
          <w:p w14:paraId="647C61BA" w14:textId="6BAA9A9A"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4. </w:t>
            </w:r>
            <w:r w:rsidRPr="008D1161">
              <w:rPr>
                <w:rFonts w:ascii="Verdana" w:hAnsi="Verdana" w:cs="Times New Roman"/>
                <w:sz w:val="16"/>
                <w:szCs w:val="16"/>
                <w:lang w:val="en-US"/>
              </w:rPr>
              <w:t>Symbols and abbreviated terms</w:t>
            </w:r>
          </w:p>
        </w:tc>
      </w:tr>
      <w:tr w:rsidR="00AD24E9" w:rsidRPr="006F11F4" w14:paraId="6ABA4D76" w14:textId="12BE0459" w:rsidTr="00B37C12">
        <w:tc>
          <w:tcPr>
            <w:tcW w:w="4788" w:type="dxa"/>
          </w:tcPr>
          <w:p w14:paraId="7AD223F4"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5.</w:t>
            </w:r>
            <w:r w:rsidRPr="006F11F4">
              <w:rPr>
                <w:rFonts w:ascii="Verdana" w:hAnsi="Verdana"/>
                <w:sz w:val="16"/>
                <w:szCs w:val="16"/>
                <w:lang w:eastAsia="es-MX"/>
              </w:rPr>
              <w:t xml:space="preserve"> Especificaciones</w:t>
            </w:r>
          </w:p>
        </w:tc>
        <w:tc>
          <w:tcPr>
            <w:tcW w:w="4788" w:type="dxa"/>
          </w:tcPr>
          <w:p w14:paraId="1EB993C4" w14:textId="0AFA0660"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5. </w:t>
            </w:r>
            <w:r w:rsidRPr="008D1161">
              <w:rPr>
                <w:rFonts w:ascii="Verdana" w:hAnsi="Verdana" w:cs="Times New Roman"/>
                <w:sz w:val="16"/>
                <w:szCs w:val="16"/>
                <w:lang w:val="en-US"/>
              </w:rPr>
              <w:t>Specifications</w:t>
            </w:r>
          </w:p>
        </w:tc>
      </w:tr>
      <w:tr w:rsidR="00AD24E9" w:rsidRPr="006F11F4" w14:paraId="49F03302" w14:textId="506679FA" w:rsidTr="00B37C12">
        <w:tc>
          <w:tcPr>
            <w:tcW w:w="4788" w:type="dxa"/>
          </w:tcPr>
          <w:p w14:paraId="083A9198"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6.</w:t>
            </w:r>
            <w:r w:rsidRPr="006F11F4">
              <w:rPr>
                <w:rFonts w:ascii="Verdana" w:hAnsi="Verdana"/>
                <w:sz w:val="16"/>
                <w:szCs w:val="16"/>
                <w:lang w:eastAsia="es-MX"/>
              </w:rPr>
              <w:t xml:space="preserve"> Muestreo</w:t>
            </w:r>
          </w:p>
        </w:tc>
        <w:tc>
          <w:tcPr>
            <w:tcW w:w="4788" w:type="dxa"/>
          </w:tcPr>
          <w:p w14:paraId="0662595F" w14:textId="34D3513D"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6. </w:t>
            </w:r>
            <w:r w:rsidRPr="008D1161">
              <w:rPr>
                <w:rFonts w:ascii="Verdana" w:hAnsi="Verdana" w:cs="Times New Roman"/>
                <w:sz w:val="16"/>
                <w:szCs w:val="16"/>
                <w:lang w:val="en-US"/>
              </w:rPr>
              <w:t>Sampling</w:t>
            </w:r>
          </w:p>
        </w:tc>
      </w:tr>
      <w:tr w:rsidR="00AD24E9" w:rsidRPr="00AD24E9" w14:paraId="5408971F" w14:textId="060B340F" w:rsidTr="00B37C12">
        <w:tc>
          <w:tcPr>
            <w:tcW w:w="4788" w:type="dxa"/>
          </w:tcPr>
          <w:p w14:paraId="1EE1B5CF"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7.</w:t>
            </w:r>
            <w:r w:rsidRPr="006F11F4">
              <w:rPr>
                <w:rFonts w:ascii="Verdana" w:hAnsi="Verdana"/>
                <w:sz w:val="16"/>
                <w:szCs w:val="16"/>
                <w:lang w:eastAsia="es-MX"/>
              </w:rPr>
              <w:t xml:space="preserve"> Concordancia con normas internacionales y mexicanas</w:t>
            </w:r>
          </w:p>
        </w:tc>
        <w:tc>
          <w:tcPr>
            <w:tcW w:w="4788" w:type="dxa"/>
          </w:tcPr>
          <w:p w14:paraId="76D8CCCE" w14:textId="29E06C20"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7. </w:t>
            </w:r>
            <w:r w:rsidRPr="008D1161">
              <w:rPr>
                <w:rFonts w:ascii="Verdana" w:hAnsi="Verdana" w:cs="Times New Roman"/>
                <w:sz w:val="16"/>
                <w:szCs w:val="16"/>
                <w:lang w:val="en-US"/>
              </w:rPr>
              <w:t>Concordance with international and Mexican standards</w:t>
            </w:r>
          </w:p>
        </w:tc>
      </w:tr>
      <w:tr w:rsidR="00AD24E9" w:rsidRPr="006F11F4" w14:paraId="057C5DBE" w14:textId="7636053A" w:rsidTr="00B37C12">
        <w:tc>
          <w:tcPr>
            <w:tcW w:w="4788" w:type="dxa"/>
          </w:tcPr>
          <w:p w14:paraId="689A60B1"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8.</w:t>
            </w:r>
            <w:r w:rsidRPr="006F11F4">
              <w:rPr>
                <w:rFonts w:ascii="Verdana" w:hAnsi="Verdana"/>
                <w:sz w:val="16"/>
                <w:szCs w:val="16"/>
                <w:lang w:eastAsia="es-MX"/>
              </w:rPr>
              <w:t xml:space="preserve"> Bibliografía</w:t>
            </w:r>
          </w:p>
        </w:tc>
        <w:tc>
          <w:tcPr>
            <w:tcW w:w="4788" w:type="dxa"/>
          </w:tcPr>
          <w:p w14:paraId="11736ECB" w14:textId="21A0CEBC"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8. </w:t>
            </w:r>
            <w:r w:rsidRPr="008D1161">
              <w:rPr>
                <w:rFonts w:ascii="Verdana" w:hAnsi="Verdana" w:cs="Times New Roman"/>
                <w:sz w:val="16"/>
                <w:szCs w:val="16"/>
                <w:lang w:val="en-US"/>
              </w:rPr>
              <w:t>Bibliography</w:t>
            </w:r>
          </w:p>
        </w:tc>
      </w:tr>
      <w:tr w:rsidR="00AD24E9" w:rsidRPr="006F11F4" w14:paraId="153EDFF4" w14:textId="146E2ACE" w:rsidTr="00B37C12">
        <w:tc>
          <w:tcPr>
            <w:tcW w:w="4788" w:type="dxa"/>
          </w:tcPr>
          <w:p w14:paraId="0F24E3AB"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 xml:space="preserve">9. </w:t>
            </w:r>
            <w:r w:rsidRPr="006F11F4">
              <w:rPr>
                <w:rFonts w:ascii="Verdana" w:hAnsi="Verdana"/>
                <w:sz w:val="16"/>
                <w:szCs w:val="16"/>
                <w:lang w:eastAsia="es-MX"/>
              </w:rPr>
              <w:t>Observancia de la Norma</w:t>
            </w:r>
          </w:p>
        </w:tc>
        <w:tc>
          <w:tcPr>
            <w:tcW w:w="4788" w:type="dxa"/>
          </w:tcPr>
          <w:p w14:paraId="616CD822" w14:textId="3127C43C"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9. </w:t>
            </w:r>
            <w:r w:rsidRPr="008D1161">
              <w:rPr>
                <w:rFonts w:ascii="Verdana" w:hAnsi="Verdana" w:cs="Times New Roman"/>
                <w:sz w:val="16"/>
                <w:szCs w:val="16"/>
                <w:lang w:val="en-US"/>
              </w:rPr>
              <w:t>Compliance with the Standard</w:t>
            </w:r>
          </w:p>
        </w:tc>
      </w:tr>
      <w:tr w:rsidR="00AD24E9" w:rsidRPr="006F11F4" w14:paraId="493F76D7" w14:textId="27AC6C24" w:rsidTr="00B37C12">
        <w:tc>
          <w:tcPr>
            <w:tcW w:w="4788" w:type="dxa"/>
          </w:tcPr>
          <w:p w14:paraId="28225C66"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10.</w:t>
            </w:r>
            <w:r w:rsidRPr="006F11F4">
              <w:rPr>
                <w:rFonts w:ascii="Verdana" w:hAnsi="Verdana"/>
                <w:sz w:val="16"/>
                <w:szCs w:val="16"/>
                <w:lang w:eastAsia="es-MX"/>
              </w:rPr>
              <w:t xml:space="preserve"> Vigencia.</w:t>
            </w:r>
          </w:p>
        </w:tc>
        <w:tc>
          <w:tcPr>
            <w:tcW w:w="4788" w:type="dxa"/>
          </w:tcPr>
          <w:p w14:paraId="1CBD681D" w14:textId="5DA005A4" w:rsidR="00AD24E9" w:rsidRPr="008D1161" w:rsidRDefault="00AD24E9" w:rsidP="00AD24E9">
            <w:pPr>
              <w:pStyle w:val="Texto"/>
              <w:spacing w:after="80"/>
              <w:ind w:firstLine="0"/>
              <w:rPr>
                <w:rFonts w:ascii="Verdana" w:hAnsi="Verdana"/>
                <w:b/>
                <w:sz w:val="16"/>
                <w:szCs w:val="16"/>
                <w:lang w:val="en-US" w:eastAsia="es-MX"/>
              </w:rPr>
            </w:pPr>
            <w:r w:rsidRPr="008D1161">
              <w:rPr>
                <w:rFonts w:ascii="Verdana" w:hAnsi="Verdana" w:cs="Times New Roman"/>
                <w:b/>
                <w:bCs/>
                <w:sz w:val="16"/>
                <w:szCs w:val="16"/>
                <w:lang w:val="en-US"/>
              </w:rPr>
              <w:t xml:space="preserve">10. </w:t>
            </w:r>
            <w:r w:rsidRPr="008D1161">
              <w:rPr>
                <w:rFonts w:ascii="Verdana" w:hAnsi="Verdana" w:cs="Times New Roman"/>
                <w:sz w:val="16"/>
                <w:szCs w:val="16"/>
                <w:lang w:val="en-US"/>
              </w:rPr>
              <w:t>Validity.</w:t>
            </w:r>
          </w:p>
        </w:tc>
      </w:tr>
      <w:tr w:rsidR="00AD24E9" w:rsidRPr="00AD24E9" w14:paraId="14CB08C6" w14:textId="294FDB81" w:rsidTr="00B37C12">
        <w:tc>
          <w:tcPr>
            <w:tcW w:w="4788" w:type="dxa"/>
          </w:tcPr>
          <w:p w14:paraId="22BF0261"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Apéndice A. Normativo.</w:t>
            </w:r>
            <w:r w:rsidRPr="006F11F4">
              <w:rPr>
                <w:rFonts w:ascii="Verdana" w:hAnsi="Verdana"/>
                <w:sz w:val="16"/>
                <w:szCs w:val="16"/>
                <w:lang w:eastAsia="es-MX"/>
              </w:rPr>
              <w:t xml:space="preserve"> Método de ensayo para la determinación de Pb y Cd solubles en artículos de alfarería vidriada, cerámica vidriada, porcelana y artículos de vidrio.</w:t>
            </w:r>
          </w:p>
        </w:tc>
        <w:tc>
          <w:tcPr>
            <w:tcW w:w="4788" w:type="dxa"/>
          </w:tcPr>
          <w:p w14:paraId="77A4BBD3" w14:textId="11EC184F"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t xml:space="preserve">Appendix A. </w:t>
            </w:r>
            <w:r w:rsidR="008D1161">
              <w:rPr>
                <w:rFonts w:ascii="Verdana" w:hAnsi="Verdana" w:cs="Times New Roman"/>
                <w:b/>
                <w:bCs/>
                <w:sz w:val="16"/>
                <w:szCs w:val="16"/>
                <w:lang w:val="en-US"/>
              </w:rPr>
              <w:t>Legislative</w:t>
            </w:r>
            <w:r w:rsidRPr="00A96DA8">
              <w:rPr>
                <w:rFonts w:ascii="Verdana" w:hAnsi="Verdana" w:cs="Times New Roman"/>
                <w:b/>
                <w:bCs/>
                <w:sz w:val="16"/>
                <w:szCs w:val="16"/>
                <w:lang w:val="en-US"/>
              </w:rPr>
              <w:t xml:space="preserve">. </w:t>
            </w:r>
            <w:r w:rsidRPr="00A96DA8">
              <w:rPr>
                <w:rFonts w:ascii="Verdana" w:hAnsi="Verdana" w:cs="Times New Roman"/>
                <w:sz w:val="16"/>
                <w:szCs w:val="16"/>
                <w:lang w:val="en-US"/>
              </w:rPr>
              <w:t>Test method for the determination of soluble Pb and Cd in glazed pottery, glazed ceramic, porcelain and glassware.</w:t>
            </w:r>
          </w:p>
        </w:tc>
      </w:tr>
      <w:tr w:rsidR="00AD24E9" w:rsidRPr="00AD24E9" w14:paraId="77280D34" w14:textId="05C6974D" w:rsidTr="00B37C12">
        <w:tc>
          <w:tcPr>
            <w:tcW w:w="4788" w:type="dxa"/>
          </w:tcPr>
          <w:p w14:paraId="4C1C5CFC"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1. Objetivo y campo de aplicación</w:t>
            </w:r>
          </w:p>
        </w:tc>
        <w:tc>
          <w:tcPr>
            <w:tcW w:w="4788" w:type="dxa"/>
          </w:tcPr>
          <w:p w14:paraId="2EA70C03" w14:textId="68B0EF99"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t>1. Objective and field of application</w:t>
            </w:r>
          </w:p>
        </w:tc>
      </w:tr>
      <w:tr w:rsidR="00AD24E9" w:rsidRPr="00AD24E9" w14:paraId="5B161B1A" w14:textId="59849AEB" w:rsidTr="00B37C12">
        <w:tc>
          <w:tcPr>
            <w:tcW w:w="4788" w:type="dxa"/>
          </w:tcPr>
          <w:p w14:paraId="568F860A"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1.1</w:t>
            </w:r>
            <w:r w:rsidRPr="006F11F4">
              <w:rPr>
                <w:rFonts w:ascii="Verdana" w:hAnsi="Verdana"/>
                <w:sz w:val="16"/>
                <w:szCs w:val="16"/>
                <w:lang w:eastAsia="es-MX"/>
              </w:rPr>
              <w:t xml:space="preserve"> Esta Norma específica los límites máximos permisibles de plomo y cadmio solubles, que deben cumplir los artículos de alfarería vidriada, cerámica vidriada, porcelana y artículos de vidrio, que se utilicen para contener y procesar alimentos y bebidas.</w:t>
            </w:r>
          </w:p>
        </w:tc>
        <w:tc>
          <w:tcPr>
            <w:tcW w:w="4788" w:type="dxa"/>
          </w:tcPr>
          <w:p w14:paraId="4F37FC51" w14:textId="2B17DA6F"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t xml:space="preserve">1.1 </w:t>
            </w:r>
            <w:r w:rsidRPr="00A96DA8">
              <w:rPr>
                <w:rFonts w:ascii="Verdana" w:hAnsi="Verdana" w:cs="Times New Roman"/>
                <w:sz w:val="16"/>
                <w:szCs w:val="16"/>
                <w:lang w:val="en-US"/>
              </w:rPr>
              <w:t>This Standard specifies the maximum permissible limits for soluble lead and cadmium, which glazed pottery, glazed ceramic, porcelain and glassware used to contain and process food and beverages</w:t>
            </w:r>
            <w:r w:rsidR="000877CB">
              <w:rPr>
                <w:rFonts w:ascii="Verdana" w:hAnsi="Verdana" w:cs="Times New Roman"/>
                <w:sz w:val="16"/>
                <w:szCs w:val="16"/>
                <w:lang w:val="en-US"/>
              </w:rPr>
              <w:t xml:space="preserve"> must comply</w:t>
            </w:r>
            <w:r w:rsidRPr="00A96DA8">
              <w:rPr>
                <w:rFonts w:ascii="Verdana" w:hAnsi="Verdana" w:cs="Times New Roman"/>
                <w:sz w:val="16"/>
                <w:szCs w:val="16"/>
                <w:lang w:val="en-US"/>
              </w:rPr>
              <w:t>.</w:t>
            </w:r>
          </w:p>
        </w:tc>
      </w:tr>
      <w:tr w:rsidR="00AD24E9" w:rsidRPr="00AD24E9" w14:paraId="69FC1F3B" w14:textId="31D78C30" w:rsidTr="00B37C12">
        <w:tc>
          <w:tcPr>
            <w:tcW w:w="4788" w:type="dxa"/>
          </w:tcPr>
          <w:p w14:paraId="7A1A9CBE"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1.2</w:t>
            </w:r>
            <w:r w:rsidRPr="006F11F4">
              <w:rPr>
                <w:rFonts w:ascii="Verdana" w:hAnsi="Verdana"/>
                <w:sz w:val="16"/>
                <w:szCs w:val="16"/>
                <w:lang w:eastAsia="es-MX"/>
              </w:rPr>
              <w:t xml:space="preserve"> Es aplicable a cualquier tipo de alfarería, cerámica vidriada o artículos de vidrio, coloreados o no, con decoración o sin ella pudiendo presentarse ésta en el interior, exterior (labio y borde) o en ambas posiciones.</w:t>
            </w:r>
          </w:p>
        </w:tc>
        <w:tc>
          <w:tcPr>
            <w:tcW w:w="4788" w:type="dxa"/>
          </w:tcPr>
          <w:p w14:paraId="3529E255" w14:textId="70491640"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t xml:space="preserve">1.2 </w:t>
            </w:r>
            <w:r w:rsidRPr="00A96DA8">
              <w:rPr>
                <w:rFonts w:ascii="Verdana" w:hAnsi="Verdana" w:cs="Times New Roman"/>
                <w:sz w:val="16"/>
                <w:szCs w:val="16"/>
                <w:lang w:val="en-US"/>
              </w:rPr>
              <w:t>It is applicable to any type of pottery, glazed ceramic or glass articles, colored or not, with or without decoration, which can be presented on the inside, outside (lip and edge) or in both positions.</w:t>
            </w:r>
          </w:p>
        </w:tc>
      </w:tr>
      <w:tr w:rsidR="00AD24E9" w:rsidRPr="00AD24E9" w14:paraId="26916208" w14:textId="22DCA901" w:rsidTr="00B37C12">
        <w:tc>
          <w:tcPr>
            <w:tcW w:w="4788" w:type="dxa"/>
          </w:tcPr>
          <w:p w14:paraId="0846FE2B"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1.3</w:t>
            </w:r>
            <w:r w:rsidRPr="006F11F4">
              <w:rPr>
                <w:rFonts w:ascii="Verdana" w:hAnsi="Verdana"/>
                <w:sz w:val="16"/>
                <w:szCs w:val="16"/>
                <w:lang w:eastAsia="es-MX"/>
              </w:rPr>
              <w:t xml:space="preserve"> Esta Norma es de observancia obligatoria en todo el territorio nacional para los responsables de los productos de alfarería, cerámica vidriada, porcelana y vidrio, de producción nacional y de importación, destinados a contener y procesar alimentos y bebidas.</w:t>
            </w:r>
          </w:p>
        </w:tc>
        <w:tc>
          <w:tcPr>
            <w:tcW w:w="4788" w:type="dxa"/>
          </w:tcPr>
          <w:p w14:paraId="064C41D7" w14:textId="56D830DE"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t xml:space="preserve">1.3 </w:t>
            </w:r>
            <w:r w:rsidRPr="00A96DA8">
              <w:rPr>
                <w:rFonts w:ascii="Verdana" w:hAnsi="Verdana" w:cs="Times New Roman"/>
                <w:sz w:val="16"/>
                <w:szCs w:val="16"/>
                <w:lang w:val="en-US"/>
              </w:rPr>
              <w:t xml:space="preserve">This Standard is mandatory throughout the national territory for those responsible for products of pottery, glazed ceramics, porcelain and glass, nationally produced and </w:t>
            </w:r>
            <w:r w:rsidR="000877CB">
              <w:rPr>
                <w:rFonts w:ascii="Verdana" w:hAnsi="Verdana" w:cs="Times New Roman"/>
                <w:sz w:val="16"/>
                <w:szCs w:val="16"/>
                <w:lang w:val="en-US"/>
              </w:rPr>
              <w:t xml:space="preserve">those </w:t>
            </w:r>
            <w:r w:rsidRPr="00A96DA8">
              <w:rPr>
                <w:rFonts w:ascii="Verdana" w:hAnsi="Verdana" w:cs="Times New Roman"/>
                <w:sz w:val="16"/>
                <w:szCs w:val="16"/>
                <w:lang w:val="en-US"/>
              </w:rPr>
              <w:t>imported,</w:t>
            </w:r>
            <w:r w:rsidR="000877CB">
              <w:rPr>
                <w:rFonts w:ascii="Verdana" w:hAnsi="Verdana" w:cs="Times New Roman"/>
                <w:sz w:val="16"/>
                <w:szCs w:val="16"/>
                <w:lang w:val="en-US"/>
              </w:rPr>
              <w:t xml:space="preserve"> that are</w:t>
            </w:r>
            <w:r w:rsidRPr="00A96DA8">
              <w:rPr>
                <w:rFonts w:ascii="Verdana" w:hAnsi="Verdana" w:cs="Times New Roman"/>
                <w:sz w:val="16"/>
                <w:szCs w:val="16"/>
                <w:lang w:val="en-US"/>
              </w:rPr>
              <w:t xml:space="preserve"> intended </w:t>
            </w:r>
            <w:r w:rsidR="000877CB">
              <w:rPr>
                <w:rFonts w:ascii="Verdana" w:hAnsi="Verdana" w:cs="Times New Roman"/>
                <w:sz w:val="16"/>
                <w:szCs w:val="16"/>
                <w:lang w:val="en-US"/>
              </w:rPr>
              <w:t>for containing and processing</w:t>
            </w:r>
            <w:r w:rsidRPr="00A96DA8">
              <w:rPr>
                <w:rFonts w:ascii="Verdana" w:hAnsi="Verdana" w:cs="Times New Roman"/>
                <w:sz w:val="16"/>
                <w:szCs w:val="16"/>
                <w:lang w:val="en-US"/>
              </w:rPr>
              <w:t xml:space="preserve"> food and beverages.</w:t>
            </w:r>
          </w:p>
        </w:tc>
      </w:tr>
      <w:tr w:rsidR="00AD24E9" w:rsidRPr="00AD24E9" w14:paraId="3F720BBC" w14:textId="36868A9B" w:rsidTr="00B37C12">
        <w:tc>
          <w:tcPr>
            <w:tcW w:w="4788" w:type="dxa"/>
          </w:tcPr>
          <w:p w14:paraId="326A9F67"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Queda exceptuada de su aplicación la industria del envase.</w:t>
            </w:r>
          </w:p>
        </w:tc>
        <w:tc>
          <w:tcPr>
            <w:tcW w:w="4788" w:type="dxa"/>
          </w:tcPr>
          <w:p w14:paraId="62802A4F" w14:textId="531B8EF5" w:rsidR="00AD24E9" w:rsidRPr="000877CB" w:rsidRDefault="00AD24E9" w:rsidP="00AD24E9">
            <w:pPr>
              <w:pStyle w:val="Texto"/>
              <w:spacing w:after="80"/>
              <w:ind w:firstLine="0"/>
              <w:rPr>
                <w:rFonts w:ascii="Verdana" w:hAnsi="Verdana"/>
                <w:sz w:val="16"/>
                <w:szCs w:val="16"/>
                <w:lang w:val="en-US" w:eastAsia="es-MX"/>
              </w:rPr>
            </w:pPr>
            <w:r w:rsidRPr="000877CB">
              <w:rPr>
                <w:rFonts w:ascii="Verdana" w:hAnsi="Verdana" w:cs="Times New Roman"/>
                <w:sz w:val="16"/>
                <w:szCs w:val="16"/>
                <w:lang w:val="en-US"/>
              </w:rPr>
              <w:t>The packaging industry is exempt from its application.</w:t>
            </w:r>
          </w:p>
        </w:tc>
      </w:tr>
      <w:tr w:rsidR="00AD24E9" w:rsidRPr="006F11F4" w14:paraId="44BE0176" w14:textId="69E3F5E8" w:rsidTr="00B37C12">
        <w:tc>
          <w:tcPr>
            <w:tcW w:w="4788" w:type="dxa"/>
          </w:tcPr>
          <w:p w14:paraId="1538F28E"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2. Referencias normativas</w:t>
            </w:r>
          </w:p>
        </w:tc>
        <w:tc>
          <w:tcPr>
            <w:tcW w:w="4788" w:type="dxa"/>
          </w:tcPr>
          <w:p w14:paraId="695DC3FC" w14:textId="5EB8F3B8" w:rsidR="00AD24E9" w:rsidRPr="000877CB" w:rsidRDefault="00AD24E9" w:rsidP="00AD24E9">
            <w:pPr>
              <w:pStyle w:val="Texto"/>
              <w:spacing w:after="80"/>
              <w:ind w:firstLine="0"/>
              <w:rPr>
                <w:rFonts w:ascii="Verdana" w:hAnsi="Verdana"/>
                <w:b/>
                <w:sz w:val="16"/>
                <w:szCs w:val="16"/>
                <w:lang w:val="en-US" w:eastAsia="es-MX"/>
              </w:rPr>
            </w:pPr>
            <w:r w:rsidRPr="000877CB">
              <w:rPr>
                <w:rFonts w:ascii="Verdana" w:hAnsi="Verdana" w:cs="Times New Roman"/>
                <w:b/>
                <w:bCs/>
                <w:sz w:val="16"/>
                <w:szCs w:val="16"/>
                <w:lang w:val="en-US"/>
              </w:rPr>
              <w:t xml:space="preserve">2. </w:t>
            </w:r>
            <w:r w:rsidR="008D1161" w:rsidRPr="000877CB">
              <w:rPr>
                <w:rFonts w:ascii="Verdana" w:hAnsi="Verdana" w:cs="Times New Roman"/>
                <w:b/>
                <w:bCs/>
                <w:sz w:val="16"/>
                <w:szCs w:val="16"/>
                <w:lang w:val="en-US"/>
              </w:rPr>
              <w:t>Legislative</w:t>
            </w:r>
            <w:r w:rsidRPr="000877CB">
              <w:rPr>
                <w:rFonts w:ascii="Verdana" w:hAnsi="Verdana" w:cs="Times New Roman"/>
                <w:b/>
                <w:bCs/>
                <w:sz w:val="16"/>
                <w:szCs w:val="16"/>
                <w:lang w:val="en-US"/>
              </w:rPr>
              <w:t xml:space="preserve"> references</w:t>
            </w:r>
          </w:p>
        </w:tc>
      </w:tr>
      <w:tr w:rsidR="00AD24E9" w:rsidRPr="00AD24E9" w14:paraId="7A38FAFF" w14:textId="4D347A4E" w:rsidTr="00B37C12">
        <w:tc>
          <w:tcPr>
            <w:tcW w:w="4788" w:type="dxa"/>
          </w:tcPr>
          <w:p w14:paraId="484AD778"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Para la correcta aplicación de esta Norma, se deberán consultar las siguientes Normas Oficiales Mexicanas o las que las sustituyan:</w:t>
            </w:r>
          </w:p>
        </w:tc>
        <w:tc>
          <w:tcPr>
            <w:tcW w:w="4788" w:type="dxa"/>
          </w:tcPr>
          <w:p w14:paraId="7144E16B" w14:textId="61B3A1E4" w:rsidR="00AD24E9" w:rsidRPr="00AD24E9" w:rsidRDefault="00AD24E9" w:rsidP="00AD24E9">
            <w:pPr>
              <w:pStyle w:val="Texto"/>
              <w:spacing w:after="80"/>
              <w:ind w:firstLine="0"/>
              <w:rPr>
                <w:rFonts w:ascii="Verdana" w:hAnsi="Verdana"/>
                <w:sz w:val="16"/>
                <w:szCs w:val="16"/>
                <w:lang w:val="en-US" w:eastAsia="es-MX"/>
              </w:rPr>
            </w:pPr>
            <w:r w:rsidRPr="00A96DA8">
              <w:rPr>
                <w:rFonts w:ascii="Verdana" w:hAnsi="Verdana" w:cs="Times New Roman"/>
                <w:sz w:val="16"/>
                <w:szCs w:val="16"/>
                <w:lang w:val="en-US"/>
              </w:rPr>
              <w:t>For the correct application of this Standard, the following Official Mexican Standards or those that replace them should be consulted:</w:t>
            </w:r>
          </w:p>
        </w:tc>
      </w:tr>
      <w:tr w:rsidR="00AD24E9" w:rsidRPr="00AD24E9" w14:paraId="20A499B0" w14:textId="7A88B2F7" w:rsidTr="00B37C12">
        <w:tc>
          <w:tcPr>
            <w:tcW w:w="4788" w:type="dxa"/>
          </w:tcPr>
          <w:p w14:paraId="7701F1C2" w14:textId="3F68C0C4"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2.1</w:t>
            </w:r>
            <w:r w:rsidRPr="006F11F4">
              <w:rPr>
                <w:rFonts w:ascii="Verdana" w:hAnsi="Verdana"/>
                <w:sz w:val="16"/>
                <w:szCs w:val="16"/>
                <w:lang w:eastAsia="es-MX"/>
              </w:rPr>
              <w:t xml:space="preserve"> Norma Oficial Mexicana NOM-004-SSA1-2013, Salud ambiental. Limitaciones y especificaciones sanitarias para el uso de los compuestos de plomo.</w:t>
            </w:r>
            <w:r w:rsidR="00E807B5">
              <w:rPr>
                <w:rFonts w:ascii="Verdana" w:hAnsi="Verdana"/>
                <w:sz w:val="16"/>
                <w:szCs w:val="16"/>
                <w:lang w:eastAsia="es-MX"/>
              </w:rPr>
              <w:t xml:space="preserve">  </w:t>
            </w:r>
          </w:p>
        </w:tc>
        <w:tc>
          <w:tcPr>
            <w:tcW w:w="4788" w:type="dxa"/>
          </w:tcPr>
          <w:p w14:paraId="6946998D" w14:textId="435685A3"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t xml:space="preserve">2.1 </w:t>
            </w:r>
            <w:r w:rsidRPr="00A96DA8">
              <w:rPr>
                <w:rFonts w:ascii="Verdana" w:hAnsi="Verdana" w:cs="Times New Roman"/>
                <w:sz w:val="16"/>
                <w:szCs w:val="16"/>
                <w:lang w:val="en-US"/>
              </w:rPr>
              <w:t>Official Mexican Standard NOM-004-SSA1-2013, Environmental health. Limitations and sanitary specifications for the use of lead compounds.</w:t>
            </w:r>
          </w:p>
        </w:tc>
      </w:tr>
      <w:tr w:rsidR="00AD24E9" w:rsidRPr="00AD24E9" w14:paraId="13CD2B1D" w14:textId="547D9EBF" w:rsidTr="00B37C12">
        <w:tc>
          <w:tcPr>
            <w:tcW w:w="4788" w:type="dxa"/>
          </w:tcPr>
          <w:p w14:paraId="65A8B24D"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2.2</w:t>
            </w:r>
            <w:r w:rsidRPr="006F11F4">
              <w:rPr>
                <w:rFonts w:ascii="Verdana" w:hAnsi="Verdana"/>
                <w:sz w:val="16"/>
                <w:szCs w:val="16"/>
                <w:lang w:eastAsia="es-MX"/>
              </w:rPr>
              <w:t xml:space="preserve"> Norma Oficial Mexicana NOM-117-SSA1-1994, Bienes y servicios. Método de prueba para la determinación de cadmio, arsénico, plomo, estaño, cobre, fierro, zinc y mercurio en alimentos, agua potable y agua purificada por espectrometría de absorción atómica.</w:t>
            </w:r>
          </w:p>
        </w:tc>
        <w:tc>
          <w:tcPr>
            <w:tcW w:w="4788" w:type="dxa"/>
          </w:tcPr>
          <w:p w14:paraId="723FEE22" w14:textId="6951A7F0"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t xml:space="preserve">2.2 </w:t>
            </w:r>
            <w:r w:rsidRPr="00A96DA8">
              <w:rPr>
                <w:rFonts w:ascii="Verdana" w:hAnsi="Verdana" w:cs="Times New Roman"/>
                <w:sz w:val="16"/>
                <w:szCs w:val="16"/>
                <w:lang w:val="en-US"/>
              </w:rPr>
              <w:t>Official Mexican Standard NOM-117-SSA1-1994, Goods and services. Test method for the determination of cadmium, arsenic, lead, tin, copper, iron, zinc and mercury in food, drinking water and purified water by atomic absorption spectrometry.</w:t>
            </w:r>
          </w:p>
        </w:tc>
      </w:tr>
      <w:tr w:rsidR="00AD24E9" w:rsidRPr="006F11F4" w14:paraId="10C2B070" w14:textId="199F8C02" w:rsidTr="00B37C12">
        <w:tc>
          <w:tcPr>
            <w:tcW w:w="4788" w:type="dxa"/>
          </w:tcPr>
          <w:p w14:paraId="40FBA3AB" w14:textId="77777777" w:rsidR="00AD24E9" w:rsidRPr="006F11F4" w:rsidRDefault="00AD24E9" w:rsidP="00AD24E9">
            <w:pPr>
              <w:pStyle w:val="Texto"/>
              <w:spacing w:after="80"/>
              <w:ind w:firstLine="0"/>
              <w:rPr>
                <w:rFonts w:ascii="Verdana" w:hAnsi="Verdana"/>
                <w:sz w:val="16"/>
                <w:szCs w:val="16"/>
                <w:lang w:val="en-US" w:eastAsia="es-MX"/>
              </w:rPr>
            </w:pPr>
            <w:r w:rsidRPr="006F11F4">
              <w:rPr>
                <w:rFonts w:ascii="Verdana" w:hAnsi="Verdana"/>
                <w:b/>
                <w:sz w:val="16"/>
                <w:szCs w:val="16"/>
                <w:lang w:val="en-US" w:eastAsia="es-MX"/>
              </w:rPr>
              <w:t>2.3</w:t>
            </w:r>
            <w:r w:rsidRPr="006F11F4">
              <w:rPr>
                <w:rFonts w:ascii="Verdana" w:hAnsi="Verdana"/>
                <w:sz w:val="16"/>
                <w:szCs w:val="16"/>
                <w:lang w:val="en-US" w:eastAsia="es-MX"/>
              </w:rPr>
              <w:t xml:space="preserve"> ASTM D 1193-2001. Standard Specification for Reagent Water.</w:t>
            </w:r>
          </w:p>
        </w:tc>
        <w:tc>
          <w:tcPr>
            <w:tcW w:w="4788" w:type="dxa"/>
          </w:tcPr>
          <w:p w14:paraId="18CAF3BC" w14:textId="7CA48756" w:rsidR="00AD24E9" w:rsidRPr="00AA2282" w:rsidRDefault="00AD24E9" w:rsidP="00AD24E9">
            <w:pPr>
              <w:pStyle w:val="Texto"/>
              <w:spacing w:after="80"/>
              <w:ind w:firstLine="0"/>
              <w:rPr>
                <w:rFonts w:ascii="Verdana" w:hAnsi="Verdana"/>
                <w:b/>
                <w:sz w:val="16"/>
                <w:szCs w:val="16"/>
                <w:lang w:val="en-US" w:eastAsia="es-MX"/>
              </w:rPr>
            </w:pPr>
            <w:r w:rsidRPr="00AA2282">
              <w:rPr>
                <w:rFonts w:ascii="Verdana" w:hAnsi="Verdana" w:cs="Times New Roman"/>
                <w:b/>
                <w:bCs/>
                <w:sz w:val="16"/>
                <w:szCs w:val="16"/>
                <w:lang w:val="en-US"/>
              </w:rPr>
              <w:t xml:space="preserve">2.3 </w:t>
            </w:r>
            <w:r w:rsidRPr="00AA2282">
              <w:rPr>
                <w:rFonts w:ascii="Verdana" w:hAnsi="Verdana" w:cs="Times New Roman"/>
                <w:sz w:val="16"/>
                <w:szCs w:val="16"/>
                <w:lang w:val="en-US"/>
              </w:rPr>
              <w:t>ASTM D 1193-2001. Standard Specification for Reagent Water.</w:t>
            </w:r>
          </w:p>
        </w:tc>
      </w:tr>
      <w:tr w:rsidR="00AD24E9" w:rsidRPr="006F11F4" w14:paraId="0CF436CB" w14:textId="3CF51FF4" w:rsidTr="00B37C12">
        <w:tc>
          <w:tcPr>
            <w:tcW w:w="4788" w:type="dxa"/>
          </w:tcPr>
          <w:p w14:paraId="17F77FF2" w14:textId="77777777" w:rsidR="00AD24E9" w:rsidRPr="006F11F4" w:rsidRDefault="00AD24E9" w:rsidP="00AD24E9">
            <w:pPr>
              <w:pStyle w:val="Texto"/>
              <w:spacing w:after="80"/>
              <w:ind w:firstLine="0"/>
              <w:rPr>
                <w:rFonts w:ascii="Verdana" w:hAnsi="Verdana"/>
                <w:b/>
                <w:sz w:val="16"/>
                <w:szCs w:val="16"/>
                <w:lang w:eastAsia="es-MX"/>
              </w:rPr>
            </w:pPr>
            <w:r w:rsidRPr="006F11F4">
              <w:rPr>
                <w:rFonts w:ascii="Verdana" w:hAnsi="Verdana"/>
                <w:b/>
                <w:sz w:val="16"/>
                <w:szCs w:val="16"/>
                <w:lang w:eastAsia="es-MX"/>
              </w:rPr>
              <w:t>3. Términos y definiciones</w:t>
            </w:r>
          </w:p>
        </w:tc>
        <w:tc>
          <w:tcPr>
            <w:tcW w:w="4788" w:type="dxa"/>
          </w:tcPr>
          <w:p w14:paraId="22D7B75F" w14:textId="4EE8F6B0" w:rsidR="00AD24E9" w:rsidRPr="00AA2282" w:rsidRDefault="00AD24E9" w:rsidP="00AD24E9">
            <w:pPr>
              <w:pStyle w:val="Texto"/>
              <w:spacing w:after="80"/>
              <w:ind w:firstLine="0"/>
              <w:rPr>
                <w:rFonts w:ascii="Verdana" w:hAnsi="Verdana"/>
                <w:b/>
                <w:sz w:val="16"/>
                <w:szCs w:val="16"/>
                <w:lang w:val="en-US" w:eastAsia="es-MX"/>
              </w:rPr>
            </w:pPr>
            <w:r w:rsidRPr="00AA2282">
              <w:rPr>
                <w:rFonts w:ascii="Verdana" w:hAnsi="Verdana" w:cs="Times New Roman"/>
                <w:b/>
                <w:bCs/>
                <w:sz w:val="16"/>
                <w:szCs w:val="16"/>
                <w:lang w:val="en-US"/>
              </w:rPr>
              <w:t>3. Terms and definitions</w:t>
            </w:r>
          </w:p>
        </w:tc>
      </w:tr>
      <w:tr w:rsidR="00AD24E9" w:rsidRPr="00AD24E9" w14:paraId="1FD3DDF4" w14:textId="48A28849" w:rsidTr="00B37C12">
        <w:tc>
          <w:tcPr>
            <w:tcW w:w="4788" w:type="dxa"/>
          </w:tcPr>
          <w:p w14:paraId="0FE6AEFD"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sz w:val="16"/>
                <w:szCs w:val="16"/>
                <w:lang w:eastAsia="es-MX"/>
              </w:rPr>
              <w:t>Para los propósitos de esta norma, se aplican los términos y definiciones siguientes.</w:t>
            </w:r>
          </w:p>
        </w:tc>
        <w:tc>
          <w:tcPr>
            <w:tcW w:w="4788" w:type="dxa"/>
          </w:tcPr>
          <w:p w14:paraId="1E532B05" w14:textId="5A4C8EEF" w:rsidR="00AD24E9" w:rsidRPr="00AA2282" w:rsidRDefault="00AD24E9" w:rsidP="00AD24E9">
            <w:pPr>
              <w:pStyle w:val="Texto"/>
              <w:spacing w:after="80"/>
              <w:ind w:firstLine="0"/>
              <w:rPr>
                <w:rFonts w:ascii="Verdana" w:hAnsi="Verdana"/>
                <w:sz w:val="16"/>
                <w:szCs w:val="16"/>
                <w:lang w:val="en-US" w:eastAsia="es-MX"/>
              </w:rPr>
            </w:pPr>
            <w:r w:rsidRPr="00AA2282">
              <w:rPr>
                <w:rFonts w:ascii="Verdana" w:hAnsi="Verdana" w:cs="Times New Roman"/>
                <w:sz w:val="16"/>
                <w:szCs w:val="16"/>
                <w:lang w:val="en-US"/>
              </w:rPr>
              <w:t>For the purposes of this standard, the following terms and definitions apply.</w:t>
            </w:r>
          </w:p>
        </w:tc>
      </w:tr>
      <w:tr w:rsidR="00AD24E9" w:rsidRPr="00AD24E9" w14:paraId="18DAEF31" w14:textId="77A611C4" w:rsidTr="00B37C12">
        <w:tc>
          <w:tcPr>
            <w:tcW w:w="4788" w:type="dxa"/>
          </w:tcPr>
          <w:p w14:paraId="1DF69C67" w14:textId="77777777" w:rsidR="00AD24E9" w:rsidRPr="006F11F4" w:rsidRDefault="00AD24E9" w:rsidP="00AD24E9">
            <w:pPr>
              <w:pStyle w:val="Texto"/>
              <w:spacing w:after="80"/>
              <w:ind w:firstLine="0"/>
              <w:rPr>
                <w:rFonts w:ascii="Verdana" w:hAnsi="Verdana"/>
                <w:sz w:val="16"/>
                <w:szCs w:val="16"/>
                <w:lang w:eastAsia="es-MX"/>
              </w:rPr>
            </w:pPr>
            <w:r w:rsidRPr="006F11F4">
              <w:rPr>
                <w:rFonts w:ascii="Verdana" w:hAnsi="Verdana"/>
                <w:b/>
                <w:sz w:val="16"/>
                <w:szCs w:val="16"/>
                <w:lang w:eastAsia="es-MX"/>
              </w:rPr>
              <w:t xml:space="preserve">3.1 Alfarería: </w:t>
            </w:r>
            <w:r w:rsidRPr="006F11F4">
              <w:rPr>
                <w:rFonts w:ascii="Verdana" w:hAnsi="Verdana"/>
                <w:sz w:val="16"/>
                <w:szCs w:val="16"/>
                <w:lang w:eastAsia="es-MX"/>
              </w:rPr>
              <w:t xml:space="preserve">al material inorgánico no metálico que se produce por sinterización de materiales inorgánicos a partir de temperaturas de 700 °C o más, cuyo principal componente es el barro. La superficie puede </w:t>
            </w:r>
            <w:r w:rsidRPr="006F11F4">
              <w:rPr>
                <w:rFonts w:ascii="Verdana" w:hAnsi="Verdana"/>
                <w:sz w:val="16"/>
                <w:szCs w:val="16"/>
                <w:lang w:eastAsia="es-MX"/>
              </w:rPr>
              <w:lastRenderedPageBreak/>
              <w:t>ser vidriada o esmaltada para hacerla más impermeable, resistente o con propósitos decorativo-estéticos.</w:t>
            </w:r>
          </w:p>
        </w:tc>
        <w:tc>
          <w:tcPr>
            <w:tcW w:w="4788" w:type="dxa"/>
          </w:tcPr>
          <w:p w14:paraId="390479D3" w14:textId="5EECFC5E" w:rsidR="00AD24E9" w:rsidRPr="00AD24E9" w:rsidRDefault="00AD24E9" w:rsidP="00AD24E9">
            <w:pPr>
              <w:pStyle w:val="Texto"/>
              <w:spacing w:after="80"/>
              <w:ind w:firstLine="0"/>
              <w:rPr>
                <w:rFonts w:ascii="Verdana" w:hAnsi="Verdana"/>
                <w:b/>
                <w:sz w:val="16"/>
                <w:szCs w:val="16"/>
                <w:lang w:val="en-US" w:eastAsia="es-MX"/>
              </w:rPr>
            </w:pPr>
            <w:r w:rsidRPr="00A96DA8">
              <w:rPr>
                <w:rFonts w:ascii="Verdana" w:hAnsi="Verdana" w:cs="Times New Roman"/>
                <w:b/>
                <w:bCs/>
                <w:sz w:val="16"/>
                <w:szCs w:val="16"/>
                <w:lang w:val="en-US"/>
              </w:rPr>
              <w:lastRenderedPageBreak/>
              <w:t xml:space="preserve">3.1 Pottery: </w:t>
            </w:r>
            <w:r w:rsidRPr="00A96DA8">
              <w:rPr>
                <w:rFonts w:ascii="Verdana" w:hAnsi="Verdana" w:cs="Times New Roman"/>
                <w:sz w:val="16"/>
                <w:szCs w:val="16"/>
                <w:lang w:val="en-US"/>
              </w:rPr>
              <w:t xml:space="preserve">the non-metallic inorganic material that is produced by sintering inorganic materials from temperatures of 700°C or more, whose main component is clay. The surface can be glazed or </w:t>
            </w:r>
            <w:r w:rsidRPr="00A96DA8">
              <w:rPr>
                <w:rFonts w:ascii="Verdana" w:hAnsi="Verdana" w:cs="Times New Roman"/>
                <w:sz w:val="16"/>
                <w:szCs w:val="16"/>
                <w:lang w:val="en-US"/>
              </w:rPr>
              <w:lastRenderedPageBreak/>
              <w:t>enameled to make it more waterproof, resistant or for decorative-aesthetic purposes.</w:t>
            </w:r>
          </w:p>
        </w:tc>
      </w:tr>
      <w:tr w:rsidR="00AD24E9" w:rsidRPr="00AD24E9" w14:paraId="62C7568C" w14:textId="7BC26399" w:rsidTr="00B37C12">
        <w:tc>
          <w:tcPr>
            <w:tcW w:w="4788" w:type="dxa"/>
          </w:tcPr>
          <w:p w14:paraId="2216E120" w14:textId="77777777" w:rsidR="00AD24E9" w:rsidRPr="006F11F4" w:rsidRDefault="00AD24E9" w:rsidP="00AD24E9">
            <w:pPr>
              <w:pStyle w:val="Texto"/>
              <w:ind w:firstLine="0"/>
              <w:rPr>
                <w:rFonts w:ascii="Verdana" w:hAnsi="Verdana"/>
                <w:sz w:val="16"/>
                <w:szCs w:val="16"/>
                <w:lang w:eastAsia="es-MX"/>
              </w:rPr>
            </w:pPr>
            <w:r w:rsidRPr="006F11F4">
              <w:rPr>
                <w:rFonts w:ascii="Verdana" w:hAnsi="Verdana"/>
                <w:b/>
                <w:sz w:val="16"/>
                <w:szCs w:val="16"/>
                <w:lang w:eastAsia="es-MX"/>
              </w:rPr>
              <w:lastRenderedPageBreak/>
              <w:t>3.2 Bitácora de control:</w:t>
            </w:r>
            <w:r w:rsidRPr="006F11F4">
              <w:rPr>
                <w:rFonts w:ascii="Verdana" w:hAnsi="Verdana"/>
                <w:sz w:val="16"/>
                <w:szCs w:val="16"/>
                <w:lang w:eastAsia="es-MX"/>
              </w:rPr>
              <w:t xml:space="preserve"> al registro con folio, de todos los productos que se importan y/o producen. Su organización debe ser cronológica, para que se facilite la revisión de la información de los productos y su rastreabilidad. Estará a cargo del responsable del producto. Debe contener al menos los siguientes datos según aplique:</w:t>
            </w:r>
          </w:p>
        </w:tc>
        <w:tc>
          <w:tcPr>
            <w:tcW w:w="4788" w:type="dxa"/>
          </w:tcPr>
          <w:p w14:paraId="6B73DD84" w14:textId="143114E1" w:rsidR="00AD24E9" w:rsidRPr="00AD24E9" w:rsidRDefault="00AD24E9" w:rsidP="00AD24E9">
            <w:pPr>
              <w:pStyle w:val="Texto"/>
              <w:ind w:firstLine="0"/>
              <w:rPr>
                <w:rFonts w:ascii="Verdana" w:hAnsi="Verdana"/>
                <w:b/>
                <w:sz w:val="16"/>
                <w:szCs w:val="16"/>
                <w:lang w:val="en-US" w:eastAsia="es-MX"/>
              </w:rPr>
            </w:pPr>
            <w:r w:rsidRPr="00A96DA8">
              <w:rPr>
                <w:rFonts w:ascii="Verdana" w:hAnsi="Verdana" w:cs="Times New Roman"/>
                <w:b/>
                <w:bCs/>
                <w:sz w:val="16"/>
                <w:szCs w:val="16"/>
                <w:lang w:val="en-US"/>
              </w:rPr>
              <w:t xml:space="preserve">3.2 </w:t>
            </w:r>
            <w:r w:rsidRPr="00AA2282">
              <w:rPr>
                <w:rFonts w:ascii="Verdana" w:hAnsi="Verdana" w:cs="Times New Roman"/>
                <w:b/>
                <w:bCs/>
                <w:sz w:val="16"/>
                <w:szCs w:val="16"/>
                <w:lang w:val="en-US"/>
              </w:rPr>
              <w:t>Control log:</w:t>
            </w:r>
            <w:r w:rsidRPr="00A96DA8">
              <w:rPr>
                <w:rFonts w:ascii="Verdana" w:hAnsi="Verdana" w:cs="Times New Roman"/>
                <w:b/>
                <w:bCs/>
                <w:sz w:val="16"/>
                <w:szCs w:val="16"/>
                <w:lang w:val="en-US"/>
              </w:rPr>
              <w:t xml:space="preserve"> </w:t>
            </w:r>
            <w:r w:rsidRPr="00A96DA8">
              <w:rPr>
                <w:rFonts w:ascii="Verdana" w:hAnsi="Verdana" w:cs="Times New Roman"/>
                <w:sz w:val="16"/>
                <w:szCs w:val="16"/>
                <w:lang w:val="en-US"/>
              </w:rPr>
              <w:t xml:space="preserve">to </w:t>
            </w:r>
            <w:r w:rsidR="00AA2282">
              <w:rPr>
                <w:rFonts w:ascii="Verdana" w:hAnsi="Verdana" w:cs="Times New Roman"/>
                <w:sz w:val="16"/>
                <w:szCs w:val="16"/>
                <w:lang w:val="en-US"/>
              </w:rPr>
              <w:t>numbered record</w:t>
            </w:r>
            <w:r w:rsidRPr="00A96DA8">
              <w:rPr>
                <w:rFonts w:ascii="Verdana" w:hAnsi="Verdana" w:cs="Times New Roman"/>
                <w:sz w:val="16"/>
                <w:szCs w:val="16"/>
                <w:lang w:val="en-US"/>
              </w:rPr>
              <w:t>, of all the products that are imported and/or produced. Its organization should be chronological, so that the review of product information and its traceability is facilitated. It will be in charge of the person in charge of the product. It must contain at least the following data as applicable:</w:t>
            </w:r>
          </w:p>
        </w:tc>
      </w:tr>
      <w:tr w:rsidR="00AD24E9" w:rsidRPr="006F11F4" w14:paraId="641FF2B1" w14:textId="5705F162" w:rsidTr="00B37C12">
        <w:tc>
          <w:tcPr>
            <w:tcW w:w="4788" w:type="dxa"/>
          </w:tcPr>
          <w:p w14:paraId="14503578"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 xml:space="preserve">3.2.1 </w:t>
            </w:r>
            <w:r w:rsidRPr="006F11F4">
              <w:rPr>
                <w:rFonts w:ascii="Verdana" w:hAnsi="Verdana"/>
                <w:sz w:val="16"/>
                <w:szCs w:val="16"/>
                <w:lang w:eastAsia="es-MX"/>
              </w:rPr>
              <w:t>Identificación del producto (descripción).</w:t>
            </w:r>
          </w:p>
        </w:tc>
        <w:tc>
          <w:tcPr>
            <w:tcW w:w="4788" w:type="dxa"/>
          </w:tcPr>
          <w:p w14:paraId="1A0A341D" w14:textId="5817B28F" w:rsidR="00AD24E9" w:rsidRPr="00AA2282" w:rsidRDefault="00AD24E9" w:rsidP="00AD24E9">
            <w:pPr>
              <w:pStyle w:val="Texto"/>
              <w:spacing w:line="218" w:lineRule="exact"/>
              <w:ind w:firstLine="0"/>
              <w:rPr>
                <w:rFonts w:ascii="Verdana" w:hAnsi="Verdana"/>
                <w:b/>
                <w:sz w:val="16"/>
                <w:szCs w:val="16"/>
                <w:lang w:val="en-US" w:eastAsia="es-MX"/>
              </w:rPr>
            </w:pPr>
            <w:r w:rsidRPr="00AA2282">
              <w:rPr>
                <w:rFonts w:ascii="Verdana" w:hAnsi="Verdana" w:cs="Times New Roman"/>
                <w:b/>
                <w:bCs/>
                <w:sz w:val="16"/>
                <w:szCs w:val="16"/>
                <w:lang w:val="en-US"/>
              </w:rPr>
              <w:t xml:space="preserve">3.2.1 </w:t>
            </w:r>
            <w:r w:rsidRPr="00AA2282">
              <w:rPr>
                <w:rFonts w:ascii="Verdana" w:hAnsi="Verdana" w:cs="Times New Roman"/>
                <w:sz w:val="16"/>
                <w:szCs w:val="16"/>
                <w:lang w:val="en-US"/>
              </w:rPr>
              <w:t>Product</w:t>
            </w:r>
            <w:r w:rsidRPr="00AA2282">
              <w:rPr>
                <w:rFonts w:ascii="Verdana" w:hAnsi="Verdana" w:cs="Times New Roman"/>
                <w:b/>
                <w:bCs/>
                <w:sz w:val="16"/>
                <w:szCs w:val="16"/>
                <w:lang w:val="en-US"/>
              </w:rPr>
              <w:t xml:space="preserve"> </w:t>
            </w:r>
            <w:r w:rsidRPr="00AA2282">
              <w:rPr>
                <w:rFonts w:ascii="Verdana" w:hAnsi="Verdana" w:cs="Times New Roman"/>
                <w:sz w:val="16"/>
                <w:szCs w:val="16"/>
                <w:lang w:val="en-US"/>
              </w:rPr>
              <w:t>identification (description).</w:t>
            </w:r>
          </w:p>
        </w:tc>
      </w:tr>
      <w:tr w:rsidR="00AD24E9" w:rsidRPr="00AD24E9" w14:paraId="1233CF2F" w14:textId="147E0B83" w:rsidTr="00B37C12">
        <w:tc>
          <w:tcPr>
            <w:tcW w:w="4788" w:type="dxa"/>
          </w:tcPr>
          <w:p w14:paraId="38AE4FAF"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3.2.2</w:t>
            </w:r>
            <w:r w:rsidRPr="006F11F4">
              <w:rPr>
                <w:rFonts w:ascii="Verdana" w:hAnsi="Verdana"/>
                <w:sz w:val="16"/>
                <w:szCs w:val="16"/>
                <w:lang w:eastAsia="es-MX"/>
              </w:rPr>
              <w:t xml:space="preserve"> Origen: en productos nacionales debe incluir el número de lote; en productos importados, el país de origen, la fecha de ingreso, el número de lote, y el permiso de importación.</w:t>
            </w:r>
          </w:p>
        </w:tc>
        <w:tc>
          <w:tcPr>
            <w:tcW w:w="4788" w:type="dxa"/>
          </w:tcPr>
          <w:p w14:paraId="428C654D" w14:textId="39FAC9F7" w:rsidR="00AD24E9" w:rsidRPr="00AA2282" w:rsidRDefault="00AD24E9" w:rsidP="00AD24E9">
            <w:pPr>
              <w:pStyle w:val="Texto"/>
              <w:spacing w:line="218" w:lineRule="exact"/>
              <w:ind w:firstLine="0"/>
              <w:rPr>
                <w:rFonts w:ascii="Verdana" w:hAnsi="Verdana"/>
                <w:b/>
                <w:sz w:val="16"/>
                <w:szCs w:val="16"/>
                <w:lang w:val="en-US" w:eastAsia="es-MX"/>
              </w:rPr>
            </w:pPr>
            <w:r w:rsidRPr="00AA2282">
              <w:rPr>
                <w:rFonts w:ascii="Verdana" w:hAnsi="Verdana" w:cs="Times New Roman"/>
                <w:b/>
                <w:bCs/>
                <w:sz w:val="16"/>
                <w:szCs w:val="16"/>
                <w:lang w:val="en-US"/>
              </w:rPr>
              <w:t xml:space="preserve">3.2.2 </w:t>
            </w:r>
            <w:r w:rsidRPr="00AA2282">
              <w:rPr>
                <w:rFonts w:ascii="Verdana" w:hAnsi="Verdana" w:cs="Times New Roman"/>
                <w:sz w:val="16"/>
                <w:szCs w:val="16"/>
                <w:lang w:val="en-US"/>
              </w:rPr>
              <w:t>Origin: in national products</w:t>
            </w:r>
            <w:r w:rsidR="00AA2282">
              <w:rPr>
                <w:rFonts w:ascii="Verdana" w:hAnsi="Verdana" w:cs="Times New Roman"/>
                <w:sz w:val="16"/>
                <w:szCs w:val="16"/>
                <w:lang w:val="en-US"/>
              </w:rPr>
              <w:t>,</w:t>
            </w:r>
            <w:r w:rsidRPr="00AA2282">
              <w:rPr>
                <w:rFonts w:ascii="Verdana" w:hAnsi="Verdana" w:cs="Times New Roman"/>
                <w:sz w:val="16"/>
                <w:szCs w:val="16"/>
                <w:lang w:val="en-US"/>
              </w:rPr>
              <w:t xml:space="preserve"> it must include the batch number; for imported products, the country of origin, the date of entry, the batch number, and the import permit.</w:t>
            </w:r>
          </w:p>
        </w:tc>
      </w:tr>
      <w:tr w:rsidR="00AD24E9" w:rsidRPr="00AD24E9" w14:paraId="5B3BFD4F" w14:textId="1F17041B" w:rsidTr="00B37C12">
        <w:tc>
          <w:tcPr>
            <w:tcW w:w="4788" w:type="dxa"/>
          </w:tcPr>
          <w:p w14:paraId="689FF30C"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3.2.3</w:t>
            </w:r>
            <w:r w:rsidRPr="006F11F4">
              <w:rPr>
                <w:rFonts w:ascii="Verdana" w:hAnsi="Verdana"/>
                <w:sz w:val="16"/>
                <w:szCs w:val="16"/>
                <w:lang w:eastAsia="es-MX"/>
              </w:rPr>
              <w:t xml:space="preserve"> Materia prima o producto terminado (nacional o de importación):</w:t>
            </w:r>
          </w:p>
        </w:tc>
        <w:tc>
          <w:tcPr>
            <w:tcW w:w="4788" w:type="dxa"/>
          </w:tcPr>
          <w:p w14:paraId="51053E13" w14:textId="06D9C547"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3.2.3 </w:t>
            </w:r>
            <w:r w:rsidRPr="00A96DA8">
              <w:rPr>
                <w:rFonts w:ascii="Verdana" w:hAnsi="Verdana" w:cs="Times New Roman"/>
                <w:sz w:val="16"/>
                <w:szCs w:val="16"/>
                <w:lang w:val="en-US"/>
              </w:rPr>
              <w:t>Raw material or finished product (national or imported):</w:t>
            </w:r>
          </w:p>
        </w:tc>
      </w:tr>
      <w:tr w:rsidR="00AD24E9" w:rsidRPr="00AD24E9" w14:paraId="4B305F69" w14:textId="512B3691" w:rsidTr="00B37C12">
        <w:tc>
          <w:tcPr>
            <w:tcW w:w="4788" w:type="dxa"/>
          </w:tcPr>
          <w:p w14:paraId="27719365"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3.2.3.1</w:t>
            </w:r>
            <w:r w:rsidRPr="006F11F4">
              <w:rPr>
                <w:rFonts w:ascii="Verdana" w:hAnsi="Verdana"/>
                <w:sz w:val="16"/>
                <w:szCs w:val="16"/>
                <w:lang w:eastAsia="es-MX"/>
              </w:rPr>
              <w:t xml:space="preserve"> En materia prima: informe de resultados del contenido de Pb y Cd en pinturas y esmaltes por un laboratorio autorizado por la Secretaría.</w:t>
            </w:r>
          </w:p>
        </w:tc>
        <w:tc>
          <w:tcPr>
            <w:tcW w:w="4788" w:type="dxa"/>
          </w:tcPr>
          <w:p w14:paraId="01D94673" w14:textId="0CFA9949"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3.2.3.1 </w:t>
            </w:r>
            <w:r w:rsidRPr="00A96DA8">
              <w:rPr>
                <w:rFonts w:ascii="Verdana" w:hAnsi="Verdana" w:cs="Times New Roman"/>
                <w:sz w:val="16"/>
                <w:szCs w:val="16"/>
                <w:lang w:val="en-US"/>
              </w:rPr>
              <w:t xml:space="preserve">In raw material: report of results of the content of Pb and Cd in paints and enamels by a laboratory authorized by the </w:t>
            </w:r>
            <w:r w:rsidR="00307BA1">
              <w:rPr>
                <w:rFonts w:ascii="Verdana" w:hAnsi="Verdana" w:cs="Times New Roman"/>
                <w:sz w:val="16"/>
                <w:szCs w:val="16"/>
                <w:lang w:val="en-US"/>
              </w:rPr>
              <w:t>Secretary</w:t>
            </w:r>
            <w:r w:rsidRPr="00A96DA8">
              <w:rPr>
                <w:rFonts w:ascii="Verdana" w:hAnsi="Verdana" w:cs="Times New Roman"/>
                <w:sz w:val="16"/>
                <w:szCs w:val="16"/>
                <w:lang w:val="en-US"/>
              </w:rPr>
              <w:t>.</w:t>
            </w:r>
          </w:p>
        </w:tc>
      </w:tr>
      <w:tr w:rsidR="00AD24E9" w:rsidRPr="00AD24E9" w14:paraId="51A55AAB" w14:textId="0770613A" w:rsidTr="00B37C12">
        <w:tc>
          <w:tcPr>
            <w:tcW w:w="4788" w:type="dxa"/>
          </w:tcPr>
          <w:p w14:paraId="19C91132"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3.2.3.2</w:t>
            </w:r>
            <w:r w:rsidRPr="006F11F4">
              <w:rPr>
                <w:rFonts w:ascii="Verdana" w:hAnsi="Verdana"/>
                <w:sz w:val="16"/>
                <w:szCs w:val="16"/>
                <w:lang w:eastAsia="es-MX"/>
              </w:rPr>
              <w:t xml:space="preserve"> Como producto terminado: informe de resultados del contenido de Pb y Cd por un laboratorio autorizado por la Secretaría.</w:t>
            </w:r>
          </w:p>
        </w:tc>
        <w:tc>
          <w:tcPr>
            <w:tcW w:w="4788" w:type="dxa"/>
          </w:tcPr>
          <w:p w14:paraId="7D4EB16E" w14:textId="4DC6D66C"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3.2.3.2 </w:t>
            </w:r>
            <w:r w:rsidRPr="00A96DA8">
              <w:rPr>
                <w:rFonts w:ascii="Verdana" w:hAnsi="Verdana" w:cs="Times New Roman"/>
                <w:sz w:val="16"/>
                <w:szCs w:val="16"/>
                <w:lang w:val="en-US"/>
              </w:rPr>
              <w:t xml:space="preserve">As a finished product: report of results of the Pb and Cd content by a laboratory authorized by the </w:t>
            </w:r>
            <w:r w:rsidR="00307BA1">
              <w:rPr>
                <w:rFonts w:ascii="Verdana" w:hAnsi="Verdana" w:cs="Times New Roman"/>
                <w:sz w:val="16"/>
                <w:szCs w:val="16"/>
                <w:lang w:val="en-US"/>
              </w:rPr>
              <w:t>Secretary</w:t>
            </w:r>
            <w:r w:rsidRPr="00A96DA8">
              <w:rPr>
                <w:rFonts w:ascii="Verdana" w:hAnsi="Verdana" w:cs="Times New Roman"/>
                <w:sz w:val="16"/>
                <w:szCs w:val="16"/>
                <w:lang w:val="en-US"/>
              </w:rPr>
              <w:t>.</w:t>
            </w:r>
          </w:p>
        </w:tc>
      </w:tr>
      <w:tr w:rsidR="00AD24E9" w:rsidRPr="00AD24E9" w14:paraId="03530370" w14:textId="4EF9C51B" w:rsidTr="00B37C12">
        <w:tc>
          <w:tcPr>
            <w:tcW w:w="4788" w:type="dxa"/>
          </w:tcPr>
          <w:p w14:paraId="4F94321B"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sz w:val="16"/>
                <w:szCs w:val="16"/>
                <w:lang w:eastAsia="es-MX"/>
              </w:rPr>
              <w:t>Para quienes importen y elaboren deberán contar con una bitácora para los productos importados y otra bitácora para los productos que elabora.</w:t>
            </w:r>
          </w:p>
        </w:tc>
        <w:tc>
          <w:tcPr>
            <w:tcW w:w="4788" w:type="dxa"/>
          </w:tcPr>
          <w:p w14:paraId="5F0B8CFA" w14:textId="7AA33494" w:rsidR="00AD24E9" w:rsidRPr="00AD24E9" w:rsidRDefault="00AD24E9" w:rsidP="00AD24E9">
            <w:pPr>
              <w:pStyle w:val="Texto"/>
              <w:spacing w:line="218" w:lineRule="exact"/>
              <w:ind w:firstLine="0"/>
              <w:rPr>
                <w:rFonts w:ascii="Verdana" w:hAnsi="Verdana"/>
                <w:sz w:val="16"/>
                <w:szCs w:val="16"/>
                <w:lang w:val="en-US" w:eastAsia="es-MX"/>
              </w:rPr>
            </w:pPr>
            <w:r w:rsidRPr="00A96DA8">
              <w:rPr>
                <w:rFonts w:ascii="Verdana" w:hAnsi="Verdana" w:cs="Times New Roman"/>
                <w:sz w:val="16"/>
                <w:szCs w:val="16"/>
                <w:lang w:val="en-US"/>
              </w:rPr>
              <w:t>For those who import and produce, they must have a blog for imported products and another for the products they make.</w:t>
            </w:r>
          </w:p>
        </w:tc>
      </w:tr>
      <w:tr w:rsidR="00AD24E9" w:rsidRPr="00AD24E9" w14:paraId="789DF808" w14:textId="592C2970" w:rsidTr="00B37C12">
        <w:tc>
          <w:tcPr>
            <w:tcW w:w="4788" w:type="dxa"/>
          </w:tcPr>
          <w:p w14:paraId="22B79A0F"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sz w:val="16"/>
                <w:szCs w:val="16"/>
                <w:lang w:eastAsia="es-MX"/>
              </w:rPr>
              <w:t>En el caso de que la información presentada esté redactada en idioma extranjero, deberá anexarse la traducción realizada por perito traductor autorizado por el Poder Judicial estatal, el Federal o el de la Ciudad de México.</w:t>
            </w:r>
          </w:p>
        </w:tc>
        <w:tc>
          <w:tcPr>
            <w:tcW w:w="4788" w:type="dxa"/>
          </w:tcPr>
          <w:p w14:paraId="0E3E86A1" w14:textId="6225187C" w:rsidR="00AD24E9" w:rsidRPr="00AD24E9" w:rsidRDefault="00AD24E9" w:rsidP="00AD24E9">
            <w:pPr>
              <w:pStyle w:val="Texto"/>
              <w:spacing w:line="218" w:lineRule="exact"/>
              <w:ind w:firstLine="0"/>
              <w:rPr>
                <w:rFonts w:ascii="Verdana" w:hAnsi="Verdana"/>
                <w:sz w:val="16"/>
                <w:szCs w:val="16"/>
                <w:lang w:val="en-US" w:eastAsia="es-MX"/>
              </w:rPr>
            </w:pPr>
            <w:r w:rsidRPr="00A96DA8">
              <w:rPr>
                <w:rFonts w:ascii="Verdana" w:hAnsi="Verdana" w:cs="Times New Roman"/>
                <w:sz w:val="16"/>
                <w:szCs w:val="16"/>
                <w:lang w:val="en-US"/>
              </w:rPr>
              <w:t>In the event that the information presented is written in a foreign language, the translation carried out by an expert translator authorized by the State, Federal or Mexico City Judicial Power must be attached.</w:t>
            </w:r>
          </w:p>
        </w:tc>
      </w:tr>
      <w:tr w:rsidR="00AD24E9" w:rsidRPr="006F11F4" w14:paraId="6539365F" w14:textId="0FBF9945" w:rsidTr="00B37C12">
        <w:tc>
          <w:tcPr>
            <w:tcW w:w="4788" w:type="dxa"/>
          </w:tcPr>
          <w:p w14:paraId="5F413FCB"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 xml:space="preserve">3.3 Cerámica: </w:t>
            </w:r>
            <w:r w:rsidRPr="006F11F4">
              <w:rPr>
                <w:rFonts w:ascii="Verdana" w:hAnsi="Verdana"/>
                <w:sz w:val="16"/>
                <w:szCs w:val="16"/>
                <w:lang w:eastAsia="es-MX"/>
              </w:rPr>
              <w:t>al material inorgánico no metálico que se produce por sinterización de materiales inorgánicos a partir de temperaturas de 700 °C o más, cuyo principal componente es el de óxido de silicio y silicatos complejos como caolines, arcillas, feldespatos y otros. La superficie puede ser vidriada o esmaltada para hacerla más impermeable, resistente o con propósitos decorativo-estéticos. En ésta se incluyen las porcelanas refractarias.</w:t>
            </w:r>
          </w:p>
        </w:tc>
        <w:tc>
          <w:tcPr>
            <w:tcW w:w="4788" w:type="dxa"/>
          </w:tcPr>
          <w:p w14:paraId="4467AA2F" w14:textId="043E6507" w:rsidR="00AD24E9" w:rsidRPr="006F11F4" w:rsidRDefault="00AD24E9" w:rsidP="00AD24E9">
            <w:pPr>
              <w:pStyle w:val="Texto"/>
              <w:spacing w:line="218" w:lineRule="exact"/>
              <w:ind w:firstLine="0"/>
              <w:rPr>
                <w:rFonts w:ascii="Verdana" w:hAnsi="Verdana"/>
                <w:b/>
                <w:sz w:val="16"/>
                <w:szCs w:val="16"/>
                <w:lang w:eastAsia="es-MX"/>
              </w:rPr>
            </w:pPr>
            <w:r w:rsidRPr="00A96DA8">
              <w:rPr>
                <w:rFonts w:ascii="Verdana" w:hAnsi="Verdana" w:cs="Times New Roman"/>
                <w:b/>
                <w:bCs/>
                <w:sz w:val="16"/>
                <w:szCs w:val="16"/>
                <w:lang w:val="en-US"/>
              </w:rPr>
              <w:t xml:space="preserve">3.3 Ceramic: </w:t>
            </w:r>
            <w:r w:rsidRPr="00A96DA8">
              <w:rPr>
                <w:rFonts w:ascii="Verdana" w:hAnsi="Verdana" w:cs="Times New Roman"/>
                <w:sz w:val="16"/>
                <w:szCs w:val="16"/>
                <w:lang w:val="en-US"/>
              </w:rPr>
              <w:t xml:space="preserve">the non-metallic inorganic material that is produced by sintering inorganic materials from temperatures of 700°C or more, whose main component is silicon oxide and complex silicates such as </w:t>
            </w:r>
            <w:proofErr w:type="spellStart"/>
            <w:r w:rsidRPr="00A96DA8">
              <w:rPr>
                <w:rFonts w:ascii="Verdana" w:hAnsi="Verdana" w:cs="Times New Roman"/>
                <w:sz w:val="16"/>
                <w:szCs w:val="16"/>
                <w:lang w:val="en-US"/>
              </w:rPr>
              <w:t>kaolins</w:t>
            </w:r>
            <w:proofErr w:type="spellEnd"/>
            <w:r w:rsidRPr="00A96DA8">
              <w:rPr>
                <w:rFonts w:ascii="Verdana" w:hAnsi="Verdana" w:cs="Times New Roman"/>
                <w:sz w:val="16"/>
                <w:szCs w:val="16"/>
                <w:lang w:val="en-US"/>
              </w:rPr>
              <w:t xml:space="preserve">, clays, feldspars and others. The surface can be glazed or enameled to make it more waterproof, resistant or for </w:t>
            </w:r>
            <w:r w:rsidRPr="00AA2282">
              <w:rPr>
                <w:rFonts w:ascii="Verdana" w:hAnsi="Verdana" w:cs="Times New Roman"/>
                <w:sz w:val="16"/>
                <w:szCs w:val="16"/>
                <w:lang w:val="en-US"/>
              </w:rPr>
              <w:t>decorative-aesthetic purposes. This includes refractory porcelains.</w:t>
            </w:r>
          </w:p>
        </w:tc>
      </w:tr>
      <w:tr w:rsidR="00AD24E9" w:rsidRPr="00AD24E9" w14:paraId="7B324487" w14:textId="57F896CD" w:rsidTr="00B37C12">
        <w:tc>
          <w:tcPr>
            <w:tcW w:w="4788" w:type="dxa"/>
          </w:tcPr>
          <w:p w14:paraId="5EE7BC5E"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3.4 Decoración:</w:t>
            </w:r>
            <w:r w:rsidRPr="006F11F4">
              <w:rPr>
                <w:rFonts w:ascii="Verdana" w:hAnsi="Verdana"/>
                <w:sz w:val="16"/>
                <w:szCs w:val="16"/>
                <w:lang w:eastAsia="es-MX"/>
              </w:rPr>
              <w:t xml:space="preserve"> al adorno o hermoseamiento de la superficie de barro, cerámica o vidrio, sin alterar su forma o función, con el objeto de realzar su valor estético. Se presenta por medio de simples líneas o dibujos complejos, en ocasiones repetitivos pudiendo ser de uno o varios colores. Se utiliza toda la gama disponible de colores, lustres metálicos o metales preciosos como el oro y platino, solos o combinados. La aplicación se realiza en forma manual o indirecta: transfiriendo dibujos por medio de calcos y calcomanías o directamente imprimiendo dibujos sobre los artículos en forma mecánica. La aplicación para el vidrio puede ser con: serigrafía, atomizados, tampografía, baño en ácido, calcomanías o etiquetas que se pegan o funden al vidrio, con pinturas orgánicas, inorgánicas o cualquier </w:t>
            </w:r>
            <w:r w:rsidRPr="006F11F4">
              <w:rPr>
                <w:rFonts w:ascii="Verdana" w:hAnsi="Verdana"/>
                <w:sz w:val="16"/>
                <w:szCs w:val="16"/>
                <w:lang w:eastAsia="es-MX"/>
              </w:rPr>
              <w:lastRenderedPageBreak/>
              <w:t>otro método. La aplicación sobre la pieza se puede ubicar en el interior, en el exterior o en ambas posiciones.</w:t>
            </w:r>
          </w:p>
        </w:tc>
        <w:tc>
          <w:tcPr>
            <w:tcW w:w="4788" w:type="dxa"/>
          </w:tcPr>
          <w:p w14:paraId="76BE2C7B" w14:textId="7D2F7CD1"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lastRenderedPageBreak/>
              <w:t xml:space="preserve">3.4 Decoration: </w:t>
            </w:r>
            <w:r w:rsidRPr="00A96DA8">
              <w:rPr>
                <w:rFonts w:ascii="Verdana" w:hAnsi="Verdana" w:cs="Times New Roman"/>
                <w:sz w:val="16"/>
                <w:szCs w:val="16"/>
                <w:lang w:val="en-US"/>
              </w:rPr>
              <w:t xml:space="preserve">the adornment or beautification of the clay, ceramic or glass surface, without altering its form or function, in order to enhance its aesthetic value. It is presented by means of simple lines or complex drawings, sometimes repetitive and can be of one or more colors. The entire available range of colors, metallic lusters or precious metals such as gold and platinum are used, alone or in combination. The application is done manually or indirectly: transferring drawings by means of decals and stickers or directly printing drawings on the articles in a mechanical way. The application for glass can be with: screen printing, spraying, pad printing, acid bathing, stickers or labels that stick or melt to the glass, with organic, inorganic </w:t>
            </w:r>
            <w:r w:rsidRPr="00A96DA8">
              <w:rPr>
                <w:rFonts w:ascii="Verdana" w:hAnsi="Verdana" w:cs="Times New Roman"/>
                <w:sz w:val="16"/>
                <w:szCs w:val="16"/>
                <w:lang w:val="en-US"/>
              </w:rPr>
              <w:lastRenderedPageBreak/>
              <w:t>paints or any other method. The application on the piece can be located inside, outside or in both positions.</w:t>
            </w:r>
          </w:p>
        </w:tc>
      </w:tr>
      <w:tr w:rsidR="00AD24E9" w:rsidRPr="00AD24E9" w14:paraId="74AD970D" w14:textId="78BD6E1B" w:rsidTr="00B37C12">
        <w:tc>
          <w:tcPr>
            <w:tcW w:w="4788" w:type="dxa"/>
          </w:tcPr>
          <w:p w14:paraId="527BDBD7"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lastRenderedPageBreak/>
              <w:t>3.5 Frita:</w:t>
            </w:r>
            <w:r w:rsidRPr="006F11F4">
              <w:rPr>
                <w:rFonts w:ascii="Verdana" w:hAnsi="Verdana"/>
                <w:sz w:val="16"/>
                <w:szCs w:val="16"/>
                <w:lang w:eastAsia="es-MX"/>
              </w:rPr>
              <w:t xml:space="preserve"> al vidriado base, resultante del proceso de fritar, es decir, del proceso térmico que lleva hasta el punto de fusión a materias primas inorgánicas mezcladas en proporciones predeterminadas, obteniéndose un compuesto nuevo insoluble en agua.</w:t>
            </w:r>
          </w:p>
        </w:tc>
        <w:tc>
          <w:tcPr>
            <w:tcW w:w="4788" w:type="dxa"/>
          </w:tcPr>
          <w:p w14:paraId="1635F2BA" w14:textId="7534D3D7"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3.5 Frit: </w:t>
            </w:r>
            <w:r w:rsidRPr="00A96DA8">
              <w:rPr>
                <w:rFonts w:ascii="Verdana" w:hAnsi="Verdana" w:cs="Times New Roman"/>
                <w:sz w:val="16"/>
                <w:szCs w:val="16"/>
                <w:lang w:val="en-US"/>
              </w:rPr>
              <w:t>the base glaze, resulting from the f</w:t>
            </w:r>
            <w:r w:rsidR="00AA2282">
              <w:rPr>
                <w:rFonts w:ascii="Verdana" w:hAnsi="Verdana" w:cs="Times New Roman"/>
                <w:sz w:val="16"/>
                <w:szCs w:val="16"/>
                <w:lang w:val="en-US"/>
              </w:rPr>
              <w:t>usion</w:t>
            </w:r>
            <w:r w:rsidRPr="00A96DA8">
              <w:rPr>
                <w:rFonts w:ascii="Verdana" w:hAnsi="Verdana" w:cs="Times New Roman"/>
                <w:sz w:val="16"/>
                <w:szCs w:val="16"/>
                <w:lang w:val="en-US"/>
              </w:rPr>
              <w:t xml:space="preserve"> process, that is, from the thermal process that brings inorganic raw materials mixed in predetermined proportions to the melting point, obtaining a new water-insoluble compound.</w:t>
            </w:r>
          </w:p>
        </w:tc>
      </w:tr>
      <w:tr w:rsidR="00AD24E9" w:rsidRPr="00AD24E9" w14:paraId="1439FB78" w14:textId="2EAD9938" w:rsidTr="00B37C12">
        <w:tc>
          <w:tcPr>
            <w:tcW w:w="4788" w:type="dxa"/>
          </w:tcPr>
          <w:p w14:paraId="4288C6A8"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3.6 Greta:</w:t>
            </w:r>
            <w:r w:rsidRPr="006F11F4">
              <w:rPr>
                <w:rFonts w:ascii="Verdana" w:hAnsi="Verdana"/>
                <w:sz w:val="16"/>
                <w:szCs w:val="16"/>
                <w:lang w:eastAsia="es-MX"/>
              </w:rPr>
              <w:t xml:space="preserve"> al óxido de plomo. Término utilizado por los alfareros para nombrar el vidriado de sus piezas.</w:t>
            </w:r>
          </w:p>
        </w:tc>
        <w:tc>
          <w:tcPr>
            <w:tcW w:w="4788" w:type="dxa"/>
          </w:tcPr>
          <w:p w14:paraId="54DBD667" w14:textId="6D1493BF"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3.6 Greta: </w:t>
            </w:r>
            <w:r w:rsidRPr="00A96DA8">
              <w:rPr>
                <w:rFonts w:ascii="Verdana" w:hAnsi="Verdana" w:cs="Times New Roman"/>
                <w:sz w:val="16"/>
                <w:szCs w:val="16"/>
                <w:lang w:val="en-US"/>
              </w:rPr>
              <w:t>lead oxide. Term used by potters to name the glaze of their pieces.</w:t>
            </w:r>
          </w:p>
        </w:tc>
      </w:tr>
      <w:tr w:rsidR="00AD24E9" w:rsidRPr="00AD24E9" w14:paraId="76B3D957" w14:textId="10BD1E30" w:rsidTr="00B37C12">
        <w:tc>
          <w:tcPr>
            <w:tcW w:w="4788" w:type="dxa"/>
          </w:tcPr>
          <w:p w14:paraId="0F70D54E"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3.7 Modelo:</w:t>
            </w:r>
            <w:r w:rsidRPr="006F11F4">
              <w:rPr>
                <w:rFonts w:ascii="Verdana" w:hAnsi="Verdana"/>
                <w:sz w:val="16"/>
                <w:szCs w:val="16"/>
                <w:lang w:eastAsia="es-MX"/>
              </w:rPr>
              <w:t xml:space="preserve"> al número o denominación del artículo con el que cada fabricante, decorador o importador identifica a sus productos.</w:t>
            </w:r>
          </w:p>
        </w:tc>
        <w:tc>
          <w:tcPr>
            <w:tcW w:w="4788" w:type="dxa"/>
          </w:tcPr>
          <w:p w14:paraId="423BD913" w14:textId="49750311"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3.7 Model: </w:t>
            </w:r>
            <w:r w:rsidRPr="00A96DA8">
              <w:rPr>
                <w:rFonts w:ascii="Verdana" w:hAnsi="Verdana" w:cs="Times New Roman"/>
                <w:sz w:val="16"/>
                <w:szCs w:val="16"/>
                <w:lang w:val="en-US"/>
              </w:rPr>
              <w:t>the number or designation of the article with which each manufacturer, decorator or importer identifies their products.</w:t>
            </w:r>
          </w:p>
        </w:tc>
      </w:tr>
      <w:tr w:rsidR="00AD24E9" w:rsidRPr="00AD24E9" w14:paraId="2FD4FA3B" w14:textId="0D038C3E" w:rsidTr="00B37C12">
        <w:tc>
          <w:tcPr>
            <w:tcW w:w="4788" w:type="dxa"/>
          </w:tcPr>
          <w:p w14:paraId="6CA5CDCC"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3.8 Piezas huecas:</w:t>
            </w:r>
            <w:r w:rsidRPr="006F11F4">
              <w:rPr>
                <w:rFonts w:ascii="Verdana" w:hAnsi="Verdana"/>
                <w:sz w:val="16"/>
                <w:szCs w:val="16"/>
                <w:lang w:eastAsia="es-MX"/>
              </w:rPr>
              <w:t xml:space="preserve"> aquellas que tengan una profundidad interna mayor de 25 mm, medida desde el punto más bajo del plano horizontal hasta el punto superior del borde.</w:t>
            </w:r>
          </w:p>
        </w:tc>
        <w:tc>
          <w:tcPr>
            <w:tcW w:w="4788" w:type="dxa"/>
          </w:tcPr>
          <w:p w14:paraId="5C27CDEF" w14:textId="2903869B"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3.8 Hollow pieces: </w:t>
            </w:r>
            <w:r w:rsidRPr="00A96DA8">
              <w:rPr>
                <w:rFonts w:ascii="Verdana" w:hAnsi="Verdana" w:cs="Times New Roman"/>
                <w:sz w:val="16"/>
                <w:szCs w:val="16"/>
                <w:lang w:val="en-US"/>
              </w:rPr>
              <w:t>those that have an internal depth greater than 25 mm, measured from the lowest point of the horizontal plane to the top point of the edge.</w:t>
            </w:r>
          </w:p>
        </w:tc>
      </w:tr>
      <w:tr w:rsidR="00AD24E9" w:rsidRPr="00AD24E9" w14:paraId="77710F7C" w14:textId="7E14387D" w:rsidTr="00B37C12">
        <w:tc>
          <w:tcPr>
            <w:tcW w:w="4788" w:type="dxa"/>
          </w:tcPr>
          <w:p w14:paraId="18906B4C"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3.9 Piezas para contener alimentos y/o bebidas:</w:t>
            </w:r>
            <w:r w:rsidRPr="006F11F4">
              <w:rPr>
                <w:rFonts w:ascii="Verdana" w:hAnsi="Verdana"/>
                <w:sz w:val="16"/>
                <w:szCs w:val="16"/>
                <w:lang w:eastAsia="es-MX"/>
              </w:rPr>
              <w:t xml:space="preserve"> aquellas piezas que son usadas para guardar o almacenar alimentos líquidos o sólidos y/o bebidas que ya han sido procesadas.</w:t>
            </w:r>
          </w:p>
        </w:tc>
        <w:tc>
          <w:tcPr>
            <w:tcW w:w="4788" w:type="dxa"/>
          </w:tcPr>
          <w:p w14:paraId="68C81E7A" w14:textId="62180C9D"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3.9 Pieces </w:t>
            </w:r>
            <w:r w:rsidR="00AA2282">
              <w:rPr>
                <w:rFonts w:ascii="Verdana" w:hAnsi="Verdana" w:cs="Times New Roman"/>
                <w:b/>
                <w:bCs/>
                <w:sz w:val="16"/>
                <w:szCs w:val="16"/>
                <w:lang w:val="en-US"/>
              </w:rPr>
              <w:t>for containing</w:t>
            </w:r>
            <w:r w:rsidRPr="00A96DA8">
              <w:rPr>
                <w:rFonts w:ascii="Verdana" w:hAnsi="Verdana" w:cs="Times New Roman"/>
                <w:b/>
                <w:bCs/>
                <w:sz w:val="16"/>
                <w:szCs w:val="16"/>
                <w:lang w:val="en-US"/>
              </w:rPr>
              <w:t xml:space="preserve"> food </w:t>
            </w:r>
            <w:r w:rsidR="00AA2282">
              <w:rPr>
                <w:rFonts w:ascii="Verdana" w:hAnsi="Verdana" w:cs="Times New Roman"/>
                <w:b/>
                <w:bCs/>
                <w:sz w:val="16"/>
                <w:szCs w:val="16"/>
                <w:lang w:val="en-US"/>
              </w:rPr>
              <w:t xml:space="preserve">products </w:t>
            </w:r>
            <w:r w:rsidRPr="00A96DA8">
              <w:rPr>
                <w:rFonts w:ascii="Verdana" w:hAnsi="Verdana" w:cs="Times New Roman"/>
                <w:b/>
                <w:bCs/>
                <w:sz w:val="16"/>
                <w:szCs w:val="16"/>
                <w:lang w:val="en-US"/>
              </w:rPr>
              <w:t xml:space="preserve">and/or drinks: </w:t>
            </w:r>
            <w:r w:rsidRPr="00A96DA8">
              <w:rPr>
                <w:rFonts w:ascii="Verdana" w:hAnsi="Verdana" w:cs="Times New Roman"/>
                <w:sz w:val="16"/>
                <w:szCs w:val="16"/>
                <w:lang w:val="en-US"/>
              </w:rPr>
              <w:t xml:space="preserve">those pieces that are used to store or store liquid or solid food </w:t>
            </w:r>
            <w:r w:rsidR="00AA2282">
              <w:rPr>
                <w:rFonts w:ascii="Verdana" w:hAnsi="Verdana" w:cs="Times New Roman"/>
                <w:sz w:val="16"/>
                <w:szCs w:val="16"/>
                <w:lang w:val="en-US"/>
              </w:rPr>
              <w:t>and/or</w:t>
            </w:r>
            <w:r w:rsidRPr="00A96DA8">
              <w:rPr>
                <w:rFonts w:ascii="Verdana" w:hAnsi="Verdana" w:cs="Times New Roman"/>
                <w:sz w:val="16"/>
                <w:szCs w:val="16"/>
                <w:lang w:val="en-US"/>
              </w:rPr>
              <w:t xml:space="preserve"> drinks that have already been processed.</w:t>
            </w:r>
          </w:p>
        </w:tc>
      </w:tr>
      <w:tr w:rsidR="00AD24E9" w:rsidRPr="00AD24E9" w14:paraId="12DC3B29" w14:textId="60460CF4" w:rsidTr="00B37C12">
        <w:tc>
          <w:tcPr>
            <w:tcW w:w="4788" w:type="dxa"/>
          </w:tcPr>
          <w:p w14:paraId="476BEFD3"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3.10 Piezas para procesar alimentos y/o bebidas:</w:t>
            </w:r>
            <w:r w:rsidRPr="006F11F4">
              <w:rPr>
                <w:rFonts w:ascii="Verdana" w:hAnsi="Verdana"/>
                <w:sz w:val="16"/>
                <w:szCs w:val="16"/>
                <w:lang w:eastAsia="es-MX"/>
              </w:rPr>
              <w:t xml:space="preserve"> aquellas piezas que son usadas para preparar (cocer, freír, vaporizar, elaborar, etc.) alimentos líquidos o sólidos y/o bebidas.</w:t>
            </w:r>
          </w:p>
        </w:tc>
        <w:tc>
          <w:tcPr>
            <w:tcW w:w="4788" w:type="dxa"/>
          </w:tcPr>
          <w:p w14:paraId="7A6BD649" w14:textId="5CA6FF48"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3.10 P</w:t>
            </w:r>
            <w:r w:rsidR="00AA2282">
              <w:rPr>
                <w:rFonts w:ascii="Verdana" w:hAnsi="Verdana" w:cs="Times New Roman"/>
                <w:b/>
                <w:bCs/>
                <w:sz w:val="16"/>
                <w:szCs w:val="16"/>
                <w:lang w:val="en-US"/>
              </w:rPr>
              <w:t>ieces</w:t>
            </w:r>
            <w:r w:rsidRPr="00A96DA8">
              <w:rPr>
                <w:rFonts w:ascii="Verdana" w:hAnsi="Verdana" w:cs="Times New Roman"/>
                <w:b/>
                <w:bCs/>
                <w:sz w:val="16"/>
                <w:szCs w:val="16"/>
                <w:lang w:val="en-US"/>
              </w:rPr>
              <w:t xml:space="preserve"> for processing food </w:t>
            </w:r>
            <w:r w:rsidR="00AA2282">
              <w:rPr>
                <w:rFonts w:ascii="Verdana" w:hAnsi="Verdana" w:cs="Times New Roman"/>
                <w:b/>
                <w:bCs/>
                <w:sz w:val="16"/>
                <w:szCs w:val="16"/>
                <w:lang w:val="en-US"/>
              </w:rPr>
              <w:t>products and/or</w:t>
            </w:r>
            <w:r w:rsidRPr="00A96DA8">
              <w:rPr>
                <w:rFonts w:ascii="Verdana" w:hAnsi="Verdana" w:cs="Times New Roman"/>
                <w:b/>
                <w:bCs/>
                <w:sz w:val="16"/>
                <w:szCs w:val="16"/>
                <w:lang w:val="en-US"/>
              </w:rPr>
              <w:t xml:space="preserve"> beverages: </w:t>
            </w:r>
            <w:r w:rsidRPr="00A96DA8">
              <w:rPr>
                <w:rFonts w:ascii="Verdana" w:hAnsi="Verdana" w:cs="Times New Roman"/>
                <w:sz w:val="16"/>
                <w:szCs w:val="16"/>
                <w:lang w:val="en-US"/>
              </w:rPr>
              <w:t>those p</w:t>
            </w:r>
            <w:r w:rsidR="00AA2282">
              <w:rPr>
                <w:rFonts w:ascii="Verdana" w:hAnsi="Verdana" w:cs="Times New Roman"/>
                <w:sz w:val="16"/>
                <w:szCs w:val="16"/>
                <w:lang w:val="en-US"/>
              </w:rPr>
              <w:t>ieces</w:t>
            </w:r>
            <w:r w:rsidRPr="00A96DA8">
              <w:rPr>
                <w:rFonts w:ascii="Verdana" w:hAnsi="Verdana" w:cs="Times New Roman"/>
                <w:sz w:val="16"/>
                <w:szCs w:val="16"/>
                <w:lang w:val="en-US"/>
              </w:rPr>
              <w:t xml:space="preserve"> that are used to prepare (cook, fry, steam, elaborate, etc.) liquid or solid food </w:t>
            </w:r>
            <w:r w:rsidR="00AA2282">
              <w:rPr>
                <w:rFonts w:ascii="Verdana" w:hAnsi="Verdana" w:cs="Times New Roman"/>
                <w:sz w:val="16"/>
                <w:szCs w:val="16"/>
                <w:lang w:val="en-US"/>
              </w:rPr>
              <w:t>and/or</w:t>
            </w:r>
            <w:r w:rsidRPr="00A96DA8">
              <w:rPr>
                <w:rFonts w:ascii="Verdana" w:hAnsi="Verdana" w:cs="Times New Roman"/>
                <w:sz w:val="16"/>
                <w:szCs w:val="16"/>
                <w:lang w:val="en-US"/>
              </w:rPr>
              <w:t xml:space="preserve"> beverages.</w:t>
            </w:r>
          </w:p>
        </w:tc>
      </w:tr>
      <w:tr w:rsidR="00AD24E9" w:rsidRPr="00AD24E9" w14:paraId="2993ACA4" w14:textId="1608B312" w:rsidTr="00B37C12">
        <w:tc>
          <w:tcPr>
            <w:tcW w:w="4788" w:type="dxa"/>
          </w:tcPr>
          <w:p w14:paraId="25D64EA4"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3.11 Piezas planas:</w:t>
            </w:r>
            <w:r w:rsidRPr="006F11F4">
              <w:rPr>
                <w:rFonts w:ascii="Verdana" w:hAnsi="Verdana"/>
                <w:sz w:val="16"/>
                <w:szCs w:val="16"/>
                <w:lang w:eastAsia="es-MX"/>
              </w:rPr>
              <w:t xml:space="preserve"> aquellos artículos cuya altura interior no excede de 25 mm, medido del punto más bajo del fondo de la pieza al plano horizontal que pasa por los bordes superiores. Se trata de piezas tales como platos, platones y otros. Pueden tener la capacidad de una pieza hueca pequeña o una pieza hueca grande.</w:t>
            </w:r>
          </w:p>
        </w:tc>
        <w:tc>
          <w:tcPr>
            <w:tcW w:w="4788" w:type="dxa"/>
          </w:tcPr>
          <w:p w14:paraId="66CA7973" w14:textId="3D5DE6A2"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3.11 Flat pieces: </w:t>
            </w:r>
            <w:r w:rsidRPr="00A96DA8">
              <w:rPr>
                <w:rFonts w:ascii="Verdana" w:hAnsi="Verdana" w:cs="Times New Roman"/>
                <w:sz w:val="16"/>
                <w:szCs w:val="16"/>
                <w:lang w:val="en-US"/>
              </w:rPr>
              <w:t>those articles whose interior height does not exceed 25 mm, measured from the lowest point of the bottom of the piece to the horizontal plane that passes through the upper edges. These are pieces such as plates, platters and others. They can have the capacity of a small hollow part or a large hollow part.</w:t>
            </w:r>
          </w:p>
        </w:tc>
      </w:tr>
      <w:tr w:rsidR="00AD24E9" w:rsidRPr="00AD24E9" w14:paraId="02563C21" w14:textId="00A22EA9" w:rsidTr="00B37C12">
        <w:tc>
          <w:tcPr>
            <w:tcW w:w="4788" w:type="dxa"/>
          </w:tcPr>
          <w:p w14:paraId="2152D8DC"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3.12 Piezas sueltas:</w:t>
            </w:r>
            <w:r w:rsidRPr="006F11F4">
              <w:rPr>
                <w:rFonts w:ascii="Verdana" w:hAnsi="Verdana"/>
                <w:sz w:val="16"/>
                <w:szCs w:val="16"/>
                <w:lang w:eastAsia="es-MX"/>
              </w:rPr>
              <w:t xml:space="preserve"> a los artículos variados, elaborados de cerámica, barro o vidrio, destinados a servir o contener, procesar o almacenar alimentos o bebidas, que no necesariamente forman parte de una vajilla y que se comercializan individualmente (tarros para café, juegos de aceitera y vinagrera, moldes de cerámica, refractarios, jarros, salseras, ollas, cacerolas, jarras, tazones, vasos, etc.).</w:t>
            </w:r>
          </w:p>
        </w:tc>
        <w:tc>
          <w:tcPr>
            <w:tcW w:w="4788" w:type="dxa"/>
          </w:tcPr>
          <w:p w14:paraId="68E4C2DD" w14:textId="5665AA32"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3.12 Loose pieces: </w:t>
            </w:r>
            <w:r w:rsidRPr="00A96DA8">
              <w:rPr>
                <w:rFonts w:ascii="Verdana" w:hAnsi="Verdana" w:cs="Times New Roman"/>
                <w:sz w:val="16"/>
                <w:szCs w:val="16"/>
                <w:lang w:val="en-US"/>
              </w:rPr>
              <w:t>to various articles, made of ceramic, clay or glass, intended to serve or contain, process or store food or beverages, which are not necessarily part of a tableware and which are sold individually (coffee jars, sets of oil can and cruet, ceramic molds, refractories, jugs, sauce pans, pots, pans, jugs, bowls, glasses, etc.).</w:t>
            </w:r>
          </w:p>
        </w:tc>
      </w:tr>
      <w:tr w:rsidR="00AD24E9" w:rsidRPr="00AD24E9" w14:paraId="517725E1" w14:textId="2B147E57" w:rsidTr="00B37C12">
        <w:tc>
          <w:tcPr>
            <w:tcW w:w="4788" w:type="dxa"/>
          </w:tcPr>
          <w:p w14:paraId="414D670D"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3.13 Procedencia:</w:t>
            </w:r>
            <w:r w:rsidRPr="006F11F4">
              <w:rPr>
                <w:rFonts w:ascii="Verdana" w:hAnsi="Verdana"/>
                <w:sz w:val="16"/>
                <w:szCs w:val="16"/>
                <w:lang w:eastAsia="es-MX"/>
              </w:rPr>
              <w:t xml:space="preserve"> a las piezas de alfarería, cerámica o vidrio que son, de importación o producción nacional.</w:t>
            </w:r>
          </w:p>
        </w:tc>
        <w:tc>
          <w:tcPr>
            <w:tcW w:w="4788" w:type="dxa"/>
          </w:tcPr>
          <w:p w14:paraId="4C3F9DAE" w14:textId="153F15BC" w:rsidR="00AD24E9" w:rsidRPr="00AD24E9" w:rsidRDefault="00AD24E9" w:rsidP="00AD24E9">
            <w:pPr>
              <w:pStyle w:val="Texto"/>
              <w:spacing w:line="218"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3.13 Origin: </w:t>
            </w:r>
            <w:r w:rsidRPr="00A96DA8">
              <w:rPr>
                <w:rFonts w:ascii="Verdana" w:hAnsi="Verdana" w:cs="Times New Roman"/>
                <w:sz w:val="16"/>
                <w:szCs w:val="16"/>
                <w:lang w:val="en-US"/>
              </w:rPr>
              <w:t>to pieces of pottery, ceramics or glass that are imported or nationally produced.</w:t>
            </w:r>
          </w:p>
        </w:tc>
      </w:tr>
      <w:tr w:rsidR="00AD24E9" w:rsidRPr="006F11F4" w14:paraId="6F6D5709" w14:textId="3F910064" w:rsidTr="00B37C12">
        <w:tc>
          <w:tcPr>
            <w:tcW w:w="4788" w:type="dxa"/>
          </w:tcPr>
          <w:p w14:paraId="62F51682" w14:textId="77777777" w:rsidR="00AD24E9" w:rsidRPr="006F11F4" w:rsidRDefault="00AD24E9" w:rsidP="00AD24E9">
            <w:pPr>
              <w:pStyle w:val="Texto"/>
              <w:spacing w:line="218" w:lineRule="exact"/>
              <w:ind w:firstLine="0"/>
              <w:rPr>
                <w:rFonts w:ascii="Verdana" w:hAnsi="Verdana"/>
                <w:sz w:val="16"/>
                <w:szCs w:val="16"/>
                <w:lang w:eastAsia="es-MX"/>
              </w:rPr>
            </w:pPr>
            <w:r w:rsidRPr="006F11F4">
              <w:rPr>
                <w:rFonts w:ascii="Verdana" w:hAnsi="Verdana"/>
                <w:b/>
                <w:sz w:val="16"/>
                <w:szCs w:val="16"/>
                <w:lang w:eastAsia="es-MX"/>
              </w:rPr>
              <w:t>3.14 Recubrimiento:</w:t>
            </w:r>
            <w:r w:rsidRPr="006F11F4">
              <w:rPr>
                <w:rFonts w:ascii="Verdana" w:hAnsi="Verdana"/>
                <w:sz w:val="16"/>
                <w:szCs w:val="16"/>
                <w:lang w:eastAsia="es-MX"/>
              </w:rPr>
              <w:t xml:space="preserve"> a los estabilizadores y agentes de suspensión, para obtener una película protectora con un punto de maduración a diferentes temperaturas. Suele aplicarse en forma de suspensión acuosa por inmersión o atomización para que la capa sea uniforme. Los vidriados son el producto de la combinación de materias inorgánicas como materiales fundentes o fritas, estabilizados mediante un previo diseño de la mezcla de materiales fundentes o fritas, Usualmente se muestran los artículos cerámicos con vidriados brillantes o mates, siendo los primeros transparentes u opacos; ambos se presentan incoloros, blancos o coloreados. Se le conoce también como "barniz".</w:t>
            </w:r>
          </w:p>
        </w:tc>
        <w:tc>
          <w:tcPr>
            <w:tcW w:w="4788" w:type="dxa"/>
          </w:tcPr>
          <w:p w14:paraId="38C8D08C" w14:textId="30319168" w:rsidR="00AD24E9" w:rsidRPr="00AA2282" w:rsidRDefault="00AD24E9" w:rsidP="00AD24E9">
            <w:pPr>
              <w:pStyle w:val="Texto"/>
              <w:spacing w:line="218" w:lineRule="exact"/>
              <w:ind w:firstLine="0"/>
              <w:rPr>
                <w:rFonts w:ascii="Verdana" w:hAnsi="Verdana"/>
                <w:b/>
                <w:sz w:val="16"/>
                <w:szCs w:val="16"/>
                <w:lang w:val="en-US" w:eastAsia="es-MX"/>
              </w:rPr>
            </w:pPr>
            <w:r w:rsidRPr="00AA2282">
              <w:rPr>
                <w:rFonts w:ascii="Verdana" w:hAnsi="Verdana" w:cs="Times New Roman"/>
                <w:b/>
                <w:bCs/>
                <w:sz w:val="16"/>
                <w:szCs w:val="16"/>
                <w:lang w:val="en-US"/>
              </w:rPr>
              <w:t xml:space="preserve">3.14 Coating: </w:t>
            </w:r>
            <w:r w:rsidRPr="00AA2282">
              <w:rPr>
                <w:rFonts w:ascii="Verdana" w:hAnsi="Verdana" w:cs="Times New Roman"/>
                <w:sz w:val="16"/>
                <w:szCs w:val="16"/>
                <w:lang w:val="en-US"/>
              </w:rPr>
              <w:t>to stabilizers and suspending agents, to obtain a protective film with a ripening point at different temperatures. It is usually applied in the form of an aqueous suspension by immersion or atomization so that the layer is uniform. The glazes are the product of the combination of inorganic materials such as flux or frit materials, stabilized by means of a previous design of the mixture of flux or frit materials. Ceramic articles with glossy or matt glazes are usually shown, the first being transparent or opaque; both are colorless, white or colored. It is also known as "varnish".</w:t>
            </w:r>
          </w:p>
        </w:tc>
      </w:tr>
      <w:tr w:rsidR="00AD24E9" w:rsidRPr="00AD24E9" w14:paraId="2C413E81" w14:textId="0AF56AFF" w:rsidTr="00B37C12">
        <w:tc>
          <w:tcPr>
            <w:tcW w:w="4788" w:type="dxa"/>
          </w:tcPr>
          <w:p w14:paraId="50B0DDFE"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lastRenderedPageBreak/>
              <w:t>3.15. Responsable del producto:</w:t>
            </w:r>
            <w:r w:rsidRPr="006F11F4">
              <w:rPr>
                <w:rFonts w:ascii="Verdana" w:hAnsi="Verdana"/>
                <w:sz w:val="16"/>
                <w:szCs w:val="16"/>
                <w:lang w:eastAsia="es-MX"/>
              </w:rPr>
              <w:t xml:space="preserve"> a la persona física o moral, fabricante, decorador, distribuidor, comercializador o importador.</w:t>
            </w:r>
          </w:p>
        </w:tc>
        <w:tc>
          <w:tcPr>
            <w:tcW w:w="4788" w:type="dxa"/>
          </w:tcPr>
          <w:p w14:paraId="04166DD7" w14:textId="7A62B8D3" w:rsidR="00AD24E9" w:rsidRPr="00AA2282" w:rsidRDefault="00AD24E9" w:rsidP="00AD24E9">
            <w:pPr>
              <w:pStyle w:val="Texto"/>
              <w:spacing w:line="212" w:lineRule="exact"/>
              <w:ind w:firstLine="0"/>
              <w:rPr>
                <w:rFonts w:ascii="Verdana" w:hAnsi="Verdana"/>
                <w:b/>
                <w:sz w:val="16"/>
                <w:szCs w:val="16"/>
                <w:lang w:val="en-US" w:eastAsia="es-MX"/>
              </w:rPr>
            </w:pPr>
            <w:r w:rsidRPr="00AA2282">
              <w:rPr>
                <w:rFonts w:ascii="Verdana" w:hAnsi="Verdana" w:cs="Times New Roman"/>
                <w:b/>
                <w:bCs/>
                <w:sz w:val="16"/>
                <w:szCs w:val="16"/>
                <w:lang w:val="en-US"/>
              </w:rPr>
              <w:t xml:space="preserve">3.15. Responsible for the product: </w:t>
            </w:r>
            <w:r w:rsidRPr="00AA2282">
              <w:rPr>
                <w:rFonts w:ascii="Verdana" w:hAnsi="Verdana" w:cs="Times New Roman"/>
                <w:sz w:val="16"/>
                <w:szCs w:val="16"/>
                <w:lang w:val="en-US"/>
              </w:rPr>
              <w:t xml:space="preserve">the </w:t>
            </w:r>
            <w:r w:rsidR="00AA2282">
              <w:rPr>
                <w:rFonts w:ascii="Verdana" w:hAnsi="Verdana" w:cs="Times New Roman"/>
                <w:sz w:val="16"/>
                <w:szCs w:val="16"/>
                <w:lang w:val="en-US"/>
              </w:rPr>
              <w:t>individual or company</w:t>
            </w:r>
            <w:r w:rsidRPr="00AA2282">
              <w:rPr>
                <w:rFonts w:ascii="Verdana" w:hAnsi="Verdana" w:cs="Times New Roman"/>
                <w:sz w:val="16"/>
                <w:szCs w:val="16"/>
                <w:lang w:val="en-US"/>
              </w:rPr>
              <w:t>, manufacturer, decorator, distributor, marketer or importer.</w:t>
            </w:r>
          </w:p>
        </w:tc>
      </w:tr>
      <w:tr w:rsidR="00AD24E9" w:rsidRPr="006F11F4" w14:paraId="6533F706" w14:textId="6B80833B" w:rsidTr="00B37C12">
        <w:tc>
          <w:tcPr>
            <w:tcW w:w="4788" w:type="dxa"/>
          </w:tcPr>
          <w:p w14:paraId="5E079D8C"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3.16 Tazas y tarros:</w:t>
            </w:r>
            <w:r w:rsidRPr="006F11F4">
              <w:rPr>
                <w:rFonts w:ascii="Verdana" w:hAnsi="Verdana"/>
                <w:sz w:val="16"/>
                <w:szCs w:val="16"/>
                <w:lang w:eastAsia="es-MX"/>
              </w:rPr>
              <w:t xml:space="preserve"> las piezas huecas pequeñas comúnmente usadas en el consumo de bebidas, como café o té a elevadas temperaturas, son vasijas con asa. Las tazas generalmente tienen lados curveados y los tarros tienen lados cilíndricos. Generalmente se ubican en las piezas huecas pequeñas.</w:t>
            </w:r>
          </w:p>
        </w:tc>
        <w:tc>
          <w:tcPr>
            <w:tcW w:w="4788" w:type="dxa"/>
          </w:tcPr>
          <w:p w14:paraId="3C375C21" w14:textId="4B8EAA10" w:rsidR="00AD24E9" w:rsidRPr="00AA2282" w:rsidRDefault="00AD24E9" w:rsidP="00AD24E9">
            <w:pPr>
              <w:pStyle w:val="Texto"/>
              <w:spacing w:line="212" w:lineRule="exact"/>
              <w:ind w:firstLine="0"/>
              <w:rPr>
                <w:rFonts w:ascii="Verdana" w:hAnsi="Verdana"/>
                <w:b/>
                <w:sz w:val="16"/>
                <w:szCs w:val="16"/>
                <w:lang w:val="en-US" w:eastAsia="es-MX"/>
              </w:rPr>
            </w:pPr>
            <w:r w:rsidRPr="00AA2282">
              <w:rPr>
                <w:rFonts w:ascii="Verdana" w:hAnsi="Verdana" w:cs="Times New Roman"/>
                <w:b/>
                <w:bCs/>
                <w:sz w:val="16"/>
                <w:szCs w:val="16"/>
                <w:lang w:val="en-US"/>
              </w:rPr>
              <w:t xml:space="preserve">3.16 Cups and jars: </w:t>
            </w:r>
            <w:r w:rsidRPr="00AA2282">
              <w:rPr>
                <w:rFonts w:ascii="Verdana" w:hAnsi="Verdana" w:cs="Times New Roman"/>
                <w:sz w:val="16"/>
                <w:szCs w:val="16"/>
                <w:lang w:val="en-US"/>
              </w:rPr>
              <w:t>the small hollow pieces commonly used in the consumption of beverages, such as coffee or tea at high temperatures, are pots with a handle. Cups generally have curved sides and jars have cylindrical sides. They are generally located in the small hollow parts.</w:t>
            </w:r>
          </w:p>
        </w:tc>
      </w:tr>
      <w:tr w:rsidR="00AD24E9" w:rsidRPr="00AD24E9" w14:paraId="16BF9477" w14:textId="32D634D5" w:rsidTr="00B37C12">
        <w:tc>
          <w:tcPr>
            <w:tcW w:w="4788" w:type="dxa"/>
          </w:tcPr>
          <w:p w14:paraId="159881FD"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3.17 Tipo de pieza:</w:t>
            </w:r>
            <w:r w:rsidRPr="006F11F4">
              <w:rPr>
                <w:rFonts w:ascii="Verdana" w:hAnsi="Verdana"/>
                <w:sz w:val="16"/>
                <w:szCs w:val="16"/>
                <w:lang w:eastAsia="es-MX"/>
              </w:rPr>
              <w:t xml:space="preserve"> aquellos elementos que forman un conjunto, que por su diseño, tamaño y capacidad pueden ser clasificadas como piezas planas, piezas huecas, huecas pequeñas o grandes, huecas para almacenar, tazas, tarros, vasos y para procesar alimentos o bebidas.</w:t>
            </w:r>
          </w:p>
        </w:tc>
        <w:tc>
          <w:tcPr>
            <w:tcW w:w="4788" w:type="dxa"/>
          </w:tcPr>
          <w:p w14:paraId="5EB596DC" w14:textId="3859725C" w:rsidR="00AD24E9" w:rsidRPr="00AA2282" w:rsidRDefault="00AD24E9" w:rsidP="00AD24E9">
            <w:pPr>
              <w:pStyle w:val="Texto"/>
              <w:spacing w:line="212" w:lineRule="exact"/>
              <w:ind w:firstLine="0"/>
              <w:rPr>
                <w:rFonts w:ascii="Verdana" w:hAnsi="Verdana"/>
                <w:b/>
                <w:sz w:val="16"/>
                <w:szCs w:val="16"/>
                <w:lang w:val="en-US" w:eastAsia="es-MX"/>
              </w:rPr>
            </w:pPr>
            <w:r w:rsidRPr="00AA2282">
              <w:rPr>
                <w:rFonts w:ascii="Verdana" w:hAnsi="Verdana" w:cs="Times New Roman"/>
                <w:b/>
                <w:bCs/>
                <w:sz w:val="16"/>
                <w:szCs w:val="16"/>
                <w:lang w:val="en-US"/>
              </w:rPr>
              <w:t xml:space="preserve">3.17 Type of piece: </w:t>
            </w:r>
            <w:r w:rsidRPr="00AA2282">
              <w:rPr>
                <w:rFonts w:ascii="Verdana" w:hAnsi="Verdana" w:cs="Times New Roman"/>
                <w:sz w:val="16"/>
                <w:szCs w:val="16"/>
                <w:lang w:val="en-US"/>
              </w:rPr>
              <w:t>those elements that make up a set, which due to their design, size and capacity can be classified as flat pieces, hollow pieces, small or large hollow parts, hollow for storage, cups, jars, glasses and for processing food or beverages.</w:t>
            </w:r>
          </w:p>
        </w:tc>
      </w:tr>
      <w:tr w:rsidR="00AD24E9" w:rsidRPr="00AD24E9" w14:paraId="361BAD8E" w14:textId="77695AB3" w:rsidTr="00B37C12">
        <w:tc>
          <w:tcPr>
            <w:tcW w:w="4788" w:type="dxa"/>
          </w:tcPr>
          <w:p w14:paraId="4EAF4CA1"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3.18 Tipo de producción:</w:t>
            </w:r>
            <w:r w:rsidRPr="006F11F4">
              <w:rPr>
                <w:rFonts w:ascii="Verdana" w:hAnsi="Verdana"/>
                <w:sz w:val="16"/>
                <w:szCs w:val="16"/>
                <w:lang w:eastAsia="es-MX"/>
              </w:rPr>
              <w:t xml:space="preserve"> a los siguientes tipos de fabricación de alfarería, cerámica, porcelana y vidrio:</w:t>
            </w:r>
          </w:p>
        </w:tc>
        <w:tc>
          <w:tcPr>
            <w:tcW w:w="4788" w:type="dxa"/>
          </w:tcPr>
          <w:p w14:paraId="1FC96AA2" w14:textId="2ECBBE23" w:rsidR="00AD24E9" w:rsidRPr="00AD24E9" w:rsidRDefault="00AD24E9" w:rsidP="00AD24E9">
            <w:pPr>
              <w:pStyle w:val="Texto"/>
              <w:spacing w:line="212"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3.18 Type of production: </w:t>
            </w:r>
            <w:r w:rsidRPr="00A96DA8">
              <w:rPr>
                <w:rFonts w:ascii="Verdana" w:hAnsi="Verdana" w:cs="Times New Roman"/>
                <w:sz w:val="16"/>
                <w:szCs w:val="16"/>
                <w:lang w:val="en-US"/>
              </w:rPr>
              <w:t>to the following types of manufacture of pottery, ceramics, porcelain and glass:</w:t>
            </w:r>
          </w:p>
        </w:tc>
      </w:tr>
      <w:tr w:rsidR="00AD24E9" w:rsidRPr="00AD24E9" w14:paraId="0569D2F0" w14:textId="0D0C8805" w:rsidTr="00B37C12">
        <w:tc>
          <w:tcPr>
            <w:tcW w:w="4788" w:type="dxa"/>
          </w:tcPr>
          <w:p w14:paraId="5EDDFE18"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3.18.1</w:t>
            </w:r>
            <w:r w:rsidRPr="006F11F4">
              <w:rPr>
                <w:rFonts w:ascii="Verdana" w:hAnsi="Verdana"/>
                <w:sz w:val="16"/>
                <w:szCs w:val="16"/>
                <w:lang w:eastAsia="es-MX"/>
              </w:rPr>
              <w:t xml:space="preserve"> </w:t>
            </w:r>
            <w:r w:rsidRPr="006F11F4">
              <w:rPr>
                <w:rFonts w:ascii="Verdana" w:hAnsi="Verdana"/>
                <w:b/>
                <w:sz w:val="16"/>
                <w:szCs w:val="16"/>
                <w:lang w:eastAsia="es-MX"/>
              </w:rPr>
              <w:t>Producción de tipo Industrial</w:t>
            </w:r>
            <w:r w:rsidRPr="006F11F4">
              <w:rPr>
                <w:rFonts w:ascii="Verdana" w:hAnsi="Verdana"/>
                <w:sz w:val="16"/>
                <w:szCs w:val="16"/>
                <w:lang w:eastAsia="es-MX"/>
              </w:rPr>
              <w:t>: a la fabricación de piezas de alfarería, cerámica, porcelana y vidrio que se elaboran en grandes cantidades y mediante tecnología avanzada.</w:t>
            </w:r>
          </w:p>
        </w:tc>
        <w:tc>
          <w:tcPr>
            <w:tcW w:w="4788" w:type="dxa"/>
          </w:tcPr>
          <w:p w14:paraId="34CAE003" w14:textId="5A850910" w:rsidR="00AD24E9" w:rsidRPr="00AD24E9" w:rsidRDefault="00AD24E9" w:rsidP="00AD24E9">
            <w:pPr>
              <w:pStyle w:val="Texto"/>
              <w:spacing w:line="212" w:lineRule="exact"/>
              <w:ind w:firstLine="0"/>
              <w:rPr>
                <w:rFonts w:ascii="Verdana" w:hAnsi="Verdana"/>
                <w:b/>
                <w:sz w:val="16"/>
                <w:szCs w:val="16"/>
                <w:lang w:val="en-US" w:eastAsia="es-MX"/>
              </w:rPr>
            </w:pPr>
            <w:r w:rsidRPr="00A96DA8">
              <w:rPr>
                <w:rFonts w:ascii="Verdana" w:hAnsi="Verdana" w:cs="Times New Roman"/>
                <w:b/>
                <w:bCs/>
                <w:sz w:val="16"/>
                <w:szCs w:val="16"/>
                <w:lang w:val="en-US"/>
              </w:rPr>
              <w:t>3.18.1 Industrial-type production</w:t>
            </w:r>
            <w:r w:rsidRPr="00A96DA8">
              <w:rPr>
                <w:rFonts w:ascii="Verdana" w:hAnsi="Verdana" w:cs="Times New Roman"/>
                <w:sz w:val="16"/>
                <w:szCs w:val="16"/>
                <w:lang w:val="en-US"/>
              </w:rPr>
              <w:t xml:space="preserve">: the manufacture of pieces of pottery, ceramics, porcelain and glass that are made in large quantities and using advanced technology. </w:t>
            </w:r>
          </w:p>
        </w:tc>
      </w:tr>
      <w:tr w:rsidR="00AD24E9" w:rsidRPr="00AD24E9" w14:paraId="419AA1AA" w14:textId="6600B5C5" w:rsidTr="00B37C12">
        <w:tc>
          <w:tcPr>
            <w:tcW w:w="4788" w:type="dxa"/>
          </w:tcPr>
          <w:p w14:paraId="47CDEA19"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3.18.2</w:t>
            </w:r>
            <w:r w:rsidRPr="006F11F4">
              <w:rPr>
                <w:rFonts w:ascii="Verdana" w:hAnsi="Verdana"/>
                <w:sz w:val="16"/>
                <w:szCs w:val="16"/>
                <w:lang w:eastAsia="es-MX"/>
              </w:rPr>
              <w:t xml:space="preserve"> </w:t>
            </w:r>
            <w:r w:rsidRPr="006F11F4">
              <w:rPr>
                <w:rFonts w:ascii="Verdana" w:hAnsi="Verdana"/>
                <w:b/>
                <w:sz w:val="16"/>
                <w:szCs w:val="16"/>
                <w:lang w:eastAsia="es-MX"/>
              </w:rPr>
              <w:t>Producción artesanal</w:t>
            </w:r>
            <w:r w:rsidRPr="006F11F4">
              <w:rPr>
                <w:rFonts w:ascii="Verdana" w:hAnsi="Verdana"/>
                <w:sz w:val="16"/>
                <w:szCs w:val="16"/>
                <w:lang w:eastAsia="es-MX"/>
              </w:rPr>
              <w:t>: a la fabricación de piezas de alfarería, cerámica, porcelana y vidrio que se elaboran en pequeñas cantidades y mediante técnicas rústicas.</w:t>
            </w:r>
          </w:p>
        </w:tc>
        <w:tc>
          <w:tcPr>
            <w:tcW w:w="4788" w:type="dxa"/>
          </w:tcPr>
          <w:p w14:paraId="444A28DF" w14:textId="3CB99C41" w:rsidR="00AD24E9" w:rsidRPr="00AD24E9" w:rsidRDefault="00AD24E9" w:rsidP="00AD24E9">
            <w:pPr>
              <w:pStyle w:val="Texto"/>
              <w:spacing w:line="212" w:lineRule="exact"/>
              <w:ind w:firstLine="0"/>
              <w:rPr>
                <w:rFonts w:ascii="Verdana" w:hAnsi="Verdana"/>
                <w:b/>
                <w:sz w:val="16"/>
                <w:szCs w:val="16"/>
                <w:lang w:val="en-US" w:eastAsia="es-MX"/>
              </w:rPr>
            </w:pPr>
            <w:r w:rsidRPr="00A96DA8">
              <w:rPr>
                <w:rFonts w:ascii="Verdana" w:hAnsi="Verdana" w:cs="Times New Roman"/>
                <w:b/>
                <w:bCs/>
                <w:sz w:val="16"/>
                <w:szCs w:val="16"/>
                <w:lang w:val="en-US"/>
              </w:rPr>
              <w:t>3.18.2 Handicraft production</w:t>
            </w:r>
            <w:r w:rsidRPr="00A96DA8">
              <w:rPr>
                <w:rFonts w:ascii="Verdana" w:hAnsi="Verdana" w:cs="Times New Roman"/>
                <w:sz w:val="16"/>
                <w:szCs w:val="16"/>
                <w:lang w:val="en-US"/>
              </w:rPr>
              <w:t xml:space="preserve">: the manufacture of pottery, ceramics, porcelain and glass that are made in small quantities and using rustic techniques. </w:t>
            </w:r>
          </w:p>
        </w:tc>
      </w:tr>
      <w:tr w:rsidR="00AD24E9" w:rsidRPr="00AD24E9" w14:paraId="736DA654" w14:textId="6C0ED8D6" w:rsidTr="00B37C12">
        <w:tc>
          <w:tcPr>
            <w:tcW w:w="4788" w:type="dxa"/>
          </w:tcPr>
          <w:p w14:paraId="6438D5C4"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3.19 Vajilla:</w:t>
            </w:r>
            <w:r w:rsidRPr="006F11F4">
              <w:rPr>
                <w:rFonts w:ascii="Verdana" w:hAnsi="Verdana"/>
                <w:sz w:val="16"/>
                <w:szCs w:val="16"/>
                <w:lang w:eastAsia="es-MX"/>
              </w:rPr>
              <w:t xml:space="preserve"> al conjunto de artículos variados, elaborados de cerámica, barro o vidrio, destinados a preparar, cocinar, servir o almacenar alimentos o bebidas. En principio el término se aplica al conjunto de piezas empleadas en el servicio de mesa, tales como: platos, tazas, fuentes, platones, jarras, vasos y otras. Por extensión se le aplica al grupo de piezas utilizadas en cocina y alacena. Su principal característica es la uniformidad en el concepto decorativo, es decir, el conjunto se presenta relacionado entre sí y sirviendo a un mismo fin, haciendo juego.</w:t>
            </w:r>
          </w:p>
        </w:tc>
        <w:tc>
          <w:tcPr>
            <w:tcW w:w="4788" w:type="dxa"/>
          </w:tcPr>
          <w:p w14:paraId="10A1842E" w14:textId="4BF5A3F2" w:rsidR="00AD24E9" w:rsidRPr="00AD24E9" w:rsidRDefault="00AD24E9" w:rsidP="00AD24E9">
            <w:pPr>
              <w:pStyle w:val="Texto"/>
              <w:spacing w:line="212"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3.19 Tableware: </w:t>
            </w:r>
            <w:r w:rsidRPr="00A96DA8">
              <w:rPr>
                <w:rFonts w:ascii="Verdana" w:hAnsi="Verdana" w:cs="Times New Roman"/>
                <w:sz w:val="16"/>
                <w:szCs w:val="16"/>
                <w:lang w:val="en-US"/>
              </w:rPr>
              <w:t>the set of various articles, made of ceramics, clay or glass, intended to prepare, cook, serve or store food or beverages. In principle, the term is applied to the set of pieces used in table service, such as: plates, cups, dishes, plates, jugs, glasses and others. By extension it is applied to the group of pieces used in the kitchen and pantry. Its main characteristic is the uniformity in the decorative concept, that is, the set is presented related to each other and serving the same purpose, matching.</w:t>
            </w:r>
          </w:p>
        </w:tc>
      </w:tr>
      <w:tr w:rsidR="00AD24E9" w:rsidRPr="00AD24E9" w14:paraId="2BED74BB" w14:textId="1F5884B2" w:rsidTr="00B37C12">
        <w:tc>
          <w:tcPr>
            <w:tcW w:w="4788" w:type="dxa"/>
          </w:tcPr>
          <w:p w14:paraId="5092D475"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3.20 Vajilla abierta:</w:t>
            </w:r>
            <w:r w:rsidRPr="006F11F4">
              <w:rPr>
                <w:rFonts w:ascii="Verdana" w:hAnsi="Verdana"/>
                <w:sz w:val="16"/>
                <w:szCs w:val="16"/>
                <w:lang w:eastAsia="es-MX"/>
              </w:rPr>
              <w:t xml:space="preserve"> a las piezas sueltas de cerámica, barro o vidrio, que pertenecen a un modelo que se comercializa como vajilla cerrada, normalmente se utilizan para reposición de piezas rotas o para aumentar o complementar a una vajilla existente.</w:t>
            </w:r>
          </w:p>
        </w:tc>
        <w:tc>
          <w:tcPr>
            <w:tcW w:w="4788" w:type="dxa"/>
          </w:tcPr>
          <w:p w14:paraId="21E76C0B" w14:textId="299F5AF9" w:rsidR="00AD24E9" w:rsidRPr="00AD24E9" w:rsidRDefault="00AD24E9" w:rsidP="00AD24E9">
            <w:pPr>
              <w:pStyle w:val="Texto"/>
              <w:spacing w:line="212"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3.20 Open crockery: </w:t>
            </w:r>
            <w:r w:rsidRPr="00A96DA8">
              <w:rPr>
                <w:rFonts w:ascii="Verdana" w:hAnsi="Verdana" w:cs="Times New Roman"/>
                <w:sz w:val="16"/>
                <w:szCs w:val="16"/>
                <w:lang w:val="en-US"/>
              </w:rPr>
              <w:t>loose ceramic, earthenware or glass pieces, which belong to a model that is marketed as closed crockery, are normally used to replace broken pieces or to increase or complement an existing crockery.</w:t>
            </w:r>
          </w:p>
        </w:tc>
      </w:tr>
      <w:tr w:rsidR="00AD24E9" w:rsidRPr="00AD24E9" w14:paraId="60404AF9" w14:textId="4628B17F" w:rsidTr="00B37C12">
        <w:tc>
          <w:tcPr>
            <w:tcW w:w="4788" w:type="dxa"/>
          </w:tcPr>
          <w:p w14:paraId="4FA3F6CF"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3.21 Vajilla cerrada:</w:t>
            </w:r>
            <w:r w:rsidRPr="006F11F4">
              <w:rPr>
                <w:rFonts w:ascii="Verdana" w:hAnsi="Verdana"/>
                <w:sz w:val="16"/>
                <w:szCs w:val="16"/>
                <w:lang w:eastAsia="es-MX"/>
              </w:rPr>
              <w:t xml:space="preserve"> al conjunto de artículos variados, elaborados de cerámica, barro o vidrio, destinados a preparar, cocinar, servir o almacenar alimentos o bebidas. En principio el término aplica al conjunto de piezas empleadas en el servicio de mesa, tales como: platos, tazas, fuentes, platones, jarras, vasos y otras. Su principal característica es la uniformidad en el concepto decorativo, es decir, el conjunto se presenta relacionado entre sí y sirviendo a un mismo fin, haciendo juego, se clasifica de acuerdo al número de servicios para el cual está empacada (4, 6, 12, 24 personas por ejemplo).</w:t>
            </w:r>
          </w:p>
        </w:tc>
        <w:tc>
          <w:tcPr>
            <w:tcW w:w="4788" w:type="dxa"/>
          </w:tcPr>
          <w:p w14:paraId="222E2443" w14:textId="652AF16D" w:rsidR="00AD24E9" w:rsidRPr="00AD24E9" w:rsidRDefault="00AD24E9" w:rsidP="00AD24E9">
            <w:pPr>
              <w:pStyle w:val="Texto"/>
              <w:spacing w:line="212"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3.21 Closed tableware: </w:t>
            </w:r>
            <w:r w:rsidRPr="00A96DA8">
              <w:rPr>
                <w:rFonts w:ascii="Verdana" w:hAnsi="Verdana" w:cs="Times New Roman"/>
                <w:sz w:val="16"/>
                <w:szCs w:val="16"/>
                <w:lang w:val="en-US"/>
              </w:rPr>
              <w:t>the set of various articles, made of ceramic, clay or glass, intended to prepare, cook, serve or store food or beverages. In principle, the term applies to the set of pieces used in table service, such as: plates, cups, platters, plates, jugs, glasses and others. Its main characteristic is the uniformity in the decorative concept, that is, the set is presented related to each other and serving the same purpose, matching, it is classified according to the number of services for which it is packed (4, 6, 12</w:t>
            </w:r>
            <w:r w:rsidR="00B746AB">
              <w:rPr>
                <w:rFonts w:ascii="Verdana" w:hAnsi="Verdana" w:cs="Times New Roman"/>
                <w:sz w:val="16"/>
                <w:szCs w:val="16"/>
                <w:lang w:val="en-US"/>
              </w:rPr>
              <w:t>,</w:t>
            </w:r>
            <w:r w:rsidRPr="00A96DA8">
              <w:rPr>
                <w:rFonts w:ascii="Verdana" w:hAnsi="Verdana" w:cs="Times New Roman"/>
                <w:sz w:val="16"/>
                <w:szCs w:val="16"/>
                <w:lang w:val="en-US"/>
              </w:rPr>
              <w:t xml:space="preserve"> 24 people for example).</w:t>
            </w:r>
          </w:p>
        </w:tc>
      </w:tr>
      <w:tr w:rsidR="00AD24E9" w:rsidRPr="00AD24E9" w14:paraId="30F3CB64" w14:textId="5F31F0FC" w:rsidTr="00B37C12">
        <w:tc>
          <w:tcPr>
            <w:tcW w:w="4788" w:type="dxa"/>
          </w:tcPr>
          <w:p w14:paraId="1D892241"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3.22 Vasos:</w:t>
            </w:r>
            <w:r w:rsidRPr="006F11F4">
              <w:rPr>
                <w:rFonts w:ascii="Verdana" w:hAnsi="Verdana"/>
                <w:sz w:val="16"/>
                <w:szCs w:val="16"/>
                <w:lang w:eastAsia="es-MX"/>
              </w:rPr>
              <w:t xml:space="preserve"> a las piezas huecas pequeñas comúnmente de vidrio, usadas en el consumo de bebidas a diferentes temperaturas. Son recipientes de </w:t>
            </w:r>
            <w:r w:rsidRPr="006F11F4">
              <w:rPr>
                <w:rFonts w:ascii="Verdana" w:hAnsi="Verdana"/>
                <w:sz w:val="16"/>
                <w:szCs w:val="16"/>
                <w:lang w:eastAsia="es-MX"/>
              </w:rPr>
              <w:lastRenderedPageBreak/>
              <w:t>volúmenes variados, pueden ser lisos, grabados, de color, decorados y sin decorar.</w:t>
            </w:r>
          </w:p>
        </w:tc>
        <w:tc>
          <w:tcPr>
            <w:tcW w:w="4788" w:type="dxa"/>
          </w:tcPr>
          <w:p w14:paraId="19F6DACD" w14:textId="6753EA55" w:rsidR="00AD24E9" w:rsidRPr="00AD24E9" w:rsidRDefault="00AD24E9" w:rsidP="00AD24E9">
            <w:pPr>
              <w:pStyle w:val="Texto"/>
              <w:spacing w:line="212" w:lineRule="exact"/>
              <w:ind w:firstLine="0"/>
              <w:rPr>
                <w:rFonts w:ascii="Verdana" w:hAnsi="Verdana"/>
                <w:b/>
                <w:sz w:val="16"/>
                <w:szCs w:val="16"/>
                <w:lang w:val="en-US" w:eastAsia="es-MX"/>
              </w:rPr>
            </w:pPr>
            <w:r w:rsidRPr="00A96DA8">
              <w:rPr>
                <w:rFonts w:ascii="Verdana" w:hAnsi="Verdana" w:cs="Times New Roman"/>
                <w:b/>
                <w:bCs/>
                <w:sz w:val="16"/>
                <w:szCs w:val="16"/>
                <w:lang w:val="en-US"/>
              </w:rPr>
              <w:lastRenderedPageBreak/>
              <w:t xml:space="preserve">3.22 Glasses: </w:t>
            </w:r>
            <w:r w:rsidRPr="00A96DA8">
              <w:rPr>
                <w:rFonts w:ascii="Verdana" w:hAnsi="Verdana" w:cs="Times New Roman"/>
                <w:sz w:val="16"/>
                <w:szCs w:val="16"/>
                <w:lang w:val="en-US"/>
              </w:rPr>
              <w:t xml:space="preserve">to the small hollow pieces commonly made of glass, used in the consumption of beverages at different temperatures. They are containers of varied </w:t>
            </w:r>
            <w:r w:rsidRPr="00A96DA8">
              <w:rPr>
                <w:rFonts w:ascii="Verdana" w:hAnsi="Verdana" w:cs="Times New Roman"/>
                <w:sz w:val="16"/>
                <w:szCs w:val="16"/>
                <w:lang w:val="en-US"/>
              </w:rPr>
              <w:lastRenderedPageBreak/>
              <w:t>volumes, they can be smooth, engraved, colored, decorated and undecorated.</w:t>
            </w:r>
          </w:p>
        </w:tc>
      </w:tr>
      <w:tr w:rsidR="00AD24E9" w:rsidRPr="00AD24E9" w14:paraId="7471A47E" w14:textId="2E34A97D" w:rsidTr="00B37C12">
        <w:tc>
          <w:tcPr>
            <w:tcW w:w="4788" w:type="dxa"/>
          </w:tcPr>
          <w:p w14:paraId="13CE8283"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lastRenderedPageBreak/>
              <w:t>3.23 Vidrio:</w:t>
            </w:r>
            <w:r w:rsidRPr="006F11F4">
              <w:rPr>
                <w:rFonts w:ascii="Verdana" w:hAnsi="Verdana"/>
                <w:sz w:val="16"/>
                <w:szCs w:val="16"/>
                <w:lang w:eastAsia="es-MX"/>
              </w:rPr>
              <w:t xml:space="preserve"> al material inorgánico, no metálico, producido mediante la fusión completa de materias primas a altas temperaturas, hasta lograr un líquido homogéneo, el cual se enfría posteriormente hasta alcanzar una condición rígida, esencialmente, sin llegar a la cristalización.</w:t>
            </w:r>
          </w:p>
        </w:tc>
        <w:tc>
          <w:tcPr>
            <w:tcW w:w="4788" w:type="dxa"/>
          </w:tcPr>
          <w:p w14:paraId="3556F109" w14:textId="7F5A1F03" w:rsidR="00AD24E9" w:rsidRPr="00AD24E9" w:rsidRDefault="00AD24E9" w:rsidP="00AD24E9">
            <w:pPr>
              <w:pStyle w:val="Texto"/>
              <w:spacing w:line="212" w:lineRule="exact"/>
              <w:ind w:firstLine="0"/>
              <w:rPr>
                <w:rFonts w:ascii="Verdana" w:hAnsi="Verdana"/>
                <w:b/>
                <w:sz w:val="16"/>
                <w:szCs w:val="16"/>
                <w:lang w:val="en-US" w:eastAsia="es-MX"/>
              </w:rPr>
            </w:pPr>
            <w:r w:rsidRPr="00A96DA8">
              <w:rPr>
                <w:rFonts w:ascii="Verdana" w:hAnsi="Verdana" w:cs="Times New Roman"/>
                <w:b/>
                <w:bCs/>
                <w:sz w:val="16"/>
                <w:szCs w:val="16"/>
                <w:lang w:val="en-US"/>
              </w:rPr>
              <w:t xml:space="preserve">3.23 Glass: </w:t>
            </w:r>
            <w:r w:rsidR="00B746AB" w:rsidRPr="00B746AB">
              <w:rPr>
                <w:rFonts w:ascii="Verdana" w:hAnsi="Verdana" w:cs="Times New Roman"/>
                <w:sz w:val="16"/>
                <w:szCs w:val="16"/>
                <w:lang w:val="en-US"/>
              </w:rPr>
              <w:t>the</w:t>
            </w:r>
            <w:r w:rsidRPr="00A96DA8">
              <w:rPr>
                <w:rFonts w:ascii="Verdana" w:hAnsi="Verdana" w:cs="Times New Roman"/>
                <w:b/>
                <w:bCs/>
                <w:sz w:val="16"/>
                <w:szCs w:val="16"/>
                <w:lang w:val="en-US"/>
              </w:rPr>
              <w:t xml:space="preserve"> </w:t>
            </w:r>
            <w:r w:rsidRPr="00A96DA8">
              <w:rPr>
                <w:rFonts w:ascii="Verdana" w:hAnsi="Verdana" w:cs="Times New Roman"/>
                <w:sz w:val="16"/>
                <w:szCs w:val="16"/>
                <w:lang w:val="en-US"/>
              </w:rPr>
              <w:t>inorganic, non-metallic material, produced by completely melting raw materials at high temperatures, until a homogeneous liquid is achieved, which is subsequently cooled until reaching a rigid condition, essentially without crystallization.</w:t>
            </w:r>
          </w:p>
        </w:tc>
      </w:tr>
      <w:tr w:rsidR="00AD24E9" w:rsidRPr="006F11F4" w14:paraId="5EF6BAF3" w14:textId="6369AAD4" w:rsidTr="00B37C12">
        <w:tc>
          <w:tcPr>
            <w:tcW w:w="4788" w:type="dxa"/>
          </w:tcPr>
          <w:p w14:paraId="46C06BDC"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 Símbolos y términos abreviados</w:t>
            </w:r>
          </w:p>
        </w:tc>
        <w:tc>
          <w:tcPr>
            <w:tcW w:w="4788" w:type="dxa"/>
          </w:tcPr>
          <w:p w14:paraId="67CB6892" w14:textId="6D47FAE3"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4. Symbols and abbreviated terms</w:t>
            </w:r>
          </w:p>
        </w:tc>
      </w:tr>
      <w:tr w:rsidR="00AD24E9" w:rsidRPr="00AD24E9" w14:paraId="4BEA8E1C" w14:textId="017795EA" w:rsidTr="00B37C12">
        <w:tc>
          <w:tcPr>
            <w:tcW w:w="4788" w:type="dxa"/>
          </w:tcPr>
          <w:p w14:paraId="3A6EE8ED"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sz w:val="16"/>
                <w:szCs w:val="16"/>
                <w:lang w:eastAsia="es-MX"/>
              </w:rPr>
              <w:t>Cuando en esta Norma se haga referencia a los siguientes símbolos y abreviaturas se entiende por:</w:t>
            </w:r>
          </w:p>
        </w:tc>
        <w:tc>
          <w:tcPr>
            <w:tcW w:w="4788" w:type="dxa"/>
          </w:tcPr>
          <w:p w14:paraId="63BEE28F" w14:textId="7D70D8E9" w:rsidR="00AD24E9" w:rsidRPr="00B746AB" w:rsidRDefault="00AD24E9" w:rsidP="00AD24E9">
            <w:pPr>
              <w:pStyle w:val="Texto"/>
              <w:spacing w:line="212" w:lineRule="exact"/>
              <w:ind w:firstLine="0"/>
              <w:rPr>
                <w:rFonts w:ascii="Verdana" w:hAnsi="Verdana"/>
                <w:sz w:val="16"/>
                <w:szCs w:val="16"/>
                <w:lang w:val="en-US" w:eastAsia="es-MX"/>
              </w:rPr>
            </w:pPr>
            <w:r w:rsidRPr="00B746AB">
              <w:rPr>
                <w:rFonts w:ascii="Verdana" w:hAnsi="Verdana" w:cs="Times New Roman"/>
                <w:sz w:val="16"/>
                <w:szCs w:val="16"/>
                <w:lang w:val="en-US"/>
              </w:rPr>
              <w:t>When this Standard refers to the following symbols and abbreviations, it is understood by:</w:t>
            </w:r>
          </w:p>
        </w:tc>
      </w:tr>
      <w:tr w:rsidR="00AD24E9" w:rsidRPr="006F11F4" w14:paraId="302B7D15" w14:textId="2D067CC4" w:rsidTr="00B37C12">
        <w:tc>
          <w:tcPr>
            <w:tcW w:w="4788" w:type="dxa"/>
          </w:tcPr>
          <w:p w14:paraId="005AA2FD"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4.1</w:t>
            </w:r>
            <w:r w:rsidRPr="006F11F4">
              <w:rPr>
                <w:rFonts w:ascii="Verdana" w:hAnsi="Verdana"/>
                <w:sz w:val="16"/>
                <w:szCs w:val="16"/>
                <w:lang w:eastAsia="es-MX"/>
              </w:rPr>
              <w:t xml:space="preserve"> Cd</w:t>
            </w:r>
            <w:r w:rsidRPr="006F11F4">
              <w:rPr>
                <w:rFonts w:ascii="Verdana" w:hAnsi="Verdana"/>
                <w:sz w:val="16"/>
                <w:szCs w:val="16"/>
                <w:lang w:eastAsia="es-MX"/>
              </w:rPr>
              <w:tab/>
              <w:t>Cadmio</w:t>
            </w:r>
          </w:p>
        </w:tc>
        <w:tc>
          <w:tcPr>
            <w:tcW w:w="4788" w:type="dxa"/>
          </w:tcPr>
          <w:p w14:paraId="6CED30F5" w14:textId="6D3E6BFC"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4.1 </w:t>
            </w:r>
            <w:r w:rsidRPr="00B746AB">
              <w:rPr>
                <w:rFonts w:ascii="Verdana" w:hAnsi="Verdana" w:cs="Times New Roman"/>
                <w:sz w:val="16"/>
                <w:szCs w:val="16"/>
                <w:lang w:val="en-US"/>
              </w:rPr>
              <w:t xml:space="preserve">Cd Cadmium              </w:t>
            </w:r>
          </w:p>
        </w:tc>
      </w:tr>
      <w:tr w:rsidR="00AD24E9" w:rsidRPr="006F11F4" w14:paraId="7DDDDEAD" w14:textId="627C2B53" w:rsidTr="00B37C12">
        <w:tc>
          <w:tcPr>
            <w:tcW w:w="4788" w:type="dxa"/>
          </w:tcPr>
          <w:p w14:paraId="0F6A58D0"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4.2</w:t>
            </w:r>
            <w:r w:rsidRPr="006F11F4">
              <w:rPr>
                <w:rFonts w:ascii="Verdana" w:hAnsi="Verdana"/>
                <w:sz w:val="16"/>
                <w:szCs w:val="16"/>
                <w:lang w:eastAsia="es-MX"/>
              </w:rPr>
              <w:t xml:space="preserve"> l, L</w:t>
            </w:r>
            <w:r w:rsidRPr="006F11F4">
              <w:rPr>
                <w:rFonts w:ascii="Verdana" w:hAnsi="Verdana"/>
                <w:sz w:val="16"/>
                <w:szCs w:val="16"/>
                <w:lang w:eastAsia="es-MX"/>
              </w:rPr>
              <w:tab/>
              <w:t>litro</w:t>
            </w:r>
          </w:p>
        </w:tc>
        <w:tc>
          <w:tcPr>
            <w:tcW w:w="4788" w:type="dxa"/>
          </w:tcPr>
          <w:p w14:paraId="509706F6" w14:textId="0EC1A0CE"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4.2 </w:t>
            </w:r>
            <w:r w:rsidRPr="00B746AB">
              <w:rPr>
                <w:rFonts w:ascii="Verdana" w:hAnsi="Verdana" w:cs="Times New Roman"/>
                <w:sz w:val="16"/>
                <w:szCs w:val="16"/>
                <w:lang w:val="en-US"/>
              </w:rPr>
              <w:t xml:space="preserve">l, L liter              </w:t>
            </w:r>
          </w:p>
        </w:tc>
      </w:tr>
      <w:tr w:rsidR="00AD24E9" w:rsidRPr="00AD24E9" w14:paraId="0348F694" w14:textId="4CF2F637" w:rsidTr="00B37C12">
        <w:tc>
          <w:tcPr>
            <w:tcW w:w="4788" w:type="dxa"/>
          </w:tcPr>
          <w:p w14:paraId="43B49F1D"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4.3</w:t>
            </w:r>
            <w:r w:rsidRPr="006F11F4">
              <w:rPr>
                <w:rFonts w:ascii="Verdana" w:hAnsi="Verdana"/>
                <w:sz w:val="16"/>
                <w:szCs w:val="16"/>
                <w:lang w:eastAsia="es-MX"/>
              </w:rPr>
              <w:t xml:space="preserve"> mg/l, mg/L</w:t>
            </w:r>
            <w:r w:rsidRPr="006F11F4">
              <w:rPr>
                <w:rFonts w:ascii="Verdana" w:hAnsi="Verdana"/>
                <w:sz w:val="16"/>
                <w:szCs w:val="16"/>
                <w:lang w:eastAsia="es-MX"/>
              </w:rPr>
              <w:tab/>
              <w:t>miligramo por litro</w:t>
            </w:r>
          </w:p>
        </w:tc>
        <w:tc>
          <w:tcPr>
            <w:tcW w:w="4788" w:type="dxa"/>
          </w:tcPr>
          <w:p w14:paraId="1FDC7692" w14:textId="628D6EC1"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4.3 </w:t>
            </w:r>
            <w:r w:rsidRPr="00B746AB">
              <w:rPr>
                <w:rFonts w:ascii="Verdana" w:hAnsi="Verdana" w:cs="Times New Roman"/>
                <w:sz w:val="16"/>
                <w:szCs w:val="16"/>
                <w:lang w:val="en-US"/>
              </w:rPr>
              <w:t xml:space="preserve">mg/l, mg/L milligram per liter              </w:t>
            </w:r>
          </w:p>
        </w:tc>
      </w:tr>
      <w:tr w:rsidR="00AD24E9" w:rsidRPr="006F11F4" w14:paraId="1E4BB381" w14:textId="67BD89AA" w:rsidTr="00B37C12">
        <w:tc>
          <w:tcPr>
            <w:tcW w:w="4788" w:type="dxa"/>
          </w:tcPr>
          <w:p w14:paraId="2128337B"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4.4</w:t>
            </w:r>
            <w:r w:rsidRPr="006F11F4">
              <w:rPr>
                <w:rFonts w:ascii="Verdana" w:hAnsi="Verdana"/>
                <w:sz w:val="16"/>
                <w:szCs w:val="16"/>
                <w:lang w:eastAsia="es-MX"/>
              </w:rPr>
              <w:t xml:space="preserve"> ml, </w:t>
            </w:r>
            <w:proofErr w:type="spellStart"/>
            <w:r w:rsidRPr="006F11F4">
              <w:rPr>
                <w:rFonts w:ascii="Verdana" w:hAnsi="Verdana"/>
                <w:sz w:val="16"/>
                <w:szCs w:val="16"/>
                <w:lang w:eastAsia="es-MX"/>
              </w:rPr>
              <w:t>mL</w:t>
            </w:r>
            <w:proofErr w:type="spellEnd"/>
            <w:r w:rsidRPr="006F11F4">
              <w:rPr>
                <w:rFonts w:ascii="Verdana" w:hAnsi="Verdana"/>
                <w:sz w:val="16"/>
                <w:szCs w:val="16"/>
                <w:lang w:eastAsia="es-MX"/>
              </w:rPr>
              <w:tab/>
              <w:t>mililitro</w:t>
            </w:r>
          </w:p>
        </w:tc>
        <w:tc>
          <w:tcPr>
            <w:tcW w:w="4788" w:type="dxa"/>
          </w:tcPr>
          <w:p w14:paraId="6D573BA9" w14:textId="5B213456"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4.4 </w:t>
            </w:r>
            <w:r w:rsidRPr="00B746AB">
              <w:rPr>
                <w:rFonts w:ascii="Verdana" w:hAnsi="Verdana" w:cs="Times New Roman"/>
                <w:sz w:val="16"/>
                <w:szCs w:val="16"/>
                <w:lang w:val="en-US"/>
              </w:rPr>
              <w:t xml:space="preserve">ml, mL milliliter              </w:t>
            </w:r>
          </w:p>
        </w:tc>
      </w:tr>
      <w:tr w:rsidR="00AD24E9" w:rsidRPr="006F11F4" w14:paraId="731E3045" w14:textId="4698BABB" w:rsidTr="00B37C12">
        <w:tc>
          <w:tcPr>
            <w:tcW w:w="4788" w:type="dxa"/>
          </w:tcPr>
          <w:p w14:paraId="593220B9"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4.5</w:t>
            </w:r>
            <w:r w:rsidRPr="006F11F4">
              <w:rPr>
                <w:rFonts w:ascii="Verdana" w:hAnsi="Verdana"/>
                <w:sz w:val="16"/>
                <w:szCs w:val="16"/>
                <w:lang w:eastAsia="es-MX"/>
              </w:rPr>
              <w:t xml:space="preserve"> mm</w:t>
            </w:r>
            <w:r w:rsidRPr="006F11F4">
              <w:rPr>
                <w:rFonts w:ascii="Verdana" w:hAnsi="Verdana"/>
                <w:sz w:val="16"/>
                <w:szCs w:val="16"/>
                <w:lang w:eastAsia="es-MX"/>
              </w:rPr>
              <w:tab/>
              <w:t>milímetro</w:t>
            </w:r>
          </w:p>
        </w:tc>
        <w:tc>
          <w:tcPr>
            <w:tcW w:w="4788" w:type="dxa"/>
          </w:tcPr>
          <w:p w14:paraId="6C4066FB" w14:textId="6D32DB13"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4.5 </w:t>
            </w:r>
            <w:r w:rsidRPr="00B746AB">
              <w:rPr>
                <w:rFonts w:ascii="Verdana" w:hAnsi="Verdana" w:cs="Times New Roman"/>
                <w:sz w:val="16"/>
                <w:szCs w:val="16"/>
                <w:lang w:val="en-US"/>
              </w:rPr>
              <w:t xml:space="preserve">mm </w:t>
            </w:r>
            <w:r w:rsidR="00B746AB">
              <w:rPr>
                <w:rFonts w:ascii="Verdana" w:hAnsi="Verdana" w:cs="Times New Roman"/>
                <w:sz w:val="16"/>
                <w:szCs w:val="16"/>
                <w:lang w:val="en-US"/>
              </w:rPr>
              <w:t>millimeter</w:t>
            </w:r>
            <w:r w:rsidRPr="00B746AB">
              <w:rPr>
                <w:rFonts w:ascii="Verdana" w:hAnsi="Verdana" w:cs="Times New Roman"/>
                <w:sz w:val="16"/>
                <w:szCs w:val="16"/>
                <w:lang w:val="en-US"/>
              </w:rPr>
              <w:t xml:space="preserve">              </w:t>
            </w:r>
          </w:p>
        </w:tc>
      </w:tr>
      <w:tr w:rsidR="00AD24E9" w:rsidRPr="006F11F4" w14:paraId="66012F6A" w14:textId="7DBB9D39" w:rsidTr="00B37C12">
        <w:tc>
          <w:tcPr>
            <w:tcW w:w="4788" w:type="dxa"/>
          </w:tcPr>
          <w:p w14:paraId="682EC9D0"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4.6</w:t>
            </w:r>
            <w:r w:rsidRPr="006F11F4">
              <w:rPr>
                <w:rFonts w:ascii="Verdana" w:hAnsi="Verdana"/>
                <w:sz w:val="16"/>
                <w:szCs w:val="16"/>
                <w:lang w:eastAsia="es-MX"/>
              </w:rPr>
              <w:t xml:space="preserve"> Pb</w:t>
            </w:r>
            <w:r w:rsidRPr="006F11F4">
              <w:rPr>
                <w:rFonts w:ascii="Verdana" w:hAnsi="Verdana"/>
                <w:sz w:val="16"/>
                <w:szCs w:val="16"/>
                <w:lang w:eastAsia="es-MX"/>
              </w:rPr>
              <w:tab/>
              <w:t>Plomo</w:t>
            </w:r>
          </w:p>
        </w:tc>
        <w:tc>
          <w:tcPr>
            <w:tcW w:w="4788" w:type="dxa"/>
          </w:tcPr>
          <w:p w14:paraId="218B7F3B" w14:textId="23DBDE0F"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4.6 </w:t>
            </w:r>
            <w:r w:rsidRPr="00B746AB">
              <w:rPr>
                <w:rFonts w:ascii="Verdana" w:hAnsi="Verdana" w:cs="Times New Roman"/>
                <w:sz w:val="16"/>
                <w:szCs w:val="16"/>
                <w:lang w:val="en-US"/>
              </w:rPr>
              <w:t xml:space="preserve">Pb Lead              </w:t>
            </w:r>
          </w:p>
        </w:tc>
      </w:tr>
      <w:tr w:rsidR="00AD24E9" w:rsidRPr="00AD24E9" w14:paraId="430D18BC" w14:textId="7F9CC715" w:rsidTr="00B37C12">
        <w:tc>
          <w:tcPr>
            <w:tcW w:w="4788" w:type="dxa"/>
          </w:tcPr>
          <w:p w14:paraId="5684E334"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4.7</w:t>
            </w:r>
            <w:r w:rsidRPr="006F11F4">
              <w:rPr>
                <w:rFonts w:ascii="Verdana" w:hAnsi="Verdana"/>
                <w:sz w:val="16"/>
                <w:szCs w:val="16"/>
                <w:lang w:eastAsia="es-MX"/>
              </w:rPr>
              <w:t xml:space="preserve"> Secretaría</w:t>
            </w:r>
            <w:r w:rsidRPr="006F11F4">
              <w:rPr>
                <w:rFonts w:ascii="Verdana" w:hAnsi="Verdana"/>
                <w:sz w:val="16"/>
                <w:szCs w:val="16"/>
                <w:lang w:eastAsia="es-MX"/>
              </w:rPr>
              <w:tab/>
            </w:r>
            <w:proofErr w:type="spellStart"/>
            <w:r w:rsidRPr="006F11F4">
              <w:rPr>
                <w:rFonts w:ascii="Verdana" w:hAnsi="Verdana"/>
                <w:sz w:val="16"/>
                <w:szCs w:val="16"/>
                <w:lang w:eastAsia="es-MX"/>
              </w:rPr>
              <w:t>Secretaría</w:t>
            </w:r>
            <w:proofErr w:type="spellEnd"/>
            <w:r w:rsidRPr="006F11F4">
              <w:rPr>
                <w:rFonts w:ascii="Verdana" w:hAnsi="Verdana"/>
                <w:sz w:val="16"/>
                <w:szCs w:val="16"/>
                <w:lang w:eastAsia="es-MX"/>
              </w:rPr>
              <w:t xml:space="preserve"> de Salud</w:t>
            </w:r>
          </w:p>
        </w:tc>
        <w:tc>
          <w:tcPr>
            <w:tcW w:w="4788" w:type="dxa"/>
          </w:tcPr>
          <w:p w14:paraId="3C8E69DD" w14:textId="74685AE7"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4.7 </w:t>
            </w:r>
            <w:r w:rsidRPr="00B746AB">
              <w:rPr>
                <w:rFonts w:ascii="Verdana" w:hAnsi="Verdana" w:cs="Times New Roman"/>
                <w:sz w:val="16"/>
                <w:szCs w:val="16"/>
                <w:lang w:val="en-US"/>
              </w:rPr>
              <w:t xml:space="preserve">Secretary </w:t>
            </w:r>
            <w:r w:rsidR="00B746AB">
              <w:rPr>
                <w:rFonts w:ascii="Verdana" w:hAnsi="Verdana" w:cs="Times New Roman"/>
                <w:sz w:val="16"/>
                <w:szCs w:val="16"/>
                <w:lang w:val="en-US"/>
              </w:rPr>
              <w:t>-</w:t>
            </w:r>
            <w:r w:rsidRPr="00B746AB">
              <w:rPr>
                <w:rFonts w:ascii="Verdana" w:hAnsi="Verdana" w:cs="Times New Roman"/>
                <w:sz w:val="16"/>
                <w:szCs w:val="16"/>
                <w:lang w:val="en-US"/>
              </w:rPr>
              <w:t xml:space="preserve"> the </w:t>
            </w:r>
            <w:r w:rsidR="00307BA1" w:rsidRPr="00B746AB">
              <w:rPr>
                <w:rFonts w:ascii="Verdana" w:hAnsi="Verdana" w:cs="Times New Roman"/>
                <w:sz w:val="16"/>
                <w:szCs w:val="16"/>
                <w:lang w:val="en-US"/>
              </w:rPr>
              <w:t>Secretary</w:t>
            </w:r>
            <w:r w:rsidRPr="00B746AB">
              <w:rPr>
                <w:rFonts w:ascii="Verdana" w:hAnsi="Verdana" w:cs="Times New Roman"/>
                <w:sz w:val="16"/>
                <w:szCs w:val="16"/>
                <w:lang w:val="en-US"/>
              </w:rPr>
              <w:t xml:space="preserve"> of Health              </w:t>
            </w:r>
          </w:p>
        </w:tc>
      </w:tr>
      <w:tr w:rsidR="00AD24E9" w:rsidRPr="006F11F4" w14:paraId="451CD612" w14:textId="3E80193A" w:rsidTr="00B37C12">
        <w:tc>
          <w:tcPr>
            <w:tcW w:w="4788" w:type="dxa"/>
          </w:tcPr>
          <w:p w14:paraId="687AABC7"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4.8</w:t>
            </w:r>
            <w:r w:rsidRPr="006F11F4">
              <w:rPr>
                <w:rFonts w:ascii="Verdana" w:hAnsi="Verdana"/>
                <w:sz w:val="16"/>
                <w:szCs w:val="16"/>
                <w:lang w:eastAsia="es-MX"/>
              </w:rPr>
              <w:t xml:space="preserve"> &gt;</w:t>
            </w:r>
            <w:r w:rsidRPr="006F11F4">
              <w:rPr>
                <w:rFonts w:ascii="Verdana" w:hAnsi="Verdana"/>
                <w:sz w:val="16"/>
                <w:szCs w:val="16"/>
                <w:lang w:eastAsia="es-MX"/>
              </w:rPr>
              <w:tab/>
              <w:t>mayor que</w:t>
            </w:r>
          </w:p>
        </w:tc>
        <w:tc>
          <w:tcPr>
            <w:tcW w:w="4788" w:type="dxa"/>
          </w:tcPr>
          <w:p w14:paraId="5354AD05" w14:textId="4702ABE3"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4.8 </w:t>
            </w:r>
            <w:r w:rsidRPr="00B746AB">
              <w:rPr>
                <w:rFonts w:ascii="Verdana" w:hAnsi="Verdana" w:cs="Times New Roman"/>
                <w:sz w:val="16"/>
                <w:szCs w:val="16"/>
                <w:lang w:val="en-US"/>
              </w:rPr>
              <w:t xml:space="preserve">&gt; greater than              </w:t>
            </w:r>
          </w:p>
        </w:tc>
      </w:tr>
      <w:tr w:rsidR="00AD24E9" w:rsidRPr="006F11F4" w14:paraId="77EE889A" w14:textId="727E88AE" w:rsidTr="00B37C12">
        <w:tc>
          <w:tcPr>
            <w:tcW w:w="4788" w:type="dxa"/>
          </w:tcPr>
          <w:p w14:paraId="7E4D5623"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4.9</w:t>
            </w:r>
            <w:r w:rsidRPr="006F11F4">
              <w:rPr>
                <w:rFonts w:ascii="Verdana" w:hAnsi="Verdana"/>
                <w:sz w:val="16"/>
                <w:szCs w:val="16"/>
                <w:lang w:eastAsia="es-MX"/>
              </w:rPr>
              <w:t xml:space="preserve"> </w:t>
            </w:r>
            <w:r w:rsidRPr="006F11F4">
              <w:rPr>
                <w:rFonts w:ascii="Verdana" w:hAnsi="Verdana"/>
                <w:sz w:val="16"/>
                <w:szCs w:val="16"/>
                <w:u w:val="single"/>
                <w:lang w:eastAsia="es-MX"/>
              </w:rPr>
              <w:t>&gt;</w:t>
            </w:r>
            <w:r w:rsidRPr="006F11F4">
              <w:rPr>
                <w:rFonts w:ascii="Verdana" w:hAnsi="Verdana"/>
                <w:sz w:val="16"/>
                <w:szCs w:val="16"/>
                <w:lang w:eastAsia="es-MX"/>
              </w:rPr>
              <w:tab/>
              <w:t>mayor o igual</w:t>
            </w:r>
          </w:p>
        </w:tc>
        <w:tc>
          <w:tcPr>
            <w:tcW w:w="4788" w:type="dxa"/>
          </w:tcPr>
          <w:p w14:paraId="7B4E82AE" w14:textId="4C88F74F"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4.9 </w:t>
            </w:r>
            <w:r w:rsidRPr="00B746AB">
              <w:rPr>
                <w:rFonts w:ascii="Verdana" w:hAnsi="Verdana" w:cs="Times New Roman"/>
                <w:sz w:val="16"/>
                <w:szCs w:val="16"/>
                <w:u w:val="single"/>
                <w:lang w:val="en-US"/>
              </w:rPr>
              <w:t xml:space="preserve">&gt; </w:t>
            </w:r>
            <w:r w:rsidRPr="00B746AB">
              <w:rPr>
                <w:rFonts w:ascii="Verdana" w:hAnsi="Verdana" w:cs="Times New Roman"/>
                <w:sz w:val="16"/>
                <w:szCs w:val="16"/>
                <w:lang w:val="en-US"/>
              </w:rPr>
              <w:t xml:space="preserve">greater than or equal               </w:t>
            </w:r>
          </w:p>
        </w:tc>
      </w:tr>
      <w:tr w:rsidR="00AD24E9" w:rsidRPr="006F11F4" w14:paraId="0F8E8747" w14:textId="0DF836A3" w:rsidTr="00B37C12">
        <w:tc>
          <w:tcPr>
            <w:tcW w:w="4788" w:type="dxa"/>
          </w:tcPr>
          <w:p w14:paraId="14FB80F2"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4.10</w:t>
            </w:r>
            <w:r w:rsidRPr="006F11F4">
              <w:rPr>
                <w:rFonts w:ascii="Verdana" w:hAnsi="Verdana"/>
                <w:sz w:val="16"/>
                <w:szCs w:val="16"/>
                <w:lang w:eastAsia="es-MX"/>
              </w:rPr>
              <w:t xml:space="preserve"> &lt; </w:t>
            </w:r>
            <w:r w:rsidRPr="006F11F4">
              <w:rPr>
                <w:rFonts w:ascii="Verdana" w:hAnsi="Verdana"/>
                <w:sz w:val="16"/>
                <w:szCs w:val="16"/>
                <w:lang w:eastAsia="es-MX"/>
              </w:rPr>
              <w:tab/>
              <w:t>menor que</w:t>
            </w:r>
          </w:p>
        </w:tc>
        <w:tc>
          <w:tcPr>
            <w:tcW w:w="4788" w:type="dxa"/>
          </w:tcPr>
          <w:p w14:paraId="0654D493" w14:textId="3D84755B"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4.10 </w:t>
            </w:r>
            <w:r w:rsidRPr="00B746AB">
              <w:rPr>
                <w:rFonts w:ascii="Verdana" w:hAnsi="Verdana" w:cs="Times New Roman"/>
                <w:sz w:val="16"/>
                <w:szCs w:val="16"/>
                <w:lang w:val="en-US"/>
              </w:rPr>
              <w:t xml:space="preserve">&lt; less than              </w:t>
            </w:r>
          </w:p>
        </w:tc>
      </w:tr>
      <w:tr w:rsidR="00AD24E9" w:rsidRPr="006F11F4" w14:paraId="14C0CF37" w14:textId="7F6BB835" w:rsidTr="00B37C12">
        <w:tc>
          <w:tcPr>
            <w:tcW w:w="4788" w:type="dxa"/>
          </w:tcPr>
          <w:p w14:paraId="69E86D95" w14:textId="77777777" w:rsidR="00AD24E9" w:rsidRPr="006F11F4" w:rsidRDefault="00AD24E9" w:rsidP="00AD24E9">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4.11</w:t>
            </w:r>
            <w:r w:rsidRPr="006F11F4">
              <w:rPr>
                <w:rFonts w:ascii="Verdana" w:hAnsi="Verdana"/>
                <w:sz w:val="16"/>
                <w:szCs w:val="16"/>
                <w:lang w:eastAsia="es-MX"/>
              </w:rPr>
              <w:t xml:space="preserve"> </w:t>
            </w:r>
            <w:r w:rsidRPr="006F11F4">
              <w:rPr>
                <w:rFonts w:ascii="Verdana" w:hAnsi="Verdana"/>
                <w:sz w:val="16"/>
                <w:szCs w:val="16"/>
                <w:u w:val="single"/>
                <w:lang w:eastAsia="es-MX"/>
              </w:rPr>
              <w:t>&lt;</w:t>
            </w:r>
            <w:r w:rsidRPr="006F11F4">
              <w:rPr>
                <w:rFonts w:ascii="Verdana" w:hAnsi="Verdana"/>
                <w:sz w:val="16"/>
                <w:szCs w:val="16"/>
                <w:lang w:eastAsia="es-MX"/>
              </w:rPr>
              <w:tab/>
              <w:t>menor o igual</w:t>
            </w:r>
          </w:p>
        </w:tc>
        <w:tc>
          <w:tcPr>
            <w:tcW w:w="4788" w:type="dxa"/>
          </w:tcPr>
          <w:p w14:paraId="6286BAEB" w14:textId="1D96EDDE" w:rsidR="00AD24E9" w:rsidRPr="00B746AB" w:rsidRDefault="00AD24E9" w:rsidP="00AD24E9">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4.11 </w:t>
            </w:r>
            <w:r w:rsidRPr="00B746AB">
              <w:rPr>
                <w:rFonts w:ascii="Verdana" w:hAnsi="Verdana" w:cs="Times New Roman"/>
                <w:sz w:val="16"/>
                <w:szCs w:val="16"/>
                <w:u w:val="single"/>
                <w:lang w:val="en-US"/>
              </w:rPr>
              <w:t xml:space="preserve">&lt; </w:t>
            </w:r>
            <w:r w:rsidRPr="00B746AB">
              <w:rPr>
                <w:rFonts w:ascii="Verdana" w:hAnsi="Verdana" w:cs="Times New Roman"/>
                <w:sz w:val="16"/>
                <w:szCs w:val="16"/>
                <w:lang w:val="en-US"/>
              </w:rPr>
              <w:t xml:space="preserve">less than or equal               </w:t>
            </w:r>
          </w:p>
        </w:tc>
      </w:tr>
      <w:tr w:rsidR="00AD24E9" w:rsidRPr="006F11F4" w14:paraId="215F5D91" w14:textId="65BDB857" w:rsidTr="00B37C12">
        <w:tc>
          <w:tcPr>
            <w:tcW w:w="4788" w:type="dxa"/>
          </w:tcPr>
          <w:p w14:paraId="43DA1B8A" w14:textId="77777777" w:rsidR="00AD24E9" w:rsidRPr="006F11F4" w:rsidRDefault="00AD24E9" w:rsidP="00AD24E9">
            <w:pPr>
              <w:pStyle w:val="Texto"/>
              <w:ind w:firstLine="0"/>
              <w:rPr>
                <w:rFonts w:ascii="Verdana" w:hAnsi="Verdana"/>
                <w:sz w:val="16"/>
                <w:szCs w:val="16"/>
                <w:lang w:eastAsia="es-MX"/>
              </w:rPr>
            </w:pPr>
            <w:r w:rsidRPr="006F11F4">
              <w:rPr>
                <w:rFonts w:ascii="Verdana" w:hAnsi="Verdana"/>
                <w:b/>
                <w:sz w:val="16"/>
                <w:szCs w:val="16"/>
                <w:lang w:eastAsia="es-MX"/>
              </w:rPr>
              <w:t>4.12</w:t>
            </w:r>
            <w:r w:rsidRPr="006F11F4">
              <w:rPr>
                <w:rFonts w:ascii="Verdana" w:hAnsi="Verdana"/>
                <w:sz w:val="16"/>
                <w:szCs w:val="16"/>
                <w:lang w:eastAsia="es-MX"/>
              </w:rPr>
              <w:t xml:space="preserve"> %</w:t>
            </w:r>
            <w:r w:rsidRPr="006F11F4">
              <w:rPr>
                <w:rFonts w:ascii="Verdana" w:hAnsi="Verdana"/>
                <w:sz w:val="16"/>
                <w:szCs w:val="16"/>
                <w:lang w:eastAsia="es-MX"/>
              </w:rPr>
              <w:tab/>
              <w:t>por ciento</w:t>
            </w:r>
          </w:p>
        </w:tc>
        <w:tc>
          <w:tcPr>
            <w:tcW w:w="4788" w:type="dxa"/>
          </w:tcPr>
          <w:p w14:paraId="3A55BBD2" w14:textId="6916EC16" w:rsidR="00AD24E9" w:rsidRPr="00B746AB" w:rsidRDefault="00AD24E9" w:rsidP="00AD24E9">
            <w:pPr>
              <w:pStyle w:val="Texto"/>
              <w:ind w:firstLine="0"/>
              <w:rPr>
                <w:rFonts w:ascii="Verdana" w:hAnsi="Verdana"/>
                <w:b/>
                <w:sz w:val="16"/>
                <w:szCs w:val="16"/>
                <w:lang w:val="en-US" w:eastAsia="es-MX"/>
              </w:rPr>
            </w:pPr>
            <w:r w:rsidRPr="00B746AB">
              <w:rPr>
                <w:rFonts w:ascii="Verdana" w:hAnsi="Verdana" w:cs="Times New Roman"/>
                <w:b/>
                <w:bCs/>
                <w:sz w:val="16"/>
                <w:szCs w:val="16"/>
                <w:lang w:val="en-US"/>
              </w:rPr>
              <w:t xml:space="preserve">4.12 </w:t>
            </w:r>
            <w:r w:rsidRPr="00B746AB">
              <w:rPr>
                <w:rFonts w:ascii="Verdana" w:hAnsi="Verdana" w:cs="Times New Roman"/>
                <w:sz w:val="16"/>
                <w:szCs w:val="16"/>
                <w:lang w:val="en-US"/>
              </w:rPr>
              <w:t>% percent</w:t>
            </w:r>
            <w:r w:rsidR="00B746AB">
              <w:rPr>
                <w:rFonts w:ascii="Verdana" w:hAnsi="Verdana" w:cs="Times New Roman"/>
                <w:sz w:val="16"/>
                <w:szCs w:val="16"/>
                <w:lang w:val="en-US"/>
              </w:rPr>
              <w:t>age</w:t>
            </w:r>
            <w:r w:rsidRPr="00B746AB">
              <w:rPr>
                <w:rFonts w:ascii="Verdana" w:hAnsi="Verdana" w:cs="Times New Roman"/>
                <w:sz w:val="16"/>
                <w:szCs w:val="16"/>
                <w:lang w:val="en-US"/>
              </w:rPr>
              <w:t xml:space="preserve">              </w:t>
            </w:r>
          </w:p>
        </w:tc>
      </w:tr>
      <w:tr w:rsidR="00AD24E9" w:rsidRPr="006F11F4" w14:paraId="15E111C2" w14:textId="06133571" w:rsidTr="00B37C12">
        <w:tc>
          <w:tcPr>
            <w:tcW w:w="4788" w:type="dxa"/>
          </w:tcPr>
          <w:p w14:paraId="629554BF" w14:textId="77777777" w:rsidR="00AD24E9" w:rsidRPr="006F11F4" w:rsidRDefault="00AD24E9" w:rsidP="00AD24E9">
            <w:pPr>
              <w:pStyle w:val="Texto"/>
              <w:spacing w:line="236" w:lineRule="exact"/>
              <w:ind w:firstLine="0"/>
              <w:rPr>
                <w:rFonts w:ascii="Verdana" w:hAnsi="Verdana"/>
                <w:sz w:val="16"/>
                <w:szCs w:val="16"/>
                <w:lang w:eastAsia="es-MX"/>
              </w:rPr>
            </w:pPr>
            <w:r w:rsidRPr="006F11F4">
              <w:rPr>
                <w:rFonts w:ascii="Verdana" w:hAnsi="Verdana"/>
                <w:b/>
                <w:sz w:val="16"/>
                <w:szCs w:val="16"/>
                <w:lang w:eastAsia="es-MX"/>
              </w:rPr>
              <w:t>5. Especificaciones</w:t>
            </w:r>
          </w:p>
        </w:tc>
        <w:tc>
          <w:tcPr>
            <w:tcW w:w="4788" w:type="dxa"/>
          </w:tcPr>
          <w:p w14:paraId="29F5F4D6" w14:textId="48922FDC" w:rsidR="00AD24E9" w:rsidRPr="00B746AB" w:rsidRDefault="00AD24E9" w:rsidP="00AD24E9">
            <w:pPr>
              <w:pStyle w:val="Texto"/>
              <w:spacing w:line="236" w:lineRule="exact"/>
              <w:ind w:firstLine="0"/>
              <w:rPr>
                <w:rFonts w:ascii="Verdana" w:hAnsi="Verdana"/>
                <w:b/>
                <w:sz w:val="16"/>
                <w:szCs w:val="16"/>
                <w:lang w:val="en-US" w:eastAsia="es-MX"/>
              </w:rPr>
            </w:pPr>
            <w:r w:rsidRPr="00B746AB">
              <w:rPr>
                <w:rFonts w:ascii="Verdana" w:hAnsi="Verdana" w:cs="Times New Roman"/>
                <w:b/>
                <w:bCs/>
                <w:sz w:val="16"/>
                <w:szCs w:val="16"/>
                <w:lang w:val="en-US"/>
              </w:rPr>
              <w:t>5. Specifications</w:t>
            </w:r>
          </w:p>
        </w:tc>
      </w:tr>
      <w:tr w:rsidR="00AD24E9" w:rsidRPr="00AD24E9" w14:paraId="36128775" w14:textId="5BBE85D7" w:rsidTr="00B37C12">
        <w:tc>
          <w:tcPr>
            <w:tcW w:w="4788" w:type="dxa"/>
          </w:tcPr>
          <w:p w14:paraId="7673084E" w14:textId="77777777" w:rsidR="00AD24E9" w:rsidRPr="006F11F4" w:rsidRDefault="00AD24E9" w:rsidP="00AD24E9">
            <w:pPr>
              <w:pStyle w:val="Texto"/>
              <w:spacing w:line="236" w:lineRule="exact"/>
              <w:ind w:firstLine="0"/>
              <w:rPr>
                <w:rFonts w:ascii="Verdana" w:hAnsi="Verdana"/>
                <w:sz w:val="16"/>
                <w:szCs w:val="16"/>
                <w:lang w:eastAsia="es-MX"/>
              </w:rPr>
            </w:pPr>
            <w:r w:rsidRPr="006F11F4">
              <w:rPr>
                <w:rFonts w:ascii="Verdana" w:hAnsi="Verdana"/>
                <w:b/>
                <w:sz w:val="16"/>
                <w:szCs w:val="16"/>
                <w:lang w:eastAsia="es-MX"/>
              </w:rPr>
              <w:t xml:space="preserve">5.1 </w:t>
            </w:r>
            <w:r w:rsidRPr="006F11F4">
              <w:rPr>
                <w:rFonts w:ascii="Verdana" w:hAnsi="Verdana"/>
                <w:sz w:val="16"/>
                <w:szCs w:val="16"/>
                <w:lang w:eastAsia="es-MX"/>
              </w:rPr>
              <w:t>El Pb y Cd liberados por cualquier artículo de alfarería, cerámica vidriada, porcelana o vidrio, de producción nacional o importación, destinado a contener o procesar alimentos y/o bebidas debe cumplir con los límites máximos permisibles establecidos en las tablas 1 y 2 respectivamente, y su determinación deberá realizarse mediante el método de ensayo indicado en el Apéndice A Normativo de la presente Norma.</w:t>
            </w:r>
          </w:p>
        </w:tc>
        <w:tc>
          <w:tcPr>
            <w:tcW w:w="4788" w:type="dxa"/>
          </w:tcPr>
          <w:p w14:paraId="3721699D" w14:textId="1C157218" w:rsidR="00AD24E9" w:rsidRPr="00B746AB" w:rsidRDefault="00AD24E9" w:rsidP="00AD24E9">
            <w:pPr>
              <w:pStyle w:val="Texto"/>
              <w:spacing w:line="236"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5.1 </w:t>
            </w:r>
            <w:r w:rsidRPr="00B746AB">
              <w:rPr>
                <w:rFonts w:ascii="Verdana" w:hAnsi="Verdana" w:cs="Times New Roman"/>
                <w:sz w:val="16"/>
                <w:szCs w:val="16"/>
                <w:lang w:val="en-US"/>
              </w:rPr>
              <w:t xml:space="preserve">The Pb and Cd released by any article of pottery, glazed ceramics, porcelain or glass, of national production or import, destined to contain or process food </w:t>
            </w:r>
            <w:r w:rsidR="00AA2282" w:rsidRPr="00B746AB">
              <w:rPr>
                <w:rFonts w:ascii="Verdana" w:hAnsi="Verdana" w:cs="Times New Roman"/>
                <w:sz w:val="16"/>
                <w:szCs w:val="16"/>
                <w:lang w:val="en-US"/>
              </w:rPr>
              <w:t>and/or</w:t>
            </w:r>
            <w:r w:rsidRPr="00B746AB">
              <w:rPr>
                <w:rFonts w:ascii="Verdana" w:hAnsi="Verdana" w:cs="Times New Roman"/>
                <w:sz w:val="16"/>
                <w:szCs w:val="16"/>
                <w:lang w:val="en-US"/>
              </w:rPr>
              <w:t xml:space="preserve"> beverages must comply with the maximum permissible limits established in tables 1 and 2 respectively. , and its determination must be made by the test method indicated in the </w:t>
            </w:r>
            <w:r w:rsidR="008D1161" w:rsidRPr="00B746AB">
              <w:rPr>
                <w:rFonts w:ascii="Verdana" w:hAnsi="Verdana" w:cs="Times New Roman"/>
                <w:sz w:val="16"/>
                <w:szCs w:val="16"/>
                <w:lang w:val="en-US"/>
              </w:rPr>
              <w:t>Legislative</w:t>
            </w:r>
            <w:r w:rsidRPr="00B746AB">
              <w:rPr>
                <w:rFonts w:ascii="Verdana" w:hAnsi="Verdana" w:cs="Times New Roman"/>
                <w:sz w:val="16"/>
                <w:szCs w:val="16"/>
                <w:lang w:val="en-US"/>
              </w:rPr>
              <w:t xml:space="preserve"> Appendix A of this Standard.</w:t>
            </w:r>
          </w:p>
        </w:tc>
      </w:tr>
    </w:tbl>
    <w:p w14:paraId="59E18DA6" w14:textId="77777777" w:rsidR="006F11F4" w:rsidRPr="00AD24E9" w:rsidRDefault="006F11F4" w:rsidP="00F977F2">
      <w:pPr>
        <w:pStyle w:val="Texto"/>
        <w:spacing w:line="236" w:lineRule="exact"/>
        <w:ind w:firstLine="0"/>
        <w:jc w:val="center"/>
        <w:rPr>
          <w:rFonts w:ascii="Verdana" w:hAnsi="Verdana"/>
          <w:b/>
          <w:sz w:val="16"/>
          <w:szCs w:val="16"/>
          <w:lang w:val="en-US" w:eastAsia="es-MX"/>
        </w:rPr>
      </w:pPr>
    </w:p>
    <w:p w14:paraId="5E4B44D1" w14:textId="77777777" w:rsidR="006F11F4" w:rsidRPr="00AD24E9" w:rsidRDefault="006F11F4" w:rsidP="00F977F2">
      <w:pPr>
        <w:pStyle w:val="Texto"/>
        <w:spacing w:line="236" w:lineRule="exact"/>
        <w:ind w:firstLine="0"/>
        <w:jc w:val="center"/>
        <w:rPr>
          <w:rFonts w:ascii="Verdana" w:hAnsi="Verdana"/>
          <w:b/>
          <w:sz w:val="16"/>
          <w:szCs w:val="16"/>
          <w:lang w:val="en-US" w:eastAsia="es-MX"/>
        </w:rPr>
      </w:pPr>
    </w:p>
    <w:p w14:paraId="4B03F420" w14:textId="2F6C068C" w:rsidR="008867A4" w:rsidRDefault="008867A4" w:rsidP="00F977F2">
      <w:pPr>
        <w:pStyle w:val="Texto"/>
        <w:spacing w:line="236" w:lineRule="exact"/>
        <w:ind w:firstLine="0"/>
        <w:jc w:val="center"/>
        <w:rPr>
          <w:rFonts w:ascii="Verdana" w:hAnsi="Verdana"/>
          <w:sz w:val="16"/>
          <w:szCs w:val="16"/>
          <w:lang w:val="en-US" w:eastAsia="es-MX"/>
        </w:rPr>
      </w:pPr>
    </w:p>
    <w:p w14:paraId="5E43FAAE" w14:textId="70F4CC89" w:rsidR="00B746AB" w:rsidRDefault="00B746AB" w:rsidP="00F977F2">
      <w:pPr>
        <w:pStyle w:val="Texto"/>
        <w:spacing w:line="236" w:lineRule="exact"/>
        <w:ind w:firstLine="0"/>
        <w:jc w:val="center"/>
        <w:rPr>
          <w:rFonts w:ascii="Verdana" w:hAnsi="Verdana"/>
          <w:sz w:val="16"/>
          <w:szCs w:val="16"/>
          <w:lang w:val="en-US" w:eastAsia="es-MX"/>
        </w:rPr>
      </w:pPr>
    </w:p>
    <w:p w14:paraId="7A57901D" w14:textId="0C409B8E" w:rsidR="00B746AB" w:rsidRDefault="00B746AB" w:rsidP="00F977F2">
      <w:pPr>
        <w:pStyle w:val="Texto"/>
        <w:spacing w:line="236" w:lineRule="exact"/>
        <w:ind w:firstLine="0"/>
        <w:jc w:val="center"/>
        <w:rPr>
          <w:rFonts w:ascii="Verdana" w:hAnsi="Verdana"/>
          <w:sz w:val="16"/>
          <w:szCs w:val="16"/>
          <w:lang w:val="en-US" w:eastAsia="es-MX"/>
        </w:rPr>
      </w:pPr>
    </w:p>
    <w:p w14:paraId="259C432C" w14:textId="76C9A561" w:rsidR="00B746AB" w:rsidRDefault="00B746AB" w:rsidP="00F977F2">
      <w:pPr>
        <w:pStyle w:val="Texto"/>
        <w:spacing w:line="236" w:lineRule="exact"/>
        <w:ind w:firstLine="0"/>
        <w:jc w:val="center"/>
        <w:rPr>
          <w:rFonts w:ascii="Verdana" w:hAnsi="Verdana"/>
          <w:sz w:val="16"/>
          <w:szCs w:val="16"/>
          <w:lang w:val="en-US" w:eastAsia="es-MX"/>
        </w:rPr>
      </w:pPr>
    </w:p>
    <w:p w14:paraId="30DA757F" w14:textId="47DA5B55" w:rsidR="00B746AB" w:rsidRDefault="00B746AB" w:rsidP="00F977F2">
      <w:pPr>
        <w:pStyle w:val="Texto"/>
        <w:spacing w:line="236" w:lineRule="exact"/>
        <w:ind w:firstLine="0"/>
        <w:jc w:val="center"/>
        <w:rPr>
          <w:rFonts w:ascii="Verdana" w:hAnsi="Verdana"/>
          <w:sz w:val="16"/>
          <w:szCs w:val="16"/>
          <w:lang w:val="en-US" w:eastAsia="es-MX"/>
        </w:rPr>
      </w:pPr>
    </w:p>
    <w:p w14:paraId="1EEEAFB0" w14:textId="77777777" w:rsidR="00B746AB" w:rsidRPr="00AD24E9" w:rsidRDefault="00B746AB" w:rsidP="00F977F2">
      <w:pPr>
        <w:pStyle w:val="Texto"/>
        <w:spacing w:line="236" w:lineRule="exact"/>
        <w:ind w:firstLine="0"/>
        <w:jc w:val="center"/>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390"/>
        <w:gridCol w:w="1299"/>
        <w:gridCol w:w="611"/>
        <w:gridCol w:w="1657"/>
        <w:gridCol w:w="1316"/>
        <w:gridCol w:w="1439"/>
      </w:tblGrid>
      <w:tr w:rsidR="006F11F4" w:rsidRPr="006F11F4" w14:paraId="11AB7C4A" w14:textId="77777777" w:rsidTr="006F11F4">
        <w:tblPrEx>
          <w:tblCellMar>
            <w:top w:w="0" w:type="dxa"/>
            <w:bottom w:w="0" w:type="dxa"/>
          </w:tblCellMar>
        </w:tblPrEx>
        <w:trPr>
          <w:trHeight w:val="144"/>
        </w:trPr>
        <w:tc>
          <w:tcPr>
            <w:tcW w:w="8712" w:type="dxa"/>
            <w:gridSpan w:val="6"/>
            <w:tcBorders>
              <w:top w:val="single" w:sz="6" w:space="0" w:color="000000"/>
              <w:left w:val="single" w:sz="6" w:space="0" w:color="000000"/>
              <w:right w:val="single" w:sz="6" w:space="0" w:color="000000"/>
            </w:tcBorders>
            <w:noWrap/>
            <w:vAlign w:val="center"/>
          </w:tcPr>
          <w:p w14:paraId="532A1D1B" w14:textId="36BF65A5" w:rsidR="006F11F4" w:rsidRPr="006F11F4" w:rsidRDefault="006F11F4" w:rsidP="00F977F2">
            <w:pPr>
              <w:pStyle w:val="Texto"/>
              <w:spacing w:line="236" w:lineRule="exact"/>
              <w:ind w:firstLine="0"/>
              <w:jc w:val="center"/>
              <w:rPr>
                <w:rFonts w:ascii="Verdana" w:hAnsi="Verdana"/>
                <w:b/>
                <w:sz w:val="16"/>
                <w:szCs w:val="16"/>
                <w:lang w:eastAsia="es-MX"/>
              </w:rPr>
            </w:pPr>
            <w:r w:rsidRPr="006F11F4">
              <w:rPr>
                <w:rFonts w:ascii="Verdana" w:hAnsi="Verdana"/>
                <w:b/>
                <w:sz w:val="16"/>
                <w:szCs w:val="16"/>
                <w:lang w:eastAsia="es-MX"/>
              </w:rPr>
              <w:t>Tabla 1 - Límites máximos permisibles de Pb y Cd solubles que deben cumplir las  piezas de alfarería, cerámica y porcelana</w:t>
            </w:r>
          </w:p>
        </w:tc>
      </w:tr>
      <w:tr w:rsidR="006E2054" w:rsidRPr="006F11F4" w14:paraId="120B0D42" w14:textId="77777777">
        <w:tblPrEx>
          <w:tblCellMar>
            <w:top w:w="0" w:type="dxa"/>
            <w:bottom w:w="0" w:type="dxa"/>
          </w:tblCellMar>
        </w:tblPrEx>
        <w:trPr>
          <w:trHeight w:val="144"/>
        </w:trPr>
        <w:tc>
          <w:tcPr>
            <w:tcW w:w="2390" w:type="dxa"/>
            <w:vMerge w:val="restart"/>
            <w:tcBorders>
              <w:top w:val="single" w:sz="6" w:space="0" w:color="000000"/>
              <w:left w:val="single" w:sz="6" w:space="0" w:color="000000"/>
              <w:right w:val="single" w:sz="6" w:space="0" w:color="000000"/>
            </w:tcBorders>
            <w:noWrap/>
            <w:vAlign w:val="center"/>
          </w:tcPr>
          <w:p w14:paraId="71B9517B"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Tipo de pieza</w:t>
            </w:r>
          </w:p>
        </w:tc>
        <w:tc>
          <w:tcPr>
            <w:tcW w:w="1299" w:type="dxa"/>
            <w:vMerge w:val="restart"/>
            <w:tcBorders>
              <w:top w:val="single" w:sz="6" w:space="0" w:color="000000"/>
              <w:left w:val="single" w:sz="6" w:space="0" w:color="000000"/>
              <w:right w:val="single" w:sz="6" w:space="0" w:color="000000"/>
            </w:tcBorders>
            <w:vAlign w:val="center"/>
          </w:tcPr>
          <w:p w14:paraId="6D77BE10"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Capacidad</w:t>
            </w:r>
          </w:p>
        </w:tc>
        <w:tc>
          <w:tcPr>
            <w:tcW w:w="611" w:type="dxa"/>
            <w:vMerge w:val="restart"/>
            <w:tcBorders>
              <w:top w:val="single" w:sz="6" w:space="0" w:color="000000"/>
              <w:left w:val="single" w:sz="6" w:space="0" w:color="000000"/>
              <w:right w:val="single" w:sz="6" w:space="0" w:color="000000"/>
            </w:tcBorders>
            <w:vAlign w:val="center"/>
          </w:tcPr>
          <w:p w14:paraId="25C358AF"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N</w:t>
            </w:r>
            <w:proofErr w:type="spellStart"/>
            <w:r w:rsidRPr="006F11F4">
              <w:rPr>
                <w:rFonts w:ascii="Verdana" w:hAnsi="Verdana"/>
                <w:b/>
                <w:position w:val="8"/>
                <w:sz w:val="16"/>
                <w:szCs w:val="16"/>
                <w:lang w:eastAsia="es-MX"/>
              </w:rPr>
              <w:t>a,b</w:t>
            </w:r>
            <w:proofErr w:type="spellEnd"/>
          </w:p>
        </w:tc>
        <w:tc>
          <w:tcPr>
            <w:tcW w:w="1657" w:type="dxa"/>
            <w:vMerge w:val="restart"/>
            <w:tcBorders>
              <w:top w:val="single" w:sz="6" w:space="0" w:color="000000"/>
              <w:left w:val="single" w:sz="6" w:space="0" w:color="000000"/>
              <w:right w:val="single" w:sz="6" w:space="0" w:color="000000"/>
            </w:tcBorders>
            <w:vAlign w:val="center"/>
          </w:tcPr>
          <w:p w14:paraId="522E0891"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Criterio de aceptación</w:t>
            </w:r>
          </w:p>
        </w:tc>
        <w:tc>
          <w:tcPr>
            <w:tcW w:w="2755" w:type="dxa"/>
            <w:gridSpan w:val="2"/>
            <w:tcBorders>
              <w:top w:val="single" w:sz="6" w:space="0" w:color="000000"/>
              <w:left w:val="single" w:sz="6" w:space="0" w:color="000000"/>
              <w:bottom w:val="single" w:sz="6" w:space="0" w:color="000000"/>
              <w:right w:val="single" w:sz="6" w:space="0" w:color="000000"/>
            </w:tcBorders>
            <w:vAlign w:val="center"/>
          </w:tcPr>
          <w:p w14:paraId="4B0B7818"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Límite máximo permisible</w:t>
            </w:r>
          </w:p>
        </w:tc>
      </w:tr>
      <w:tr w:rsidR="006E2054" w:rsidRPr="006F11F4" w14:paraId="79CE7D5D" w14:textId="77777777">
        <w:tblPrEx>
          <w:tblCellMar>
            <w:top w:w="0" w:type="dxa"/>
            <w:bottom w:w="0" w:type="dxa"/>
          </w:tblCellMar>
        </w:tblPrEx>
        <w:trPr>
          <w:trHeight w:val="144"/>
        </w:trPr>
        <w:tc>
          <w:tcPr>
            <w:tcW w:w="2390" w:type="dxa"/>
            <w:vMerge/>
            <w:tcBorders>
              <w:left w:val="single" w:sz="6" w:space="0" w:color="000000"/>
              <w:bottom w:val="single" w:sz="6" w:space="0" w:color="auto"/>
              <w:right w:val="single" w:sz="6" w:space="0" w:color="000000"/>
            </w:tcBorders>
            <w:vAlign w:val="center"/>
          </w:tcPr>
          <w:p w14:paraId="4D085CF7" w14:textId="77777777" w:rsidR="006E2054" w:rsidRPr="006F11F4" w:rsidRDefault="006E2054" w:rsidP="00F977F2">
            <w:pPr>
              <w:pStyle w:val="Texto"/>
              <w:spacing w:line="236" w:lineRule="exact"/>
              <w:ind w:firstLine="0"/>
              <w:rPr>
                <w:rFonts w:ascii="Verdana" w:hAnsi="Verdana"/>
                <w:sz w:val="16"/>
                <w:szCs w:val="16"/>
                <w:lang w:eastAsia="es-MX"/>
              </w:rPr>
            </w:pPr>
          </w:p>
        </w:tc>
        <w:tc>
          <w:tcPr>
            <w:tcW w:w="1299" w:type="dxa"/>
            <w:vMerge/>
            <w:tcBorders>
              <w:left w:val="single" w:sz="6" w:space="0" w:color="000000"/>
              <w:bottom w:val="single" w:sz="6" w:space="0" w:color="auto"/>
              <w:right w:val="single" w:sz="6" w:space="0" w:color="000000"/>
            </w:tcBorders>
            <w:vAlign w:val="center"/>
          </w:tcPr>
          <w:p w14:paraId="54E34E37" w14:textId="77777777" w:rsidR="006E2054" w:rsidRPr="006F11F4" w:rsidRDefault="006E2054" w:rsidP="00F977F2">
            <w:pPr>
              <w:pStyle w:val="Texto"/>
              <w:spacing w:line="236" w:lineRule="exact"/>
              <w:ind w:firstLine="0"/>
              <w:rPr>
                <w:rFonts w:ascii="Verdana" w:hAnsi="Verdana"/>
                <w:sz w:val="16"/>
                <w:szCs w:val="16"/>
                <w:lang w:eastAsia="es-MX"/>
              </w:rPr>
            </w:pPr>
          </w:p>
        </w:tc>
        <w:tc>
          <w:tcPr>
            <w:tcW w:w="611" w:type="dxa"/>
            <w:vMerge/>
            <w:tcBorders>
              <w:left w:val="single" w:sz="6" w:space="0" w:color="000000"/>
              <w:bottom w:val="single" w:sz="6" w:space="0" w:color="auto"/>
              <w:right w:val="single" w:sz="6" w:space="0" w:color="000000"/>
            </w:tcBorders>
            <w:vAlign w:val="center"/>
          </w:tcPr>
          <w:p w14:paraId="2F3C6FB2" w14:textId="77777777" w:rsidR="006E2054" w:rsidRPr="006F11F4" w:rsidRDefault="006E2054" w:rsidP="00F977F2">
            <w:pPr>
              <w:pStyle w:val="Texto"/>
              <w:spacing w:line="236" w:lineRule="exact"/>
              <w:ind w:firstLine="0"/>
              <w:rPr>
                <w:rFonts w:ascii="Verdana" w:hAnsi="Verdana"/>
                <w:sz w:val="16"/>
                <w:szCs w:val="16"/>
                <w:lang w:eastAsia="es-MX"/>
              </w:rPr>
            </w:pPr>
          </w:p>
        </w:tc>
        <w:tc>
          <w:tcPr>
            <w:tcW w:w="1657" w:type="dxa"/>
            <w:vMerge/>
            <w:tcBorders>
              <w:left w:val="single" w:sz="6" w:space="0" w:color="000000"/>
              <w:bottom w:val="single" w:sz="6" w:space="0" w:color="auto"/>
              <w:right w:val="single" w:sz="6" w:space="0" w:color="000000"/>
            </w:tcBorders>
            <w:vAlign w:val="center"/>
          </w:tcPr>
          <w:p w14:paraId="3C95BFBA" w14:textId="77777777" w:rsidR="006E2054" w:rsidRPr="006F11F4" w:rsidRDefault="006E2054" w:rsidP="00F977F2">
            <w:pPr>
              <w:pStyle w:val="Texto"/>
              <w:spacing w:line="236" w:lineRule="exact"/>
              <w:ind w:firstLine="0"/>
              <w:rPr>
                <w:rFonts w:ascii="Verdana" w:hAnsi="Verdana"/>
                <w:sz w:val="16"/>
                <w:szCs w:val="16"/>
                <w:lang w:eastAsia="es-MX"/>
              </w:rPr>
            </w:pPr>
          </w:p>
        </w:tc>
        <w:tc>
          <w:tcPr>
            <w:tcW w:w="1316" w:type="dxa"/>
            <w:tcBorders>
              <w:top w:val="single" w:sz="6" w:space="0" w:color="000000"/>
              <w:left w:val="single" w:sz="6" w:space="0" w:color="000000"/>
              <w:bottom w:val="single" w:sz="6" w:space="0" w:color="000000"/>
              <w:right w:val="single" w:sz="6" w:space="0" w:color="000000"/>
            </w:tcBorders>
            <w:vAlign w:val="center"/>
          </w:tcPr>
          <w:p w14:paraId="57E92806" w14:textId="77777777" w:rsidR="006E2054" w:rsidRPr="006F11F4" w:rsidRDefault="006E2054" w:rsidP="007724A4">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Pb</w:t>
            </w:r>
            <w:r w:rsidR="00985B10" w:rsidRPr="006F11F4">
              <w:rPr>
                <w:rFonts w:ascii="Verdana" w:hAnsi="Verdana"/>
                <w:b/>
                <w:sz w:val="16"/>
                <w:szCs w:val="16"/>
                <w:lang w:eastAsia="es-MX"/>
              </w:rPr>
              <w:t xml:space="preserve"> </w:t>
            </w:r>
            <w:r w:rsidRPr="006F11F4">
              <w:rPr>
                <w:rFonts w:ascii="Verdana" w:hAnsi="Verdana"/>
                <w:b/>
                <w:sz w:val="16"/>
                <w:szCs w:val="16"/>
                <w:lang w:eastAsia="es-MX"/>
              </w:rPr>
              <w:t>mg/L</w:t>
            </w:r>
          </w:p>
        </w:tc>
        <w:tc>
          <w:tcPr>
            <w:tcW w:w="1439" w:type="dxa"/>
            <w:tcBorders>
              <w:top w:val="single" w:sz="6" w:space="0" w:color="000000"/>
              <w:left w:val="single" w:sz="6" w:space="0" w:color="000000"/>
              <w:bottom w:val="single" w:sz="6" w:space="0" w:color="000000"/>
              <w:right w:val="single" w:sz="6" w:space="0" w:color="000000"/>
            </w:tcBorders>
            <w:vAlign w:val="center"/>
          </w:tcPr>
          <w:p w14:paraId="26B145C6" w14:textId="77777777" w:rsidR="006E2054" w:rsidRPr="006F11F4" w:rsidRDefault="006E2054" w:rsidP="007724A4">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Cd</w:t>
            </w:r>
            <w:r w:rsidR="00985B10" w:rsidRPr="006F11F4">
              <w:rPr>
                <w:rFonts w:ascii="Verdana" w:hAnsi="Verdana"/>
                <w:b/>
                <w:sz w:val="16"/>
                <w:szCs w:val="16"/>
                <w:lang w:eastAsia="es-MX"/>
              </w:rPr>
              <w:t xml:space="preserve"> </w:t>
            </w:r>
            <w:r w:rsidRPr="006F11F4">
              <w:rPr>
                <w:rFonts w:ascii="Verdana" w:hAnsi="Verdana"/>
                <w:b/>
                <w:sz w:val="16"/>
                <w:szCs w:val="16"/>
                <w:lang w:eastAsia="es-MX"/>
              </w:rPr>
              <w:t>mg/L</w:t>
            </w:r>
          </w:p>
        </w:tc>
      </w:tr>
      <w:tr w:rsidR="008867A4" w:rsidRPr="006F11F4" w14:paraId="5F11CAF0"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tcPr>
          <w:p w14:paraId="01AC6115"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planas</w:t>
            </w:r>
          </w:p>
        </w:tc>
        <w:tc>
          <w:tcPr>
            <w:tcW w:w="1299" w:type="dxa"/>
            <w:tcBorders>
              <w:top w:val="single" w:sz="6" w:space="0" w:color="000000"/>
              <w:left w:val="single" w:sz="6" w:space="0" w:color="000000"/>
              <w:bottom w:val="single" w:sz="6" w:space="0" w:color="000000"/>
              <w:right w:val="single" w:sz="6" w:space="0" w:color="000000"/>
            </w:tcBorders>
          </w:tcPr>
          <w:p w14:paraId="4D1525B0"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No aplica</w:t>
            </w:r>
          </w:p>
        </w:tc>
        <w:tc>
          <w:tcPr>
            <w:tcW w:w="611" w:type="dxa"/>
            <w:tcBorders>
              <w:top w:val="single" w:sz="6" w:space="0" w:color="000000"/>
              <w:left w:val="single" w:sz="6" w:space="0" w:color="000000"/>
              <w:bottom w:val="single" w:sz="6" w:space="0" w:color="000000"/>
              <w:right w:val="single" w:sz="6" w:space="0" w:color="000000"/>
            </w:tcBorders>
          </w:tcPr>
          <w:p w14:paraId="3F53C095"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tcPr>
          <w:p w14:paraId="0B0FF756"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Promedio</w:t>
            </w:r>
          </w:p>
        </w:tc>
        <w:tc>
          <w:tcPr>
            <w:tcW w:w="1316" w:type="dxa"/>
            <w:tcBorders>
              <w:top w:val="single" w:sz="6" w:space="0" w:color="000000"/>
              <w:left w:val="single" w:sz="6" w:space="0" w:color="000000"/>
              <w:bottom w:val="single" w:sz="6" w:space="0" w:color="000000"/>
              <w:right w:val="single" w:sz="6" w:space="0" w:color="000000"/>
            </w:tcBorders>
          </w:tcPr>
          <w:p w14:paraId="7E906499"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2.00</w:t>
            </w:r>
          </w:p>
        </w:tc>
        <w:tc>
          <w:tcPr>
            <w:tcW w:w="1439" w:type="dxa"/>
            <w:tcBorders>
              <w:top w:val="single" w:sz="6" w:space="0" w:color="000000"/>
              <w:left w:val="single" w:sz="6" w:space="0" w:color="000000"/>
              <w:bottom w:val="single" w:sz="6" w:space="0" w:color="000000"/>
              <w:right w:val="single" w:sz="6" w:space="0" w:color="000000"/>
            </w:tcBorders>
          </w:tcPr>
          <w:p w14:paraId="047030EE"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0.50</w:t>
            </w:r>
          </w:p>
        </w:tc>
      </w:tr>
      <w:tr w:rsidR="008867A4" w:rsidRPr="006F11F4" w14:paraId="52801D2B"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tcPr>
          <w:p w14:paraId="48A34708"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huecas pequeñas</w:t>
            </w:r>
          </w:p>
        </w:tc>
        <w:tc>
          <w:tcPr>
            <w:tcW w:w="1299" w:type="dxa"/>
            <w:tcBorders>
              <w:top w:val="single" w:sz="6" w:space="0" w:color="000000"/>
              <w:left w:val="single" w:sz="6" w:space="0" w:color="000000"/>
              <w:bottom w:val="single" w:sz="6" w:space="0" w:color="000000"/>
              <w:right w:val="single" w:sz="6" w:space="0" w:color="000000"/>
            </w:tcBorders>
          </w:tcPr>
          <w:p w14:paraId="3AE8E2AF"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&lt; a 1.1 L</w:t>
            </w:r>
          </w:p>
        </w:tc>
        <w:tc>
          <w:tcPr>
            <w:tcW w:w="611" w:type="dxa"/>
            <w:tcBorders>
              <w:top w:val="single" w:sz="6" w:space="0" w:color="000000"/>
              <w:left w:val="single" w:sz="6" w:space="0" w:color="000000"/>
              <w:bottom w:val="single" w:sz="6" w:space="0" w:color="000000"/>
              <w:right w:val="single" w:sz="6" w:space="0" w:color="000000"/>
            </w:tcBorders>
          </w:tcPr>
          <w:p w14:paraId="134D392E"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tcPr>
          <w:p w14:paraId="149758E1"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Todas las piezas</w:t>
            </w:r>
          </w:p>
        </w:tc>
        <w:tc>
          <w:tcPr>
            <w:tcW w:w="1316" w:type="dxa"/>
            <w:tcBorders>
              <w:top w:val="single" w:sz="6" w:space="0" w:color="000000"/>
              <w:left w:val="single" w:sz="6" w:space="0" w:color="000000"/>
              <w:bottom w:val="single" w:sz="6" w:space="0" w:color="000000"/>
              <w:right w:val="single" w:sz="6" w:space="0" w:color="000000"/>
            </w:tcBorders>
          </w:tcPr>
          <w:p w14:paraId="0D3967F0"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2.00</w:t>
            </w:r>
          </w:p>
        </w:tc>
        <w:tc>
          <w:tcPr>
            <w:tcW w:w="1439" w:type="dxa"/>
            <w:tcBorders>
              <w:top w:val="single" w:sz="6" w:space="0" w:color="000000"/>
              <w:left w:val="single" w:sz="6" w:space="0" w:color="000000"/>
              <w:bottom w:val="single" w:sz="6" w:space="0" w:color="000000"/>
              <w:right w:val="single" w:sz="6" w:space="0" w:color="000000"/>
            </w:tcBorders>
          </w:tcPr>
          <w:p w14:paraId="6E551E81"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0.50</w:t>
            </w:r>
          </w:p>
        </w:tc>
      </w:tr>
      <w:tr w:rsidR="008867A4" w:rsidRPr="006F11F4" w14:paraId="74C0C07B"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tcPr>
          <w:p w14:paraId="17EBE074"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huecas grandes</w:t>
            </w:r>
          </w:p>
        </w:tc>
        <w:tc>
          <w:tcPr>
            <w:tcW w:w="1299" w:type="dxa"/>
            <w:tcBorders>
              <w:top w:val="single" w:sz="6" w:space="0" w:color="000000"/>
              <w:left w:val="single" w:sz="6" w:space="0" w:color="000000"/>
              <w:bottom w:val="single" w:sz="6" w:space="0" w:color="000000"/>
              <w:right w:val="single" w:sz="6" w:space="0" w:color="000000"/>
            </w:tcBorders>
          </w:tcPr>
          <w:p w14:paraId="4F0E6FD9"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u w:val="single"/>
                <w:lang w:eastAsia="es-MX"/>
              </w:rPr>
              <w:t>&gt;</w:t>
            </w:r>
            <w:r w:rsidRPr="006F11F4">
              <w:rPr>
                <w:rFonts w:ascii="Verdana" w:hAnsi="Verdana"/>
                <w:sz w:val="16"/>
                <w:szCs w:val="16"/>
                <w:lang w:eastAsia="es-MX"/>
              </w:rPr>
              <w:t xml:space="preserve"> a 1.1 L</w:t>
            </w:r>
          </w:p>
        </w:tc>
        <w:tc>
          <w:tcPr>
            <w:tcW w:w="611" w:type="dxa"/>
            <w:tcBorders>
              <w:top w:val="single" w:sz="6" w:space="0" w:color="000000"/>
              <w:left w:val="single" w:sz="6" w:space="0" w:color="000000"/>
              <w:bottom w:val="single" w:sz="6" w:space="0" w:color="000000"/>
              <w:right w:val="single" w:sz="6" w:space="0" w:color="000000"/>
            </w:tcBorders>
          </w:tcPr>
          <w:p w14:paraId="77E5AA06"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tcPr>
          <w:p w14:paraId="40B8B259"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Todas las piezas</w:t>
            </w:r>
          </w:p>
        </w:tc>
        <w:tc>
          <w:tcPr>
            <w:tcW w:w="1316" w:type="dxa"/>
            <w:tcBorders>
              <w:top w:val="single" w:sz="6" w:space="0" w:color="000000"/>
              <w:left w:val="single" w:sz="6" w:space="0" w:color="000000"/>
              <w:bottom w:val="single" w:sz="6" w:space="0" w:color="000000"/>
              <w:right w:val="single" w:sz="6" w:space="0" w:color="000000"/>
            </w:tcBorders>
          </w:tcPr>
          <w:p w14:paraId="089ED814"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1.00</w:t>
            </w:r>
          </w:p>
        </w:tc>
        <w:tc>
          <w:tcPr>
            <w:tcW w:w="1439" w:type="dxa"/>
            <w:tcBorders>
              <w:top w:val="single" w:sz="6" w:space="0" w:color="000000"/>
              <w:left w:val="single" w:sz="6" w:space="0" w:color="000000"/>
              <w:bottom w:val="single" w:sz="6" w:space="0" w:color="000000"/>
              <w:right w:val="single" w:sz="6" w:space="0" w:color="000000"/>
            </w:tcBorders>
          </w:tcPr>
          <w:p w14:paraId="50D41F47"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0.25</w:t>
            </w:r>
          </w:p>
        </w:tc>
      </w:tr>
      <w:tr w:rsidR="008867A4" w:rsidRPr="006F11F4" w14:paraId="16129EDA"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tcPr>
          <w:p w14:paraId="21A518C9"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huecas para almacenar</w:t>
            </w:r>
          </w:p>
        </w:tc>
        <w:tc>
          <w:tcPr>
            <w:tcW w:w="1299" w:type="dxa"/>
            <w:tcBorders>
              <w:top w:val="single" w:sz="6" w:space="0" w:color="000000"/>
              <w:left w:val="single" w:sz="6" w:space="0" w:color="000000"/>
              <w:bottom w:val="single" w:sz="6" w:space="0" w:color="000000"/>
              <w:right w:val="single" w:sz="6" w:space="0" w:color="000000"/>
            </w:tcBorders>
          </w:tcPr>
          <w:p w14:paraId="55B49249"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u w:val="single"/>
                <w:lang w:eastAsia="es-MX"/>
              </w:rPr>
              <w:t>&gt;</w:t>
            </w:r>
            <w:r w:rsidRPr="006F11F4">
              <w:rPr>
                <w:rFonts w:ascii="Verdana" w:hAnsi="Verdana"/>
                <w:sz w:val="16"/>
                <w:szCs w:val="16"/>
                <w:lang w:eastAsia="es-MX"/>
              </w:rPr>
              <w:t xml:space="preserve"> a 3 L</w:t>
            </w:r>
          </w:p>
        </w:tc>
        <w:tc>
          <w:tcPr>
            <w:tcW w:w="611" w:type="dxa"/>
            <w:tcBorders>
              <w:top w:val="single" w:sz="6" w:space="0" w:color="000000"/>
              <w:left w:val="single" w:sz="6" w:space="0" w:color="000000"/>
              <w:bottom w:val="single" w:sz="6" w:space="0" w:color="000000"/>
              <w:right w:val="single" w:sz="6" w:space="0" w:color="000000"/>
            </w:tcBorders>
          </w:tcPr>
          <w:p w14:paraId="0B5CEE5D"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tcPr>
          <w:p w14:paraId="07311239"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Todas las piezas</w:t>
            </w:r>
          </w:p>
        </w:tc>
        <w:tc>
          <w:tcPr>
            <w:tcW w:w="1316" w:type="dxa"/>
            <w:tcBorders>
              <w:top w:val="single" w:sz="6" w:space="0" w:color="000000"/>
              <w:left w:val="single" w:sz="6" w:space="0" w:color="000000"/>
              <w:bottom w:val="single" w:sz="6" w:space="0" w:color="000000"/>
              <w:right w:val="single" w:sz="6" w:space="0" w:color="000000"/>
            </w:tcBorders>
          </w:tcPr>
          <w:p w14:paraId="0094BD2C"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0.50</w:t>
            </w:r>
          </w:p>
        </w:tc>
        <w:tc>
          <w:tcPr>
            <w:tcW w:w="1439" w:type="dxa"/>
            <w:tcBorders>
              <w:top w:val="single" w:sz="6" w:space="0" w:color="000000"/>
              <w:left w:val="single" w:sz="6" w:space="0" w:color="000000"/>
              <w:bottom w:val="single" w:sz="6" w:space="0" w:color="000000"/>
              <w:right w:val="single" w:sz="6" w:space="0" w:color="000000"/>
            </w:tcBorders>
          </w:tcPr>
          <w:p w14:paraId="6529F7C1"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0.25</w:t>
            </w:r>
          </w:p>
        </w:tc>
      </w:tr>
      <w:tr w:rsidR="008867A4" w:rsidRPr="006F11F4" w14:paraId="685BD343"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tcPr>
          <w:p w14:paraId="6364DA2C"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Tazas y tarros</w:t>
            </w:r>
          </w:p>
        </w:tc>
        <w:tc>
          <w:tcPr>
            <w:tcW w:w="1299" w:type="dxa"/>
            <w:tcBorders>
              <w:top w:val="single" w:sz="6" w:space="0" w:color="000000"/>
              <w:left w:val="single" w:sz="6" w:space="0" w:color="000000"/>
              <w:bottom w:val="single" w:sz="6" w:space="0" w:color="000000"/>
              <w:right w:val="single" w:sz="6" w:space="0" w:color="000000"/>
            </w:tcBorders>
          </w:tcPr>
          <w:p w14:paraId="2F12C70B"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No aplica</w:t>
            </w:r>
          </w:p>
        </w:tc>
        <w:tc>
          <w:tcPr>
            <w:tcW w:w="611" w:type="dxa"/>
            <w:tcBorders>
              <w:top w:val="single" w:sz="6" w:space="0" w:color="000000"/>
              <w:left w:val="single" w:sz="6" w:space="0" w:color="000000"/>
              <w:bottom w:val="single" w:sz="6" w:space="0" w:color="000000"/>
              <w:right w:val="single" w:sz="6" w:space="0" w:color="000000"/>
            </w:tcBorders>
          </w:tcPr>
          <w:p w14:paraId="7E6AAA8A"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tcPr>
          <w:p w14:paraId="5D1D5D27"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Todas las piezas</w:t>
            </w:r>
          </w:p>
        </w:tc>
        <w:tc>
          <w:tcPr>
            <w:tcW w:w="1316" w:type="dxa"/>
            <w:tcBorders>
              <w:top w:val="single" w:sz="6" w:space="0" w:color="000000"/>
              <w:left w:val="single" w:sz="6" w:space="0" w:color="000000"/>
              <w:bottom w:val="single" w:sz="6" w:space="0" w:color="000000"/>
              <w:right w:val="single" w:sz="6" w:space="0" w:color="000000"/>
            </w:tcBorders>
          </w:tcPr>
          <w:p w14:paraId="4A8B8619"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0.50</w:t>
            </w:r>
          </w:p>
        </w:tc>
        <w:tc>
          <w:tcPr>
            <w:tcW w:w="1439" w:type="dxa"/>
            <w:tcBorders>
              <w:top w:val="single" w:sz="6" w:space="0" w:color="000000"/>
              <w:left w:val="single" w:sz="6" w:space="0" w:color="000000"/>
              <w:bottom w:val="single" w:sz="6" w:space="0" w:color="000000"/>
              <w:right w:val="single" w:sz="6" w:space="0" w:color="000000"/>
            </w:tcBorders>
          </w:tcPr>
          <w:p w14:paraId="65A43A42"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0.25</w:t>
            </w:r>
          </w:p>
        </w:tc>
      </w:tr>
      <w:tr w:rsidR="008867A4" w:rsidRPr="006F11F4" w14:paraId="0502F429"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tcPr>
          <w:p w14:paraId="25C490A7"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para procesar alimentos y/o bebidas</w:t>
            </w:r>
          </w:p>
        </w:tc>
        <w:tc>
          <w:tcPr>
            <w:tcW w:w="1299" w:type="dxa"/>
            <w:tcBorders>
              <w:top w:val="single" w:sz="6" w:space="0" w:color="000000"/>
              <w:left w:val="single" w:sz="6" w:space="0" w:color="000000"/>
              <w:bottom w:val="single" w:sz="6" w:space="0" w:color="000000"/>
              <w:right w:val="single" w:sz="6" w:space="0" w:color="000000"/>
            </w:tcBorders>
          </w:tcPr>
          <w:p w14:paraId="00EE0BF2"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No aplica</w:t>
            </w:r>
          </w:p>
        </w:tc>
        <w:tc>
          <w:tcPr>
            <w:tcW w:w="611" w:type="dxa"/>
            <w:tcBorders>
              <w:top w:val="single" w:sz="6" w:space="0" w:color="000000"/>
              <w:left w:val="single" w:sz="6" w:space="0" w:color="000000"/>
              <w:bottom w:val="single" w:sz="6" w:space="0" w:color="000000"/>
              <w:right w:val="single" w:sz="6" w:space="0" w:color="000000"/>
            </w:tcBorders>
          </w:tcPr>
          <w:p w14:paraId="474CFC02"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tcPr>
          <w:p w14:paraId="6F6CC24D"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Todas las piezas</w:t>
            </w:r>
          </w:p>
        </w:tc>
        <w:tc>
          <w:tcPr>
            <w:tcW w:w="1316" w:type="dxa"/>
            <w:tcBorders>
              <w:top w:val="single" w:sz="6" w:space="0" w:color="000000"/>
              <w:left w:val="single" w:sz="6" w:space="0" w:color="000000"/>
              <w:bottom w:val="single" w:sz="6" w:space="0" w:color="000000"/>
              <w:right w:val="single" w:sz="6" w:space="0" w:color="000000"/>
            </w:tcBorders>
          </w:tcPr>
          <w:p w14:paraId="3A66E6A7"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0.50</w:t>
            </w:r>
          </w:p>
        </w:tc>
        <w:tc>
          <w:tcPr>
            <w:tcW w:w="1439" w:type="dxa"/>
            <w:tcBorders>
              <w:top w:val="single" w:sz="6" w:space="0" w:color="000000"/>
              <w:left w:val="single" w:sz="6" w:space="0" w:color="000000"/>
              <w:bottom w:val="single" w:sz="6" w:space="0" w:color="000000"/>
              <w:right w:val="single" w:sz="6" w:space="0" w:color="000000"/>
            </w:tcBorders>
          </w:tcPr>
          <w:p w14:paraId="18AB770D"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0.05</w:t>
            </w:r>
          </w:p>
        </w:tc>
      </w:tr>
      <w:tr w:rsidR="008867A4" w:rsidRPr="006F11F4" w14:paraId="729FBCE5" w14:textId="77777777">
        <w:tblPrEx>
          <w:tblCellMar>
            <w:top w:w="0" w:type="dxa"/>
            <w:bottom w:w="0" w:type="dxa"/>
          </w:tblCellMar>
        </w:tblPrEx>
        <w:trPr>
          <w:trHeight w:val="144"/>
        </w:trPr>
        <w:tc>
          <w:tcPr>
            <w:tcW w:w="8712" w:type="dxa"/>
            <w:gridSpan w:val="6"/>
            <w:tcBorders>
              <w:top w:val="single" w:sz="6" w:space="0" w:color="000000"/>
              <w:left w:val="single" w:sz="6" w:space="0" w:color="000000"/>
              <w:bottom w:val="single" w:sz="6" w:space="0" w:color="000000"/>
              <w:right w:val="single" w:sz="6" w:space="0" w:color="000000"/>
            </w:tcBorders>
          </w:tcPr>
          <w:p w14:paraId="5D5D727A"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position w:val="8"/>
                <w:sz w:val="16"/>
                <w:szCs w:val="16"/>
                <w:lang w:eastAsia="es-MX"/>
              </w:rPr>
              <w:t xml:space="preserve">a </w:t>
            </w:r>
            <w:r w:rsidRPr="006F11F4">
              <w:rPr>
                <w:rFonts w:ascii="Verdana" w:hAnsi="Verdana"/>
                <w:sz w:val="16"/>
                <w:szCs w:val="16"/>
                <w:lang w:eastAsia="es-MX"/>
              </w:rPr>
              <w:t>Es el número de piezas a las que se les aplicará la prueba.</w:t>
            </w:r>
          </w:p>
          <w:p w14:paraId="64FDAB41"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position w:val="8"/>
                <w:sz w:val="16"/>
                <w:szCs w:val="16"/>
                <w:lang w:eastAsia="es-MX"/>
              </w:rPr>
              <w:t>b</w:t>
            </w:r>
            <w:r w:rsidRPr="006F11F4">
              <w:rPr>
                <w:rFonts w:ascii="Verdana" w:hAnsi="Verdana"/>
                <w:sz w:val="16"/>
                <w:szCs w:val="16"/>
                <w:lang w:eastAsia="es-MX"/>
              </w:rPr>
              <w:t xml:space="preserve"> En caso de que la muestra (cuatro piezas) exceda el 25 % de la producción anual de esa pieza suelta específica, se analizará una pieza.</w:t>
            </w:r>
          </w:p>
        </w:tc>
      </w:tr>
    </w:tbl>
    <w:p w14:paraId="751E86B0" w14:textId="23290065" w:rsidR="008867A4" w:rsidRDefault="008867A4" w:rsidP="00F977F2">
      <w:pPr>
        <w:pStyle w:val="Texto"/>
        <w:spacing w:line="236" w:lineRule="exact"/>
        <w:rPr>
          <w:rFonts w:ascii="Verdana" w:hAnsi="Verdana"/>
          <w:sz w:val="16"/>
          <w:szCs w:val="16"/>
          <w:lang w:eastAsia="es-MX"/>
        </w:rPr>
      </w:pPr>
    </w:p>
    <w:p w14:paraId="0D120680" w14:textId="77777777" w:rsidR="00307BA1" w:rsidRDefault="00307BA1" w:rsidP="00307BA1">
      <w:pPr>
        <w:spacing w:after="101" w:line="236" w:lineRule="atLeast"/>
        <w:jc w:val="center"/>
        <w:rPr>
          <w:lang w:val="en-US" w:eastAsia="en-US"/>
        </w:rPr>
      </w:pPr>
      <w:r>
        <w:rPr>
          <w:rFonts w:ascii="Verdana" w:hAnsi="Verdana"/>
          <w:sz w:val="16"/>
          <w:szCs w:val="16"/>
        </w:rPr>
        <w:t> </w:t>
      </w:r>
    </w:p>
    <w:tbl>
      <w:tblPr>
        <w:tblW w:w="8712" w:type="dxa"/>
        <w:tblInd w:w="57" w:type="dxa"/>
        <w:tblCellMar>
          <w:left w:w="0" w:type="dxa"/>
          <w:right w:w="0" w:type="dxa"/>
        </w:tblCellMar>
        <w:tblLook w:val="04A0" w:firstRow="1" w:lastRow="0" w:firstColumn="1" w:lastColumn="0" w:noHBand="0" w:noVBand="1"/>
      </w:tblPr>
      <w:tblGrid>
        <w:gridCol w:w="2390"/>
        <w:gridCol w:w="1299"/>
        <w:gridCol w:w="611"/>
        <w:gridCol w:w="1657"/>
        <w:gridCol w:w="1316"/>
        <w:gridCol w:w="1439"/>
      </w:tblGrid>
      <w:tr w:rsidR="00307BA1" w:rsidRPr="00307BA1" w14:paraId="3C883E14" w14:textId="77777777" w:rsidTr="00307BA1">
        <w:trPr>
          <w:trHeight w:val="144"/>
        </w:trPr>
        <w:tc>
          <w:tcPr>
            <w:tcW w:w="8712" w:type="dxa"/>
            <w:gridSpan w:val="6"/>
            <w:tcBorders>
              <w:top w:val="single" w:sz="6" w:space="0" w:color="000000"/>
              <w:left w:val="single" w:sz="6" w:space="0" w:color="000000"/>
              <w:bottom w:val="nil"/>
              <w:right w:val="single" w:sz="6" w:space="0" w:color="000000"/>
            </w:tcBorders>
            <w:tcMar>
              <w:top w:w="0" w:type="dxa"/>
              <w:left w:w="72" w:type="dxa"/>
              <w:bottom w:w="0" w:type="dxa"/>
              <w:right w:w="72" w:type="dxa"/>
            </w:tcMar>
            <w:vAlign w:val="center"/>
            <w:hideMark/>
          </w:tcPr>
          <w:p w14:paraId="07900E7B"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Table 1 - Maximum permissible limits of soluble Pb and Cd that pottery, ceramic and porcelain pieces must meet</w:t>
            </w:r>
          </w:p>
        </w:tc>
      </w:tr>
      <w:tr w:rsidR="00307BA1" w14:paraId="17762074" w14:textId="77777777" w:rsidTr="00307BA1">
        <w:trPr>
          <w:trHeight w:val="144"/>
        </w:trPr>
        <w:tc>
          <w:tcPr>
            <w:tcW w:w="239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C26459"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Type of piece</w:t>
            </w:r>
          </w:p>
        </w:tc>
        <w:tc>
          <w:tcPr>
            <w:tcW w:w="1299"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90976E"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Capacity</w:t>
            </w:r>
          </w:p>
        </w:tc>
        <w:tc>
          <w:tcPr>
            <w:tcW w:w="611"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0E1C6C"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 xml:space="preserve">N </w:t>
            </w:r>
            <w:r w:rsidRPr="00B746AB">
              <w:rPr>
                <w:rFonts w:ascii="Verdana" w:hAnsi="Verdana"/>
                <w:b/>
                <w:bCs/>
                <w:position w:val="8"/>
                <w:sz w:val="16"/>
                <w:szCs w:val="16"/>
                <w:lang w:val="en-US"/>
              </w:rPr>
              <w:t>a, b</w:t>
            </w:r>
          </w:p>
        </w:tc>
        <w:tc>
          <w:tcPr>
            <w:tcW w:w="165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651D52" w14:textId="27C2ABC1" w:rsidR="00307BA1" w:rsidRPr="00B746AB" w:rsidRDefault="00307BA1">
            <w:pPr>
              <w:spacing w:after="101" w:line="236" w:lineRule="atLeast"/>
              <w:jc w:val="center"/>
              <w:rPr>
                <w:lang w:val="en-US"/>
              </w:rPr>
            </w:pPr>
            <w:r w:rsidRPr="00B746AB">
              <w:rPr>
                <w:rFonts w:ascii="Verdana" w:hAnsi="Verdana"/>
                <w:b/>
                <w:bCs/>
                <w:sz w:val="16"/>
                <w:szCs w:val="16"/>
                <w:lang w:val="en-US"/>
              </w:rPr>
              <w:t xml:space="preserve">Acceptance </w:t>
            </w:r>
            <w:r w:rsidR="00B746AB">
              <w:rPr>
                <w:rFonts w:ascii="Verdana" w:hAnsi="Verdana"/>
                <w:b/>
                <w:bCs/>
                <w:sz w:val="16"/>
                <w:szCs w:val="16"/>
                <w:lang w:val="en-US"/>
              </w:rPr>
              <w:t>criteria</w:t>
            </w:r>
          </w:p>
        </w:tc>
        <w:tc>
          <w:tcPr>
            <w:tcW w:w="27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22B492"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Maximum allowable limit</w:t>
            </w:r>
          </w:p>
        </w:tc>
      </w:tr>
      <w:tr w:rsidR="00307BA1" w14:paraId="5F3DA473" w14:textId="77777777" w:rsidTr="00307BA1">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C7CCB2" w14:textId="77777777" w:rsidR="00307BA1" w:rsidRPr="00B746AB" w:rsidRDefault="00307BA1">
            <w:pPr>
              <w:rPr>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04983C" w14:textId="77777777" w:rsidR="00307BA1" w:rsidRPr="00B746AB" w:rsidRDefault="00307BA1">
            <w:pPr>
              <w:rPr>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513240" w14:textId="77777777" w:rsidR="00307BA1" w:rsidRPr="00B746AB" w:rsidRDefault="00307BA1">
            <w:pPr>
              <w:rPr>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01B637" w14:textId="77777777" w:rsidR="00307BA1" w:rsidRPr="00B746AB" w:rsidRDefault="00307BA1">
            <w:pPr>
              <w:rPr>
                <w:lang w:val="en-US"/>
              </w:rPr>
            </w:pP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B82436"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 xml:space="preserve">Pb mg / L </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52095A"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 xml:space="preserve">Cd mg / L </w:t>
            </w:r>
          </w:p>
        </w:tc>
      </w:tr>
      <w:tr w:rsidR="00307BA1" w14:paraId="23536C6D"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ADAB90D" w14:textId="77777777" w:rsidR="00307BA1" w:rsidRPr="00B746AB" w:rsidRDefault="00307BA1">
            <w:pPr>
              <w:spacing w:after="101" w:line="236" w:lineRule="atLeast"/>
              <w:jc w:val="both"/>
              <w:rPr>
                <w:lang w:val="en-US"/>
              </w:rPr>
            </w:pPr>
            <w:r w:rsidRPr="00B746AB">
              <w:rPr>
                <w:rFonts w:ascii="Verdana" w:hAnsi="Verdana"/>
                <w:sz w:val="16"/>
                <w:szCs w:val="16"/>
                <w:lang w:val="en-US"/>
              </w:rPr>
              <w:t>Flat pieces</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FA096F" w14:textId="77777777" w:rsidR="00307BA1" w:rsidRPr="00B746AB" w:rsidRDefault="00307BA1">
            <w:pPr>
              <w:spacing w:after="101" w:line="236" w:lineRule="atLeast"/>
              <w:jc w:val="center"/>
              <w:rPr>
                <w:lang w:val="en-US"/>
              </w:rPr>
            </w:pPr>
            <w:r w:rsidRPr="00B746AB">
              <w:rPr>
                <w:rFonts w:ascii="Verdana" w:hAnsi="Verdana"/>
                <w:sz w:val="16"/>
                <w:szCs w:val="16"/>
                <w:lang w:val="en-US"/>
              </w:rPr>
              <w:t>Does not apply</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489567"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988575" w14:textId="77777777" w:rsidR="00307BA1" w:rsidRPr="00B746AB" w:rsidRDefault="00307BA1">
            <w:pPr>
              <w:spacing w:after="101" w:line="236" w:lineRule="atLeast"/>
              <w:jc w:val="center"/>
              <w:rPr>
                <w:lang w:val="en-US"/>
              </w:rPr>
            </w:pPr>
            <w:r w:rsidRPr="00B746AB">
              <w:rPr>
                <w:rFonts w:ascii="Verdana" w:hAnsi="Verdana"/>
                <w:sz w:val="16"/>
                <w:szCs w:val="16"/>
                <w:lang w:val="en-US"/>
              </w:rPr>
              <w:t>Average</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44A8DA" w14:textId="77777777" w:rsidR="00307BA1" w:rsidRPr="00B746AB" w:rsidRDefault="00307BA1">
            <w:pPr>
              <w:spacing w:after="101" w:line="236" w:lineRule="atLeast"/>
              <w:jc w:val="center"/>
              <w:rPr>
                <w:lang w:val="en-US"/>
              </w:rPr>
            </w:pPr>
            <w:r w:rsidRPr="00B746AB">
              <w:rPr>
                <w:rFonts w:ascii="Verdana" w:hAnsi="Verdana"/>
                <w:sz w:val="16"/>
                <w:szCs w:val="16"/>
                <w:lang w:val="en-US"/>
              </w:rPr>
              <w:t>2.00</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0E9ABF" w14:textId="77777777" w:rsidR="00307BA1" w:rsidRPr="00B746AB" w:rsidRDefault="00307BA1">
            <w:pPr>
              <w:spacing w:after="101" w:line="236" w:lineRule="atLeast"/>
              <w:jc w:val="center"/>
              <w:rPr>
                <w:lang w:val="en-US"/>
              </w:rPr>
            </w:pPr>
            <w:r w:rsidRPr="00B746AB">
              <w:rPr>
                <w:rFonts w:ascii="Verdana" w:hAnsi="Verdana"/>
                <w:sz w:val="16"/>
                <w:szCs w:val="16"/>
                <w:lang w:val="en-US"/>
              </w:rPr>
              <w:t>0.50</w:t>
            </w:r>
          </w:p>
        </w:tc>
      </w:tr>
      <w:tr w:rsidR="00307BA1" w14:paraId="1801952E"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735FAC" w14:textId="77777777" w:rsidR="00307BA1" w:rsidRPr="00B746AB" w:rsidRDefault="00307BA1">
            <w:pPr>
              <w:spacing w:after="101" w:line="236" w:lineRule="atLeast"/>
              <w:jc w:val="both"/>
              <w:rPr>
                <w:lang w:val="en-US"/>
              </w:rPr>
            </w:pPr>
            <w:r w:rsidRPr="00B746AB">
              <w:rPr>
                <w:rFonts w:ascii="Verdana" w:hAnsi="Verdana"/>
                <w:sz w:val="16"/>
                <w:szCs w:val="16"/>
                <w:lang w:val="en-US"/>
              </w:rPr>
              <w:t>Small hollow parts</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2A2DAA" w14:textId="77777777" w:rsidR="00307BA1" w:rsidRPr="00B746AB" w:rsidRDefault="00307BA1">
            <w:pPr>
              <w:spacing w:after="101" w:line="236" w:lineRule="atLeast"/>
              <w:jc w:val="center"/>
              <w:rPr>
                <w:lang w:val="en-US"/>
              </w:rPr>
            </w:pPr>
            <w:r w:rsidRPr="00B746AB">
              <w:rPr>
                <w:rFonts w:ascii="Verdana" w:hAnsi="Verdana"/>
                <w:sz w:val="16"/>
                <w:szCs w:val="16"/>
                <w:lang w:val="en-US"/>
              </w:rPr>
              <w:t>&lt;to 1.1 L</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26A6FB"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E0A4F4" w14:textId="77777777" w:rsidR="00307BA1" w:rsidRPr="00B746AB" w:rsidRDefault="00307BA1">
            <w:pPr>
              <w:spacing w:after="101" w:line="236" w:lineRule="atLeast"/>
              <w:jc w:val="center"/>
              <w:rPr>
                <w:lang w:val="en-US"/>
              </w:rPr>
            </w:pPr>
            <w:r w:rsidRPr="00B746AB">
              <w:rPr>
                <w:rFonts w:ascii="Verdana" w:hAnsi="Verdana"/>
                <w:sz w:val="16"/>
                <w:szCs w:val="16"/>
                <w:lang w:val="en-US"/>
              </w:rPr>
              <w:t>All the pieces</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250034" w14:textId="77777777" w:rsidR="00307BA1" w:rsidRPr="00B746AB" w:rsidRDefault="00307BA1">
            <w:pPr>
              <w:spacing w:after="101" w:line="236" w:lineRule="atLeast"/>
              <w:jc w:val="center"/>
              <w:rPr>
                <w:lang w:val="en-US"/>
              </w:rPr>
            </w:pPr>
            <w:r w:rsidRPr="00B746AB">
              <w:rPr>
                <w:rFonts w:ascii="Verdana" w:hAnsi="Verdana"/>
                <w:sz w:val="16"/>
                <w:szCs w:val="16"/>
                <w:lang w:val="en-US"/>
              </w:rPr>
              <w:t>2.00</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85B1C5" w14:textId="77777777" w:rsidR="00307BA1" w:rsidRPr="00B746AB" w:rsidRDefault="00307BA1">
            <w:pPr>
              <w:spacing w:after="101" w:line="236" w:lineRule="atLeast"/>
              <w:jc w:val="center"/>
              <w:rPr>
                <w:lang w:val="en-US"/>
              </w:rPr>
            </w:pPr>
            <w:r w:rsidRPr="00B746AB">
              <w:rPr>
                <w:rFonts w:ascii="Verdana" w:hAnsi="Verdana"/>
                <w:sz w:val="16"/>
                <w:szCs w:val="16"/>
                <w:lang w:val="en-US"/>
              </w:rPr>
              <w:t>0.50</w:t>
            </w:r>
          </w:p>
        </w:tc>
      </w:tr>
      <w:tr w:rsidR="00307BA1" w14:paraId="4D4C03C6"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C4CB8C" w14:textId="77777777" w:rsidR="00307BA1" w:rsidRPr="00B746AB" w:rsidRDefault="00307BA1">
            <w:pPr>
              <w:spacing w:after="101" w:line="236" w:lineRule="atLeast"/>
              <w:jc w:val="both"/>
              <w:rPr>
                <w:lang w:val="en-US"/>
              </w:rPr>
            </w:pPr>
            <w:r w:rsidRPr="00B746AB">
              <w:rPr>
                <w:rFonts w:ascii="Verdana" w:hAnsi="Verdana"/>
                <w:sz w:val="16"/>
                <w:szCs w:val="16"/>
                <w:lang w:val="en-US"/>
              </w:rPr>
              <w:t>Large hollow parts</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BC1786E" w14:textId="77777777" w:rsidR="00307BA1" w:rsidRPr="00B746AB" w:rsidRDefault="00307BA1">
            <w:pPr>
              <w:spacing w:after="101" w:line="236" w:lineRule="atLeast"/>
              <w:jc w:val="center"/>
              <w:rPr>
                <w:lang w:val="en-US"/>
              </w:rPr>
            </w:pPr>
            <w:r w:rsidRPr="00B746AB">
              <w:rPr>
                <w:rFonts w:ascii="Verdana" w:hAnsi="Verdana"/>
                <w:sz w:val="16"/>
                <w:szCs w:val="16"/>
                <w:u w:val="single"/>
                <w:lang w:val="en-US"/>
              </w:rPr>
              <w:t xml:space="preserve">&gt; </w:t>
            </w:r>
            <w:r w:rsidRPr="00B746AB">
              <w:rPr>
                <w:rFonts w:ascii="Verdana" w:hAnsi="Verdana"/>
                <w:sz w:val="16"/>
                <w:szCs w:val="16"/>
                <w:lang w:val="en-US"/>
              </w:rPr>
              <w:t>to 1.1 L</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35BAC7"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4B1B37" w14:textId="77777777" w:rsidR="00307BA1" w:rsidRPr="00B746AB" w:rsidRDefault="00307BA1">
            <w:pPr>
              <w:spacing w:after="101" w:line="236" w:lineRule="atLeast"/>
              <w:jc w:val="center"/>
              <w:rPr>
                <w:lang w:val="en-US"/>
              </w:rPr>
            </w:pPr>
            <w:r w:rsidRPr="00B746AB">
              <w:rPr>
                <w:rFonts w:ascii="Verdana" w:hAnsi="Verdana"/>
                <w:sz w:val="16"/>
                <w:szCs w:val="16"/>
                <w:lang w:val="en-US"/>
              </w:rPr>
              <w:t>All the pieces</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5FEC4A" w14:textId="77777777" w:rsidR="00307BA1" w:rsidRPr="00B746AB" w:rsidRDefault="00307BA1">
            <w:pPr>
              <w:spacing w:after="101" w:line="236" w:lineRule="atLeast"/>
              <w:jc w:val="center"/>
              <w:rPr>
                <w:lang w:val="en-US"/>
              </w:rPr>
            </w:pPr>
            <w:r w:rsidRPr="00B746AB">
              <w:rPr>
                <w:rFonts w:ascii="Verdana" w:hAnsi="Verdana"/>
                <w:sz w:val="16"/>
                <w:szCs w:val="16"/>
                <w:lang w:val="en-US"/>
              </w:rPr>
              <w:t>1.00</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F8AE85" w14:textId="77777777" w:rsidR="00307BA1" w:rsidRPr="00B746AB" w:rsidRDefault="00307BA1">
            <w:pPr>
              <w:spacing w:after="101" w:line="236" w:lineRule="atLeast"/>
              <w:jc w:val="center"/>
              <w:rPr>
                <w:lang w:val="en-US"/>
              </w:rPr>
            </w:pPr>
            <w:r w:rsidRPr="00B746AB">
              <w:rPr>
                <w:rFonts w:ascii="Verdana" w:hAnsi="Verdana"/>
                <w:sz w:val="16"/>
                <w:szCs w:val="16"/>
                <w:lang w:val="en-US"/>
              </w:rPr>
              <w:t>0.25</w:t>
            </w:r>
          </w:p>
        </w:tc>
      </w:tr>
      <w:tr w:rsidR="00307BA1" w14:paraId="1E3207EC"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39AC80" w14:textId="77777777" w:rsidR="00307BA1" w:rsidRPr="00B746AB" w:rsidRDefault="00307BA1">
            <w:pPr>
              <w:spacing w:after="101" w:line="236" w:lineRule="atLeast"/>
              <w:jc w:val="both"/>
              <w:rPr>
                <w:lang w:val="en-US"/>
              </w:rPr>
            </w:pPr>
            <w:r w:rsidRPr="00B746AB">
              <w:rPr>
                <w:rFonts w:ascii="Verdana" w:hAnsi="Verdana"/>
                <w:sz w:val="16"/>
                <w:szCs w:val="16"/>
                <w:lang w:val="en-US"/>
              </w:rPr>
              <w:t>Hollow parts for storage</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9BA814" w14:textId="77777777" w:rsidR="00307BA1" w:rsidRPr="00B746AB" w:rsidRDefault="00307BA1">
            <w:pPr>
              <w:spacing w:after="101" w:line="236" w:lineRule="atLeast"/>
              <w:jc w:val="center"/>
              <w:rPr>
                <w:lang w:val="en-US"/>
              </w:rPr>
            </w:pPr>
            <w:r w:rsidRPr="00B746AB">
              <w:rPr>
                <w:rFonts w:ascii="Verdana" w:hAnsi="Verdana"/>
                <w:sz w:val="16"/>
                <w:szCs w:val="16"/>
                <w:u w:val="single"/>
                <w:lang w:val="en-US"/>
              </w:rPr>
              <w:t xml:space="preserve">&gt; </w:t>
            </w:r>
            <w:r w:rsidRPr="00B746AB">
              <w:rPr>
                <w:rFonts w:ascii="Verdana" w:hAnsi="Verdana"/>
                <w:sz w:val="16"/>
                <w:szCs w:val="16"/>
                <w:lang w:val="en-US"/>
              </w:rPr>
              <w:t>to 3 L</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8BF198"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BFFE07" w14:textId="77777777" w:rsidR="00307BA1" w:rsidRPr="00B746AB" w:rsidRDefault="00307BA1">
            <w:pPr>
              <w:spacing w:after="101" w:line="236" w:lineRule="atLeast"/>
              <w:jc w:val="center"/>
              <w:rPr>
                <w:lang w:val="en-US"/>
              </w:rPr>
            </w:pPr>
            <w:r w:rsidRPr="00B746AB">
              <w:rPr>
                <w:rFonts w:ascii="Verdana" w:hAnsi="Verdana"/>
                <w:sz w:val="16"/>
                <w:szCs w:val="16"/>
                <w:lang w:val="en-US"/>
              </w:rPr>
              <w:t>All the pieces</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813A05" w14:textId="77777777" w:rsidR="00307BA1" w:rsidRPr="00B746AB" w:rsidRDefault="00307BA1">
            <w:pPr>
              <w:spacing w:after="101" w:line="236" w:lineRule="atLeast"/>
              <w:jc w:val="center"/>
              <w:rPr>
                <w:lang w:val="en-US"/>
              </w:rPr>
            </w:pPr>
            <w:r w:rsidRPr="00B746AB">
              <w:rPr>
                <w:rFonts w:ascii="Verdana" w:hAnsi="Verdana"/>
                <w:sz w:val="16"/>
                <w:szCs w:val="16"/>
                <w:lang w:val="en-US"/>
              </w:rPr>
              <w:t>0.50</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9BA5BC" w14:textId="77777777" w:rsidR="00307BA1" w:rsidRPr="00B746AB" w:rsidRDefault="00307BA1">
            <w:pPr>
              <w:spacing w:after="101" w:line="236" w:lineRule="atLeast"/>
              <w:jc w:val="center"/>
              <w:rPr>
                <w:lang w:val="en-US"/>
              </w:rPr>
            </w:pPr>
            <w:r w:rsidRPr="00B746AB">
              <w:rPr>
                <w:rFonts w:ascii="Verdana" w:hAnsi="Verdana"/>
                <w:sz w:val="16"/>
                <w:szCs w:val="16"/>
                <w:lang w:val="en-US"/>
              </w:rPr>
              <w:t>0.25</w:t>
            </w:r>
          </w:p>
        </w:tc>
      </w:tr>
      <w:tr w:rsidR="00307BA1" w14:paraId="1121C658"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66AE7F" w14:textId="77777777" w:rsidR="00307BA1" w:rsidRPr="00B746AB" w:rsidRDefault="00307BA1">
            <w:pPr>
              <w:spacing w:after="101" w:line="236" w:lineRule="atLeast"/>
              <w:jc w:val="both"/>
              <w:rPr>
                <w:lang w:val="en-US"/>
              </w:rPr>
            </w:pPr>
            <w:r w:rsidRPr="00B746AB">
              <w:rPr>
                <w:rFonts w:ascii="Verdana" w:hAnsi="Verdana"/>
                <w:sz w:val="16"/>
                <w:szCs w:val="16"/>
                <w:lang w:val="en-US"/>
              </w:rPr>
              <w:t>Cups and jars</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40F5BB" w14:textId="77777777" w:rsidR="00307BA1" w:rsidRPr="00B746AB" w:rsidRDefault="00307BA1">
            <w:pPr>
              <w:spacing w:after="101" w:line="236" w:lineRule="atLeast"/>
              <w:jc w:val="center"/>
              <w:rPr>
                <w:lang w:val="en-US"/>
              </w:rPr>
            </w:pPr>
            <w:r w:rsidRPr="00B746AB">
              <w:rPr>
                <w:rFonts w:ascii="Verdana" w:hAnsi="Verdana"/>
                <w:sz w:val="16"/>
                <w:szCs w:val="16"/>
                <w:lang w:val="en-US"/>
              </w:rPr>
              <w:t>Does not apply</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1FFE99"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76F897" w14:textId="77777777" w:rsidR="00307BA1" w:rsidRPr="00B746AB" w:rsidRDefault="00307BA1">
            <w:pPr>
              <w:spacing w:after="101" w:line="236" w:lineRule="atLeast"/>
              <w:jc w:val="center"/>
              <w:rPr>
                <w:lang w:val="en-US"/>
              </w:rPr>
            </w:pPr>
            <w:r w:rsidRPr="00B746AB">
              <w:rPr>
                <w:rFonts w:ascii="Verdana" w:hAnsi="Verdana"/>
                <w:sz w:val="16"/>
                <w:szCs w:val="16"/>
                <w:lang w:val="en-US"/>
              </w:rPr>
              <w:t>All the pieces</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2B9DDC" w14:textId="77777777" w:rsidR="00307BA1" w:rsidRPr="00B746AB" w:rsidRDefault="00307BA1">
            <w:pPr>
              <w:spacing w:after="101" w:line="236" w:lineRule="atLeast"/>
              <w:jc w:val="center"/>
              <w:rPr>
                <w:lang w:val="en-US"/>
              </w:rPr>
            </w:pPr>
            <w:r w:rsidRPr="00B746AB">
              <w:rPr>
                <w:rFonts w:ascii="Verdana" w:hAnsi="Verdana"/>
                <w:sz w:val="16"/>
                <w:szCs w:val="16"/>
                <w:lang w:val="en-US"/>
              </w:rPr>
              <w:t>0.50</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53D512" w14:textId="77777777" w:rsidR="00307BA1" w:rsidRPr="00B746AB" w:rsidRDefault="00307BA1">
            <w:pPr>
              <w:spacing w:after="101" w:line="236" w:lineRule="atLeast"/>
              <w:jc w:val="center"/>
              <w:rPr>
                <w:lang w:val="en-US"/>
              </w:rPr>
            </w:pPr>
            <w:r w:rsidRPr="00B746AB">
              <w:rPr>
                <w:rFonts w:ascii="Verdana" w:hAnsi="Verdana"/>
                <w:sz w:val="16"/>
                <w:szCs w:val="16"/>
                <w:lang w:val="en-US"/>
              </w:rPr>
              <w:t>0.25</w:t>
            </w:r>
          </w:p>
        </w:tc>
      </w:tr>
      <w:tr w:rsidR="00307BA1" w14:paraId="3092A86D"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C2D74A" w14:textId="4CBE1D06" w:rsidR="00307BA1" w:rsidRPr="00B746AB" w:rsidRDefault="00307BA1">
            <w:pPr>
              <w:spacing w:after="101" w:line="236" w:lineRule="atLeast"/>
              <w:jc w:val="both"/>
              <w:rPr>
                <w:lang w:val="en-US"/>
              </w:rPr>
            </w:pPr>
            <w:r w:rsidRPr="00B746AB">
              <w:rPr>
                <w:rFonts w:ascii="Verdana" w:hAnsi="Verdana"/>
                <w:sz w:val="16"/>
                <w:szCs w:val="16"/>
                <w:lang w:val="en-US"/>
              </w:rPr>
              <w:t xml:space="preserve">Parts for processing food </w:t>
            </w:r>
            <w:r w:rsidR="00AA2282" w:rsidRPr="00B746AB">
              <w:rPr>
                <w:rFonts w:ascii="Verdana" w:hAnsi="Verdana"/>
                <w:sz w:val="16"/>
                <w:szCs w:val="16"/>
                <w:lang w:val="en-US"/>
              </w:rPr>
              <w:t>and/or</w:t>
            </w:r>
            <w:r w:rsidRPr="00B746AB">
              <w:rPr>
                <w:rFonts w:ascii="Verdana" w:hAnsi="Verdana"/>
                <w:sz w:val="16"/>
                <w:szCs w:val="16"/>
                <w:lang w:val="en-US"/>
              </w:rPr>
              <w:t xml:space="preserve"> beverages</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CA09FF" w14:textId="77777777" w:rsidR="00307BA1" w:rsidRPr="00B746AB" w:rsidRDefault="00307BA1">
            <w:pPr>
              <w:spacing w:after="101" w:line="236" w:lineRule="atLeast"/>
              <w:jc w:val="center"/>
              <w:rPr>
                <w:lang w:val="en-US"/>
              </w:rPr>
            </w:pPr>
            <w:r w:rsidRPr="00B746AB">
              <w:rPr>
                <w:rFonts w:ascii="Verdana" w:hAnsi="Verdana"/>
                <w:sz w:val="16"/>
                <w:szCs w:val="16"/>
                <w:lang w:val="en-US"/>
              </w:rPr>
              <w:t>Does not apply</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EE6CDB"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D2D2A5" w14:textId="77777777" w:rsidR="00307BA1" w:rsidRPr="00B746AB" w:rsidRDefault="00307BA1">
            <w:pPr>
              <w:spacing w:after="101" w:line="236" w:lineRule="atLeast"/>
              <w:jc w:val="center"/>
              <w:rPr>
                <w:lang w:val="en-US"/>
              </w:rPr>
            </w:pPr>
            <w:r w:rsidRPr="00B746AB">
              <w:rPr>
                <w:rFonts w:ascii="Verdana" w:hAnsi="Verdana"/>
                <w:sz w:val="16"/>
                <w:szCs w:val="16"/>
                <w:lang w:val="en-US"/>
              </w:rPr>
              <w:t>All the pieces</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E7C98D" w14:textId="77777777" w:rsidR="00307BA1" w:rsidRPr="00B746AB" w:rsidRDefault="00307BA1">
            <w:pPr>
              <w:spacing w:after="101" w:line="236" w:lineRule="atLeast"/>
              <w:jc w:val="center"/>
              <w:rPr>
                <w:lang w:val="en-US"/>
              </w:rPr>
            </w:pPr>
            <w:r w:rsidRPr="00B746AB">
              <w:rPr>
                <w:rFonts w:ascii="Verdana" w:hAnsi="Verdana"/>
                <w:sz w:val="16"/>
                <w:szCs w:val="16"/>
                <w:lang w:val="en-US"/>
              </w:rPr>
              <w:t>0.50</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B2BF640" w14:textId="77777777" w:rsidR="00307BA1" w:rsidRPr="00B746AB" w:rsidRDefault="00307BA1">
            <w:pPr>
              <w:spacing w:after="101" w:line="236" w:lineRule="atLeast"/>
              <w:jc w:val="center"/>
              <w:rPr>
                <w:lang w:val="en-US"/>
              </w:rPr>
            </w:pPr>
            <w:r w:rsidRPr="00B746AB">
              <w:rPr>
                <w:rFonts w:ascii="Verdana" w:hAnsi="Verdana"/>
                <w:sz w:val="16"/>
                <w:szCs w:val="16"/>
                <w:lang w:val="en-US"/>
              </w:rPr>
              <w:t>0.05</w:t>
            </w:r>
          </w:p>
        </w:tc>
      </w:tr>
      <w:tr w:rsidR="00307BA1" w:rsidRPr="00307BA1" w14:paraId="18F8966D" w14:textId="77777777" w:rsidTr="00307BA1">
        <w:trPr>
          <w:trHeight w:val="144"/>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5439C3" w14:textId="77777777" w:rsidR="00307BA1" w:rsidRPr="00B746AB" w:rsidRDefault="00307BA1">
            <w:pPr>
              <w:spacing w:after="101" w:line="236" w:lineRule="atLeast"/>
              <w:jc w:val="both"/>
              <w:rPr>
                <w:lang w:val="en-US"/>
              </w:rPr>
            </w:pPr>
            <w:r w:rsidRPr="00B746AB">
              <w:rPr>
                <w:rFonts w:ascii="Verdana" w:hAnsi="Verdana"/>
                <w:position w:val="8"/>
                <w:sz w:val="16"/>
                <w:szCs w:val="16"/>
                <w:lang w:val="en-US"/>
              </w:rPr>
              <w:t xml:space="preserve">a </w:t>
            </w:r>
            <w:r w:rsidRPr="00B746AB">
              <w:rPr>
                <w:rFonts w:ascii="Verdana" w:hAnsi="Verdana"/>
                <w:sz w:val="16"/>
                <w:szCs w:val="16"/>
                <w:lang w:val="en-US"/>
              </w:rPr>
              <w:t>It is the number of pieces to which the test will be applied.</w:t>
            </w:r>
          </w:p>
          <w:p w14:paraId="0B38B15B" w14:textId="77777777" w:rsidR="00307BA1" w:rsidRPr="00B746AB" w:rsidRDefault="00307BA1">
            <w:pPr>
              <w:spacing w:after="101" w:line="236" w:lineRule="atLeast"/>
              <w:jc w:val="both"/>
              <w:rPr>
                <w:lang w:val="en-US"/>
              </w:rPr>
            </w:pPr>
            <w:r w:rsidRPr="00B746AB">
              <w:rPr>
                <w:rFonts w:ascii="Verdana" w:hAnsi="Verdana"/>
                <w:position w:val="8"/>
                <w:sz w:val="16"/>
                <w:szCs w:val="16"/>
                <w:lang w:val="en-US"/>
              </w:rPr>
              <w:t xml:space="preserve">b </w:t>
            </w:r>
            <w:r w:rsidRPr="00B746AB">
              <w:rPr>
                <w:rFonts w:ascii="Verdana" w:hAnsi="Verdana"/>
                <w:sz w:val="16"/>
                <w:szCs w:val="16"/>
                <w:lang w:val="en-US"/>
              </w:rPr>
              <w:t>In case the sample (four pieces) exceeds 25% of the annual production of that specific loose piece, one piece will be analyzed.</w:t>
            </w:r>
          </w:p>
        </w:tc>
      </w:tr>
    </w:tbl>
    <w:p w14:paraId="13AF8714" w14:textId="77777777" w:rsidR="00307BA1" w:rsidRPr="00307BA1" w:rsidRDefault="00307BA1" w:rsidP="00307BA1">
      <w:pPr>
        <w:spacing w:after="101" w:line="236" w:lineRule="atLeast"/>
        <w:ind w:firstLine="288"/>
        <w:jc w:val="both"/>
        <w:rPr>
          <w:lang w:val="en-US"/>
        </w:rPr>
      </w:pPr>
      <w:r w:rsidRPr="00307BA1">
        <w:rPr>
          <w:rFonts w:ascii="Verdana" w:hAnsi="Verdana"/>
          <w:sz w:val="16"/>
          <w:szCs w:val="16"/>
          <w:lang w:val="en-US"/>
        </w:rPr>
        <w:t> </w:t>
      </w:r>
    </w:p>
    <w:p w14:paraId="7700E0CE" w14:textId="77777777" w:rsidR="006F11F4" w:rsidRPr="00307BA1" w:rsidRDefault="006F11F4" w:rsidP="00F977F2">
      <w:pPr>
        <w:pStyle w:val="Texto"/>
        <w:spacing w:line="236" w:lineRule="exact"/>
        <w:rPr>
          <w:rFonts w:ascii="Verdana" w:hAnsi="Verdana"/>
          <w:sz w:val="16"/>
          <w:szCs w:val="16"/>
          <w:lang w:val="en-US" w:eastAsia="es-MX"/>
        </w:rPr>
      </w:pPr>
    </w:p>
    <w:p w14:paraId="2F22048D" w14:textId="45D6A451" w:rsidR="008867A4" w:rsidRDefault="008867A4" w:rsidP="00F977F2">
      <w:pPr>
        <w:pStyle w:val="Texto"/>
        <w:spacing w:line="236" w:lineRule="exact"/>
        <w:ind w:firstLine="0"/>
        <w:jc w:val="center"/>
        <w:rPr>
          <w:rFonts w:ascii="Verdana" w:hAnsi="Verdana"/>
          <w:sz w:val="16"/>
          <w:szCs w:val="16"/>
          <w:lang w:val="en-US" w:eastAsia="es-MX"/>
        </w:rPr>
      </w:pPr>
    </w:p>
    <w:p w14:paraId="566A85CD" w14:textId="4F9BE329" w:rsidR="00B746AB" w:rsidRDefault="00B746AB" w:rsidP="00F977F2">
      <w:pPr>
        <w:pStyle w:val="Texto"/>
        <w:spacing w:line="236" w:lineRule="exact"/>
        <w:ind w:firstLine="0"/>
        <w:jc w:val="center"/>
        <w:rPr>
          <w:rFonts w:ascii="Verdana" w:hAnsi="Verdana"/>
          <w:sz w:val="16"/>
          <w:szCs w:val="16"/>
          <w:lang w:val="en-US" w:eastAsia="es-MX"/>
        </w:rPr>
      </w:pPr>
    </w:p>
    <w:p w14:paraId="2A6685FF" w14:textId="3A2F42E8" w:rsidR="00B746AB" w:rsidRDefault="00B746AB" w:rsidP="00F977F2">
      <w:pPr>
        <w:pStyle w:val="Texto"/>
        <w:spacing w:line="236" w:lineRule="exact"/>
        <w:ind w:firstLine="0"/>
        <w:jc w:val="center"/>
        <w:rPr>
          <w:rFonts w:ascii="Verdana" w:hAnsi="Verdana"/>
          <w:sz w:val="16"/>
          <w:szCs w:val="16"/>
          <w:lang w:val="en-US" w:eastAsia="es-MX"/>
        </w:rPr>
      </w:pPr>
    </w:p>
    <w:p w14:paraId="42268BC2" w14:textId="5BCC6445" w:rsidR="00B746AB" w:rsidRDefault="00B746AB" w:rsidP="00F977F2">
      <w:pPr>
        <w:pStyle w:val="Texto"/>
        <w:spacing w:line="236" w:lineRule="exact"/>
        <w:ind w:firstLine="0"/>
        <w:jc w:val="center"/>
        <w:rPr>
          <w:rFonts w:ascii="Verdana" w:hAnsi="Verdana"/>
          <w:sz w:val="16"/>
          <w:szCs w:val="16"/>
          <w:lang w:val="en-US" w:eastAsia="es-MX"/>
        </w:rPr>
      </w:pPr>
    </w:p>
    <w:p w14:paraId="4B2FA041" w14:textId="77777777" w:rsidR="00B746AB" w:rsidRPr="00307BA1" w:rsidRDefault="00B746AB" w:rsidP="00F977F2">
      <w:pPr>
        <w:pStyle w:val="Texto"/>
        <w:spacing w:line="236" w:lineRule="exact"/>
        <w:ind w:firstLine="0"/>
        <w:jc w:val="center"/>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2390"/>
        <w:gridCol w:w="1299"/>
        <w:gridCol w:w="611"/>
        <w:gridCol w:w="1657"/>
        <w:gridCol w:w="1316"/>
        <w:gridCol w:w="1439"/>
      </w:tblGrid>
      <w:tr w:rsidR="006F11F4" w:rsidRPr="006F11F4" w14:paraId="0E3227A5" w14:textId="77777777" w:rsidTr="006F11F4">
        <w:tblPrEx>
          <w:tblCellMar>
            <w:top w:w="0" w:type="dxa"/>
            <w:bottom w:w="0" w:type="dxa"/>
          </w:tblCellMar>
        </w:tblPrEx>
        <w:trPr>
          <w:trHeight w:val="144"/>
        </w:trPr>
        <w:tc>
          <w:tcPr>
            <w:tcW w:w="8712" w:type="dxa"/>
            <w:gridSpan w:val="6"/>
            <w:tcBorders>
              <w:top w:val="single" w:sz="6" w:space="0" w:color="000000"/>
              <w:left w:val="single" w:sz="6" w:space="0" w:color="000000"/>
              <w:right w:val="single" w:sz="6" w:space="0" w:color="000000"/>
            </w:tcBorders>
            <w:noWrap/>
            <w:vAlign w:val="center"/>
          </w:tcPr>
          <w:p w14:paraId="365C4E3C" w14:textId="40EEEC1D" w:rsidR="006F11F4" w:rsidRPr="006F11F4" w:rsidRDefault="006F11F4" w:rsidP="00F977F2">
            <w:pPr>
              <w:pStyle w:val="Texto"/>
              <w:spacing w:line="236" w:lineRule="exact"/>
              <w:ind w:firstLine="0"/>
              <w:jc w:val="center"/>
              <w:rPr>
                <w:rFonts w:ascii="Verdana" w:hAnsi="Verdana"/>
                <w:b/>
                <w:sz w:val="16"/>
                <w:szCs w:val="16"/>
                <w:lang w:eastAsia="es-MX"/>
              </w:rPr>
            </w:pPr>
            <w:r w:rsidRPr="006F11F4">
              <w:rPr>
                <w:rFonts w:ascii="Verdana" w:hAnsi="Verdana"/>
                <w:b/>
                <w:sz w:val="16"/>
                <w:szCs w:val="16"/>
                <w:lang w:eastAsia="es-MX"/>
              </w:rPr>
              <w:t>Tabla 2 - Límites máximos permisibles de Pb y Cd solubles que deben cumplir las piezas de vidrio</w:t>
            </w:r>
          </w:p>
        </w:tc>
      </w:tr>
      <w:tr w:rsidR="006E2054" w:rsidRPr="006F11F4" w14:paraId="385DD8E6" w14:textId="77777777">
        <w:tblPrEx>
          <w:tblCellMar>
            <w:top w:w="0" w:type="dxa"/>
            <w:bottom w:w="0" w:type="dxa"/>
          </w:tblCellMar>
        </w:tblPrEx>
        <w:trPr>
          <w:trHeight w:val="144"/>
        </w:trPr>
        <w:tc>
          <w:tcPr>
            <w:tcW w:w="2390" w:type="dxa"/>
            <w:vMerge w:val="restart"/>
            <w:tcBorders>
              <w:top w:val="single" w:sz="6" w:space="0" w:color="000000"/>
              <w:left w:val="single" w:sz="6" w:space="0" w:color="000000"/>
              <w:right w:val="single" w:sz="6" w:space="0" w:color="000000"/>
            </w:tcBorders>
            <w:noWrap/>
            <w:vAlign w:val="center"/>
          </w:tcPr>
          <w:p w14:paraId="47155D61"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lastRenderedPageBreak/>
              <w:t>Tipo de pieza</w:t>
            </w:r>
          </w:p>
        </w:tc>
        <w:tc>
          <w:tcPr>
            <w:tcW w:w="1299" w:type="dxa"/>
            <w:vMerge w:val="restart"/>
            <w:tcBorders>
              <w:top w:val="single" w:sz="6" w:space="0" w:color="000000"/>
              <w:left w:val="single" w:sz="6" w:space="0" w:color="000000"/>
              <w:right w:val="single" w:sz="6" w:space="0" w:color="000000"/>
            </w:tcBorders>
            <w:vAlign w:val="center"/>
          </w:tcPr>
          <w:p w14:paraId="19AC2902"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Capacidad</w:t>
            </w:r>
          </w:p>
        </w:tc>
        <w:tc>
          <w:tcPr>
            <w:tcW w:w="611" w:type="dxa"/>
            <w:vMerge w:val="restart"/>
            <w:tcBorders>
              <w:top w:val="single" w:sz="6" w:space="0" w:color="000000"/>
              <w:left w:val="single" w:sz="6" w:space="0" w:color="000000"/>
              <w:right w:val="single" w:sz="6" w:space="0" w:color="000000"/>
            </w:tcBorders>
            <w:vAlign w:val="center"/>
          </w:tcPr>
          <w:p w14:paraId="7CADF23D"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N</w:t>
            </w:r>
            <w:proofErr w:type="spellStart"/>
            <w:r w:rsidRPr="006F11F4">
              <w:rPr>
                <w:rFonts w:ascii="Verdana" w:hAnsi="Verdana"/>
                <w:b/>
                <w:position w:val="8"/>
                <w:sz w:val="16"/>
                <w:szCs w:val="16"/>
                <w:lang w:eastAsia="es-MX"/>
              </w:rPr>
              <w:t>a,b</w:t>
            </w:r>
            <w:proofErr w:type="spellEnd"/>
          </w:p>
        </w:tc>
        <w:tc>
          <w:tcPr>
            <w:tcW w:w="1657" w:type="dxa"/>
            <w:vMerge w:val="restart"/>
            <w:tcBorders>
              <w:top w:val="single" w:sz="6" w:space="0" w:color="000000"/>
              <w:left w:val="single" w:sz="6" w:space="0" w:color="000000"/>
              <w:right w:val="single" w:sz="6" w:space="0" w:color="000000"/>
            </w:tcBorders>
            <w:vAlign w:val="center"/>
          </w:tcPr>
          <w:p w14:paraId="3832F710"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Criterio de aceptación</w:t>
            </w:r>
          </w:p>
        </w:tc>
        <w:tc>
          <w:tcPr>
            <w:tcW w:w="2755" w:type="dxa"/>
            <w:gridSpan w:val="2"/>
            <w:tcBorders>
              <w:top w:val="single" w:sz="6" w:space="0" w:color="000000"/>
              <w:left w:val="single" w:sz="6" w:space="0" w:color="000000"/>
              <w:bottom w:val="single" w:sz="6" w:space="0" w:color="000000"/>
              <w:right w:val="single" w:sz="6" w:space="0" w:color="000000"/>
            </w:tcBorders>
            <w:vAlign w:val="center"/>
          </w:tcPr>
          <w:p w14:paraId="163CDFAE"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Límite máximo permisible</w:t>
            </w:r>
          </w:p>
        </w:tc>
      </w:tr>
      <w:tr w:rsidR="006E2054" w:rsidRPr="006F11F4" w14:paraId="784D283B" w14:textId="77777777">
        <w:tblPrEx>
          <w:tblCellMar>
            <w:top w:w="0" w:type="dxa"/>
            <w:bottom w:w="0" w:type="dxa"/>
          </w:tblCellMar>
        </w:tblPrEx>
        <w:trPr>
          <w:trHeight w:val="144"/>
        </w:trPr>
        <w:tc>
          <w:tcPr>
            <w:tcW w:w="2390" w:type="dxa"/>
            <w:vMerge/>
            <w:tcBorders>
              <w:left w:val="single" w:sz="6" w:space="0" w:color="000000"/>
              <w:bottom w:val="single" w:sz="6" w:space="0" w:color="auto"/>
              <w:right w:val="single" w:sz="6" w:space="0" w:color="000000"/>
            </w:tcBorders>
            <w:vAlign w:val="center"/>
          </w:tcPr>
          <w:p w14:paraId="0356BC5C" w14:textId="77777777" w:rsidR="006E2054" w:rsidRPr="006F11F4" w:rsidRDefault="006E2054" w:rsidP="00F977F2">
            <w:pPr>
              <w:pStyle w:val="Texto"/>
              <w:spacing w:line="236" w:lineRule="exact"/>
              <w:ind w:firstLine="0"/>
              <w:jc w:val="center"/>
              <w:rPr>
                <w:rFonts w:ascii="Verdana" w:hAnsi="Verdana"/>
                <w:sz w:val="16"/>
                <w:szCs w:val="16"/>
                <w:lang w:eastAsia="es-MX"/>
              </w:rPr>
            </w:pPr>
          </w:p>
        </w:tc>
        <w:tc>
          <w:tcPr>
            <w:tcW w:w="1299" w:type="dxa"/>
            <w:vMerge/>
            <w:tcBorders>
              <w:left w:val="single" w:sz="6" w:space="0" w:color="000000"/>
              <w:bottom w:val="single" w:sz="6" w:space="0" w:color="auto"/>
              <w:right w:val="single" w:sz="6" w:space="0" w:color="000000"/>
            </w:tcBorders>
            <w:vAlign w:val="center"/>
          </w:tcPr>
          <w:p w14:paraId="3184CFDE" w14:textId="77777777" w:rsidR="006E2054" w:rsidRPr="006F11F4" w:rsidRDefault="006E2054" w:rsidP="00F977F2">
            <w:pPr>
              <w:pStyle w:val="Texto"/>
              <w:spacing w:line="236" w:lineRule="exact"/>
              <w:ind w:firstLine="0"/>
              <w:jc w:val="center"/>
              <w:rPr>
                <w:rFonts w:ascii="Verdana" w:hAnsi="Verdana"/>
                <w:sz w:val="16"/>
                <w:szCs w:val="16"/>
                <w:lang w:eastAsia="es-MX"/>
              </w:rPr>
            </w:pPr>
          </w:p>
        </w:tc>
        <w:tc>
          <w:tcPr>
            <w:tcW w:w="611" w:type="dxa"/>
            <w:vMerge/>
            <w:tcBorders>
              <w:left w:val="single" w:sz="6" w:space="0" w:color="000000"/>
              <w:bottom w:val="single" w:sz="6" w:space="0" w:color="auto"/>
              <w:right w:val="single" w:sz="6" w:space="0" w:color="000000"/>
            </w:tcBorders>
            <w:vAlign w:val="center"/>
          </w:tcPr>
          <w:p w14:paraId="4F274533" w14:textId="77777777" w:rsidR="006E2054" w:rsidRPr="006F11F4" w:rsidRDefault="006E2054" w:rsidP="00F977F2">
            <w:pPr>
              <w:pStyle w:val="Texto"/>
              <w:spacing w:line="236" w:lineRule="exact"/>
              <w:ind w:firstLine="0"/>
              <w:jc w:val="center"/>
              <w:rPr>
                <w:rFonts w:ascii="Verdana" w:hAnsi="Verdana"/>
                <w:sz w:val="16"/>
                <w:szCs w:val="16"/>
                <w:lang w:eastAsia="es-MX"/>
              </w:rPr>
            </w:pPr>
          </w:p>
        </w:tc>
        <w:tc>
          <w:tcPr>
            <w:tcW w:w="1657" w:type="dxa"/>
            <w:vMerge/>
            <w:tcBorders>
              <w:left w:val="single" w:sz="6" w:space="0" w:color="000000"/>
              <w:bottom w:val="single" w:sz="6" w:space="0" w:color="auto"/>
              <w:right w:val="single" w:sz="6" w:space="0" w:color="000000"/>
            </w:tcBorders>
            <w:vAlign w:val="center"/>
          </w:tcPr>
          <w:p w14:paraId="30968F4B" w14:textId="77777777" w:rsidR="006E2054" w:rsidRPr="006F11F4" w:rsidRDefault="006E2054" w:rsidP="00F977F2">
            <w:pPr>
              <w:pStyle w:val="Texto"/>
              <w:spacing w:line="236" w:lineRule="exact"/>
              <w:ind w:firstLine="0"/>
              <w:jc w:val="center"/>
              <w:rPr>
                <w:rFonts w:ascii="Verdana" w:hAnsi="Verdana"/>
                <w:sz w:val="16"/>
                <w:szCs w:val="16"/>
                <w:lang w:eastAsia="es-MX"/>
              </w:rPr>
            </w:pPr>
          </w:p>
        </w:tc>
        <w:tc>
          <w:tcPr>
            <w:tcW w:w="1316" w:type="dxa"/>
            <w:tcBorders>
              <w:top w:val="single" w:sz="6" w:space="0" w:color="000000"/>
              <w:left w:val="single" w:sz="6" w:space="0" w:color="000000"/>
              <w:bottom w:val="single" w:sz="6" w:space="0" w:color="000000"/>
              <w:right w:val="single" w:sz="6" w:space="0" w:color="000000"/>
            </w:tcBorders>
            <w:vAlign w:val="center"/>
          </w:tcPr>
          <w:p w14:paraId="1B03FAF4"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Pb</w:t>
            </w:r>
            <w:r w:rsidR="00985B10" w:rsidRPr="006F11F4">
              <w:rPr>
                <w:rFonts w:ascii="Verdana" w:hAnsi="Verdana"/>
                <w:b/>
                <w:sz w:val="16"/>
                <w:szCs w:val="16"/>
                <w:lang w:eastAsia="es-MX"/>
              </w:rPr>
              <w:t xml:space="preserve"> </w:t>
            </w:r>
            <w:r w:rsidRPr="006F11F4">
              <w:rPr>
                <w:rFonts w:ascii="Verdana" w:hAnsi="Verdana"/>
                <w:b/>
                <w:sz w:val="16"/>
                <w:szCs w:val="16"/>
                <w:lang w:eastAsia="es-MX"/>
              </w:rPr>
              <w:t>mg/L</w:t>
            </w:r>
          </w:p>
        </w:tc>
        <w:tc>
          <w:tcPr>
            <w:tcW w:w="1439" w:type="dxa"/>
            <w:tcBorders>
              <w:top w:val="single" w:sz="6" w:space="0" w:color="000000"/>
              <w:left w:val="single" w:sz="6" w:space="0" w:color="000000"/>
              <w:bottom w:val="single" w:sz="6" w:space="0" w:color="000000"/>
              <w:right w:val="single" w:sz="6" w:space="0" w:color="000000"/>
            </w:tcBorders>
            <w:vAlign w:val="center"/>
          </w:tcPr>
          <w:p w14:paraId="02BF19CB" w14:textId="77777777" w:rsidR="006E2054" w:rsidRPr="006F11F4" w:rsidRDefault="006E2054" w:rsidP="00F977F2">
            <w:pPr>
              <w:pStyle w:val="Texto"/>
              <w:spacing w:line="236" w:lineRule="exact"/>
              <w:ind w:firstLine="0"/>
              <w:jc w:val="center"/>
              <w:rPr>
                <w:rFonts w:ascii="Verdana" w:hAnsi="Verdana"/>
                <w:sz w:val="16"/>
                <w:szCs w:val="16"/>
                <w:lang w:eastAsia="es-MX"/>
              </w:rPr>
            </w:pPr>
            <w:r w:rsidRPr="006F11F4">
              <w:rPr>
                <w:rFonts w:ascii="Verdana" w:hAnsi="Verdana"/>
                <w:b/>
                <w:sz w:val="16"/>
                <w:szCs w:val="16"/>
                <w:lang w:eastAsia="es-MX"/>
              </w:rPr>
              <w:t>Cd</w:t>
            </w:r>
            <w:r w:rsidR="00985B10" w:rsidRPr="006F11F4">
              <w:rPr>
                <w:rFonts w:ascii="Verdana" w:hAnsi="Verdana"/>
                <w:b/>
                <w:sz w:val="16"/>
                <w:szCs w:val="16"/>
                <w:lang w:eastAsia="es-MX"/>
              </w:rPr>
              <w:t xml:space="preserve"> </w:t>
            </w:r>
            <w:r w:rsidRPr="006F11F4">
              <w:rPr>
                <w:rFonts w:ascii="Verdana" w:hAnsi="Verdana"/>
                <w:b/>
                <w:sz w:val="16"/>
                <w:szCs w:val="16"/>
                <w:lang w:eastAsia="es-MX"/>
              </w:rPr>
              <w:t>mg/L</w:t>
            </w:r>
          </w:p>
        </w:tc>
      </w:tr>
      <w:tr w:rsidR="008867A4" w:rsidRPr="006F11F4" w14:paraId="7A25384F"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vAlign w:val="center"/>
          </w:tcPr>
          <w:p w14:paraId="430D5513"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planas</w:t>
            </w:r>
          </w:p>
        </w:tc>
        <w:tc>
          <w:tcPr>
            <w:tcW w:w="1299" w:type="dxa"/>
            <w:tcBorders>
              <w:top w:val="single" w:sz="6" w:space="0" w:color="000000"/>
              <w:left w:val="single" w:sz="6" w:space="0" w:color="000000"/>
              <w:bottom w:val="single" w:sz="6" w:space="0" w:color="000000"/>
              <w:right w:val="single" w:sz="6" w:space="0" w:color="000000"/>
            </w:tcBorders>
            <w:vAlign w:val="center"/>
          </w:tcPr>
          <w:p w14:paraId="71858B32"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No aplica</w:t>
            </w:r>
          </w:p>
        </w:tc>
        <w:tc>
          <w:tcPr>
            <w:tcW w:w="611" w:type="dxa"/>
            <w:tcBorders>
              <w:top w:val="single" w:sz="6" w:space="0" w:color="000000"/>
              <w:left w:val="single" w:sz="6" w:space="0" w:color="000000"/>
              <w:bottom w:val="single" w:sz="6" w:space="0" w:color="000000"/>
              <w:right w:val="single" w:sz="6" w:space="0" w:color="000000"/>
            </w:tcBorders>
            <w:vAlign w:val="center"/>
          </w:tcPr>
          <w:p w14:paraId="2B3A0071"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vAlign w:val="center"/>
          </w:tcPr>
          <w:p w14:paraId="6B2FAB84"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Promedio</w:t>
            </w:r>
          </w:p>
        </w:tc>
        <w:tc>
          <w:tcPr>
            <w:tcW w:w="1316" w:type="dxa"/>
            <w:tcBorders>
              <w:top w:val="single" w:sz="6" w:space="0" w:color="000000"/>
              <w:left w:val="single" w:sz="6" w:space="0" w:color="000000"/>
              <w:bottom w:val="single" w:sz="6" w:space="0" w:color="000000"/>
              <w:right w:val="single" w:sz="6" w:space="0" w:color="000000"/>
            </w:tcBorders>
            <w:vAlign w:val="center"/>
          </w:tcPr>
          <w:p w14:paraId="1ED3D733"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1.5</w:t>
            </w:r>
          </w:p>
        </w:tc>
        <w:tc>
          <w:tcPr>
            <w:tcW w:w="1439" w:type="dxa"/>
            <w:tcBorders>
              <w:top w:val="single" w:sz="6" w:space="0" w:color="000000"/>
              <w:left w:val="single" w:sz="6" w:space="0" w:color="000000"/>
              <w:bottom w:val="single" w:sz="6" w:space="0" w:color="000000"/>
              <w:right w:val="single" w:sz="6" w:space="0" w:color="000000"/>
            </w:tcBorders>
            <w:vAlign w:val="center"/>
          </w:tcPr>
          <w:p w14:paraId="3FF376E6"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0.50</w:t>
            </w:r>
          </w:p>
        </w:tc>
      </w:tr>
      <w:tr w:rsidR="008867A4" w:rsidRPr="006F11F4" w14:paraId="5D68CF78"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vAlign w:val="center"/>
          </w:tcPr>
          <w:p w14:paraId="00EE17FA"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huecas pequeñas</w:t>
            </w:r>
          </w:p>
        </w:tc>
        <w:tc>
          <w:tcPr>
            <w:tcW w:w="1299" w:type="dxa"/>
            <w:tcBorders>
              <w:top w:val="single" w:sz="6" w:space="0" w:color="000000"/>
              <w:left w:val="single" w:sz="6" w:space="0" w:color="000000"/>
              <w:bottom w:val="single" w:sz="6" w:space="0" w:color="000000"/>
              <w:right w:val="single" w:sz="6" w:space="0" w:color="000000"/>
            </w:tcBorders>
            <w:vAlign w:val="center"/>
          </w:tcPr>
          <w:p w14:paraId="491A8D3D"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 xml:space="preserve">&lt; a 600 </w:t>
            </w:r>
            <w:proofErr w:type="spellStart"/>
            <w:r w:rsidRPr="006F11F4">
              <w:rPr>
                <w:rFonts w:ascii="Verdana" w:hAnsi="Verdana"/>
                <w:sz w:val="16"/>
                <w:szCs w:val="16"/>
                <w:lang w:eastAsia="es-MX"/>
              </w:rPr>
              <w:t>mL</w:t>
            </w:r>
            <w:proofErr w:type="spellEnd"/>
          </w:p>
        </w:tc>
        <w:tc>
          <w:tcPr>
            <w:tcW w:w="611" w:type="dxa"/>
            <w:tcBorders>
              <w:top w:val="single" w:sz="6" w:space="0" w:color="000000"/>
              <w:left w:val="single" w:sz="6" w:space="0" w:color="000000"/>
              <w:bottom w:val="single" w:sz="6" w:space="0" w:color="000000"/>
              <w:right w:val="single" w:sz="6" w:space="0" w:color="000000"/>
            </w:tcBorders>
            <w:vAlign w:val="center"/>
          </w:tcPr>
          <w:p w14:paraId="1AA93894"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vAlign w:val="center"/>
          </w:tcPr>
          <w:p w14:paraId="68EC356B"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Todas las piezas</w:t>
            </w:r>
          </w:p>
        </w:tc>
        <w:tc>
          <w:tcPr>
            <w:tcW w:w="1316" w:type="dxa"/>
            <w:tcBorders>
              <w:top w:val="single" w:sz="6" w:space="0" w:color="000000"/>
              <w:left w:val="single" w:sz="6" w:space="0" w:color="000000"/>
              <w:bottom w:val="single" w:sz="6" w:space="0" w:color="000000"/>
              <w:right w:val="single" w:sz="6" w:space="0" w:color="000000"/>
            </w:tcBorders>
            <w:vAlign w:val="center"/>
          </w:tcPr>
          <w:p w14:paraId="48CA37CA"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1.5</w:t>
            </w:r>
          </w:p>
        </w:tc>
        <w:tc>
          <w:tcPr>
            <w:tcW w:w="1439" w:type="dxa"/>
            <w:tcBorders>
              <w:top w:val="single" w:sz="6" w:space="0" w:color="000000"/>
              <w:left w:val="single" w:sz="6" w:space="0" w:color="000000"/>
              <w:bottom w:val="single" w:sz="6" w:space="0" w:color="000000"/>
              <w:right w:val="single" w:sz="6" w:space="0" w:color="000000"/>
            </w:tcBorders>
            <w:vAlign w:val="center"/>
          </w:tcPr>
          <w:p w14:paraId="10CB2C22"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0.50</w:t>
            </w:r>
          </w:p>
        </w:tc>
      </w:tr>
      <w:tr w:rsidR="008867A4" w:rsidRPr="006F11F4" w14:paraId="0DBB2DB8"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vAlign w:val="center"/>
          </w:tcPr>
          <w:p w14:paraId="18EC1480"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huecas grandes</w:t>
            </w:r>
          </w:p>
        </w:tc>
        <w:tc>
          <w:tcPr>
            <w:tcW w:w="1299" w:type="dxa"/>
            <w:tcBorders>
              <w:top w:val="single" w:sz="6" w:space="0" w:color="000000"/>
              <w:left w:val="single" w:sz="6" w:space="0" w:color="000000"/>
              <w:bottom w:val="single" w:sz="6" w:space="0" w:color="000000"/>
              <w:right w:val="single" w:sz="6" w:space="0" w:color="000000"/>
            </w:tcBorders>
            <w:vAlign w:val="center"/>
          </w:tcPr>
          <w:p w14:paraId="33DB272D"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 xml:space="preserve">600 </w:t>
            </w:r>
            <w:proofErr w:type="spellStart"/>
            <w:r w:rsidRPr="006F11F4">
              <w:rPr>
                <w:rFonts w:ascii="Verdana" w:hAnsi="Verdana"/>
                <w:sz w:val="16"/>
                <w:szCs w:val="16"/>
                <w:lang w:eastAsia="es-MX"/>
              </w:rPr>
              <w:t>mL</w:t>
            </w:r>
            <w:proofErr w:type="spellEnd"/>
            <w:r w:rsidRPr="006F11F4">
              <w:rPr>
                <w:rFonts w:ascii="Verdana" w:hAnsi="Verdana"/>
                <w:sz w:val="16"/>
                <w:szCs w:val="16"/>
                <w:lang w:eastAsia="es-MX"/>
              </w:rPr>
              <w:t xml:space="preserve"> a 3 L</w:t>
            </w:r>
          </w:p>
        </w:tc>
        <w:tc>
          <w:tcPr>
            <w:tcW w:w="611" w:type="dxa"/>
            <w:tcBorders>
              <w:top w:val="single" w:sz="6" w:space="0" w:color="000000"/>
              <w:left w:val="single" w:sz="6" w:space="0" w:color="000000"/>
              <w:bottom w:val="single" w:sz="6" w:space="0" w:color="000000"/>
              <w:right w:val="single" w:sz="6" w:space="0" w:color="000000"/>
            </w:tcBorders>
            <w:vAlign w:val="center"/>
          </w:tcPr>
          <w:p w14:paraId="797AB76B"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vAlign w:val="center"/>
          </w:tcPr>
          <w:p w14:paraId="73DB8E69"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Todas las piezas</w:t>
            </w:r>
          </w:p>
        </w:tc>
        <w:tc>
          <w:tcPr>
            <w:tcW w:w="1316" w:type="dxa"/>
            <w:tcBorders>
              <w:top w:val="single" w:sz="6" w:space="0" w:color="000000"/>
              <w:left w:val="single" w:sz="6" w:space="0" w:color="000000"/>
              <w:bottom w:val="single" w:sz="6" w:space="0" w:color="000000"/>
              <w:right w:val="single" w:sz="6" w:space="0" w:color="000000"/>
            </w:tcBorders>
            <w:vAlign w:val="center"/>
          </w:tcPr>
          <w:p w14:paraId="48F34CCD"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0.75</w:t>
            </w:r>
          </w:p>
        </w:tc>
        <w:tc>
          <w:tcPr>
            <w:tcW w:w="1439" w:type="dxa"/>
            <w:tcBorders>
              <w:top w:val="single" w:sz="6" w:space="0" w:color="000000"/>
              <w:left w:val="single" w:sz="6" w:space="0" w:color="000000"/>
              <w:bottom w:val="single" w:sz="6" w:space="0" w:color="000000"/>
              <w:right w:val="single" w:sz="6" w:space="0" w:color="000000"/>
            </w:tcBorders>
            <w:vAlign w:val="center"/>
          </w:tcPr>
          <w:p w14:paraId="38D63BA6"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0.25</w:t>
            </w:r>
          </w:p>
        </w:tc>
      </w:tr>
      <w:tr w:rsidR="008867A4" w:rsidRPr="006F11F4" w14:paraId="21857CF5" w14:textId="77777777">
        <w:tblPrEx>
          <w:tblCellMar>
            <w:top w:w="0" w:type="dxa"/>
            <w:bottom w:w="0" w:type="dxa"/>
          </w:tblCellMar>
        </w:tblPrEx>
        <w:trPr>
          <w:trHeight w:val="144"/>
        </w:trPr>
        <w:tc>
          <w:tcPr>
            <w:tcW w:w="2390" w:type="dxa"/>
            <w:tcBorders>
              <w:top w:val="single" w:sz="6" w:space="0" w:color="000000"/>
              <w:left w:val="single" w:sz="6" w:space="0" w:color="000000"/>
              <w:bottom w:val="single" w:sz="6" w:space="0" w:color="000000"/>
              <w:right w:val="single" w:sz="6" w:space="0" w:color="000000"/>
            </w:tcBorders>
            <w:vAlign w:val="center"/>
          </w:tcPr>
          <w:p w14:paraId="60D59A39"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sz w:val="16"/>
                <w:szCs w:val="16"/>
                <w:lang w:eastAsia="es-MX"/>
              </w:rPr>
              <w:t>Piezas huecas para almacenar</w:t>
            </w:r>
          </w:p>
        </w:tc>
        <w:tc>
          <w:tcPr>
            <w:tcW w:w="1299" w:type="dxa"/>
            <w:tcBorders>
              <w:top w:val="single" w:sz="6" w:space="0" w:color="000000"/>
              <w:left w:val="single" w:sz="6" w:space="0" w:color="000000"/>
              <w:bottom w:val="single" w:sz="6" w:space="0" w:color="000000"/>
              <w:right w:val="single" w:sz="6" w:space="0" w:color="000000"/>
            </w:tcBorders>
            <w:vAlign w:val="center"/>
          </w:tcPr>
          <w:p w14:paraId="7D8A6740"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&gt; a 3 L</w:t>
            </w:r>
          </w:p>
        </w:tc>
        <w:tc>
          <w:tcPr>
            <w:tcW w:w="611" w:type="dxa"/>
            <w:tcBorders>
              <w:top w:val="single" w:sz="6" w:space="0" w:color="000000"/>
              <w:left w:val="single" w:sz="6" w:space="0" w:color="000000"/>
              <w:bottom w:val="single" w:sz="6" w:space="0" w:color="000000"/>
              <w:right w:val="single" w:sz="6" w:space="0" w:color="000000"/>
            </w:tcBorders>
            <w:vAlign w:val="center"/>
          </w:tcPr>
          <w:p w14:paraId="41A80DB1"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4</w:t>
            </w:r>
          </w:p>
        </w:tc>
        <w:tc>
          <w:tcPr>
            <w:tcW w:w="1657" w:type="dxa"/>
            <w:tcBorders>
              <w:top w:val="single" w:sz="6" w:space="0" w:color="000000"/>
              <w:left w:val="single" w:sz="6" w:space="0" w:color="000000"/>
              <w:bottom w:val="single" w:sz="6" w:space="0" w:color="000000"/>
              <w:right w:val="single" w:sz="6" w:space="0" w:color="000000"/>
            </w:tcBorders>
            <w:vAlign w:val="center"/>
          </w:tcPr>
          <w:p w14:paraId="67221A7D"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Todas las piezas</w:t>
            </w:r>
          </w:p>
        </w:tc>
        <w:tc>
          <w:tcPr>
            <w:tcW w:w="1316" w:type="dxa"/>
            <w:tcBorders>
              <w:top w:val="single" w:sz="6" w:space="0" w:color="000000"/>
              <w:left w:val="single" w:sz="6" w:space="0" w:color="000000"/>
              <w:bottom w:val="single" w:sz="6" w:space="0" w:color="000000"/>
              <w:right w:val="single" w:sz="6" w:space="0" w:color="000000"/>
            </w:tcBorders>
            <w:vAlign w:val="center"/>
          </w:tcPr>
          <w:p w14:paraId="225F096D"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0.50</w:t>
            </w:r>
          </w:p>
        </w:tc>
        <w:tc>
          <w:tcPr>
            <w:tcW w:w="1439" w:type="dxa"/>
            <w:tcBorders>
              <w:top w:val="single" w:sz="6" w:space="0" w:color="000000"/>
              <w:left w:val="single" w:sz="6" w:space="0" w:color="000000"/>
              <w:bottom w:val="single" w:sz="6" w:space="0" w:color="000000"/>
              <w:right w:val="single" w:sz="6" w:space="0" w:color="000000"/>
            </w:tcBorders>
            <w:vAlign w:val="center"/>
          </w:tcPr>
          <w:p w14:paraId="32F9502C" w14:textId="77777777" w:rsidR="008867A4" w:rsidRPr="006F11F4" w:rsidRDefault="008867A4" w:rsidP="00F977F2">
            <w:pPr>
              <w:pStyle w:val="Texto"/>
              <w:spacing w:line="236" w:lineRule="exact"/>
              <w:ind w:firstLine="0"/>
              <w:jc w:val="center"/>
              <w:rPr>
                <w:rFonts w:ascii="Verdana" w:hAnsi="Verdana"/>
                <w:sz w:val="16"/>
                <w:szCs w:val="16"/>
                <w:lang w:eastAsia="es-MX"/>
              </w:rPr>
            </w:pPr>
            <w:r w:rsidRPr="006F11F4">
              <w:rPr>
                <w:rFonts w:ascii="Verdana" w:hAnsi="Verdana"/>
                <w:sz w:val="16"/>
                <w:szCs w:val="16"/>
                <w:lang w:eastAsia="es-MX"/>
              </w:rPr>
              <w:t>0.25</w:t>
            </w:r>
          </w:p>
        </w:tc>
      </w:tr>
      <w:tr w:rsidR="008867A4" w:rsidRPr="006F11F4" w14:paraId="59BE3F8A" w14:textId="77777777">
        <w:tblPrEx>
          <w:tblCellMar>
            <w:top w:w="0" w:type="dxa"/>
            <w:bottom w:w="0" w:type="dxa"/>
          </w:tblCellMar>
        </w:tblPrEx>
        <w:trPr>
          <w:trHeight w:val="144"/>
        </w:trPr>
        <w:tc>
          <w:tcPr>
            <w:tcW w:w="8712" w:type="dxa"/>
            <w:gridSpan w:val="6"/>
            <w:tcBorders>
              <w:top w:val="single" w:sz="6" w:space="0" w:color="000000"/>
              <w:left w:val="single" w:sz="6" w:space="0" w:color="000000"/>
              <w:bottom w:val="single" w:sz="6" w:space="0" w:color="000000"/>
              <w:right w:val="single" w:sz="6" w:space="0" w:color="000000"/>
            </w:tcBorders>
            <w:vAlign w:val="center"/>
          </w:tcPr>
          <w:p w14:paraId="191775BC"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position w:val="8"/>
                <w:sz w:val="16"/>
                <w:szCs w:val="16"/>
                <w:lang w:eastAsia="es-MX"/>
              </w:rPr>
              <w:t>a</w:t>
            </w:r>
            <w:r w:rsidRPr="006F11F4">
              <w:rPr>
                <w:rFonts w:ascii="Verdana" w:hAnsi="Verdana"/>
                <w:sz w:val="16"/>
                <w:szCs w:val="16"/>
                <w:lang w:eastAsia="es-MX"/>
              </w:rPr>
              <w:t xml:space="preserve"> Es el número de piezas a las que se les aplicará la prueba.</w:t>
            </w:r>
          </w:p>
          <w:p w14:paraId="340C5FA6" w14:textId="77777777" w:rsidR="008867A4" w:rsidRPr="006F11F4" w:rsidRDefault="008867A4" w:rsidP="00F977F2">
            <w:pPr>
              <w:pStyle w:val="Texto"/>
              <w:spacing w:line="236" w:lineRule="exact"/>
              <w:ind w:firstLine="0"/>
              <w:rPr>
                <w:rFonts w:ascii="Verdana" w:hAnsi="Verdana"/>
                <w:sz w:val="16"/>
                <w:szCs w:val="16"/>
                <w:lang w:eastAsia="es-MX"/>
              </w:rPr>
            </w:pPr>
            <w:r w:rsidRPr="006F11F4">
              <w:rPr>
                <w:rFonts w:ascii="Verdana" w:hAnsi="Verdana"/>
                <w:position w:val="8"/>
                <w:sz w:val="16"/>
                <w:szCs w:val="16"/>
                <w:lang w:eastAsia="es-MX"/>
              </w:rPr>
              <w:t>b</w:t>
            </w:r>
            <w:r w:rsidRPr="006F11F4">
              <w:rPr>
                <w:rFonts w:ascii="Verdana" w:hAnsi="Verdana"/>
                <w:sz w:val="16"/>
                <w:szCs w:val="16"/>
                <w:lang w:eastAsia="es-MX"/>
              </w:rPr>
              <w:t xml:space="preserve"> En caso de que la muestra (cuatro piezas) exceda el 25 % de la producción anual de esa pieza suelta específica, se analizará una pieza.</w:t>
            </w:r>
          </w:p>
        </w:tc>
      </w:tr>
    </w:tbl>
    <w:p w14:paraId="729881F9" w14:textId="7376F72F" w:rsidR="008867A4" w:rsidRDefault="008867A4" w:rsidP="00F977F2">
      <w:pPr>
        <w:pStyle w:val="Texto"/>
        <w:spacing w:line="236" w:lineRule="exact"/>
        <w:rPr>
          <w:rFonts w:ascii="Verdana" w:hAnsi="Verdana"/>
          <w:b/>
          <w:sz w:val="16"/>
          <w:szCs w:val="16"/>
          <w:lang w:eastAsia="es-MX"/>
        </w:rPr>
      </w:pPr>
    </w:p>
    <w:p w14:paraId="7383315A" w14:textId="77777777" w:rsidR="00307BA1" w:rsidRDefault="00307BA1" w:rsidP="00307BA1">
      <w:pPr>
        <w:spacing w:after="101" w:line="236" w:lineRule="atLeast"/>
        <w:jc w:val="center"/>
        <w:rPr>
          <w:lang w:val="en-US" w:eastAsia="en-US"/>
        </w:rPr>
      </w:pPr>
      <w:r>
        <w:rPr>
          <w:rFonts w:ascii="Verdana" w:hAnsi="Verdana"/>
          <w:sz w:val="16"/>
          <w:szCs w:val="16"/>
        </w:rPr>
        <w:t> </w:t>
      </w:r>
    </w:p>
    <w:tbl>
      <w:tblPr>
        <w:tblW w:w="8712" w:type="dxa"/>
        <w:tblInd w:w="57" w:type="dxa"/>
        <w:tblCellMar>
          <w:left w:w="0" w:type="dxa"/>
          <w:right w:w="0" w:type="dxa"/>
        </w:tblCellMar>
        <w:tblLook w:val="04A0" w:firstRow="1" w:lastRow="0" w:firstColumn="1" w:lastColumn="0" w:noHBand="0" w:noVBand="1"/>
      </w:tblPr>
      <w:tblGrid>
        <w:gridCol w:w="2390"/>
        <w:gridCol w:w="1299"/>
        <w:gridCol w:w="611"/>
        <w:gridCol w:w="1657"/>
        <w:gridCol w:w="1316"/>
        <w:gridCol w:w="1439"/>
      </w:tblGrid>
      <w:tr w:rsidR="00307BA1" w:rsidRPr="00307BA1" w14:paraId="7B796FEC" w14:textId="77777777" w:rsidTr="00307BA1">
        <w:trPr>
          <w:trHeight w:val="144"/>
        </w:trPr>
        <w:tc>
          <w:tcPr>
            <w:tcW w:w="8712" w:type="dxa"/>
            <w:gridSpan w:val="6"/>
            <w:tcBorders>
              <w:top w:val="single" w:sz="6" w:space="0" w:color="000000"/>
              <w:left w:val="single" w:sz="6" w:space="0" w:color="000000"/>
              <w:bottom w:val="nil"/>
              <w:right w:val="single" w:sz="6" w:space="0" w:color="000000"/>
            </w:tcBorders>
            <w:tcMar>
              <w:top w:w="0" w:type="dxa"/>
              <w:left w:w="72" w:type="dxa"/>
              <w:bottom w:w="0" w:type="dxa"/>
              <w:right w:w="72" w:type="dxa"/>
            </w:tcMar>
            <w:vAlign w:val="center"/>
            <w:hideMark/>
          </w:tcPr>
          <w:p w14:paraId="0B09366B"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Table 2 - Maximum permissible limits of soluble Pb and Cd that the glass pieces must comply with</w:t>
            </w:r>
          </w:p>
        </w:tc>
      </w:tr>
      <w:tr w:rsidR="00307BA1" w14:paraId="3838565D" w14:textId="77777777" w:rsidTr="00307BA1">
        <w:trPr>
          <w:trHeight w:val="144"/>
        </w:trPr>
        <w:tc>
          <w:tcPr>
            <w:tcW w:w="239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C7B4C1"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Type of piece</w:t>
            </w:r>
          </w:p>
        </w:tc>
        <w:tc>
          <w:tcPr>
            <w:tcW w:w="1299"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6E526B"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Capacity</w:t>
            </w:r>
          </w:p>
        </w:tc>
        <w:tc>
          <w:tcPr>
            <w:tcW w:w="611"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5C818D"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 xml:space="preserve">N </w:t>
            </w:r>
            <w:r w:rsidRPr="00B746AB">
              <w:rPr>
                <w:rFonts w:ascii="Verdana" w:hAnsi="Verdana"/>
                <w:b/>
                <w:bCs/>
                <w:position w:val="8"/>
                <w:sz w:val="16"/>
                <w:szCs w:val="16"/>
                <w:lang w:val="en-US"/>
              </w:rPr>
              <w:t>a, b</w:t>
            </w:r>
          </w:p>
        </w:tc>
        <w:tc>
          <w:tcPr>
            <w:tcW w:w="165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E2DE47" w14:textId="62B53D6B" w:rsidR="00307BA1" w:rsidRPr="00B746AB" w:rsidRDefault="00307BA1">
            <w:pPr>
              <w:spacing w:after="101" w:line="236" w:lineRule="atLeast"/>
              <w:jc w:val="center"/>
              <w:rPr>
                <w:lang w:val="en-US"/>
              </w:rPr>
            </w:pPr>
            <w:r w:rsidRPr="00B746AB">
              <w:rPr>
                <w:rFonts w:ascii="Verdana" w:hAnsi="Verdana"/>
                <w:b/>
                <w:bCs/>
                <w:sz w:val="16"/>
                <w:szCs w:val="16"/>
                <w:lang w:val="en-US"/>
              </w:rPr>
              <w:t xml:space="preserve">Acceptance </w:t>
            </w:r>
            <w:r w:rsidR="00B746AB">
              <w:rPr>
                <w:rFonts w:ascii="Verdana" w:hAnsi="Verdana"/>
                <w:b/>
                <w:bCs/>
                <w:sz w:val="16"/>
                <w:szCs w:val="16"/>
                <w:lang w:val="en-US"/>
              </w:rPr>
              <w:t>criteria</w:t>
            </w:r>
          </w:p>
        </w:tc>
        <w:tc>
          <w:tcPr>
            <w:tcW w:w="27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7644C0"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Maximum allowable limit</w:t>
            </w:r>
          </w:p>
        </w:tc>
      </w:tr>
      <w:tr w:rsidR="00307BA1" w14:paraId="2C1E9FF3" w14:textId="77777777" w:rsidTr="00307BA1">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55F4BE" w14:textId="77777777" w:rsidR="00307BA1" w:rsidRPr="00B746AB" w:rsidRDefault="00307BA1">
            <w:pPr>
              <w:rPr>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9AF763" w14:textId="77777777" w:rsidR="00307BA1" w:rsidRPr="00B746AB" w:rsidRDefault="00307BA1">
            <w:pPr>
              <w:rPr>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116D0D" w14:textId="77777777" w:rsidR="00307BA1" w:rsidRPr="00B746AB" w:rsidRDefault="00307BA1">
            <w:pPr>
              <w:rPr>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916EA2" w14:textId="77777777" w:rsidR="00307BA1" w:rsidRPr="00B746AB" w:rsidRDefault="00307BA1">
            <w:pPr>
              <w:rPr>
                <w:lang w:val="en-US"/>
              </w:rPr>
            </w:pP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4DE755"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 xml:space="preserve">Pb mg / L </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B0A7B4" w14:textId="77777777" w:rsidR="00307BA1" w:rsidRPr="00B746AB" w:rsidRDefault="00307BA1">
            <w:pPr>
              <w:spacing w:after="101" w:line="236" w:lineRule="atLeast"/>
              <w:jc w:val="center"/>
              <w:rPr>
                <w:lang w:val="en-US"/>
              </w:rPr>
            </w:pPr>
            <w:r w:rsidRPr="00B746AB">
              <w:rPr>
                <w:rFonts w:ascii="Verdana" w:hAnsi="Verdana"/>
                <w:b/>
                <w:bCs/>
                <w:sz w:val="16"/>
                <w:szCs w:val="16"/>
                <w:lang w:val="en-US"/>
              </w:rPr>
              <w:t xml:space="preserve">Cd mg / L </w:t>
            </w:r>
          </w:p>
        </w:tc>
      </w:tr>
      <w:tr w:rsidR="00307BA1" w14:paraId="5E87804C"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EAF4FC" w14:textId="77777777" w:rsidR="00307BA1" w:rsidRPr="00B746AB" w:rsidRDefault="00307BA1">
            <w:pPr>
              <w:spacing w:after="101" w:line="236" w:lineRule="atLeast"/>
              <w:jc w:val="both"/>
              <w:rPr>
                <w:lang w:val="en-US"/>
              </w:rPr>
            </w:pPr>
            <w:r w:rsidRPr="00B746AB">
              <w:rPr>
                <w:rFonts w:ascii="Verdana" w:hAnsi="Verdana"/>
                <w:sz w:val="16"/>
                <w:szCs w:val="16"/>
                <w:lang w:val="en-US"/>
              </w:rPr>
              <w:t>Flat pieces</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C53ADE" w14:textId="77777777" w:rsidR="00307BA1" w:rsidRPr="00B746AB" w:rsidRDefault="00307BA1">
            <w:pPr>
              <w:spacing w:after="101" w:line="236" w:lineRule="atLeast"/>
              <w:jc w:val="center"/>
              <w:rPr>
                <w:lang w:val="en-US"/>
              </w:rPr>
            </w:pPr>
            <w:r w:rsidRPr="00B746AB">
              <w:rPr>
                <w:rFonts w:ascii="Verdana" w:hAnsi="Verdana"/>
                <w:sz w:val="16"/>
                <w:szCs w:val="16"/>
                <w:lang w:val="en-US"/>
              </w:rPr>
              <w:t>Does not apply</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702FE4"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0E9FE1F" w14:textId="77777777" w:rsidR="00307BA1" w:rsidRPr="00B746AB" w:rsidRDefault="00307BA1">
            <w:pPr>
              <w:spacing w:after="101" w:line="236" w:lineRule="atLeast"/>
              <w:jc w:val="center"/>
              <w:rPr>
                <w:lang w:val="en-US"/>
              </w:rPr>
            </w:pPr>
            <w:r w:rsidRPr="00B746AB">
              <w:rPr>
                <w:rFonts w:ascii="Verdana" w:hAnsi="Verdana"/>
                <w:sz w:val="16"/>
                <w:szCs w:val="16"/>
                <w:lang w:val="en-US"/>
              </w:rPr>
              <w:t>Average</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C698E5" w14:textId="77777777" w:rsidR="00307BA1" w:rsidRPr="00B746AB" w:rsidRDefault="00307BA1">
            <w:pPr>
              <w:spacing w:after="101" w:line="236" w:lineRule="atLeast"/>
              <w:jc w:val="center"/>
              <w:rPr>
                <w:lang w:val="en-US"/>
              </w:rPr>
            </w:pPr>
            <w:r w:rsidRPr="00B746AB">
              <w:rPr>
                <w:rFonts w:ascii="Verdana" w:hAnsi="Verdana"/>
                <w:sz w:val="16"/>
                <w:szCs w:val="16"/>
                <w:lang w:val="en-US"/>
              </w:rPr>
              <w:t>1.5</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E4546B" w14:textId="77777777" w:rsidR="00307BA1" w:rsidRPr="00B746AB" w:rsidRDefault="00307BA1">
            <w:pPr>
              <w:spacing w:after="101" w:line="236" w:lineRule="atLeast"/>
              <w:jc w:val="center"/>
              <w:rPr>
                <w:lang w:val="en-US"/>
              </w:rPr>
            </w:pPr>
            <w:r w:rsidRPr="00B746AB">
              <w:rPr>
                <w:rFonts w:ascii="Verdana" w:hAnsi="Verdana"/>
                <w:sz w:val="16"/>
                <w:szCs w:val="16"/>
                <w:lang w:val="en-US"/>
              </w:rPr>
              <w:t>0.50</w:t>
            </w:r>
          </w:p>
        </w:tc>
      </w:tr>
      <w:tr w:rsidR="00307BA1" w14:paraId="7EC611F4"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51C9BD" w14:textId="77777777" w:rsidR="00307BA1" w:rsidRPr="00B746AB" w:rsidRDefault="00307BA1">
            <w:pPr>
              <w:spacing w:after="101" w:line="236" w:lineRule="atLeast"/>
              <w:jc w:val="both"/>
              <w:rPr>
                <w:lang w:val="en-US"/>
              </w:rPr>
            </w:pPr>
            <w:r w:rsidRPr="00B746AB">
              <w:rPr>
                <w:rFonts w:ascii="Verdana" w:hAnsi="Verdana"/>
                <w:sz w:val="16"/>
                <w:szCs w:val="16"/>
                <w:lang w:val="en-US"/>
              </w:rPr>
              <w:t>Small hollow parts</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B5213D" w14:textId="77777777" w:rsidR="00307BA1" w:rsidRPr="00B746AB" w:rsidRDefault="00307BA1">
            <w:pPr>
              <w:spacing w:after="101" w:line="236" w:lineRule="atLeast"/>
              <w:jc w:val="center"/>
              <w:rPr>
                <w:lang w:val="en-US"/>
              </w:rPr>
            </w:pPr>
            <w:r w:rsidRPr="00B746AB">
              <w:rPr>
                <w:rFonts w:ascii="Verdana" w:hAnsi="Verdana"/>
                <w:sz w:val="16"/>
                <w:szCs w:val="16"/>
                <w:lang w:val="en-US"/>
              </w:rPr>
              <w:t>&lt;to 600 mL</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C9093C"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74281A" w14:textId="77777777" w:rsidR="00307BA1" w:rsidRPr="00B746AB" w:rsidRDefault="00307BA1">
            <w:pPr>
              <w:spacing w:after="101" w:line="236" w:lineRule="atLeast"/>
              <w:jc w:val="center"/>
              <w:rPr>
                <w:lang w:val="en-US"/>
              </w:rPr>
            </w:pPr>
            <w:r w:rsidRPr="00B746AB">
              <w:rPr>
                <w:rFonts w:ascii="Verdana" w:hAnsi="Verdana"/>
                <w:sz w:val="16"/>
                <w:szCs w:val="16"/>
                <w:lang w:val="en-US"/>
              </w:rPr>
              <w:t>All the pieces</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333719" w14:textId="77777777" w:rsidR="00307BA1" w:rsidRPr="00B746AB" w:rsidRDefault="00307BA1">
            <w:pPr>
              <w:spacing w:after="101" w:line="236" w:lineRule="atLeast"/>
              <w:jc w:val="center"/>
              <w:rPr>
                <w:lang w:val="en-US"/>
              </w:rPr>
            </w:pPr>
            <w:r w:rsidRPr="00B746AB">
              <w:rPr>
                <w:rFonts w:ascii="Verdana" w:hAnsi="Verdana"/>
                <w:sz w:val="16"/>
                <w:szCs w:val="16"/>
                <w:lang w:val="en-US"/>
              </w:rPr>
              <w:t>1.5</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D5A920" w14:textId="77777777" w:rsidR="00307BA1" w:rsidRPr="00B746AB" w:rsidRDefault="00307BA1">
            <w:pPr>
              <w:spacing w:after="101" w:line="236" w:lineRule="atLeast"/>
              <w:jc w:val="center"/>
              <w:rPr>
                <w:lang w:val="en-US"/>
              </w:rPr>
            </w:pPr>
            <w:r w:rsidRPr="00B746AB">
              <w:rPr>
                <w:rFonts w:ascii="Verdana" w:hAnsi="Verdana"/>
                <w:sz w:val="16"/>
                <w:szCs w:val="16"/>
                <w:lang w:val="en-US"/>
              </w:rPr>
              <w:t>0.50</w:t>
            </w:r>
          </w:p>
        </w:tc>
      </w:tr>
      <w:tr w:rsidR="00307BA1" w14:paraId="2BCABB6E"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ABBC0C" w14:textId="77777777" w:rsidR="00307BA1" w:rsidRPr="00B746AB" w:rsidRDefault="00307BA1">
            <w:pPr>
              <w:spacing w:after="101" w:line="236" w:lineRule="atLeast"/>
              <w:jc w:val="both"/>
              <w:rPr>
                <w:lang w:val="en-US"/>
              </w:rPr>
            </w:pPr>
            <w:r w:rsidRPr="00B746AB">
              <w:rPr>
                <w:rFonts w:ascii="Verdana" w:hAnsi="Verdana"/>
                <w:sz w:val="16"/>
                <w:szCs w:val="16"/>
                <w:lang w:val="en-US"/>
              </w:rPr>
              <w:t>Large hollow parts</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A59DC52" w14:textId="77777777" w:rsidR="00307BA1" w:rsidRPr="00B746AB" w:rsidRDefault="00307BA1">
            <w:pPr>
              <w:spacing w:after="101" w:line="236" w:lineRule="atLeast"/>
              <w:jc w:val="center"/>
              <w:rPr>
                <w:lang w:val="en-US"/>
              </w:rPr>
            </w:pPr>
            <w:r w:rsidRPr="00B746AB">
              <w:rPr>
                <w:rFonts w:ascii="Verdana" w:hAnsi="Verdana"/>
                <w:sz w:val="16"/>
                <w:szCs w:val="16"/>
                <w:lang w:val="en-US"/>
              </w:rPr>
              <w:t>600 mL to 3 L</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6605F6"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FF95D9" w14:textId="77777777" w:rsidR="00307BA1" w:rsidRPr="00B746AB" w:rsidRDefault="00307BA1">
            <w:pPr>
              <w:spacing w:after="101" w:line="236" w:lineRule="atLeast"/>
              <w:jc w:val="center"/>
              <w:rPr>
                <w:lang w:val="en-US"/>
              </w:rPr>
            </w:pPr>
            <w:r w:rsidRPr="00B746AB">
              <w:rPr>
                <w:rFonts w:ascii="Verdana" w:hAnsi="Verdana"/>
                <w:sz w:val="16"/>
                <w:szCs w:val="16"/>
                <w:lang w:val="en-US"/>
              </w:rPr>
              <w:t>All the pieces</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245376" w14:textId="77777777" w:rsidR="00307BA1" w:rsidRPr="00B746AB" w:rsidRDefault="00307BA1">
            <w:pPr>
              <w:spacing w:after="101" w:line="236" w:lineRule="atLeast"/>
              <w:jc w:val="center"/>
              <w:rPr>
                <w:lang w:val="en-US"/>
              </w:rPr>
            </w:pPr>
            <w:r w:rsidRPr="00B746AB">
              <w:rPr>
                <w:rFonts w:ascii="Verdana" w:hAnsi="Verdana"/>
                <w:sz w:val="16"/>
                <w:szCs w:val="16"/>
                <w:lang w:val="en-US"/>
              </w:rPr>
              <w:t>0.75</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A2C776" w14:textId="77777777" w:rsidR="00307BA1" w:rsidRPr="00B746AB" w:rsidRDefault="00307BA1">
            <w:pPr>
              <w:spacing w:after="101" w:line="236" w:lineRule="atLeast"/>
              <w:jc w:val="center"/>
              <w:rPr>
                <w:lang w:val="en-US"/>
              </w:rPr>
            </w:pPr>
            <w:r w:rsidRPr="00B746AB">
              <w:rPr>
                <w:rFonts w:ascii="Verdana" w:hAnsi="Verdana"/>
                <w:sz w:val="16"/>
                <w:szCs w:val="16"/>
                <w:lang w:val="en-US"/>
              </w:rPr>
              <w:t>0.25</w:t>
            </w:r>
          </w:p>
        </w:tc>
      </w:tr>
      <w:tr w:rsidR="00307BA1" w14:paraId="4ED7F50F" w14:textId="77777777" w:rsidTr="00307BA1">
        <w:trPr>
          <w:trHeight w:val="144"/>
        </w:trPr>
        <w:tc>
          <w:tcPr>
            <w:tcW w:w="23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854254" w14:textId="77777777" w:rsidR="00307BA1" w:rsidRPr="00B746AB" w:rsidRDefault="00307BA1">
            <w:pPr>
              <w:spacing w:after="101" w:line="236" w:lineRule="atLeast"/>
              <w:jc w:val="both"/>
              <w:rPr>
                <w:lang w:val="en-US"/>
              </w:rPr>
            </w:pPr>
            <w:r w:rsidRPr="00B746AB">
              <w:rPr>
                <w:rFonts w:ascii="Verdana" w:hAnsi="Verdana"/>
                <w:sz w:val="16"/>
                <w:szCs w:val="16"/>
                <w:lang w:val="en-US"/>
              </w:rPr>
              <w:t>Hollow parts for storage</w:t>
            </w:r>
          </w:p>
        </w:tc>
        <w:tc>
          <w:tcPr>
            <w:tcW w:w="12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4E6269" w14:textId="77777777" w:rsidR="00307BA1" w:rsidRPr="00B746AB" w:rsidRDefault="00307BA1">
            <w:pPr>
              <w:spacing w:after="101" w:line="236" w:lineRule="atLeast"/>
              <w:jc w:val="center"/>
              <w:rPr>
                <w:lang w:val="en-US"/>
              </w:rPr>
            </w:pPr>
            <w:r w:rsidRPr="00B746AB">
              <w:rPr>
                <w:rFonts w:ascii="Verdana" w:hAnsi="Verdana"/>
                <w:sz w:val="16"/>
                <w:szCs w:val="16"/>
                <w:lang w:val="en-US"/>
              </w:rPr>
              <w:t>&gt; to 3 L</w:t>
            </w:r>
          </w:p>
        </w:tc>
        <w:tc>
          <w:tcPr>
            <w:tcW w:w="6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224470" w14:textId="77777777" w:rsidR="00307BA1" w:rsidRPr="00B746AB" w:rsidRDefault="00307BA1">
            <w:pPr>
              <w:spacing w:after="101" w:line="236" w:lineRule="atLeast"/>
              <w:jc w:val="center"/>
              <w:rPr>
                <w:lang w:val="en-US"/>
              </w:rPr>
            </w:pPr>
            <w:r w:rsidRPr="00B746AB">
              <w:rPr>
                <w:rFonts w:ascii="Verdana" w:hAnsi="Verdana"/>
                <w:sz w:val="16"/>
                <w:szCs w:val="16"/>
                <w:lang w:val="en-US"/>
              </w:rPr>
              <w:t>4</w:t>
            </w:r>
          </w:p>
        </w:tc>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A864E9" w14:textId="77777777" w:rsidR="00307BA1" w:rsidRPr="00B746AB" w:rsidRDefault="00307BA1">
            <w:pPr>
              <w:spacing w:after="101" w:line="236" w:lineRule="atLeast"/>
              <w:jc w:val="center"/>
              <w:rPr>
                <w:lang w:val="en-US"/>
              </w:rPr>
            </w:pPr>
            <w:r w:rsidRPr="00B746AB">
              <w:rPr>
                <w:rFonts w:ascii="Verdana" w:hAnsi="Verdana"/>
                <w:sz w:val="16"/>
                <w:szCs w:val="16"/>
                <w:lang w:val="en-US"/>
              </w:rPr>
              <w:t>All the pieces</w:t>
            </w:r>
          </w:p>
        </w:tc>
        <w:tc>
          <w:tcPr>
            <w:tcW w:w="13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3431F6" w14:textId="77777777" w:rsidR="00307BA1" w:rsidRPr="00B746AB" w:rsidRDefault="00307BA1">
            <w:pPr>
              <w:spacing w:after="101" w:line="236" w:lineRule="atLeast"/>
              <w:jc w:val="center"/>
              <w:rPr>
                <w:lang w:val="en-US"/>
              </w:rPr>
            </w:pPr>
            <w:r w:rsidRPr="00B746AB">
              <w:rPr>
                <w:rFonts w:ascii="Verdana" w:hAnsi="Verdana"/>
                <w:sz w:val="16"/>
                <w:szCs w:val="16"/>
                <w:lang w:val="en-US"/>
              </w:rPr>
              <w:t>0.50</w:t>
            </w:r>
          </w:p>
        </w:tc>
        <w:tc>
          <w:tcPr>
            <w:tcW w:w="14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6D72C0" w14:textId="77777777" w:rsidR="00307BA1" w:rsidRPr="00B746AB" w:rsidRDefault="00307BA1">
            <w:pPr>
              <w:spacing w:after="101" w:line="236" w:lineRule="atLeast"/>
              <w:jc w:val="center"/>
              <w:rPr>
                <w:lang w:val="en-US"/>
              </w:rPr>
            </w:pPr>
            <w:r w:rsidRPr="00B746AB">
              <w:rPr>
                <w:rFonts w:ascii="Verdana" w:hAnsi="Verdana"/>
                <w:sz w:val="16"/>
                <w:szCs w:val="16"/>
                <w:lang w:val="en-US"/>
              </w:rPr>
              <w:t>0.25</w:t>
            </w:r>
          </w:p>
        </w:tc>
      </w:tr>
      <w:tr w:rsidR="00307BA1" w:rsidRPr="00307BA1" w14:paraId="1BAA8BFE" w14:textId="77777777" w:rsidTr="00307BA1">
        <w:trPr>
          <w:trHeight w:val="144"/>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E11AF6" w14:textId="77777777" w:rsidR="00307BA1" w:rsidRPr="00B746AB" w:rsidRDefault="00307BA1">
            <w:pPr>
              <w:spacing w:after="101" w:line="236" w:lineRule="atLeast"/>
              <w:jc w:val="both"/>
              <w:rPr>
                <w:lang w:val="en-US"/>
              </w:rPr>
            </w:pPr>
            <w:r w:rsidRPr="00B746AB">
              <w:rPr>
                <w:rFonts w:ascii="Verdana" w:hAnsi="Verdana"/>
                <w:position w:val="8"/>
                <w:sz w:val="16"/>
                <w:szCs w:val="16"/>
                <w:lang w:val="en-US"/>
              </w:rPr>
              <w:t xml:space="preserve">a </w:t>
            </w:r>
            <w:r w:rsidRPr="00B746AB">
              <w:rPr>
                <w:rFonts w:ascii="Verdana" w:hAnsi="Verdana"/>
                <w:sz w:val="16"/>
                <w:szCs w:val="16"/>
                <w:lang w:val="en-US"/>
              </w:rPr>
              <w:t>It is the number of pieces to which the test will be applied.</w:t>
            </w:r>
          </w:p>
          <w:p w14:paraId="4FD43964" w14:textId="77777777" w:rsidR="00307BA1" w:rsidRPr="00B746AB" w:rsidRDefault="00307BA1">
            <w:pPr>
              <w:spacing w:after="101" w:line="236" w:lineRule="atLeast"/>
              <w:jc w:val="both"/>
              <w:rPr>
                <w:lang w:val="en-US"/>
              </w:rPr>
            </w:pPr>
            <w:r w:rsidRPr="00B746AB">
              <w:rPr>
                <w:rFonts w:ascii="Verdana" w:hAnsi="Verdana"/>
                <w:position w:val="8"/>
                <w:sz w:val="16"/>
                <w:szCs w:val="16"/>
                <w:lang w:val="en-US"/>
              </w:rPr>
              <w:t xml:space="preserve">b </w:t>
            </w:r>
            <w:r w:rsidRPr="00B746AB">
              <w:rPr>
                <w:rFonts w:ascii="Verdana" w:hAnsi="Verdana"/>
                <w:sz w:val="16"/>
                <w:szCs w:val="16"/>
                <w:lang w:val="en-US"/>
              </w:rPr>
              <w:t>In case the sample (four pieces) exceeds 25% of the annual production of that specific loose piece, one piece will be analyzed.</w:t>
            </w:r>
          </w:p>
        </w:tc>
      </w:tr>
    </w:tbl>
    <w:p w14:paraId="78C960DE" w14:textId="77777777" w:rsidR="00307BA1" w:rsidRPr="00307BA1" w:rsidRDefault="00307BA1" w:rsidP="00307BA1">
      <w:pPr>
        <w:spacing w:after="101" w:line="236" w:lineRule="atLeast"/>
        <w:ind w:firstLine="288"/>
        <w:jc w:val="both"/>
        <w:rPr>
          <w:lang w:val="en-US"/>
        </w:rPr>
      </w:pPr>
      <w:r w:rsidRPr="00307BA1">
        <w:rPr>
          <w:rFonts w:ascii="Verdana" w:hAnsi="Verdana"/>
          <w:b/>
          <w:bCs/>
          <w:sz w:val="16"/>
          <w:szCs w:val="16"/>
          <w:lang w:val="en-US"/>
        </w:rPr>
        <w:t> </w:t>
      </w:r>
    </w:p>
    <w:p w14:paraId="35F5B9EA" w14:textId="2EEA18F4" w:rsidR="00307BA1" w:rsidRPr="00307BA1" w:rsidRDefault="00307BA1" w:rsidP="00F977F2">
      <w:pPr>
        <w:pStyle w:val="Texto"/>
        <w:spacing w:line="236" w:lineRule="exact"/>
        <w:rPr>
          <w:rFonts w:ascii="Verdana" w:hAnsi="Verdana"/>
          <w:b/>
          <w:sz w:val="16"/>
          <w:szCs w:val="16"/>
          <w:lang w:val="en-US" w:eastAsia="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07BA1" w:rsidRPr="006F11F4" w14:paraId="244B6C98" w14:textId="164DA5DE" w:rsidTr="00B746AB">
        <w:tc>
          <w:tcPr>
            <w:tcW w:w="4788" w:type="dxa"/>
          </w:tcPr>
          <w:p w14:paraId="0583972E" w14:textId="77777777" w:rsidR="00307BA1" w:rsidRPr="006F11F4" w:rsidRDefault="00307BA1" w:rsidP="00307BA1">
            <w:pPr>
              <w:pStyle w:val="Texto"/>
              <w:spacing w:line="236" w:lineRule="exact"/>
              <w:ind w:firstLine="0"/>
              <w:rPr>
                <w:rFonts w:ascii="Verdana" w:hAnsi="Verdana"/>
                <w:sz w:val="16"/>
                <w:szCs w:val="16"/>
                <w:lang w:eastAsia="es-MX"/>
              </w:rPr>
            </w:pPr>
            <w:r w:rsidRPr="006F11F4">
              <w:rPr>
                <w:rFonts w:ascii="Verdana" w:hAnsi="Verdana"/>
                <w:b/>
                <w:sz w:val="16"/>
                <w:szCs w:val="16"/>
                <w:lang w:eastAsia="es-MX"/>
              </w:rPr>
              <w:t>5.2</w:t>
            </w:r>
            <w:r w:rsidRPr="006F11F4">
              <w:rPr>
                <w:rFonts w:ascii="Verdana" w:hAnsi="Verdana"/>
                <w:sz w:val="16"/>
                <w:szCs w:val="16"/>
                <w:lang w:eastAsia="es-MX"/>
              </w:rPr>
              <w:t xml:space="preserve"> Criterio de aceptación.</w:t>
            </w:r>
          </w:p>
        </w:tc>
        <w:tc>
          <w:tcPr>
            <w:tcW w:w="4788" w:type="dxa"/>
          </w:tcPr>
          <w:p w14:paraId="3BE0EBE6" w14:textId="604B2E98" w:rsidR="00307BA1" w:rsidRPr="00B746AB" w:rsidRDefault="00307BA1" w:rsidP="00307BA1">
            <w:pPr>
              <w:pStyle w:val="Texto"/>
              <w:spacing w:line="236"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5.2 </w:t>
            </w:r>
            <w:r w:rsidRPr="00B746AB">
              <w:rPr>
                <w:rFonts w:ascii="Verdana" w:hAnsi="Verdana" w:cs="Times New Roman"/>
                <w:sz w:val="16"/>
                <w:szCs w:val="16"/>
                <w:lang w:val="en-US"/>
              </w:rPr>
              <w:t>Acceptance criteria.</w:t>
            </w:r>
          </w:p>
        </w:tc>
      </w:tr>
      <w:tr w:rsidR="00307BA1" w:rsidRPr="00307BA1" w14:paraId="01B80730" w14:textId="3EC69D83" w:rsidTr="00B746AB">
        <w:tc>
          <w:tcPr>
            <w:tcW w:w="4788" w:type="dxa"/>
          </w:tcPr>
          <w:p w14:paraId="7C91D57D" w14:textId="77777777" w:rsidR="00307BA1" w:rsidRPr="006F11F4" w:rsidRDefault="00307BA1" w:rsidP="00307BA1">
            <w:pPr>
              <w:pStyle w:val="Texto"/>
              <w:spacing w:line="236" w:lineRule="exact"/>
              <w:ind w:firstLine="0"/>
              <w:rPr>
                <w:rFonts w:ascii="Verdana" w:hAnsi="Verdana"/>
                <w:sz w:val="16"/>
                <w:szCs w:val="16"/>
                <w:lang w:eastAsia="es-MX"/>
              </w:rPr>
            </w:pPr>
            <w:r w:rsidRPr="006F11F4">
              <w:rPr>
                <w:rFonts w:ascii="Verdana" w:hAnsi="Verdana"/>
                <w:b/>
                <w:sz w:val="16"/>
                <w:szCs w:val="16"/>
                <w:lang w:eastAsia="es-MX"/>
              </w:rPr>
              <w:t>5.2.1</w:t>
            </w:r>
            <w:r w:rsidRPr="006F11F4">
              <w:rPr>
                <w:rFonts w:ascii="Verdana" w:hAnsi="Verdana"/>
                <w:sz w:val="16"/>
                <w:szCs w:val="16"/>
                <w:lang w:eastAsia="es-MX"/>
              </w:rPr>
              <w:t xml:space="preserve"> La concentración de Pb y Cd obtenida debe cumplir con los límites máximos permisibles establecidos en las tablas 1 y 2 del punto 5.1 de la presente Norma. Los tipos de piezas deben ajustarse a los mencionados en cada tabla.</w:t>
            </w:r>
          </w:p>
        </w:tc>
        <w:tc>
          <w:tcPr>
            <w:tcW w:w="4788" w:type="dxa"/>
          </w:tcPr>
          <w:p w14:paraId="649584F4" w14:textId="3F4755B6" w:rsidR="00307BA1" w:rsidRPr="00B746AB" w:rsidRDefault="00307BA1" w:rsidP="00307BA1">
            <w:pPr>
              <w:pStyle w:val="Texto"/>
              <w:spacing w:line="236"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5.2.1 </w:t>
            </w:r>
            <w:r w:rsidRPr="00B746AB">
              <w:rPr>
                <w:rFonts w:ascii="Verdana" w:hAnsi="Verdana" w:cs="Times New Roman"/>
                <w:sz w:val="16"/>
                <w:szCs w:val="16"/>
                <w:lang w:val="en-US"/>
              </w:rPr>
              <w:t>The concentration of Pb and Cd obtained must comply with the maximum permissible limits established in tables 1 and 2 of point 5.1 of this Standard. The types of parts must conform to those mentioned in each table.</w:t>
            </w:r>
          </w:p>
        </w:tc>
      </w:tr>
      <w:tr w:rsidR="00307BA1" w:rsidRPr="00307BA1" w14:paraId="53FE8049" w14:textId="571A60BA" w:rsidTr="00B746AB">
        <w:tc>
          <w:tcPr>
            <w:tcW w:w="4788" w:type="dxa"/>
          </w:tcPr>
          <w:p w14:paraId="0BF869C6" w14:textId="77777777" w:rsidR="00307BA1" w:rsidRPr="006F11F4" w:rsidRDefault="00307BA1" w:rsidP="00307BA1">
            <w:pPr>
              <w:pStyle w:val="Texto"/>
              <w:spacing w:line="236" w:lineRule="exact"/>
              <w:ind w:firstLine="0"/>
              <w:rPr>
                <w:rFonts w:ascii="Verdana" w:hAnsi="Verdana"/>
                <w:sz w:val="16"/>
                <w:szCs w:val="16"/>
                <w:lang w:eastAsia="es-MX"/>
              </w:rPr>
            </w:pPr>
            <w:r w:rsidRPr="006F11F4">
              <w:rPr>
                <w:rFonts w:ascii="Verdana" w:hAnsi="Verdana"/>
                <w:b/>
                <w:sz w:val="16"/>
                <w:szCs w:val="16"/>
                <w:lang w:eastAsia="es-MX"/>
              </w:rPr>
              <w:t>5.2.2</w:t>
            </w:r>
            <w:r w:rsidRPr="006F11F4">
              <w:rPr>
                <w:rFonts w:ascii="Verdana" w:hAnsi="Verdana"/>
                <w:sz w:val="16"/>
                <w:szCs w:val="16"/>
                <w:lang w:eastAsia="es-MX"/>
              </w:rPr>
              <w:t xml:space="preserve"> En el caso de no cumplir con esta Norma debe agregarse la leyenda señalada en el punto 5.3.1  o 5.3.2 de la presente Norma en forma permanente y visible, con pigmento cerámico horneado, o descartar su uso para alimentos o bebidas con una perforación como mínimo de 2 mm de diámetro en un costado de  la base.</w:t>
            </w:r>
          </w:p>
        </w:tc>
        <w:tc>
          <w:tcPr>
            <w:tcW w:w="4788" w:type="dxa"/>
          </w:tcPr>
          <w:p w14:paraId="29FDA27A" w14:textId="2EAFEE73" w:rsidR="00307BA1" w:rsidRPr="00B746AB" w:rsidRDefault="00307BA1" w:rsidP="00307BA1">
            <w:pPr>
              <w:pStyle w:val="Texto"/>
              <w:spacing w:line="236"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5.2.2 </w:t>
            </w:r>
            <w:r w:rsidRPr="00B746AB">
              <w:rPr>
                <w:rFonts w:ascii="Verdana" w:hAnsi="Verdana" w:cs="Times New Roman"/>
                <w:sz w:val="16"/>
                <w:szCs w:val="16"/>
                <w:lang w:val="en-US"/>
              </w:rPr>
              <w:t>In the event of non-compliance with this Standard, the legend indicated in point 5.3.1 or 5.3.2 of this Standard must be added permanently and visibly, with baked ceramic pigment, or discard its use for food or beverages. with a hole of at least 2 mm in diameter on one side of the base.</w:t>
            </w:r>
          </w:p>
        </w:tc>
      </w:tr>
      <w:tr w:rsidR="00307BA1" w:rsidRPr="00307BA1" w14:paraId="5454A6D4" w14:textId="024EF32C" w:rsidTr="00B746AB">
        <w:tc>
          <w:tcPr>
            <w:tcW w:w="4788" w:type="dxa"/>
          </w:tcPr>
          <w:p w14:paraId="658C598F" w14:textId="77777777" w:rsidR="00307BA1" w:rsidRPr="006F11F4" w:rsidRDefault="00307BA1" w:rsidP="00307BA1">
            <w:pPr>
              <w:pStyle w:val="Texto"/>
              <w:spacing w:line="236" w:lineRule="exact"/>
              <w:ind w:firstLine="0"/>
              <w:rPr>
                <w:rFonts w:ascii="Verdana" w:hAnsi="Verdana"/>
                <w:sz w:val="16"/>
                <w:szCs w:val="16"/>
                <w:lang w:eastAsia="es-MX"/>
              </w:rPr>
            </w:pPr>
            <w:r w:rsidRPr="006F11F4">
              <w:rPr>
                <w:rFonts w:ascii="Verdana" w:hAnsi="Verdana"/>
                <w:b/>
                <w:sz w:val="16"/>
                <w:szCs w:val="16"/>
                <w:lang w:eastAsia="es-MX"/>
              </w:rPr>
              <w:t>5.2.3</w:t>
            </w:r>
            <w:r w:rsidRPr="006F11F4">
              <w:rPr>
                <w:rFonts w:ascii="Verdana" w:hAnsi="Verdana"/>
                <w:sz w:val="16"/>
                <w:szCs w:val="16"/>
                <w:lang w:eastAsia="es-MX"/>
              </w:rPr>
              <w:t xml:space="preserve"> Las piezas con fines decorativos, conmemorativos o coleccionables, así como las piezas sueltas que no cumplan con esta Norma, deben llevar la leyenda </w:t>
            </w:r>
            <w:r w:rsidRPr="006F11F4">
              <w:rPr>
                <w:rFonts w:ascii="Verdana" w:hAnsi="Verdana"/>
                <w:sz w:val="16"/>
                <w:szCs w:val="16"/>
                <w:lang w:eastAsia="es-MX"/>
              </w:rPr>
              <w:lastRenderedPageBreak/>
              <w:t>señalada en el punto 5.3.1 o 5.3.2, de la presente Norma.</w:t>
            </w:r>
          </w:p>
        </w:tc>
        <w:tc>
          <w:tcPr>
            <w:tcW w:w="4788" w:type="dxa"/>
          </w:tcPr>
          <w:p w14:paraId="29D39216" w14:textId="2E5B889F" w:rsidR="00307BA1" w:rsidRPr="00B746AB" w:rsidRDefault="00307BA1" w:rsidP="00307BA1">
            <w:pPr>
              <w:pStyle w:val="Texto"/>
              <w:spacing w:line="236" w:lineRule="exact"/>
              <w:ind w:firstLine="0"/>
              <w:rPr>
                <w:rFonts w:ascii="Verdana" w:hAnsi="Verdana"/>
                <w:b/>
                <w:sz w:val="16"/>
                <w:szCs w:val="16"/>
                <w:lang w:val="en-US" w:eastAsia="es-MX"/>
              </w:rPr>
            </w:pPr>
            <w:r w:rsidRPr="00B746AB">
              <w:rPr>
                <w:rFonts w:ascii="Verdana" w:hAnsi="Verdana" w:cs="Times New Roman"/>
                <w:b/>
                <w:bCs/>
                <w:sz w:val="16"/>
                <w:szCs w:val="16"/>
                <w:lang w:val="en-US"/>
              </w:rPr>
              <w:lastRenderedPageBreak/>
              <w:t xml:space="preserve">5.2.3 </w:t>
            </w:r>
            <w:r w:rsidRPr="00B746AB">
              <w:rPr>
                <w:rFonts w:ascii="Verdana" w:hAnsi="Verdana" w:cs="Times New Roman"/>
                <w:sz w:val="16"/>
                <w:szCs w:val="16"/>
                <w:lang w:val="en-US"/>
              </w:rPr>
              <w:t>Pieces for decorative, commemorative or collectible purposes, as well as individual pieces that do not comply with this Standard, must bear the legend indicated in point 5.3.1 or 5.3.2 of this Standard.</w:t>
            </w:r>
          </w:p>
        </w:tc>
      </w:tr>
      <w:tr w:rsidR="00307BA1" w:rsidRPr="006F11F4" w14:paraId="299636D3" w14:textId="34982B30" w:rsidTr="00B746AB">
        <w:tc>
          <w:tcPr>
            <w:tcW w:w="4788" w:type="dxa"/>
          </w:tcPr>
          <w:p w14:paraId="4E90F1B9" w14:textId="77777777" w:rsidR="00307BA1" w:rsidRPr="006F11F4" w:rsidRDefault="00307BA1" w:rsidP="00307BA1">
            <w:pPr>
              <w:pStyle w:val="Texto"/>
              <w:ind w:firstLine="0"/>
              <w:rPr>
                <w:rFonts w:ascii="Verdana" w:hAnsi="Verdana"/>
                <w:sz w:val="16"/>
                <w:szCs w:val="16"/>
                <w:lang w:eastAsia="es-MX"/>
              </w:rPr>
            </w:pPr>
            <w:r w:rsidRPr="006F11F4">
              <w:rPr>
                <w:rFonts w:ascii="Verdana" w:hAnsi="Verdana"/>
                <w:b/>
                <w:sz w:val="16"/>
                <w:szCs w:val="16"/>
                <w:lang w:eastAsia="es-MX"/>
              </w:rPr>
              <w:t>5.3</w:t>
            </w:r>
            <w:r w:rsidRPr="006F11F4">
              <w:rPr>
                <w:rFonts w:ascii="Verdana" w:hAnsi="Verdana"/>
                <w:sz w:val="16"/>
                <w:szCs w:val="16"/>
                <w:lang w:eastAsia="es-MX"/>
              </w:rPr>
              <w:t xml:space="preserve"> Marcado.</w:t>
            </w:r>
          </w:p>
        </w:tc>
        <w:tc>
          <w:tcPr>
            <w:tcW w:w="4788" w:type="dxa"/>
          </w:tcPr>
          <w:p w14:paraId="4CBDAF12" w14:textId="0895033F" w:rsidR="00307BA1" w:rsidRPr="00B746AB" w:rsidRDefault="00307BA1" w:rsidP="00307BA1">
            <w:pPr>
              <w:pStyle w:val="Texto"/>
              <w:ind w:firstLine="0"/>
              <w:rPr>
                <w:rFonts w:ascii="Verdana" w:hAnsi="Verdana"/>
                <w:b/>
                <w:sz w:val="16"/>
                <w:szCs w:val="16"/>
                <w:lang w:val="en-US" w:eastAsia="es-MX"/>
              </w:rPr>
            </w:pPr>
            <w:r w:rsidRPr="00B746AB">
              <w:rPr>
                <w:rFonts w:ascii="Verdana" w:hAnsi="Verdana" w:cs="Times New Roman"/>
                <w:b/>
                <w:bCs/>
                <w:sz w:val="16"/>
                <w:szCs w:val="16"/>
                <w:lang w:val="en-US"/>
              </w:rPr>
              <w:t xml:space="preserve">5.3 </w:t>
            </w:r>
            <w:r w:rsidRPr="00B746AB">
              <w:rPr>
                <w:rFonts w:ascii="Verdana" w:hAnsi="Verdana" w:cs="Times New Roman"/>
                <w:sz w:val="16"/>
                <w:szCs w:val="16"/>
                <w:lang w:val="en-US"/>
              </w:rPr>
              <w:t>Marking.</w:t>
            </w:r>
          </w:p>
        </w:tc>
      </w:tr>
      <w:tr w:rsidR="00307BA1" w:rsidRPr="006F11F4" w14:paraId="6AEE510E" w14:textId="23F22F31" w:rsidTr="00B746AB">
        <w:tc>
          <w:tcPr>
            <w:tcW w:w="4788" w:type="dxa"/>
          </w:tcPr>
          <w:p w14:paraId="02C216B8"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 xml:space="preserve">5.3.1 </w:t>
            </w:r>
            <w:r w:rsidRPr="006F11F4">
              <w:rPr>
                <w:rFonts w:ascii="Verdana" w:hAnsi="Verdana"/>
                <w:sz w:val="16"/>
                <w:szCs w:val="16"/>
                <w:lang w:eastAsia="es-MX"/>
              </w:rPr>
              <w:t>En caso de que las muestras no cumplan con los criterios de aceptación señalados en el punto 5.1, de la presente Norma, se debe incluir la leyenda "no usar con alimentos o bebidas, contiene plomo", de acuerdo al punto 5.2.2 de esta Norma.</w:t>
            </w:r>
          </w:p>
        </w:tc>
        <w:tc>
          <w:tcPr>
            <w:tcW w:w="4788" w:type="dxa"/>
          </w:tcPr>
          <w:p w14:paraId="1D0922A0" w14:textId="57AA464D"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5.3.1 </w:t>
            </w:r>
            <w:r w:rsidRPr="00B746AB">
              <w:rPr>
                <w:rFonts w:ascii="Verdana" w:hAnsi="Verdana" w:cs="Times New Roman"/>
                <w:sz w:val="16"/>
                <w:szCs w:val="16"/>
                <w:lang w:val="en-US"/>
              </w:rPr>
              <w:t>In the event that the samples do not meet the acceptance criteria indicated in point 5.1 of this Standard, the legend "do not use with food or beverages, contains lead" must be included, according to point 5.2. 2 of this Standard.</w:t>
            </w:r>
          </w:p>
        </w:tc>
      </w:tr>
      <w:tr w:rsidR="00307BA1" w:rsidRPr="00307BA1" w14:paraId="014923C0" w14:textId="028213F8" w:rsidTr="00B746AB">
        <w:tc>
          <w:tcPr>
            <w:tcW w:w="4788" w:type="dxa"/>
          </w:tcPr>
          <w:p w14:paraId="53A8797A"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5.3.2</w:t>
            </w:r>
            <w:r w:rsidRPr="006F11F4">
              <w:rPr>
                <w:rFonts w:ascii="Verdana" w:hAnsi="Verdana"/>
                <w:sz w:val="16"/>
                <w:szCs w:val="16"/>
                <w:lang w:eastAsia="es-MX"/>
              </w:rPr>
              <w:t xml:space="preserve"> Los artículos destinados a la exportación deben ostentar la leyenda en el idioma inglés "</w:t>
            </w:r>
            <w:proofErr w:type="spellStart"/>
            <w:r w:rsidRPr="006F11F4">
              <w:rPr>
                <w:rFonts w:ascii="Verdana" w:hAnsi="Verdana"/>
                <w:sz w:val="16"/>
                <w:szCs w:val="16"/>
                <w:lang w:eastAsia="es-MX"/>
              </w:rPr>
              <w:t>Not</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for</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food</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or</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drink</w:t>
            </w:r>
            <w:proofErr w:type="spellEnd"/>
            <w:r w:rsidRPr="006F11F4">
              <w:rPr>
                <w:rFonts w:ascii="Verdana" w:hAnsi="Verdana"/>
                <w:sz w:val="16"/>
                <w:szCs w:val="16"/>
                <w:lang w:eastAsia="es-MX"/>
              </w:rPr>
              <w:t xml:space="preserve"> use, </w:t>
            </w:r>
            <w:proofErr w:type="spellStart"/>
            <w:r w:rsidRPr="006F11F4">
              <w:rPr>
                <w:rFonts w:ascii="Verdana" w:hAnsi="Verdana"/>
                <w:sz w:val="16"/>
                <w:szCs w:val="16"/>
                <w:lang w:eastAsia="es-MX"/>
              </w:rPr>
              <w:t>this</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product</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contains</w:t>
            </w:r>
            <w:proofErr w:type="spellEnd"/>
            <w:r w:rsidRPr="006F11F4">
              <w:rPr>
                <w:rFonts w:ascii="Verdana" w:hAnsi="Verdana"/>
                <w:sz w:val="16"/>
                <w:szCs w:val="16"/>
                <w:lang w:eastAsia="es-MX"/>
              </w:rPr>
              <w:t xml:space="preserve"> lead", conforme al Acuerdo que establece la información en español que deberán contener los productos importados y la autorización para usar otros idiomas cuando los productos nacionales se exporten, publicado en el Diario Oficial de la Federación el 19 de junio de 1987, de acuerdo al punto 5.2.3 de la presente Norma.</w:t>
            </w:r>
          </w:p>
        </w:tc>
        <w:tc>
          <w:tcPr>
            <w:tcW w:w="4788" w:type="dxa"/>
          </w:tcPr>
          <w:p w14:paraId="5344BB47" w14:textId="79FF2FA9"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5.3.2 </w:t>
            </w:r>
            <w:r w:rsidRPr="00B746AB">
              <w:rPr>
                <w:rFonts w:ascii="Verdana" w:hAnsi="Verdana" w:cs="Times New Roman"/>
                <w:sz w:val="16"/>
                <w:szCs w:val="16"/>
                <w:lang w:val="en-US"/>
              </w:rPr>
              <w:t>Articles destined for export must bear the legend in the English language "Not for food or drink use, this product contains lead</w:t>
            </w:r>
            <w:r w:rsidR="00B746AB">
              <w:rPr>
                <w:rFonts w:ascii="Verdana" w:hAnsi="Verdana" w:cs="Times New Roman"/>
                <w:sz w:val="16"/>
                <w:szCs w:val="16"/>
                <w:lang w:val="en-US"/>
              </w:rPr>
              <w:t>,</w:t>
            </w:r>
            <w:r w:rsidRPr="00B746AB">
              <w:rPr>
                <w:rFonts w:ascii="Verdana" w:hAnsi="Verdana" w:cs="Times New Roman"/>
                <w:sz w:val="16"/>
                <w:szCs w:val="16"/>
                <w:lang w:val="en-US"/>
              </w:rPr>
              <w:t xml:space="preserve">" in accordance with the Agreement that establishes the information in Spanish that the imported products must contain and the authorization for use other languages </w:t>
            </w:r>
            <w:r w:rsidRPr="00B746AB">
              <w:rPr>
                <w:sz w:val="16"/>
                <w:szCs w:val="16"/>
                <w:lang w:val="en-US"/>
              </w:rPr>
              <w:t>​​</w:t>
            </w:r>
            <w:r w:rsidRPr="00B746AB">
              <w:rPr>
                <w:rFonts w:ascii="Verdana" w:hAnsi="Verdana" w:cs="Times New Roman"/>
                <w:sz w:val="16"/>
                <w:szCs w:val="16"/>
                <w:lang w:val="en-US"/>
              </w:rPr>
              <w:t xml:space="preserve">when national products are exported, published in the Official Daily of the Federation on June 19, 1987, according to point 5.2.3 of this Standard. </w:t>
            </w:r>
          </w:p>
        </w:tc>
      </w:tr>
      <w:tr w:rsidR="00307BA1" w:rsidRPr="006F11F4" w14:paraId="411D7EB3" w14:textId="0ED176C1" w:rsidTr="00B746AB">
        <w:tc>
          <w:tcPr>
            <w:tcW w:w="4788" w:type="dxa"/>
          </w:tcPr>
          <w:p w14:paraId="6DED3BD6"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 Muestreo</w:t>
            </w:r>
          </w:p>
        </w:tc>
        <w:tc>
          <w:tcPr>
            <w:tcW w:w="4788" w:type="dxa"/>
          </w:tcPr>
          <w:p w14:paraId="14C57A12" w14:textId="57DC35EE"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6. Sampling</w:t>
            </w:r>
          </w:p>
        </w:tc>
      </w:tr>
      <w:tr w:rsidR="00307BA1" w:rsidRPr="006F11F4" w14:paraId="423C981E" w14:textId="76E8C19A" w:rsidTr="00B746AB">
        <w:tc>
          <w:tcPr>
            <w:tcW w:w="4788" w:type="dxa"/>
          </w:tcPr>
          <w:p w14:paraId="23926515"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6.1</w:t>
            </w:r>
            <w:r w:rsidRPr="006F11F4">
              <w:rPr>
                <w:rFonts w:ascii="Verdana" w:hAnsi="Verdana"/>
                <w:sz w:val="16"/>
                <w:szCs w:val="16"/>
                <w:lang w:eastAsia="es-MX"/>
              </w:rPr>
              <w:t xml:space="preserve"> Criterios de selección.</w:t>
            </w:r>
          </w:p>
        </w:tc>
        <w:tc>
          <w:tcPr>
            <w:tcW w:w="4788" w:type="dxa"/>
          </w:tcPr>
          <w:p w14:paraId="5A583292" w14:textId="360DCA05"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 </w:t>
            </w:r>
            <w:r w:rsidRPr="00B746AB">
              <w:rPr>
                <w:rFonts w:ascii="Verdana" w:hAnsi="Verdana" w:cs="Times New Roman"/>
                <w:sz w:val="16"/>
                <w:szCs w:val="16"/>
                <w:lang w:val="en-US"/>
              </w:rPr>
              <w:t>Selection criteria.</w:t>
            </w:r>
          </w:p>
        </w:tc>
      </w:tr>
      <w:tr w:rsidR="00307BA1" w:rsidRPr="00307BA1" w14:paraId="27E744A1" w14:textId="0498EE2C" w:rsidTr="00B746AB">
        <w:tc>
          <w:tcPr>
            <w:tcW w:w="4788" w:type="dxa"/>
          </w:tcPr>
          <w:p w14:paraId="29A4874C"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sz w:val="16"/>
                <w:szCs w:val="16"/>
                <w:lang w:eastAsia="es-MX"/>
              </w:rPr>
              <w:t>Los criterios y el procedimiento de muestreo, son los que se indican a continuación.</w:t>
            </w:r>
          </w:p>
        </w:tc>
        <w:tc>
          <w:tcPr>
            <w:tcW w:w="4788" w:type="dxa"/>
          </w:tcPr>
          <w:p w14:paraId="79F5CD5F" w14:textId="4A0C047F" w:rsidR="00307BA1" w:rsidRPr="00B746AB" w:rsidRDefault="00307BA1" w:rsidP="00307BA1">
            <w:pPr>
              <w:pStyle w:val="Texto"/>
              <w:spacing w:after="80" w:line="214" w:lineRule="exact"/>
              <w:ind w:firstLine="0"/>
              <w:rPr>
                <w:rFonts w:ascii="Verdana" w:hAnsi="Verdana"/>
                <w:sz w:val="16"/>
                <w:szCs w:val="16"/>
                <w:lang w:val="en-US" w:eastAsia="es-MX"/>
              </w:rPr>
            </w:pPr>
            <w:r w:rsidRPr="00B746AB">
              <w:rPr>
                <w:rFonts w:ascii="Verdana" w:hAnsi="Verdana" w:cs="Times New Roman"/>
                <w:sz w:val="16"/>
                <w:szCs w:val="16"/>
                <w:lang w:val="en-US"/>
              </w:rPr>
              <w:t>The criteria and the sampling procedure are as indicated below.</w:t>
            </w:r>
          </w:p>
        </w:tc>
      </w:tr>
      <w:tr w:rsidR="00307BA1" w:rsidRPr="00307BA1" w14:paraId="3FAF3DBE" w14:textId="65D4A8F9" w:rsidTr="00B746AB">
        <w:tc>
          <w:tcPr>
            <w:tcW w:w="4788" w:type="dxa"/>
          </w:tcPr>
          <w:p w14:paraId="6E409C0B"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6.1.1</w:t>
            </w:r>
            <w:r w:rsidRPr="006F11F4">
              <w:rPr>
                <w:rFonts w:ascii="Verdana" w:hAnsi="Verdana"/>
                <w:sz w:val="16"/>
                <w:szCs w:val="16"/>
                <w:lang w:eastAsia="es-MX"/>
              </w:rPr>
              <w:t xml:space="preserve"> Piezas sueltas y piezas para cocinar de cerámica, alfarería vidriada y vidrio, de producción nacional artesanal.</w:t>
            </w:r>
          </w:p>
        </w:tc>
        <w:tc>
          <w:tcPr>
            <w:tcW w:w="4788" w:type="dxa"/>
          </w:tcPr>
          <w:p w14:paraId="2A635537" w14:textId="4A155E71"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6.1.1 </w:t>
            </w:r>
            <w:r w:rsidRPr="00B746AB">
              <w:rPr>
                <w:rFonts w:ascii="Verdana" w:hAnsi="Verdana" w:cs="Times New Roman"/>
                <w:sz w:val="16"/>
                <w:szCs w:val="16"/>
                <w:lang w:val="en-US"/>
              </w:rPr>
              <w:t>Loose pieces and pieces for cooking of ceramics, glazed pottery and glass, of national artisan production.</w:t>
            </w:r>
          </w:p>
        </w:tc>
      </w:tr>
      <w:tr w:rsidR="00307BA1" w:rsidRPr="00307BA1" w14:paraId="00279183" w14:textId="3FC8E304" w:rsidTr="00B746AB">
        <w:tc>
          <w:tcPr>
            <w:tcW w:w="4788" w:type="dxa"/>
          </w:tcPr>
          <w:p w14:paraId="40E083A8"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sz w:val="16"/>
                <w:szCs w:val="16"/>
                <w:lang w:eastAsia="es-MX"/>
              </w:rPr>
              <w:t>En la selección de las muestras de piezas sueltas de alfarería y vidrio, de producción nacional, para procesar o contener alimentos, se deben emplear los siguientes criterios:</w:t>
            </w:r>
          </w:p>
        </w:tc>
        <w:tc>
          <w:tcPr>
            <w:tcW w:w="4788" w:type="dxa"/>
          </w:tcPr>
          <w:p w14:paraId="18B9E799" w14:textId="30D4FAE1" w:rsidR="00307BA1" w:rsidRPr="00B746AB" w:rsidRDefault="00307BA1" w:rsidP="00307BA1">
            <w:pPr>
              <w:pStyle w:val="Texto"/>
              <w:spacing w:after="80" w:line="214" w:lineRule="exact"/>
              <w:ind w:firstLine="0"/>
              <w:rPr>
                <w:rFonts w:ascii="Verdana" w:hAnsi="Verdana"/>
                <w:sz w:val="16"/>
                <w:szCs w:val="16"/>
                <w:lang w:val="en-US" w:eastAsia="es-MX"/>
              </w:rPr>
            </w:pPr>
            <w:r w:rsidRPr="00B746AB">
              <w:rPr>
                <w:rFonts w:ascii="Verdana" w:hAnsi="Verdana" w:cs="Times New Roman"/>
                <w:sz w:val="16"/>
                <w:szCs w:val="16"/>
                <w:lang w:val="en-US"/>
              </w:rPr>
              <w:t>In the selection of samples of loose pieces of pottery and glass, of national production, to process or contain food, the following criteria should be used:</w:t>
            </w:r>
          </w:p>
        </w:tc>
      </w:tr>
      <w:tr w:rsidR="00307BA1" w:rsidRPr="00307BA1" w14:paraId="457BE401" w14:textId="2EF69593" w:rsidTr="00B746AB">
        <w:tc>
          <w:tcPr>
            <w:tcW w:w="4788" w:type="dxa"/>
          </w:tcPr>
          <w:p w14:paraId="0905FB07"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6.1.1.1</w:t>
            </w:r>
            <w:r w:rsidRPr="006F11F4">
              <w:rPr>
                <w:rFonts w:ascii="Verdana" w:hAnsi="Verdana"/>
                <w:sz w:val="16"/>
                <w:szCs w:val="16"/>
                <w:lang w:eastAsia="es-MX"/>
              </w:rPr>
              <w:t xml:space="preserve"> Se debe dar prioridad a la categoría de artículos que plantee el mayor riesgo a la salud del consumidor (mayor relación área superficial/volumen en contacto con alimentos);</w:t>
            </w:r>
          </w:p>
        </w:tc>
        <w:tc>
          <w:tcPr>
            <w:tcW w:w="4788" w:type="dxa"/>
          </w:tcPr>
          <w:p w14:paraId="44D4FCB2" w14:textId="68D568E0"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6.1.1.1 </w:t>
            </w:r>
            <w:r w:rsidRPr="00B746AB">
              <w:rPr>
                <w:rFonts w:ascii="Verdana" w:hAnsi="Verdana" w:cs="Times New Roman"/>
                <w:sz w:val="16"/>
                <w:szCs w:val="16"/>
                <w:lang w:val="en-US"/>
              </w:rPr>
              <w:t>Priority should be given to the category of articles that poses the greatest risk to consumer health (highest surface area/volume ratio in contact with food);</w:t>
            </w:r>
          </w:p>
        </w:tc>
      </w:tr>
      <w:tr w:rsidR="00307BA1" w:rsidRPr="00307BA1" w14:paraId="010DA609" w14:textId="39EF1FC4" w:rsidTr="00B746AB">
        <w:tc>
          <w:tcPr>
            <w:tcW w:w="4788" w:type="dxa"/>
          </w:tcPr>
          <w:p w14:paraId="3CE6E5E0"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6.1.1.2</w:t>
            </w:r>
            <w:r w:rsidRPr="006F11F4">
              <w:rPr>
                <w:rFonts w:ascii="Verdana" w:hAnsi="Verdana"/>
                <w:sz w:val="16"/>
                <w:szCs w:val="16"/>
                <w:lang w:eastAsia="es-MX"/>
              </w:rPr>
              <w:t xml:space="preserve"> El muestreo en el caso de artesanos productores, será una vez al año siempre y cuando el artesano lleve una bitácora de control y declare por escrito a la Secretaría, bajo protesta de decir verdad que no utiliza </w:t>
            </w:r>
            <w:proofErr w:type="spellStart"/>
            <w:r w:rsidRPr="006F11F4">
              <w:rPr>
                <w:rFonts w:ascii="Verdana" w:hAnsi="Verdana"/>
                <w:sz w:val="16"/>
                <w:szCs w:val="16"/>
                <w:lang w:eastAsia="es-MX"/>
              </w:rPr>
              <w:t>greta</w:t>
            </w:r>
            <w:proofErr w:type="spellEnd"/>
            <w:r w:rsidRPr="006F11F4">
              <w:rPr>
                <w:rFonts w:ascii="Verdana" w:hAnsi="Verdana"/>
                <w:sz w:val="16"/>
                <w:szCs w:val="16"/>
                <w:lang w:eastAsia="es-MX"/>
              </w:rPr>
              <w:t>, esmaltes o pinturas con plomo, y los productos donde los emplean cumplen con los criterios de aceptación señalados en el punto 5.1, de esta Norma, para Pb y Cd;</w:t>
            </w:r>
          </w:p>
        </w:tc>
        <w:tc>
          <w:tcPr>
            <w:tcW w:w="4788" w:type="dxa"/>
          </w:tcPr>
          <w:p w14:paraId="25A279A5" w14:textId="57918F77"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6.1.1.2 </w:t>
            </w:r>
            <w:r w:rsidRPr="00B746AB">
              <w:rPr>
                <w:rFonts w:ascii="Verdana" w:hAnsi="Verdana" w:cs="Times New Roman"/>
                <w:sz w:val="16"/>
                <w:szCs w:val="16"/>
                <w:lang w:val="en-US"/>
              </w:rPr>
              <w:t xml:space="preserve">Sampling in the case of producing artisans will be once a year as long as the artisan keeps a control log and declares in writing to the Secretary, under protest of telling the truth that he does not use </w:t>
            </w:r>
            <w:proofErr w:type="spellStart"/>
            <w:r w:rsidRPr="00B746AB">
              <w:rPr>
                <w:rFonts w:ascii="Verdana" w:hAnsi="Verdana" w:cs="Times New Roman"/>
                <w:sz w:val="16"/>
                <w:szCs w:val="16"/>
                <w:lang w:val="en-US"/>
              </w:rPr>
              <w:t>greta</w:t>
            </w:r>
            <w:proofErr w:type="spellEnd"/>
            <w:r w:rsidRPr="00B746AB">
              <w:rPr>
                <w:rFonts w:ascii="Verdana" w:hAnsi="Verdana" w:cs="Times New Roman"/>
                <w:sz w:val="16"/>
                <w:szCs w:val="16"/>
                <w:lang w:val="en-US"/>
              </w:rPr>
              <w:t>, enamels or lead paints, and the products where they are used meet the acceptance criteria indicated in point 5.1 of this Standard, for Pb and Cd;</w:t>
            </w:r>
          </w:p>
        </w:tc>
      </w:tr>
      <w:tr w:rsidR="00307BA1" w:rsidRPr="00307BA1" w14:paraId="43E9FEBC" w14:textId="652187CE" w:rsidTr="00B746AB">
        <w:tc>
          <w:tcPr>
            <w:tcW w:w="4788" w:type="dxa"/>
          </w:tcPr>
          <w:p w14:paraId="03A74AB7"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6.1.1.3</w:t>
            </w:r>
            <w:r w:rsidRPr="006F11F4">
              <w:rPr>
                <w:rFonts w:ascii="Verdana" w:hAnsi="Verdana"/>
                <w:sz w:val="16"/>
                <w:szCs w:val="16"/>
                <w:lang w:eastAsia="es-MX"/>
              </w:rPr>
              <w:t xml:space="preserve"> En el caso de intermediarios y comercializadores al mayoreo, el muestreo se efectuará una vez al año siempre y cuando el intermediario o comercializador lleve una bitácora de control de los artesanos que comercializa y declare por escrito a la Secretaría, bajo protesta de decir verdad que sus artesanos no utilizan </w:t>
            </w:r>
            <w:proofErr w:type="spellStart"/>
            <w:r w:rsidRPr="006F11F4">
              <w:rPr>
                <w:rFonts w:ascii="Verdana" w:hAnsi="Verdana"/>
                <w:sz w:val="16"/>
                <w:szCs w:val="16"/>
                <w:lang w:eastAsia="es-MX"/>
              </w:rPr>
              <w:t>greta</w:t>
            </w:r>
            <w:proofErr w:type="spellEnd"/>
            <w:r w:rsidRPr="006F11F4">
              <w:rPr>
                <w:rFonts w:ascii="Verdana" w:hAnsi="Verdana"/>
                <w:sz w:val="16"/>
                <w:szCs w:val="16"/>
                <w:lang w:eastAsia="es-MX"/>
              </w:rPr>
              <w:t>, esmaltes o pinturas con plomo y los productos donde los emplean cumplen con los criterios de aceptación señalados en el punto 5.1, de esta Norma, para Pb y Cd.</w:t>
            </w:r>
          </w:p>
        </w:tc>
        <w:tc>
          <w:tcPr>
            <w:tcW w:w="4788" w:type="dxa"/>
          </w:tcPr>
          <w:p w14:paraId="5263D402" w14:textId="0639B2EF"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6.1.1.3 </w:t>
            </w:r>
            <w:r w:rsidRPr="00B746AB">
              <w:rPr>
                <w:rFonts w:ascii="Verdana" w:hAnsi="Verdana" w:cs="Times New Roman"/>
                <w:sz w:val="16"/>
                <w:szCs w:val="16"/>
                <w:lang w:val="en-US"/>
              </w:rPr>
              <w:t xml:space="preserve">In the case of intermediaries and wholesale marketers, the sampling will be carried out once a year as long as the intermediary or marketer keeps a log of control of the artisans who sells and declares in writing to the Secretary, under protest of saying It is true that its artisans do not use </w:t>
            </w:r>
            <w:proofErr w:type="spellStart"/>
            <w:r w:rsidRPr="00B746AB">
              <w:rPr>
                <w:rFonts w:ascii="Verdana" w:hAnsi="Verdana" w:cs="Times New Roman"/>
                <w:sz w:val="16"/>
                <w:szCs w:val="16"/>
                <w:lang w:val="en-US"/>
              </w:rPr>
              <w:t>greta</w:t>
            </w:r>
            <w:proofErr w:type="spellEnd"/>
            <w:r w:rsidRPr="00B746AB">
              <w:rPr>
                <w:rFonts w:ascii="Verdana" w:hAnsi="Verdana" w:cs="Times New Roman"/>
                <w:sz w:val="16"/>
                <w:szCs w:val="16"/>
                <w:lang w:val="en-US"/>
              </w:rPr>
              <w:t>, enamels or paints with lead and the products where they use them meet the acceptance criteria indicated in point 5.1 of this Standard, for Pb and Cd.</w:t>
            </w:r>
          </w:p>
        </w:tc>
      </w:tr>
      <w:tr w:rsidR="00307BA1" w:rsidRPr="006F11F4" w14:paraId="26B23C1F" w14:textId="5AC93953" w:rsidTr="00B746AB">
        <w:tc>
          <w:tcPr>
            <w:tcW w:w="4788" w:type="dxa"/>
          </w:tcPr>
          <w:p w14:paraId="02DE56BD"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6.1.1.4</w:t>
            </w:r>
            <w:r w:rsidRPr="006F11F4">
              <w:rPr>
                <w:rFonts w:ascii="Verdana" w:hAnsi="Verdana"/>
                <w:sz w:val="16"/>
                <w:szCs w:val="16"/>
                <w:lang w:eastAsia="es-MX"/>
              </w:rPr>
              <w:t xml:space="preserve"> Tamaño de la muestra.</w:t>
            </w:r>
          </w:p>
        </w:tc>
        <w:tc>
          <w:tcPr>
            <w:tcW w:w="4788" w:type="dxa"/>
          </w:tcPr>
          <w:p w14:paraId="74A914DE" w14:textId="7D528DD2"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6.1.1.4 </w:t>
            </w:r>
            <w:r w:rsidRPr="00B746AB">
              <w:rPr>
                <w:rFonts w:ascii="Verdana" w:hAnsi="Verdana" w:cs="Times New Roman"/>
                <w:sz w:val="16"/>
                <w:szCs w:val="16"/>
                <w:lang w:val="en-US"/>
              </w:rPr>
              <w:t>Sample size.</w:t>
            </w:r>
          </w:p>
        </w:tc>
      </w:tr>
      <w:tr w:rsidR="00307BA1" w:rsidRPr="00307BA1" w14:paraId="41C8B80E" w14:textId="1592822F" w:rsidTr="00B746AB">
        <w:tc>
          <w:tcPr>
            <w:tcW w:w="4788" w:type="dxa"/>
          </w:tcPr>
          <w:p w14:paraId="1EB9323B"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6.1.1.4.1</w:t>
            </w:r>
            <w:r w:rsidRPr="006F11F4">
              <w:rPr>
                <w:rFonts w:ascii="Verdana" w:hAnsi="Verdana"/>
                <w:sz w:val="16"/>
                <w:szCs w:val="16"/>
                <w:lang w:eastAsia="es-MX"/>
              </w:rPr>
              <w:t xml:space="preserve"> El tamaño de la muestra lo componen cuatro piezas de cada tipo (planas, huecas pequeñas, grandes y de almacenaje, tazas y tarros). El muestreo debe ser </w:t>
            </w:r>
            <w:r w:rsidRPr="006F11F4">
              <w:rPr>
                <w:rFonts w:ascii="Verdana" w:hAnsi="Verdana"/>
                <w:sz w:val="16"/>
                <w:szCs w:val="16"/>
                <w:lang w:eastAsia="es-MX"/>
              </w:rPr>
              <w:lastRenderedPageBreak/>
              <w:t>a los tipos que se produzcan o se encuentren en un mismo local.</w:t>
            </w:r>
          </w:p>
        </w:tc>
        <w:tc>
          <w:tcPr>
            <w:tcW w:w="4788" w:type="dxa"/>
          </w:tcPr>
          <w:p w14:paraId="30991087" w14:textId="6317A8DF"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lastRenderedPageBreak/>
              <w:t xml:space="preserve">6.1.1.4.1 </w:t>
            </w:r>
            <w:r w:rsidRPr="00B746AB">
              <w:rPr>
                <w:rFonts w:ascii="Verdana" w:hAnsi="Verdana" w:cs="Times New Roman"/>
                <w:sz w:val="16"/>
                <w:szCs w:val="16"/>
                <w:lang w:val="en-US"/>
              </w:rPr>
              <w:t xml:space="preserve">The size of the sample is made up of four pieces of each type (flat, small, large and storage </w:t>
            </w:r>
            <w:r w:rsidRPr="00B746AB">
              <w:rPr>
                <w:rFonts w:ascii="Verdana" w:hAnsi="Verdana" w:cs="Times New Roman"/>
                <w:sz w:val="16"/>
                <w:szCs w:val="16"/>
                <w:lang w:val="en-US"/>
              </w:rPr>
              <w:lastRenderedPageBreak/>
              <w:t>hollows, cups and jars). Sampling must be of the types that are produced or found in the same place.</w:t>
            </w:r>
          </w:p>
        </w:tc>
      </w:tr>
      <w:tr w:rsidR="00307BA1" w:rsidRPr="00307BA1" w14:paraId="485EFC39" w14:textId="7B1BE182" w:rsidTr="00B746AB">
        <w:tc>
          <w:tcPr>
            <w:tcW w:w="4788" w:type="dxa"/>
          </w:tcPr>
          <w:p w14:paraId="4C49DAE2"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lastRenderedPageBreak/>
              <w:t xml:space="preserve">6.1.1.4.2 </w:t>
            </w:r>
            <w:r w:rsidRPr="006F11F4">
              <w:rPr>
                <w:rFonts w:ascii="Verdana" w:hAnsi="Verdana"/>
                <w:sz w:val="16"/>
                <w:szCs w:val="16"/>
                <w:lang w:eastAsia="es-MX"/>
              </w:rPr>
              <w:t>En caso de que la muestra (cuatro piezas) exceda el 25% de la producción anual de esa pieza suelta específica, se analizará una pieza.</w:t>
            </w:r>
          </w:p>
        </w:tc>
        <w:tc>
          <w:tcPr>
            <w:tcW w:w="4788" w:type="dxa"/>
          </w:tcPr>
          <w:p w14:paraId="77A72997" w14:textId="1DB66F52"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6.1.1.4.2 </w:t>
            </w:r>
            <w:r w:rsidRPr="00B746AB">
              <w:rPr>
                <w:rFonts w:ascii="Verdana" w:hAnsi="Verdana" w:cs="Times New Roman"/>
                <w:sz w:val="16"/>
                <w:szCs w:val="16"/>
                <w:lang w:val="en-US"/>
              </w:rPr>
              <w:t>In case the sample (four pieces) exceeds 25% of the annual production of that specific loose piece, one piece will be analyzed.</w:t>
            </w:r>
          </w:p>
        </w:tc>
      </w:tr>
      <w:tr w:rsidR="00307BA1" w:rsidRPr="00307BA1" w14:paraId="15FD156C" w14:textId="62F37F50" w:rsidTr="00B746AB">
        <w:tc>
          <w:tcPr>
            <w:tcW w:w="4788" w:type="dxa"/>
          </w:tcPr>
          <w:p w14:paraId="7EFEF4AA"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 xml:space="preserve">6.1.2 </w:t>
            </w:r>
            <w:r w:rsidRPr="006F11F4">
              <w:rPr>
                <w:rFonts w:ascii="Verdana" w:hAnsi="Verdana"/>
                <w:sz w:val="16"/>
                <w:szCs w:val="16"/>
                <w:lang w:eastAsia="es-MX"/>
              </w:rPr>
              <w:t>Vajillas cerradas y abiertas, piezas sueltas y piezas para cocinar de alfarería, cerámica vidriada o vidrio de producción nacional industrial. En la selección de las muestras de vajillas cerradas y abiertas, piezas sueltas y piezas para cocinar de alfarería, cerámica vidriada y vidrio, de producción nacional, se deben emplear los siguientes criterios:</w:t>
            </w:r>
          </w:p>
        </w:tc>
        <w:tc>
          <w:tcPr>
            <w:tcW w:w="4788" w:type="dxa"/>
          </w:tcPr>
          <w:p w14:paraId="32680AD6" w14:textId="7AD95D60"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6.1.2 </w:t>
            </w:r>
            <w:r w:rsidRPr="00B746AB">
              <w:rPr>
                <w:rFonts w:ascii="Verdana" w:hAnsi="Verdana" w:cs="Times New Roman"/>
                <w:sz w:val="16"/>
                <w:szCs w:val="16"/>
                <w:lang w:val="en-US"/>
              </w:rPr>
              <w:t>Closed and open crockery, loose pieces and pieces for cooking of pottery, glazed ceramics or glass of national industrial production. In the selection of samples of closed and open tableware, loose pieces and pieces for cooking of pottery, glazed ceramics and glass, of national production, the following criteria should be used:</w:t>
            </w:r>
          </w:p>
        </w:tc>
      </w:tr>
      <w:tr w:rsidR="00307BA1" w:rsidRPr="00307BA1" w14:paraId="05E1695C" w14:textId="5C74875C" w:rsidTr="00B746AB">
        <w:tc>
          <w:tcPr>
            <w:tcW w:w="4788" w:type="dxa"/>
          </w:tcPr>
          <w:p w14:paraId="292B86DC"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 xml:space="preserve">6.1.2.1 </w:t>
            </w:r>
            <w:r w:rsidRPr="006F11F4">
              <w:rPr>
                <w:rFonts w:ascii="Verdana" w:hAnsi="Verdana"/>
                <w:sz w:val="16"/>
                <w:szCs w:val="16"/>
                <w:lang w:eastAsia="es-MX"/>
              </w:rPr>
              <w:t xml:space="preserve">Se debe dar prioridad a la categoría de artículos que plantee el mayor riesgo a la salud del consumidor (mayor relación área superficial/volumen en contacto con alimentos). Además, los artículos que tengan mayor contenido de coloración o decoración (principalmente rojo, naranja y verde para alfarería y cerámica vidriada y rojo, naranja, amarillo y morado para vidrio). El muestreo en el caso de productores, será una vez al año siempre y cuando el productor lleve una bitácora de control y declare por escrito a la Secretaría, bajo protesta de decir verdad que no utiliza </w:t>
            </w:r>
            <w:proofErr w:type="spellStart"/>
            <w:r w:rsidRPr="006F11F4">
              <w:rPr>
                <w:rFonts w:ascii="Verdana" w:hAnsi="Verdana"/>
                <w:sz w:val="16"/>
                <w:szCs w:val="16"/>
                <w:lang w:eastAsia="es-MX"/>
              </w:rPr>
              <w:t>greta</w:t>
            </w:r>
            <w:proofErr w:type="spellEnd"/>
            <w:r w:rsidRPr="006F11F4">
              <w:rPr>
                <w:rFonts w:ascii="Verdana" w:hAnsi="Verdana"/>
                <w:sz w:val="16"/>
                <w:szCs w:val="16"/>
                <w:lang w:eastAsia="es-MX"/>
              </w:rPr>
              <w:t>, esmaltes o pinturas con plomo y los productos donde los emplean cumplen con los criterios de aceptación señalados en el punto 5.1, de esta Norma para Pb y Cd.</w:t>
            </w:r>
          </w:p>
        </w:tc>
        <w:tc>
          <w:tcPr>
            <w:tcW w:w="4788" w:type="dxa"/>
          </w:tcPr>
          <w:p w14:paraId="7D79C988" w14:textId="4ED3F3B9"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6.1.2.1 </w:t>
            </w:r>
            <w:r w:rsidRPr="00B746AB">
              <w:rPr>
                <w:rFonts w:ascii="Verdana" w:hAnsi="Verdana" w:cs="Times New Roman"/>
                <w:sz w:val="16"/>
                <w:szCs w:val="16"/>
                <w:lang w:val="en-US"/>
              </w:rPr>
              <w:t xml:space="preserve">Priority should be given to the category of articles that pose the greatest risk to consumer health (highest surface area/volume ratio in contact with food). In addition, items that have a higher content of coloring or decoration (mainly red, orange and green for pottery and glazed ceramic and red, orange, yellow and purple for glass). Sampling in the case of producers will be once a year as long as the producer keeps a control log and declares in writing to the Secretary, under protest of saying the truth that he does not use </w:t>
            </w:r>
            <w:proofErr w:type="spellStart"/>
            <w:r w:rsidRPr="00B746AB">
              <w:rPr>
                <w:rFonts w:ascii="Verdana" w:hAnsi="Verdana" w:cs="Times New Roman"/>
                <w:sz w:val="16"/>
                <w:szCs w:val="16"/>
                <w:lang w:val="en-US"/>
              </w:rPr>
              <w:t>greta</w:t>
            </w:r>
            <w:proofErr w:type="spellEnd"/>
            <w:r w:rsidRPr="00B746AB">
              <w:rPr>
                <w:rFonts w:ascii="Verdana" w:hAnsi="Verdana" w:cs="Times New Roman"/>
                <w:sz w:val="16"/>
                <w:szCs w:val="16"/>
                <w:lang w:val="en-US"/>
              </w:rPr>
              <w:t>, enamels or lead paints and the products where They use them meet the acceptance criteria indicated in point 5.1 of this Standard for Pb and Cd.</w:t>
            </w:r>
          </w:p>
        </w:tc>
      </w:tr>
      <w:tr w:rsidR="00307BA1" w:rsidRPr="00307BA1" w14:paraId="447426AC" w14:textId="443562F0" w:rsidTr="00B746AB">
        <w:tc>
          <w:tcPr>
            <w:tcW w:w="4788" w:type="dxa"/>
          </w:tcPr>
          <w:p w14:paraId="3393B42E" w14:textId="77777777" w:rsidR="00307BA1" w:rsidRPr="006F11F4" w:rsidRDefault="00307BA1" w:rsidP="00307BA1">
            <w:pPr>
              <w:pStyle w:val="Texto"/>
              <w:spacing w:after="80" w:line="214" w:lineRule="exact"/>
              <w:ind w:firstLine="0"/>
              <w:rPr>
                <w:rFonts w:ascii="Verdana" w:hAnsi="Verdana"/>
                <w:sz w:val="16"/>
                <w:szCs w:val="16"/>
                <w:lang w:eastAsia="es-MX"/>
              </w:rPr>
            </w:pPr>
            <w:r w:rsidRPr="006F11F4">
              <w:rPr>
                <w:rFonts w:ascii="Verdana" w:hAnsi="Verdana"/>
                <w:b/>
                <w:sz w:val="16"/>
                <w:szCs w:val="16"/>
                <w:lang w:eastAsia="es-MX"/>
              </w:rPr>
              <w:t>6.1.2.1.1</w:t>
            </w:r>
            <w:r w:rsidRPr="006F11F4">
              <w:rPr>
                <w:rFonts w:ascii="Verdana" w:hAnsi="Verdana"/>
                <w:sz w:val="16"/>
                <w:szCs w:val="16"/>
                <w:lang w:eastAsia="es-MX"/>
              </w:rPr>
              <w:t xml:space="preserve"> En el caso de intermediarios, como decoradores o distribuidores, y comercializadores al mayoreo, el muestreo se efectuará una vez al año siempre y cuando éstos lleven una bitácora de control de los productores que comercializan y declaren por escrito a la Secretaría, bajo protesta de decir verdad que sus productores no utilizan </w:t>
            </w:r>
            <w:proofErr w:type="spellStart"/>
            <w:r w:rsidRPr="006F11F4">
              <w:rPr>
                <w:rFonts w:ascii="Verdana" w:hAnsi="Verdana"/>
                <w:sz w:val="16"/>
                <w:szCs w:val="16"/>
                <w:lang w:eastAsia="es-MX"/>
              </w:rPr>
              <w:t>greta</w:t>
            </w:r>
            <w:proofErr w:type="spellEnd"/>
            <w:r w:rsidRPr="006F11F4">
              <w:rPr>
                <w:rFonts w:ascii="Verdana" w:hAnsi="Verdana"/>
                <w:sz w:val="16"/>
                <w:szCs w:val="16"/>
                <w:lang w:eastAsia="es-MX"/>
              </w:rPr>
              <w:t>, esmaltes o pinturas con plomo, y los productos donde los emplean cumplen con los criterios de aceptación señalados en el punto 5.1, de esta Norma para Pb y Cd.</w:t>
            </w:r>
          </w:p>
        </w:tc>
        <w:tc>
          <w:tcPr>
            <w:tcW w:w="4788" w:type="dxa"/>
          </w:tcPr>
          <w:p w14:paraId="4F2166D4" w14:textId="3439E73C" w:rsidR="00307BA1" w:rsidRPr="00B746AB" w:rsidRDefault="00307BA1" w:rsidP="00307BA1">
            <w:pPr>
              <w:pStyle w:val="Texto"/>
              <w:spacing w:after="80" w:line="214"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6.1.2.1.1 </w:t>
            </w:r>
            <w:r w:rsidRPr="00B746AB">
              <w:rPr>
                <w:rFonts w:ascii="Verdana" w:hAnsi="Verdana" w:cs="Times New Roman"/>
                <w:sz w:val="16"/>
                <w:szCs w:val="16"/>
                <w:lang w:val="en-US"/>
              </w:rPr>
              <w:t xml:space="preserve">In the case of intermediaries, such as decorators or distributors, and wholesalers, the sampling will be carried out once a year as long as they keep a control log of the producers who sell and declare in writing to the Secretary , under protest of saying the truth that its producers do not use </w:t>
            </w:r>
            <w:proofErr w:type="spellStart"/>
            <w:r w:rsidRPr="00B746AB">
              <w:rPr>
                <w:rFonts w:ascii="Verdana" w:hAnsi="Verdana" w:cs="Times New Roman"/>
                <w:sz w:val="16"/>
                <w:szCs w:val="16"/>
                <w:lang w:val="en-US"/>
              </w:rPr>
              <w:t>greta</w:t>
            </w:r>
            <w:proofErr w:type="spellEnd"/>
            <w:r w:rsidRPr="00B746AB">
              <w:rPr>
                <w:rFonts w:ascii="Verdana" w:hAnsi="Verdana" w:cs="Times New Roman"/>
                <w:sz w:val="16"/>
                <w:szCs w:val="16"/>
                <w:lang w:val="en-US"/>
              </w:rPr>
              <w:t>, enamels or paints with lead, and the products where they use them meet the acceptance criteria indicated in point 5.1 of this Standard for Pb and Cd.</w:t>
            </w:r>
          </w:p>
        </w:tc>
      </w:tr>
      <w:tr w:rsidR="00307BA1" w:rsidRPr="00307BA1" w14:paraId="0BD98692" w14:textId="4F72C475" w:rsidTr="00B746AB">
        <w:tc>
          <w:tcPr>
            <w:tcW w:w="4788" w:type="dxa"/>
          </w:tcPr>
          <w:p w14:paraId="36FC65C8" w14:textId="77777777" w:rsidR="00307BA1" w:rsidRPr="006F11F4" w:rsidRDefault="00307BA1" w:rsidP="00307BA1">
            <w:pPr>
              <w:pStyle w:val="Texto"/>
              <w:ind w:firstLine="0"/>
              <w:rPr>
                <w:rFonts w:ascii="Verdana" w:hAnsi="Verdana"/>
                <w:sz w:val="16"/>
                <w:szCs w:val="16"/>
                <w:lang w:eastAsia="es-MX"/>
              </w:rPr>
            </w:pPr>
            <w:r w:rsidRPr="006F11F4">
              <w:rPr>
                <w:rFonts w:ascii="Verdana" w:hAnsi="Verdana"/>
                <w:b/>
                <w:sz w:val="16"/>
                <w:szCs w:val="16"/>
                <w:lang w:eastAsia="es-MX"/>
              </w:rPr>
              <w:t>6.1.2.2</w:t>
            </w:r>
            <w:r w:rsidRPr="006F11F4">
              <w:rPr>
                <w:rFonts w:ascii="Verdana" w:hAnsi="Verdana"/>
                <w:sz w:val="16"/>
                <w:szCs w:val="16"/>
                <w:lang w:eastAsia="es-MX"/>
              </w:rPr>
              <w:t xml:space="preserve"> El tamaño de la muestra.</w:t>
            </w:r>
          </w:p>
        </w:tc>
        <w:tc>
          <w:tcPr>
            <w:tcW w:w="4788" w:type="dxa"/>
          </w:tcPr>
          <w:p w14:paraId="00E7967F" w14:textId="1C5AA05C" w:rsidR="00307BA1" w:rsidRPr="00B746AB" w:rsidRDefault="00307BA1" w:rsidP="00307BA1">
            <w:pPr>
              <w:pStyle w:val="Texto"/>
              <w:ind w:firstLine="0"/>
              <w:rPr>
                <w:rFonts w:ascii="Verdana" w:hAnsi="Verdana"/>
                <w:b/>
                <w:sz w:val="16"/>
                <w:szCs w:val="16"/>
                <w:lang w:val="en-US" w:eastAsia="es-MX"/>
              </w:rPr>
            </w:pPr>
            <w:r w:rsidRPr="00B746AB">
              <w:rPr>
                <w:rFonts w:ascii="Verdana" w:hAnsi="Verdana" w:cs="Times New Roman"/>
                <w:b/>
                <w:bCs/>
                <w:sz w:val="16"/>
                <w:szCs w:val="16"/>
                <w:lang w:val="en-US"/>
              </w:rPr>
              <w:t xml:space="preserve">6.1.2.2 </w:t>
            </w:r>
            <w:r w:rsidRPr="00B746AB">
              <w:rPr>
                <w:rFonts w:ascii="Verdana" w:hAnsi="Verdana" w:cs="Times New Roman"/>
                <w:sz w:val="16"/>
                <w:szCs w:val="16"/>
                <w:lang w:val="en-US"/>
              </w:rPr>
              <w:t>The size of the sample.</w:t>
            </w:r>
          </w:p>
        </w:tc>
      </w:tr>
      <w:tr w:rsidR="00307BA1" w:rsidRPr="006F11F4" w14:paraId="79B9841A" w14:textId="4F853F62" w:rsidTr="00B746AB">
        <w:tc>
          <w:tcPr>
            <w:tcW w:w="4788" w:type="dxa"/>
          </w:tcPr>
          <w:p w14:paraId="330C4B82" w14:textId="77777777" w:rsidR="00307BA1" w:rsidRPr="006F11F4" w:rsidRDefault="00307BA1" w:rsidP="00307BA1">
            <w:pPr>
              <w:pStyle w:val="Texto"/>
              <w:ind w:firstLine="0"/>
              <w:rPr>
                <w:rFonts w:ascii="Verdana" w:hAnsi="Verdana"/>
                <w:sz w:val="16"/>
                <w:szCs w:val="16"/>
                <w:lang w:eastAsia="es-MX"/>
              </w:rPr>
            </w:pPr>
            <w:r w:rsidRPr="006F11F4">
              <w:rPr>
                <w:rFonts w:ascii="Verdana" w:hAnsi="Verdana"/>
                <w:b/>
                <w:sz w:val="16"/>
                <w:szCs w:val="16"/>
                <w:lang w:eastAsia="es-MX"/>
              </w:rPr>
              <w:t>6.1.2.2.1</w:t>
            </w:r>
            <w:r w:rsidRPr="006F11F4">
              <w:rPr>
                <w:rFonts w:ascii="Verdana" w:hAnsi="Verdana"/>
                <w:sz w:val="16"/>
                <w:szCs w:val="16"/>
                <w:lang w:eastAsia="es-MX"/>
              </w:rPr>
              <w:t xml:space="preserve"> Vajillas Cerradas y Abiertas:</w:t>
            </w:r>
          </w:p>
        </w:tc>
        <w:tc>
          <w:tcPr>
            <w:tcW w:w="4788" w:type="dxa"/>
          </w:tcPr>
          <w:p w14:paraId="45DD63C0" w14:textId="2C68B945" w:rsidR="00307BA1" w:rsidRPr="00B746AB" w:rsidRDefault="00307BA1" w:rsidP="00307BA1">
            <w:pPr>
              <w:pStyle w:val="Texto"/>
              <w:ind w:firstLine="0"/>
              <w:rPr>
                <w:rFonts w:ascii="Verdana" w:hAnsi="Verdana"/>
                <w:b/>
                <w:sz w:val="16"/>
                <w:szCs w:val="16"/>
                <w:lang w:val="en-US" w:eastAsia="es-MX"/>
              </w:rPr>
            </w:pPr>
            <w:r w:rsidRPr="00B746AB">
              <w:rPr>
                <w:rFonts w:ascii="Verdana" w:hAnsi="Verdana" w:cs="Times New Roman"/>
                <w:b/>
                <w:bCs/>
                <w:sz w:val="16"/>
                <w:szCs w:val="16"/>
                <w:lang w:val="en-US"/>
              </w:rPr>
              <w:t xml:space="preserve">6.1.2.2.1 </w:t>
            </w:r>
            <w:r w:rsidRPr="00B746AB">
              <w:rPr>
                <w:rFonts w:ascii="Verdana" w:hAnsi="Verdana" w:cs="Times New Roman"/>
                <w:sz w:val="16"/>
                <w:szCs w:val="16"/>
                <w:lang w:val="en-US"/>
              </w:rPr>
              <w:t>Closed and Open Tableware:</w:t>
            </w:r>
          </w:p>
        </w:tc>
      </w:tr>
      <w:tr w:rsidR="00307BA1" w:rsidRPr="00307BA1" w14:paraId="77F34095" w14:textId="59489730" w:rsidTr="00B746AB">
        <w:tc>
          <w:tcPr>
            <w:tcW w:w="4788" w:type="dxa"/>
          </w:tcPr>
          <w:p w14:paraId="5D0DDD65" w14:textId="77777777" w:rsidR="00307BA1" w:rsidRPr="006F11F4" w:rsidRDefault="00307BA1" w:rsidP="00307BA1">
            <w:pPr>
              <w:pStyle w:val="Texto"/>
              <w:ind w:firstLine="0"/>
              <w:rPr>
                <w:rFonts w:ascii="Verdana" w:hAnsi="Verdana"/>
                <w:sz w:val="16"/>
                <w:szCs w:val="16"/>
                <w:lang w:eastAsia="es-MX"/>
              </w:rPr>
            </w:pPr>
            <w:r w:rsidRPr="006F11F4">
              <w:rPr>
                <w:rFonts w:ascii="Verdana" w:hAnsi="Verdana"/>
                <w:sz w:val="16"/>
                <w:szCs w:val="16"/>
                <w:lang w:eastAsia="es-MX"/>
              </w:rPr>
              <w:t>El tamaño de la muestra lo componen cuatro piezas iguales en tamaño, forma, color y decorado elegidas de una o varias vajillas cerradas, en el caso de vajillas abiertas, las piezas deberán ser identificadas por modelo de la vajilla cerrada a la que pertenecen o en caso contrario se tomarán como piezas sueltas. El muestreo para artículos de alfarería, cerámica vidriada y porcelana, se deberá hacer a los tipos de piezas que se mencionan en la tabla 1, citada en el punto 5.1, de la presente Norma; en tanto que para los artículos de vidrio se estará a lo establecido en la tabla 2, citada en el punto 5.1, de la presente Norma.</w:t>
            </w:r>
          </w:p>
        </w:tc>
        <w:tc>
          <w:tcPr>
            <w:tcW w:w="4788" w:type="dxa"/>
          </w:tcPr>
          <w:p w14:paraId="50DCEF7E" w14:textId="712FAAAD" w:rsidR="00307BA1" w:rsidRPr="00B746AB" w:rsidRDefault="00307BA1" w:rsidP="00307BA1">
            <w:pPr>
              <w:pStyle w:val="Texto"/>
              <w:ind w:firstLine="0"/>
              <w:rPr>
                <w:rFonts w:ascii="Verdana" w:hAnsi="Verdana"/>
                <w:sz w:val="16"/>
                <w:szCs w:val="16"/>
                <w:lang w:val="en-US" w:eastAsia="es-MX"/>
              </w:rPr>
            </w:pPr>
            <w:r w:rsidRPr="00B746AB">
              <w:rPr>
                <w:rFonts w:ascii="Verdana" w:hAnsi="Verdana" w:cs="Times New Roman"/>
                <w:sz w:val="16"/>
                <w:szCs w:val="16"/>
                <w:lang w:val="en-US"/>
              </w:rPr>
              <w:t>The size of the sample is made up of four equal pieces in size, shape, color and decoration chosen from one or more closed tableware, in the case of open tableware, the pieces must be identified by model of the closed tableware to which they belong or in otherwise they will be taken as loose pieces. The sampling for articles of pottery, glazed ceramics and porcelain, should be done to the types of pieces that are mentioned in table 1, cited in point 5.1, of this Standard; while for glass articles the provisions of table 2, cited in point 5.1, of this Standard will be followed.</w:t>
            </w:r>
          </w:p>
        </w:tc>
      </w:tr>
      <w:tr w:rsidR="00307BA1" w:rsidRPr="006F11F4" w14:paraId="387C3FDF" w14:textId="46DC938F" w:rsidTr="00B746AB">
        <w:tc>
          <w:tcPr>
            <w:tcW w:w="4788" w:type="dxa"/>
          </w:tcPr>
          <w:p w14:paraId="4A018C9D"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t>6.1.2.2.2</w:t>
            </w:r>
            <w:r w:rsidRPr="006F11F4">
              <w:rPr>
                <w:rFonts w:ascii="Verdana" w:hAnsi="Verdana"/>
                <w:sz w:val="16"/>
                <w:szCs w:val="16"/>
                <w:lang w:eastAsia="es-MX"/>
              </w:rPr>
              <w:t xml:space="preserve"> Piezas sueltas:</w:t>
            </w:r>
          </w:p>
        </w:tc>
        <w:tc>
          <w:tcPr>
            <w:tcW w:w="4788" w:type="dxa"/>
          </w:tcPr>
          <w:p w14:paraId="1715A62D" w14:textId="4CB3A17D"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6.1.2.2.2 </w:t>
            </w:r>
            <w:r w:rsidRPr="00B746AB">
              <w:rPr>
                <w:rFonts w:ascii="Verdana" w:hAnsi="Verdana" w:cs="Times New Roman"/>
                <w:sz w:val="16"/>
                <w:szCs w:val="16"/>
                <w:lang w:val="en-US"/>
              </w:rPr>
              <w:t>Loose parts:</w:t>
            </w:r>
          </w:p>
        </w:tc>
      </w:tr>
      <w:tr w:rsidR="00307BA1" w:rsidRPr="00307BA1" w14:paraId="6E72445F" w14:textId="3494BBEE" w:rsidTr="00B746AB">
        <w:tc>
          <w:tcPr>
            <w:tcW w:w="4788" w:type="dxa"/>
          </w:tcPr>
          <w:p w14:paraId="11AB29E1"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sz w:val="16"/>
                <w:szCs w:val="16"/>
                <w:lang w:eastAsia="es-MX"/>
              </w:rPr>
              <w:t>El tamaño de la muestra lo componen cuatro piezas iguales en tamaño, forma, color y decorado elegidas del modelo de las piezas sueltas que se quieran probar.</w:t>
            </w:r>
          </w:p>
        </w:tc>
        <w:tc>
          <w:tcPr>
            <w:tcW w:w="4788" w:type="dxa"/>
          </w:tcPr>
          <w:p w14:paraId="48FA5A0D" w14:textId="22470EF4" w:rsidR="00307BA1" w:rsidRPr="00B746AB" w:rsidRDefault="00307BA1" w:rsidP="00307BA1">
            <w:pPr>
              <w:pStyle w:val="Texto"/>
              <w:spacing w:line="222" w:lineRule="exact"/>
              <w:ind w:firstLine="0"/>
              <w:rPr>
                <w:rFonts w:ascii="Verdana" w:hAnsi="Verdana"/>
                <w:sz w:val="16"/>
                <w:szCs w:val="16"/>
                <w:lang w:val="en-US" w:eastAsia="es-MX"/>
              </w:rPr>
            </w:pPr>
            <w:r w:rsidRPr="00B746AB">
              <w:rPr>
                <w:rFonts w:ascii="Verdana" w:hAnsi="Verdana" w:cs="Times New Roman"/>
                <w:sz w:val="16"/>
                <w:szCs w:val="16"/>
                <w:lang w:val="en-US"/>
              </w:rPr>
              <w:t>The size of the sample is made up of four pieces equal in size, shape, color and decoration chosen from the model of the individual pieces to be tested.</w:t>
            </w:r>
          </w:p>
        </w:tc>
      </w:tr>
      <w:tr w:rsidR="00307BA1" w:rsidRPr="00307BA1" w14:paraId="4F61C855" w14:textId="475D6E3A" w:rsidTr="00B746AB">
        <w:tc>
          <w:tcPr>
            <w:tcW w:w="4788" w:type="dxa"/>
          </w:tcPr>
          <w:p w14:paraId="30B5F416"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lastRenderedPageBreak/>
              <w:t>6.1.2.2.3</w:t>
            </w:r>
            <w:r w:rsidRPr="006F11F4">
              <w:rPr>
                <w:rFonts w:ascii="Verdana" w:hAnsi="Verdana"/>
                <w:sz w:val="16"/>
                <w:szCs w:val="16"/>
                <w:lang w:eastAsia="es-MX"/>
              </w:rPr>
              <w:t xml:space="preserve"> Piezas destinadas para procesar o cocinar alimentos:</w:t>
            </w:r>
          </w:p>
        </w:tc>
        <w:tc>
          <w:tcPr>
            <w:tcW w:w="4788" w:type="dxa"/>
          </w:tcPr>
          <w:p w14:paraId="665A882D" w14:textId="1B15789D"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6.1.2.2.3 </w:t>
            </w:r>
            <w:r w:rsidRPr="00B746AB">
              <w:rPr>
                <w:rFonts w:ascii="Verdana" w:hAnsi="Verdana" w:cs="Times New Roman"/>
                <w:sz w:val="16"/>
                <w:szCs w:val="16"/>
                <w:lang w:val="en-US"/>
              </w:rPr>
              <w:t>Parts intended for processing or cooking food:</w:t>
            </w:r>
          </w:p>
        </w:tc>
      </w:tr>
      <w:tr w:rsidR="00307BA1" w:rsidRPr="00307BA1" w14:paraId="7D09004C" w14:textId="3A270FC6" w:rsidTr="00B746AB">
        <w:tc>
          <w:tcPr>
            <w:tcW w:w="4788" w:type="dxa"/>
          </w:tcPr>
          <w:p w14:paraId="754F44A2"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sz w:val="16"/>
                <w:szCs w:val="16"/>
                <w:lang w:eastAsia="es-MX"/>
              </w:rPr>
              <w:t>El tamaño de la muestra lo componen cuatro piezas iguales en tamaño, forma, color y decorado.</w:t>
            </w:r>
          </w:p>
        </w:tc>
        <w:tc>
          <w:tcPr>
            <w:tcW w:w="4788" w:type="dxa"/>
          </w:tcPr>
          <w:p w14:paraId="0794E837" w14:textId="21C0EDF0" w:rsidR="00307BA1" w:rsidRPr="00B746AB" w:rsidRDefault="00307BA1" w:rsidP="00307BA1">
            <w:pPr>
              <w:pStyle w:val="Texto"/>
              <w:spacing w:line="222" w:lineRule="exact"/>
              <w:ind w:firstLine="0"/>
              <w:rPr>
                <w:rFonts w:ascii="Verdana" w:hAnsi="Verdana"/>
                <w:sz w:val="16"/>
                <w:szCs w:val="16"/>
                <w:lang w:val="en-US" w:eastAsia="es-MX"/>
              </w:rPr>
            </w:pPr>
            <w:r w:rsidRPr="00B746AB">
              <w:rPr>
                <w:rFonts w:ascii="Verdana" w:hAnsi="Verdana" w:cs="Times New Roman"/>
                <w:sz w:val="16"/>
                <w:szCs w:val="16"/>
                <w:lang w:val="en-US"/>
              </w:rPr>
              <w:t>The size of the sample is made up of four pieces equal in size, shape, color and decoration.</w:t>
            </w:r>
          </w:p>
        </w:tc>
      </w:tr>
      <w:tr w:rsidR="00307BA1" w:rsidRPr="00307BA1" w14:paraId="5FF0D528" w14:textId="769D2BD1" w:rsidTr="00B746AB">
        <w:tc>
          <w:tcPr>
            <w:tcW w:w="4788" w:type="dxa"/>
          </w:tcPr>
          <w:p w14:paraId="5D5D50C7"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t>6.1.3</w:t>
            </w:r>
            <w:r w:rsidRPr="006F11F4">
              <w:rPr>
                <w:rFonts w:ascii="Verdana" w:hAnsi="Verdana"/>
                <w:sz w:val="16"/>
                <w:szCs w:val="16"/>
                <w:lang w:eastAsia="es-MX"/>
              </w:rPr>
              <w:t xml:space="preserve"> Vajillas cerradas y abiertas, piezas sueltas y para cocinar de alfarería, cerámica vidriada y vidrio de importación. En la selección de las muestras ya sea de vajillas cerradas y abiertas, piezas sueltas y para cocinar de alfarería, cerámica vidriada y vidrio de importación, se deben emplear los siguientes criterios:</w:t>
            </w:r>
          </w:p>
        </w:tc>
        <w:tc>
          <w:tcPr>
            <w:tcW w:w="4788" w:type="dxa"/>
          </w:tcPr>
          <w:p w14:paraId="06A6E6B8" w14:textId="0174CDEF"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6.1.3 </w:t>
            </w:r>
            <w:r w:rsidRPr="00B746AB">
              <w:rPr>
                <w:rFonts w:ascii="Verdana" w:hAnsi="Verdana" w:cs="Times New Roman"/>
                <w:sz w:val="16"/>
                <w:szCs w:val="16"/>
                <w:lang w:val="en-US"/>
              </w:rPr>
              <w:t>Closed and open tableware, loose and cooking pieces of pottery, glazed ceramics and imported glass. In the selection of the samples, whether of closed and open tableware, loose and cooking pieces of pottery, glazed ceramics and imported glass, the following criteria should be used:</w:t>
            </w:r>
          </w:p>
        </w:tc>
      </w:tr>
      <w:tr w:rsidR="00307BA1" w:rsidRPr="00307BA1" w14:paraId="4BF9850D" w14:textId="4BEDC2A3" w:rsidTr="00B746AB">
        <w:tc>
          <w:tcPr>
            <w:tcW w:w="4788" w:type="dxa"/>
          </w:tcPr>
          <w:p w14:paraId="352E4AD4"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t>6.1.3.1</w:t>
            </w:r>
            <w:r w:rsidRPr="006F11F4">
              <w:rPr>
                <w:rFonts w:ascii="Verdana" w:hAnsi="Verdana"/>
                <w:sz w:val="16"/>
                <w:szCs w:val="16"/>
                <w:lang w:eastAsia="es-MX"/>
              </w:rPr>
              <w:t xml:space="preserve"> Se debe dar prioridad a la categoría de artículos que plantee el mayor riesgo a la salud  del consumidor.</w:t>
            </w:r>
          </w:p>
        </w:tc>
        <w:tc>
          <w:tcPr>
            <w:tcW w:w="4788" w:type="dxa"/>
          </w:tcPr>
          <w:p w14:paraId="7B50BDFA" w14:textId="790CF0B5"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6.1.3.1 </w:t>
            </w:r>
            <w:r w:rsidRPr="00B746AB">
              <w:rPr>
                <w:rFonts w:ascii="Verdana" w:hAnsi="Verdana" w:cs="Times New Roman"/>
                <w:sz w:val="16"/>
                <w:szCs w:val="16"/>
                <w:lang w:val="en-US"/>
              </w:rPr>
              <w:t>Priority should be given to the category of items that pose the greatest risk to consumer health.</w:t>
            </w:r>
          </w:p>
        </w:tc>
      </w:tr>
      <w:tr w:rsidR="00307BA1" w:rsidRPr="00307BA1" w14:paraId="3AA891B3" w14:textId="63952D0F" w:rsidTr="00B746AB">
        <w:tc>
          <w:tcPr>
            <w:tcW w:w="4788" w:type="dxa"/>
          </w:tcPr>
          <w:p w14:paraId="3E721BFD"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t xml:space="preserve">6.1.3.1.1 </w:t>
            </w:r>
            <w:r w:rsidRPr="006F11F4">
              <w:rPr>
                <w:rFonts w:ascii="Verdana" w:hAnsi="Verdana"/>
                <w:sz w:val="16"/>
                <w:szCs w:val="16"/>
                <w:lang w:eastAsia="es-MX"/>
              </w:rPr>
              <w:t>Dentro de cada tipo de los artículos mencionados en el punto 6.1.3, de la presente Norma, según su tipo (piezas huecas chicas, grandes y planas) deben ser seleccionados para prueba, aquellos que tengan mayor relación de área superficial/volumen en contacto con alimentos. Además, los artículos que tengan mayor contenido de coloración o decoración (principalmente rojo, naranja y verde para alfarería y cerámica vidriada y rojo, naranja, amarillo y morado para vidrio).</w:t>
            </w:r>
          </w:p>
        </w:tc>
        <w:tc>
          <w:tcPr>
            <w:tcW w:w="4788" w:type="dxa"/>
          </w:tcPr>
          <w:p w14:paraId="6CEE816C" w14:textId="1A030186"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6.1.3.1.1 </w:t>
            </w:r>
            <w:r w:rsidRPr="00B746AB">
              <w:rPr>
                <w:rFonts w:ascii="Verdana" w:hAnsi="Verdana" w:cs="Times New Roman"/>
                <w:sz w:val="16"/>
                <w:szCs w:val="16"/>
                <w:lang w:val="en-US"/>
              </w:rPr>
              <w:t>Within each type of articles mentioned in point 6.1.3 of this Standard, according to their type (small, large and flat hollow pieces), those with the greatest area ratio must be selected for testing. surface/volume in contact with food. In addition, items that have a higher content of coloring or decoration (mainly red, orange and green for pottery and glazed ceramic and red, orange, yellow and purple for glass).</w:t>
            </w:r>
          </w:p>
        </w:tc>
      </w:tr>
      <w:tr w:rsidR="00307BA1" w:rsidRPr="00307BA1" w14:paraId="0DEDBB28" w14:textId="14E7F86F" w:rsidTr="00B746AB">
        <w:tc>
          <w:tcPr>
            <w:tcW w:w="4788" w:type="dxa"/>
          </w:tcPr>
          <w:p w14:paraId="6FEA633B"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sz w:val="16"/>
                <w:szCs w:val="16"/>
                <w:lang w:eastAsia="es-MX"/>
              </w:rPr>
              <w:t xml:space="preserve">En el caso de importadores, el muestreo se efectuará sin que importe el modelo de vajilla cerrada o de pieza suelta, siempre y cuando dichas piezas formen parte de una misma serie o de una serie de vajillas en las cuales se hayan utilizado tanto el mismo método de fabricación como los mismos componentes. Los límites a observar se encuentran descritos en la tabla 1, citada en el punto 5.1, de la presente Norma, para alfarería, cerámica vidriada y porcelana, en tanto que la tabla 2, citada en el punto 5.1, de la presente Norma, para vidrio, donde las piezas serán elegidas de manera aleatoria y en base a las mismas, se determinarán las concentraciones de Pb y Cd. Los importadores estarán también sujetos a muestreo una vez al año siguiendo los criterios descritos en este punto, siempre y cuando el importador lleve una bitácora de control de los productores que comercializa y declare por escrito a la Secretaría, bajo protesta de decir verdad que sus productores no utilizan </w:t>
            </w:r>
            <w:proofErr w:type="spellStart"/>
            <w:r w:rsidRPr="006F11F4">
              <w:rPr>
                <w:rFonts w:ascii="Verdana" w:hAnsi="Verdana"/>
                <w:sz w:val="16"/>
                <w:szCs w:val="16"/>
                <w:lang w:eastAsia="es-MX"/>
              </w:rPr>
              <w:t>greta</w:t>
            </w:r>
            <w:proofErr w:type="spellEnd"/>
            <w:r w:rsidRPr="006F11F4">
              <w:rPr>
                <w:rFonts w:ascii="Verdana" w:hAnsi="Verdana"/>
                <w:sz w:val="16"/>
                <w:szCs w:val="16"/>
                <w:lang w:eastAsia="es-MX"/>
              </w:rPr>
              <w:t>, esmaltes o pinturas con Pb y los productos donde los emplean no liberarán Pb y Cd (debe presentar carta de los productores también bajo protesta de decir verdad de que no utilizan pinturas o esmaltes con Pb, y los productos donde los emplean cumplen con los criterios de aceptación señalados en el punto 5.1, de esta Norma, para Pb y Cd).</w:t>
            </w:r>
          </w:p>
        </w:tc>
        <w:tc>
          <w:tcPr>
            <w:tcW w:w="4788" w:type="dxa"/>
          </w:tcPr>
          <w:p w14:paraId="223278E4" w14:textId="005E3771" w:rsidR="00307BA1" w:rsidRPr="00B746AB" w:rsidRDefault="00307BA1" w:rsidP="00307BA1">
            <w:pPr>
              <w:pStyle w:val="Texto"/>
              <w:spacing w:line="222"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In the case of importers, the sampling will be carried out regardless of the model of closed tableware or loose piece, as long as said pieces are part of the same series or of a series of tableware in which both the same method have been used. manufacturing as the same components. The limits to be observed are described in table 1, cited in point 5.1 of this Standard, for pottery, glazed ceramics and porcelain, while Table 2, cited in point 5.1 of this Standard, for glass, where the pieces will be chosen randomly and based on them, the concentrations of Pb and Cd will be determined. Importers will also be subject to sampling once a year following the criteria described in this point, as long as the importer Keep a control log of the producers you sell and declare in writing to the Secretary, under protest of saying the truth that their producers do not use </w:t>
            </w:r>
            <w:proofErr w:type="spellStart"/>
            <w:r w:rsidRPr="00B746AB">
              <w:rPr>
                <w:rFonts w:ascii="Verdana" w:hAnsi="Verdana" w:cs="Times New Roman"/>
                <w:sz w:val="16"/>
                <w:szCs w:val="16"/>
                <w:lang w:val="en-US"/>
              </w:rPr>
              <w:t>greta</w:t>
            </w:r>
            <w:proofErr w:type="spellEnd"/>
            <w:r w:rsidRPr="00B746AB">
              <w:rPr>
                <w:rFonts w:ascii="Verdana" w:hAnsi="Verdana" w:cs="Times New Roman"/>
                <w:sz w:val="16"/>
                <w:szCs w:val="16"/>
                <w:lang w:val="en-US"/>
              </w:rPr>
              <w:t>, enamels or paints with Pb and the products where they use them will not release Pb and Cd (you must present a letter of the producers also under protest of telling the truth that they do not use paints or enamels with Pb, and the products where they use them meet the acceptance criteria indicated in point 5.1, of this a Norma, for Pb and Cd).</w:t>
            </w:r>
          </w:p>
        </w:tc>
      </w:tr>
      <w:tr w:rsidR="00307BA1" w:rsidRPr="006F11F4" w14:paraId="32367627" w14:textId="05549002" w:rsidTr="00B746AB">
        <w:tc>
          <w:tcPr>
            <w:tcW w:w="4788" w:type="dxa"/>
          </w:tcPr>
          <w:p w14:paraId="7431B695"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t>6.1.3.2</w:t>
            </w:r>
            <w:r w:rsidRPr="006F11F4">
              <w:rPr>
                <w:rFonts w:ascii="Verdana" w:hAnsi="Verdana"/>
                <w:sz w:val="16"/>
                <w:szCs w:val="16"/>
                <w:lang w:eastAsia="es-MX"/>
              </w:rPr>
              <w:t xml:space="preserve"> El tamaño de la muestra</w:t>
            </w:r>
          </w:p>
        </w:tc>
        <w:tc>
          <w:tcPr>
            <w:tcW w:w="4788" w:type="dxa"/>
          </w:tcPr>
          <w:p w14:paraId="182553A7" w14:textId="136F6021"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6.1.3.2 </w:t>
            </w:r>
            <w:r w:rsidRPr="00B746AB">
              <w:rPr>
                <w:rFonts w:ascii="Verdana" w:hAnsi="Verdana" w:cs="Times New Roman"/>
                <w:sz w:val="16"/>
                <w:szCs w:val="16"/>
                <w:lang w:val="en-US"/>
              </w:rPr>
              <w:t>The sample size</w:t>
            </w:r>
          </w:p>
        </w:tc>
      </w:tr>
      <w:tr w:rsidR="00307BA1" w:rsidRPr="006F11F4" w14:paraId="6374EAC7" w14:textId="6B06E69C" w:rsidTr="00B746AB">
        <w:tc>
          <w:tcPr>
            <w:tcW w:w="4788" w:type="dxa"/>
          </w:tcPr>
          <w:p w14:paraId="6E5F921A"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t>6.1.3.2.1</w:t>
            </w:r>
            <w:r w:rsidRPr="006F11F4">
              <w:rPr>
                <w:rFonts w:ascii="Verdana" w:hAnsi="Verdana"/>
                <w:sz w:val="16"/>
                <w:szCs w:val="16"/>
                <w:lang w:eastAsia="es-MX"/>
              </w:rPr>
              <w:t xml:space="preserve"> Vajillas Cerradas y Abiertas:</w:t>
            </w:r>
          </w:p>
        </w:tc>
        <w:tc>
          <w:tcPr>
            <w:tcW w:w="4788" w:type="dxa"/>
          </w:tcPr>
          <w:p w14:paraId="02C9F0AD" w14:textId="3981A1A6"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6.1.3.2.1 </w:t>
            </w:r>
            <w:r w:rsidRPr="00B746AB">
              <w:rPr>
                <w:rFonts w:ascii="Verdana" w:hAnsi="Verdana" w:cs="Times New Roman"/>
                <w:sz w:val="16"/>
                <w:szCs w:val="16"/>
                <w:lang w:val="en-US"/>
              </w:rPr>
              <w:t>Closed and Open Tableware:</w:t>
            </w:r>
          </w:p>
        </w:tc>
      </w:tr>
      <w:tr w:rsidR="00307BA1" w:rsidRPr="00307BA1" w14:paraId="4C91210F" w14:textId="1822D605" w:rsidTr="00B746AB">
        <w:tc>
          <w:tcPr>
            <w:tcW w:w="4788" w:type="dxa"/>
          </w:tcPr>
          <w:p w14:paraId="175FAD89"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sz w:val="16"/>
                <w:szCs w:val="16"/>
                <w:lang w:eastAsia="es-MX"/>
              </w:rPr>
              <w:t xml:space="preserve">El tamaño de la muestra lo componen cuatro piezas iguales en tamaño, forma, color y decorado elegidas de una o varias vajillas cerradas, en el caso de vajillas abiertas, las piezas deberán ser identificadas al modelo de la vajilla cerrada a la que pertenecen o en caso </w:t>
            </w:r>
            <w:r w:rsidRPr="006F11F4">
              <w:rPr>
                <w:rFonts w:ascii="Verdana" w:hAnsi="Verdana"/>
                <w:sz w:val="16"/>
                <w:szCs w:val="16"/>
                <w:lang w:eastAsia="es-MX"/>
              </w:rPr>
              <w:lastRenderedPageBreak/>
              <w:t>contrario se tomarán como piezas sueltas. El muestreo debe ser para alfarería y cerámica vidriada a los tipos que se mencionan en la tabla 1, citada en el punto 5.1, de la presente Norma; en tanto que para vidrio se estará a lo dispuesto en la tabla 2, citada en el punto 5.1, de la presente Norma.</w:t>
            </w:r>
          </w:p>
        </w:tc>
        <w:tc>
          <w:tcPr>
            <w:tcW w:w="4788" w:type="dxa"/>
          </w:tcPr>
          <w:p w14:paraId="0B794800" w14:textId="3D232E9B" w:rsidR="00307BA1" w:rsidRPr="00B746AB" w:rsidRDefault="00307BA1" w:rsidP="00307BA1">
            <w:pPr>
              <w:pStyle w:val="Texto"/>
              <w:spacing w:line="222" w:lineRule="exact"/>
              <w:ind w:firstLine="0"/>
              <w:rPr>
                <w:rFonts w:ascii="Verdana" w:hAnsi="Verdana"/>
                <w:sz w:val="16"/>
                <w:szCs w:val="16"/>
                <w:lang w:val="en-US" w:eastAsia="es-MX"/>
              </w:rPr>
            </w:pPr>
            <w:r w:rsidRPr="00B746AB">
              <w:rPr>
                <w:rFonts w:ascii="Verdana" w:hAnsi="Verdana" w:cs="Times New Roman"/>
                <w:sz w:val="16"/>
                <w:szCs w:val="16"/>
                <w:lang w:val="en-US"/>
              </w:rPr>
              <w:lastRenderedPageBreak/>
              <w:t>The size of the sample is made up of four equal pieces in size, shape, color and decoration chosen from one or more closed crockery.</w:t>
            </w:r>
            <w:r w:rsidR="00B746AB">
              <w:rPr>
                <w:rFonts w:ascii="Verdana" w:hAnsi="Verdana" w:cs="Times New Roman"/>
                <w:sz w:val="16"/>
                <w:szCs w:val="16"/>
                <w:lang w:val="en-US"/>
              </w:rPr>
              <w:t xml:space="preserve"> </w:t>
            </w:r>
            <w:r w:rsidRPr="00B746AB">
              <w:rPr>
                <w:rFonts w:ascii="Verdana" w:hAnsi="Verdana" w:cs="Times New Roman"/>
                <w:sz w:val="16"/>
                <w:szCs w:val="16"/>
                <w:lang w:val="en-US"/>
              </w:rPr>
              <w:t xml:space="preserve">In the case of open crockery, the pieces must be identified by the model of the closed crockery to which they belong or in otherwise they will </w:t>
            </w:r>
            <w:r w:rsidRPr="00B746AB">
              <w:rPr>
                <w:rFonts w:ascii="Verdana" w:hAnsi="Verdana" w:cs="Times New Roman"/>
                <w:sz w:val="16"/>
                <w:szCs w:val="16"/>
                <w:lang w:val="en-US"/>
              </w:rPr>
              <w:lastRenderedPageBreak/>
              <w:t>be taken as loose pieces. The sampling must be for pottery and glazed ceramics of the types mentioned in table 1, cited in point 5.1, of this Standard; while for glass the provisions of table 2, cited in point 5.1, of this Standard will be followed.</w:t>
            </w:r>
          </w:p>
        </w:tc>
      </w:tr>
      <w:tr w:rsidR="00307BA1" w:rsidRPr="006F11F4" w14:paraId="0EB9B0A5" w14:textId="46CBEBBC" w:rsidTr="00B746AB">
        <w:tc>
          <w:tcPr>
            <w:tcW w:w="4788" w:type="dxa"/>
          </w:tcPr>
          <w:p w14:paraId="76AE1071"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lastRenderedPageBreak/>
              <w:t>6.1.3.2.2</w:t>
            </w:r>
            <w:r w:rsidRPr="006F11F4">
              <w:rPr>
                <w:rFonts w:ascii="Verdana" w:hAnsi="Verdana"/>
                <w:sz w:val="16"/>
                <w:szCs w:val="16"/>
                <w:lang w:eastAsia="es-MX"/>
              </w:rPr>
              <w:t xml:space="preserve"> Piezas sueltas:</w:t>
            </w:r>
          </w:p>
        </w:tc>
        <w:tc>
          <w:tcPr>
            <w:tcW w:w="4788" w:type="dxa"/>
          </w:tcPr>
          <w:p w14:paraId="181F6CEE" w14:textId="574347DB"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6.1.3.2.2 </w:t>
            </w:r>
            <w:r w:rsidRPr="00B746AB">
              <w:rPr>
                <w:rFonts w:ascii="Verdana" w:hAnsi="Verdana" w:cs="Times New Roman"/>
                <w:sz w:val="16"/>
                <w:szCs w:val="16"/>
                <w:lang w:val="en-US"/>
              </w:rPr>
              <w:t>Loose parts:</w:t>
            </w:r>
          </w:p>
        </w:tc>
      </w:tr>
      <w:tr w:rsidR="00307BA1" w:rsidRPr="00307BA1" w14:paraId="7EBB0B3A" w14:textId="08A2B3F1" w:rsidTr="00B746AB">
        <w:tc>
          <w:tcPr>
            <w:tcW w:w="4788" w:type="dxa"/>
          </w:tcPr>
          <w:p w14:paraId="04BA6B82"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sz w:val="16"/>
                <w:szCs w:val="16"/>
                <w:lang w:eastAsia="es-MX"/>
              </w:rPr>
              <w:t>El tamaño de la muestra lo componen cuatro piezas iguales en tamaño, forma, color y decorado elegidas del modelo de las piezas sueltas que se quieran probar.</w:t>
            </w:r>
          </w:p>
        </w:tc>
        <w:tc>
          <w:tcPr>
            <w:tcW w:w="4788" w:type="dxa"/>
          </w:tcPr>
          <w:p w14:paraId="64DDD0FB" w14:textId="4B28935B" w:rsidR="00307BA1" w:rsidRPr="00B746AB" w:rsidRDefault="00307BA1" w:rsidP="00307BA1">
            <w:pPr>
              <w:pStyle w:val="Texto"/>
              <w:spacing w:line="222" w:lineRule="exact"/>
              <w:ind w:firstLine="0"/>
              <w:rPr>
                <w:rFonts w:ascii="Verdana" w:hAnsi="Verdana"/>
                <w:sz w:val="16"/>
                <w:szCs w:val="16"/>
                <w:lang w:val="en-US" w:eastAsia="es-MX"/>
              </w:rPr>
            </w:pPr>
            <w:r w:rsidRPr="00B746AB">
              <w:rPr>
                <w:rFonts w:ascii="Verdana" w:hAnsi="Verdana" w:cs="Times New Roman"/>
                <w:sz w:val="16"/>
                <w:szCs w:val="16"/>
                <w:lang w:val="en-US"/>
              </w:rPr>
              <w:t>The size of the sample is made up of four pieces equal in size, shape, color and decoration chosen from the model of the individual pieces to be tested.</w:t>
            </w:r>
          </w:p>
        </w:tc>
      </w:tr>
      <w:tr w:rsidR="00307BA1" w:rsidRPr="00307BA1" w14:paraId="76088CE2" w14:textId="2CA7225F" w:rsidTr="00B746AB">
        <w:tc>
          <w:tcPr>
            <w:tcW w:w="4788" w:type="dxa"/>
          </w:tcPr>
          <w:p w14:paraId="68AAA854"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t xml:space="preserve">6.1.3.2.3 </w:t>
            </w:r>
            <w:r w:rsidRPr="006F11F4">
              <w:rPr>
                <w:rFonts w:ascii="Verdana" w:hAnsi="Verdana"/>
                <w:sz w:val="16"/>
                <w:szCs w:val="16"/>
                <w:lang w:eastAsia="es-MX"/>
              </w:rPr>
              <w:t>Artículos destinados para procesar o cocinar alimentos: El tamaño de la muestra lo componen cuatro piezas iguales en tamaño, forma, color y decorado, sin que importe el modelo, siempre y cuando dichas piezas formen parte de una misma serie, en las cuales se hayan utilizado tanto el mismo método de fabricación como los mismos componentes.</w:t>
            </w:r>
          </w:p>
        </w:tc>
        <w:tc>
          <w:tcPr>
            <w:tcW w:w="4788" w:type="dxa"/>
          </w:tcPr>
          <w:p w14:paraId="22DE73A6" w14:textId="6EA9F6B4"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6.1.3.2.3 </w:t>
            </w:r>
            <w:r w:rsidRPr="00B746AB">
              <w:rPr>
                <w:rFonts w:ascii="Verdana" w:hAnsi="Verdana" w:cs="Times New Roman"/>
                <w:sz w:val="16"/>
                <w:szCs w:val="16"/>
                <w:lang w:val="en-US"/>
              </w:rPr>
              <w:t>Articles intended for processing or cooking food: The sample size is made up of four equal pieces in size, shape, color and decoration, regardless of the model, as long as said pieces are part of the same series, in which both the same manufacturing method and the same components have been used.</w:t>
            </w:r>
          </w:p>
        </w:tc>
      </w:tr>
      <w:tr w:rsidR="00307BA1" w:rsidRPr="00307BA1" w14:paraId="5D98915D" w14:textId="4B0778AD" w:rsidTr="00B746AB">
        <w:tc>
          <w:tcPr>
            <w:tcW w:w="4788" w:type="dxa"/>
          </w:tcPr>
          <w:p w14:paraId="4111A94C"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b/>
                <w:sz w:val="16"/>
                <w:szCs w:val="16"/>
                <w:lang w:eastAsia="es-MX"/>
              </w:rPr>
              <w:t>7. Concordancia con normas internacionales y mexicanas</w:t>
            </w:r>
          </w:p>
        </w:tc>
        <w:tc>
          <w:tcPr>
            <w:tcW w:w="4788" w:type="dxa"/>
          </w:tcPr>
          <w:p w14:paraId="78AD68B9" w14:textId="096A3FC5"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7. Concordance with international and Mexican standards</w:t>
            </w:r>
          </w:p>
        </w:tc>
      </w:tr>
      <w:tr w:rsidR="00307BA1" w:rsidRPr="00307BA1" w14:paraId="3EB1B119" w14:textId="2F978648" w:rsidTr="00B746AB">
        <w:tc>
          <w:tcPr>
            <w:tcW w:w="4788" w:type="dxa"/>
          </w:tcPr>
          <w:p w14:paraId="410D84F0" w14:textId="77777777" w:rsidR="00307BA1" w:rsidRPr="006F11F4" w:rsidRDefault="00307BA1" w:rsidP="00307BA1">
            <w:pPr>
              <w:pStyle w:val="Texto"/>
              <w:spacing w:line="222" w:lineRule="exact"/>
              <w:ind w:firstLine="0"/>
              <w:rPr>
                <w:rFonts w:ascii="Verdana" w:hAnsi="Verdana"/>
                <w:sz w:val="16"/>
                <w:szCs w:val="16"/>
                <w:lang w:eastAsia="es-MX"/>
              </w:rPr>
            </w:pPr>
            <w:r w:rsidRPr="006F11F4">
              <w:rPr>
                <w:rFonts w:ascii="Verdana" w:hAnsi="Verdana"/>
                <w:sz w:val="16"/>
                <w:szCs w:val="16"/>
                <w:lang w:eastAsia="es-MX"/>
              </w:rPr>
              <w:t>Esta Norma concuerda con las siguientes normas internacionales:</w:t>
            </w:r>
          </w:p>
        </w:tc>
        <w:tc>
          <w:tcPr>
            <w:tcW w:w="4788" w:type="dxa"/>
          </w:tcPr>
          <w:p w14:paraId="63074269" w14:textId="4C1D1D17" w:rsidR="00307BA1" w:rsidRPr="00B746AB" w:rsidRDefault="00307BA1" w:rsidP="00307BA1">
            <w:pPr>
              <w:pStyle w:val="Texto"/>
              <w:spacing w:line="222" w:lineRule="exact"/>
              <w:ind w:firstLine="0"/>
              <w:rPr>
                <w:rFonts w:ascii="Verdana" w:hAnsi="Verdana"/>
                <w:sz w:val="16"/>
                <w:szCs w:val="16"/>
                <w:lang w:val="en-US" w:eastAsia="es-MX"/>
              </w:rPr>
            </w:pPr>
            <w:r w:rsidRPr="00B746AB">
              <w:rPr>
                <w:rFonts w:ascii="Verdana" w:hAnsi="Verdana" w:cs="Times New Roman"/>
                <w:sz w:val="16"/>
                <w:szCs w:val="16"/>
                <w:lang w:val="en-US"/>
              </w:rPr>
              <w:t>This Standard is in accordance with the following international standards:</w:t>
            </w:r>
          </w:p>
        </w:tc>
      </w:tr>
      <w:tr w:rsidR="00307BA1" w:rsidRPr="006F11F4" w14:paraId="5BED6374" w14:textId="288B9036" w:rsidTr="00B746AB">
        <w:tc>
          <w:tcPr>
            <w:tcW w:w="4788" w:type="dxa"/>
          </w:tcPr>
          <w:p w14:paraId="41E3D19E" w14:textId="77777777" w:rsidR="00307BA1" w:rsidRPr="006F11F4" w:rsidRDefault="00307BA1" w:rsidP="00307BA1">
            <w:pPr>
              <w:pStyle w:val="Texto"/>
              <w:spacing w:line="222" w:lineRule="exact"/>
              <w:ind w:firstLine="0"/>
              <w:rPr>
                <w:rFonts w:ascii="Verdana" w:hAnsi="Verdana"/>
                <w:sz w:val="16"/>
                <w:szCs w:val="16"/>
                <w:lang w:val="en-US" w:eastAsia="es-MX"/>
              </w:rPr>
            </w:pPr>
            <w:r w:rsidRPr="006F11F4">
              <w:rPr>
                <w:rFonts w:ascii="Verdana" w:hAnsi="Verdana"/>
                <w:b/>
                <w:sz w:val="16"/>
                <w:szCs w:val="16"/>
                <w:lang w:val="en-US" w:eastAsia="es-MX"/>
              </w:rPr>
              <w:t>7.1</w:t>
            </w:r>
            <w:r w:rsidRPr="006F11F4">
              <w:rPr>
                <w:rFonts w:ascii="Verdana" w:hAnsi="Verdana"/>
                <w:sz w:val="16"/>
                <w:szCs w:val="16"/>
                <w:lang w:val="en-US" w:eastAsia="es-MX"/>
              </w:rPr>
              <w:t xml:space="preserve"> ISO 6486-1:1999 Ceramic ware, glass-ceramic ware and glass dinnerware in contact with  food-Release of lead and cadmium-Part 1: Test method.</w:t>
            </w:r>
          </w:p>
        </w:tc>
        <w:tc>
          <w:tcPr>
            <w:tcW w:w="4788" w:type="dxa"/>
          </w:tcPr>
          <w:p w14:paraId="0D2827D6" w14:textId="13F1E1DC"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7.1 </w:t>
            </w:r>
            <w:r w:rsidRPr="00B746AB">
              <w:rPr>
                <w:rFonts w:ascii="Verdana" w:hAnsi="Verdana" w:cs="Times New Roman"/>
                <w:sz w:val="16"/>
                <w:szCs w:val="16"/>
                <w:lang w:val="en-US"/>
              </w:rPr>
              <w:t>ISO 6486-1: 1999 Ceramic ware, glass-ceramic ware and glass dinnerware in contact with food-Release of lead and cadmium-Part 1: Test method.</w:t>
            </w:r>
          </w:p>
        </w:tc>
      </w:tr>
      <w:tr w:rsidR="00307BA1" w:rsidRPr="006F11F4" w14:paraId="3EFC3243" w14:textId="588CE367" w:rsidTr="00B746AB">
        <w:tc>
          <w:tcPr>
            <w:tcW w:w="4788" w:type="dxa"/>
          </w:tcPr>
          <w:p w14:paraId="3D0D36CD" w14:textId="77777777" w:rsidR="00307BA1" w:rsidRPr="006F11F4" w:rsidRDefault="00307BA1" w:rsidP="00307BA1">
            <w:pPr>
              <w:pStyle w:val="Texto"/>
              <w:spacing w:line="222" w:lineRule="exact"/>
              <w:ind w:firstLine="0"/>
              <w:rPr>
                <w:rFonts w:ascii="Verdana" w:hAnsi="Verdana"/>
                <w:sz w:val="16"/>
                <w:szCs w:val="16"/>
                <w:lang w:val="en-US" w:eastAsia="es-MX"/>
              </w:rPr>
            </w:pPr>
            <w:r w:rsidRPr="006F11F4">
              <w:rPr>
                <w:rFonts w:ascii="Verdana" w:hAnsi="Verdana"/>
                <w:b/>
                <w:sz w:val="16"/>
                <w:szCs w:val="16"/>
                <w:lang w:val="en-US" w:eastAsia="es-MX"/>
              </w:rPr>
              <w:t>7.2</w:t>
            </w:r>
            <w:r w:rsidRPr="006F11F4">
              <w:rPr>
                <w:rFonts w:ascii="Verdana" w:hAnsi="Verdana"/>
                <w:sz w:val="16"/>
                <w:szCs w:val="16"/>
                <w:lang w:val="en-US" w:eastAsia="es-MX"/>
              </w:rPr>
              <w:t xml:space="preserve"> ISO 6486-2:1999 Ceramic ware, glass-ceramic ware and glass dinnerware in contact with  food-Release of lead and cadmium-Part 2: Permissible</w:t>
            </w:r>
            <w:bookmarkStart w:id="0" w:name="N_GoBack"/>
            <w:bookmarkEnd w:id="0"/>
            <w:r w:rsidRPr="006F11F4">
              <w:rPr>
                <w:rFonts w:ascii="Verdana" w:hAnsi="Verdana"/>
                <w:sz w:val="16"/>
                <w:szCs w:val="16"/>
                <w:lang w:val="en-US" w:eastAsia="es-MX"/>
              </w:rPr>
              <w:t xml:space="preserve"> limits</w:t>
            </w:r>
          </w:p>
        </w:tc>
        <w:tc>
          <w:tcPr>
            <w:tcW w:w="4788" w:type="dxa"/>
          </w:tcPr>
          <w:p w14:paraId="2FFCDC22" w14:textId="41727AFB" w:rsidR="00307BA1" w:rsidRPr="00B746AB" w:rsidRDefault="00307BA1" w:rsidP="00307BA1">
            <w:pPr>
              <w:pStyle w:val="Texto"/>
              <w:spacing w:line="22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7.2 </w:t>
            </w:r>
            <w:r w:rsidRPr="00B746AB">
              <w:rPr>
                <w:rFonts w:ascii="Verdana" w:hAnsi="Verdana" w:cs="Times New Roman"/>
                <w:sz w:val="16"/>
                <w:szCs w:val="16"/>
                <w:lang w:val="en-US"/>
              </w:rPr>
              <w:t>ISO 6486-2: 1999 Ceramic ware, glass-ceramic ware and glass dinnerware in contact with food-Release of lead and cadmium-Part 2: Permissible limits</w:t>
            </w:r>
          </w:p>
        </w:tc>
      </w:tr>
      <w:tr w:rsidR="00307BA1" w:rsidRPr="006F11F4" w14:paraId="48584CD8" w14:textId="1295C58B" w:rsidTr="00B746AB">
        <w:tc>
          <w:tcPr>
            <w:tcW w:w="4788" w:type="dxa"/>
          </w:tcPr>
          <w:p w14:paraId="6C20FB5F"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7.3</w:t>
            </w:r>
            <w:r w:rsidRPr="006F11F4">
              <w:rPr>
                <w:rFonts w:ascii="Verdana" w:hAnsi="Verdana"/>
                <w:sz w:val="16"/>
                <w:szCs w:val="16"/>
                <w:lang w:val="en-US" w:eastAsia="es-MX"/>
              </w:rPr>
              <w:t xml:space="preserve"> ISO 7086-1:2000. Glass hollowware in contact with food-Release of lead and cadmium-Part 1: Test method.</w:t>
            </w:r>
          </w:p>
        </w:tc>
        <w:tc>
          <w:tcPr>
            <w:tcW w:w="4788" w:type="dxa"/>
          </w:tcPr>
          <w:p w14:paraId="16C81A06" w14:textId="5FE4C2A7"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7.3 </w:t>
            </w:r>
            <w:r w:rsidRPr="00B746AB">
              <w:rPr>
                <w:rFonts w:ascii="Verdana" w:hAnsi="Verdana" w:cs="Times New Roman"/>
                <w:sz w:val="16"/>
                <w:szCs w:val="16"/>
                <w:lang w:val="en-US"/>
              </w:rPr>
              <w:t>ISO 7086-1: 2000. Glass hollowware in contact with food-Release of lead and cadmium-Part 1: Test method.</w:t>
            </w:r>
          </w:p>
        </w:tc>
      </w:tr>
      <w:tr w:rsidR="00307BA1" w:rsidRPr="006F11F4" w14:paraId="6200AF79" w14:textId="159B1852" w:rsidTr="00B746AB">
        <w:tc>
          <w:tcPr>
            <w:tcW w:w="4788" w:type="dxa"/>
          </w:tcPr>
          <w:p w14:paraId="7E88D282"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7.4</w:t>
            </w:r>
            <w:r w:rsidRPr="006F11F4">
              <w:rPr>
                <w:rFonts w:ascii="Verdana" w:hAnsi="Verdana"/>
                <w:sz w:val="16"/>
                <w:szCs w:val="16"/>
                <w:lang w:val="en-US" w:eastAsia="es-MX"/>
              </w:rPr>
              <w:t xml:space="preserve"> ISO 7086-2:2000. Glass hollowware in contact with food-Release of lead and cadmium-Part 2: Permissible limits.</w:t>
            </w:r>
          </w:p>
        </w:tc>
        <w:tc>
          <w:tcPr>
            <w:tcW w:w="4788" w:type="dxa"/>
          </w:tcPr>
          <w:p w14:paraId="7A00C7D8" w14:textId="660C67D8"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7.4 </w:t>
            </w:r>
            <w:r w:rsidRPr="00B746AB">
              <w:rPr>
                <w:rFonts w:ascii="Verdana" w:hAnsi="Verdana" w:cs="Times New Roman"/>
                <w:sz w:val="16"/>
                <w:szCs w:val="16"/>
                <w:lang w:val="en-US"/>
              </w:rPr>
              <w:t>ISO 7086-2: 2000. Glass hollowware in contact with food-Release of lead and cadmium-Part 2: Permissible limits.</w:t>
            </w:r>
          </w:p>
        </w:tc>
      </w:tr>
      <w:tr w:rsidR="00307BA1" w:rsidRPr="006F11F4" w14:paraId="16B25405" w14:textId="0AFFA34E" w:rsidTr="00B746AB">
        <w:tc>
          <w:tcPr>
            <w:tcW w:w="4788" w:type="dxa"/>
          </w:tcPr>
          <w:p w14:paraId="4F58A4AD"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 xml:space="preserve">8. </w:t>
            </w:r>
            <w:proofErr w:type="spellStart"/>
            <w:r w:rsidRPr="006F11F4">
              <w:rPr>
                <w:rFonts w:ascii="Verdana" w:hAnsi="Verdana"/>
                <w:b/>
                <w:sz w:val="16"/>
                <w:szCs w:val="16"/>
                <w:lang w:val="en-US" w:eastAsia="es-MX"/>
              </w:rPr>
              <w:t>Bibliografía</w:t>
            </w:r>
            <w:proofErr w:type="spellEnd"/>
          </w:p>
        </w:tc>
        <w:tc>
          <w:tcPr>
            <w:tcW w:w="4788" w:type="dxa"/>
          </w:tcPr>
          <w:p w14:paraId="0C28A84D" w14:textId="04F8A7E2"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8. Bibliography</w:t>
            </w:r>
          </w:p>
        </w:tc>
      </w:tr>
      <w:tr w:rsidR="00307BA1" w:rsidRPr="006F11F4" w14:paraId="17A6E0CC" w14:textId="0ECD57F6" w:rsidTr="00B746AB">
        <w:tc>
          <w:tcPr>
            <w:tcW w:w="4788" w:type="dxa"/>
          </w:tcPr>
          <w:p w14:paraId="524E0F1E"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8.1</w:t>
            </w:r>
            <w:r w:rsidRPr="006F11F4">
              <w:rPr>
                <w:rFonts w:ascii="Verdana" w:hAnsi="Verdana"/>
                <w:sz w:val="16"/>
                <w:szCs w:val="16"/>
                <w:lang w:val="en-US" w:eastAsia="es-MX"/>
              </w:rPr>
              <w:t xml:space="preserve"> Food and Drug Administration. Compliance policy guides, guide 7111.87 chapter 17-food related.</w:t>
            </w:r>
          </w:p>
        </w:tc>
        <w:tc>
          <w:tcPr>
            <w:tcW w:w="4788" w:type="dxa"/>
          </w:tcPr>
          <w:p w14:paraId="76B41E81" w14:textId="524D377B"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8.1 </w:t>
            </w:r>
            <w:r w:rsidRPr="00B746AB">
              <w:rPr>
                <w:rFonts w:ascii="Verdana" w:hAnsi="Verdana" w:cs="Times New Roman"/>
                <w:sz w:val="16"/>
                <w:szCs w:val="16"/>
                <w:lang w:val="en-US"/>
              </w:rPr>
              <w:t>Food and Drug Administration. Compliance policy guides, guide 7111.87 chapter 17-food related.</w:t>
            </w:r>
          </w:p>
        </w:tc>
      </w:tr>
      <w:tr w:rsidR="00307BA1" w:rsidRPr="006F11F4" w14:paraId="4A82488B" w14:textId="77032628" w:rsidTr="00B746AB">
        <w:tc>
          <w:tcPr>
            <w:tcW w:w="4788" w:type="dxa"/>
          </w:tcPr>
          <w:p w14:paraId="780A9EFD"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8.2</w:t>
            </w:r>
            <w:r w:rsidRPr="006F11F4">
              <w:rPr>
                <w:rFonts w:ascii="Verdana" w:hAnsi="Verdana"/>
                <w:sz w:val="16"/>
                <w:szCs w:val="16"/>
                <w:lang w:val="en-US" w:eastAsia="es-MX"/>
              </w:rPr>
              <w:t xml:space="preserve"> Federal Register. Vol. 53, No. 96/Wednesday, may, 1988, 17764-17766.</w:t>
            </w:r>
          </w:p>
        </w:tc>
        <w:tc>
          <w:tcPr>
            <w:tcW w:w="4788" w:type="dxa"/>
          </w:tcPr>
          <w:p w14:paraId="4EDBD0EE" w14:textId="7756543B"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8.2 </w:t>
            </w:r>
            <w:r w:rsidRPr="00B746AB">
              <w:rPr>
                <w:rFonts w:ascii="Verdana" w:hAnsi="Verdana" w:cs="Times New Roman"/>
                <w:sz w:val="16"/>
                <w:szCs w:val="16"/>
                <w:lang w:val="en-US"/>
              </w:rPr>
              <w:t>Federal Register. Vol. 53, No. 96 / Wednesday, May, 1988, 17764-17766.</w:t>
            </w:r>
          </w:p>
        </w:tc>
      </w:tr>
      <w:tr w:rsidR="00307BA1" w:rsidRPr="006F11F4" w14:paraId="602BD56D" w14:textId="61EB12CD" w:rsidTr="00B746AB">
        <w:tc>
          <w:tcPr>
            <w:tcW w:w="4788" w:type="dxa"/>
          </w:tcPr>
          <w:p w14:paraId="0325E76C" w14:textId="77777777" w:rsidR="00307BA1" w:rsidRPr="006F11F4" w:rsidRDefault="00307BA1" w:rsidP="00307BA1">
            <w:pPr>
              <w:pStyle w:val="Texto"/>
              <w:spacing w:after="90" w:line="218" w:lineRule="exact"/>
              <w:ind w:firstLine="0"/>
              <w:rPr>
                <w:rFonts w:ascii="Verdana" w:hAnsi="Verdana"/>
                <w:sz w:val="16"/>
                <w:szCs w:val="16"/>
                <w:lang w:eastAsia="es-MX"/>
              </w:rPr>
            </w:pPr>
            <w:r w:rsidRPr="006F11F4">
              <w:rPr>
                <w:rFonts w:ascii="Verdana" w:hAnsi="Verdana"/>
                <w:b/>
                <w:sz w:val="16"/>
                <w:szCs w:val="16"/>
                <w:lang w:val="en-US" w:eastAsia="es-MX"/>
              </w:rPr>
              <w:t>8.3</w:t>
            </w:r>
            <w:r w:rsidRPr="006F11F4">
              <w:rPr>
                <w:rFonts w:ascii="Verdana" w:hAnsi="Verdana"/>
                <w:sz w:val="16"/>
                <w:szCs w:val="16"/>
                <w:lang w:val="en-US" w:eastAsia="es-MX"/>
              </w:rPr>
              <w:t xml:space="preserve"> WHO/Food ADD/77.44. Ceramic Food Ware Safety Sampling, Analysis and Limits for Lead and Cadmium Release. </w:t>
            </w:r>
            <w:r w:rsidRPr="006F11F4">
              <w:rPr>
                <w:rFonts w:ascii="Verdana" w:hAnsi="Verdana"/>
                <w:sz w:val="16"/>
                <w:szCs w:val="16"/>
                <w:lang w:eastAsia="es-MX"/>
              </w:rPr>
              <w:t>Geneva, 8-10 june 1976.</w:t>
            </w:r>
          </w:p>
        </w:tc>
        <w:tc>
          <w:tcPr>
            <w:tcW w:w="4788" w:type="dxa"/>
          </w:tcPr>
          <w:p w14:paraId="123D223C" w14:textId="45EA4083"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8.3 </w:t>
            </w:r>
            <w:r w:rsidRPr="00B746AB">
              <w:rPr>
                <w:rFonts w:ascii="Verdana" w:hAnsi="Verdana" w:cs="Times New Roman"/>
                <w:sz w:val="16"/>
                <w:szCs w:val="16"/>
                <w:lang w:val="en-US"/>
              </w:rPr>
              <w:t>WHO / Food ADD / 77.44. Ceramic Food Ware Safety Sampling, Analysis and Limits for Lead and Cadmium Release. Geneva, June 8-10, 1976.</w:t>
            </w:r>
          </w:p>
        </w:tc>
      </w:tr>
      <w:tr w:rsidR="00307BA1" w:rsidRPr="006F11F4" w14:paraId="16372084" w14:textId="4E571084" w:rsidTr="00B746AB">
        <w:tc>
          <w:tcPr>
            <w:tcW w:w="4788" w:type="dxa"/>
          </w:tcPr>
          <w:p w14:paraId="0CA7A379"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eastAsia="es-MX"/>
              </w:rPr>
              <w:t>8.4</w:t>
            </w:r>
            <w:r w:rsidRPr="006F11F4">
              <w:rPr>
                <w:rFonts w:ascii="Verdana" w:hAnsi="Verdana"/>
                <w:sz w:val="16"/>
                <w:szCs w:val="16"/>
                <w:lang w:eastAsia="es-MX"/>
              </w:rPr>
              <w:t xml:space="preserve"> Muñoz H., </w:t>
            </w:r>
            <w:proofErr w:type="spellStart"/>
            <w:r w:rsidRPr="006F11F4">
              <w:rPr>
                <w:rFonts w:ascii="Verdana" w:hAnsi="Verdana"/>
                <w:sz w:val="16"/>
                <w:szCs w:val="16"/>
                <w:lang w:eastAsia="es-MX"/>
              </w:rPr>
              <w:t>Romieu</w:t>
            </w:r>
            <w:proofErr w:type="spellEnd"/>
            <w:r w:rsidRPr="006F11F4">
              <w:rPr>
                <w:rFonts w:ascii="Verdana" w:hAnsi="Verdana"/>
                <w:sz w:val="16"/>
                <w:szCs w:val="16"/>
                <w:lang w:eastAsia="es-MX"/>
              </w:rPr>
              <w:t xml:space="preserve"> I., Hernández-</w:t>
            </w:r>
            <w:proofErr w:type="spellStart"/>
            <w:r w:rsidRPr="006F11F4">
              <w:rPr>
                <w:rFonts w:ascii="Verdana" w:hAnsi="Verdana"/>
                <w:sz w:val="16"/>
                <w:szCs w:val="16"/>
                <w:lang w:eastAsia="es-MX"/>
              </w:rPr>
              <w:t>Avila</w:t>
            </w:r>
            <w:proofErr w:type="spellEnd"/>
            <w:r w:rsidRPr="006F11F4">
              <w:rPr>
                <w:rFonts w:ascii="Verdana" w:hAnsi="Verdana"/>
                <w:sz w:val="16"/>
                <w:szCs w:val="16"/>
                <w:lang w:eastAsia="es-MX"/>
              </w:rPr>
              <w:t xml:space="preserve"> M., et al. </w:t>
            </w:r>
            <w:r w:rsidRPr="006F11F4">
              <w:rPr>
                <w:rFonts w:ascii="Verdana" w:hAnsi="Verdana"/>
                <w:sz w:val="16"/>
                <w:szCs w:val="16"/>
                <w:lang w:val="en-US" w:eastAsia="es-MX"/>
              </w:rPr>
              <w:t>Blood Lead and Neurobehavioral Development among Children Living in Mexico City. Archives of Environmental Health. 1993; No. 3, Vol. 48: 132-138.</w:t>
            </w:r>
          </w:p>
        </w:tc>
        <w:tc>
          <w:tcPr>
            <w:tcW w:w="4788" w:type="dxa"/>
          </w:tcPr>
          <w:p w14:paraId="7D21850C" w14:textId="46B9BCC7"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8.4 </w:t>
            </w:r>
            <w:r w:rsidRPr="00B746AB">
              <w:rPr>
                <w:rFonts w:ascii="Verdana" w:hAnsi="Verdana" w:cs="Times New Roman"/>
                <w:sz w:val="16"/>
                <w:szCs w:val="16"/>
                <w:lang w:val="en-US"/>
              </w:rPr>
              <w:t xml:space="preserve">Muñoz H., </w:t>
            </w:r>
            <w:proofErr w:type="spellStart"/>
            <w:r w:rsidRPr="00B746AB">
              <w:rPr>
                <w:rFonts w:ascii="Verdana" w:hAnsi="Verdana" w:cs="Times New Roman"/>
                <w:sz w:val="16"/>
                <w:szCs w:val="16"/>
                <w:lang w:val="en-US"/>
              </w:rPr>
              <w:t>Romieu</w:t>
            </w:r>
            <w:proofErr w:type="spellEnd"/>
            <w:r w:rsidRPr="00B746AB">
              <w:rPr>
                <w:rFonts w:ascii="Verdana" w:hAnsi="Verdana" w:cs="Times New Roman"/>
                <w:sz w:val="16"/>
                <w:szCs w:val="16"/>
                <w:lang w:val="en-US"/>
              </w:rPr>
              <w:t xml:space="preserve"> I., Hernández- Avila M., et al. Blood Lead and Neurobehavioral Development among Children Living in Mexico City. Archives of Environmental Health. 1993; No. 3, Vol. 48: 132-138.</w:t>
            </w:r>
          </w:p>
        </w:tc>
      </w:tr>
      <w:tr w:rsidR="00307BA1" w:rsidRPr="006F11F4" w14:paraId="4EC31DB9" w14:textId="09FA092F" w:rsidTr="00B746AB">
        <w:tc>
          <w:tcPr>
            <w:tcW w:w="4788" w:type="dxa"/>
          </w:tcPr>
          <w:p w14:paraId="5BE72D56"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8.5</w:t>
            </w:r>
            <w:r w:rsidRPr="006F11F4">
              <w:rPr>
                <w:rFonts w:ascii="Verdana" w:hAnsi="Verdana"/>
                <w:sz w:val="16"/>
                <w:szCs w:val="16"/>
                <w:lang w:val="en-US" w:eastAsia="es-MX"/>
              </w:rPr>
              <w:t xml:space="preserve"> </w:t>
            </w:r>
            <w:proofErr w:type="spellStart"/>
            <w:r w:rsidRPr="006F11F4">
              <w:rPr>
                <w:rFonts w:ascii="Verdana" w:hAnsi="Verdana"/>
                <w:sz w:val="16"/>
                <w:szCs w:val="16"/>
                <w:lang w:val="en-US" w:eastAsia="es-MX"/>
              </w:rPr>
              <w:t>Romieu</w:t>
            </w:r>
            <w:proofErr w:type="spellEnd"/>
            <w:r w:rsidRPr="006F11F4">
              <w:rPr>
                <w:rFonts w:ascii="Verdana" w:hAnsi="Verdana"/>
                <w:sz w:val="16"/>
                <w:szCs w:val="16"/>
                <w:lang w:val="en-US" w:eastAsia="es-MX"/>
              </w:rPr>
              <w:t xml:space="preserve"> I., </w:t>
            </w:r>
            <w:proofErr w:type="spellStart"/>
            <w:r w:rsidRPr="006F11F4">
              <w:rPr>
                <w:rFonts w:ascii="Verdana" w:hAnsi="Verdana"/>
                <w:sz w:val="16"/>
                <w:szCs w:val="16"/>
                <w:lang w:val="en-US" w:eastAsia="es-MX"/>
              </w:rPr>
              <w:t>Palazuelos</w:t>
            </w:r>
            <w:proofErr w:type="spellEnd"/>
            <w:r w:rsidRPr="006F11F4">
              <w:rPr>
                <w:rFonts w:ascii="Verdana" w:hAnsi="Verdana"/>
                <w:sz w:val="16"/>
                <w:szCs w:val="16"/>
                <w:lang w:val="en-US" w:eastAsia="es-MX"/>
              </w:rPr>
              <w:t xml:space="preserve"> R. E., </w:t>
            </w:r>
            <w:proofErr w:type="spellStart"/>
            <w:r w:rsidRPr="006F11F4">
              <w:rPr>
                <w:rFonts w:ascii="Verdana" w:hAnsi="Verdana"/>
                <w:sz w:val="16"/>
                <w:szCs w:val="16"/>
                <w:lang w:val="en-US" w:eastAsia="es-MX"/>
              </w:rPr>
              <w:t>Meneses</w:t>
            </w:r>
            <w:proofErr w:type="spellEnd"/>
            <w:r w:rsidRPr="006F11F4">
              <w:rPr>
                <w:rFonts w:ascii="Verdana" w:hAnsi="Verdana"/>
                <w:sz w:val="16"/>
                <w:szCs w:val="16"/>
                <w:lang w:val="en-US" w:eastAsia="es-MX"/>
              </w:rPr>
              <w:t xml:space="preserve"> E., Hernández-Avila M. Vehicular Traffic of Blood-lead Levels in Children: A Pilot Study in Mexico City. Archives of Environmental Health. 1992; No. 4, Vol. 47: 246-249.</w:t>
            </w:r>
          </w:p>
        </w:tc>
        <w:tc>
          <w:tcPr>
            <w:tcW w:w="4788" w:type="dxa"/>
          </w:tcPr>
          <w:p w14:paraId="583F123C" w14:textId="5E8BFA4E"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8.5 </w:t>
            </w:r>
            <w:proofErr w:type="spellStart"/>
            <w:r w:rsidRPr="00B746AB">
              <w:rPr>
                <w:rFonts w:ascii="Verdana" w:hAnsi="Verdana" w:cs="Times New Roman"/>
                <w:sz w:val="16"/>
                <w:szCs w:val="16"/>
                <w:lang w:val="en-US"/>
              </w:rPr>
              <w:t>Romieu</w:t>
            </w:r>
            <w:proofErr w:type="spellEnd"/>
            <w:r w:rsidRPr="00B746AB">
              <w:rPr>
                <w:rFonts w:ascii="Verdana" w:hAnsi="Verdana" w:cs="Times New Roman"/>
                <w:sz w:val="16"/>
                <w:szCs w:val="16"/>
                <w:lang w:val="en-US"/>
              </w:rPr>
              <w:t xml:space="preserve"> I., </w:t>
            </w:r>
            <w:proofErr w:type="spellStart"/>
            <w:r w:rsidRPr="00B746AB">
              <w:rPr>
                <w:rFonts w:ascii="Verdana" w:hAnsi="Verdana" w:cs="Times New Roman"/>
                <w:sz w:val="16"/>
                <w:szCs w:val="16"/>
                <w:lang w:val="en-US"/>
              </w:rPr>
              <w:t>Palazuelos</w:t>
            </w:r>
            <w:proofErr w:type="spellEnd"/>
            <w:r w:rsidRPr="00B746AB">
              <w:rPr>
                <w:rFonts w:ascii="Verdana" w:hAnsi="Verdana" w:cs="Times New Roman"/>
                <w:sz w:val="16"/>
                <w:szCs w:val="16"/>
                <w:lang w:val="en-US"/>
              </w:rPr>
              <w:t xml:space="preserve"> RE, </w:t>
            </w:r>
            <w:proofErr w:type="spellStart"/>
            <w:r w:rsidRPr="00B746AB">
              <w:rPr>
                <w:rFonts w:ascii="Verdana" w:hAnsi="Verdana" w:cs="Times New Roman"/>
                <w:sz w:val="16"/>
                <w:szCs w:val="16"/>
                <w:lang w:val="en-US"/>
              </w:rPr>
              <w:t>Meneses</w:t>
            </w:r>
            <w:proofErr w:type="spellEnd"/>
            <w:r w:rsidRPr="00B746AB">
              <w:rPr>
                <w:rFonts w:ascii="Verdana" w:hAnsi="Verdana" w:cs="Times New Roman"/>
                <w:sz w:val="16"/>
                <w:szCs w:val="16"/>
                <w:lang w:val="en-US"/>
              </w:rPr>
              <w:t xml:space="preserve"> E., Hernández-Avila M. Vehicular Traffic of Blood-lead Levels in Children: A Pilot Study in Mexico City. Archives of Environmental Health. 1992; No. 4, Vol. 47: 246-249. </w:t>
            </w:r>
          </w:p>
        </w:tc>
      </w:tr>
      <w:tr w:rsidR="00307BA1" w:rsidRPr="006F11F4" w14:paraId="07079537" w14:textId="06AB708D" w:rsidTr="00B746AB">
        <w:tc>
          <w:tcPr>
            <w:tcW w:w="4788" w:type="dxa"/>
          </w:tcPr>
          <w:p w14:paraId="2E58281C" w14:textId="77777777" w:rsidR="00307BA1" w:rsidRPr="006F11F4" w:rsidRDefault="00307BA1" w:rsidP="00307BA1">
            <w:pPr>
              <w:pStyle w:val="Texto"/>
              <w:spacing w:after="90" w:line="218" w:lineRule="exact"/>
              <w:ind w:firstLine="0"/>
              <w:rPr>
                <w:rFonts w:ascii="Verdana" w:hAnsi="Verdana"/>
                <w:sz w:val="16"/>
                <w:szCs w:val="16"/>
                <w:lang w:eastAsia="es-MX"/>
              </w:rPr>
            </w:pPr>
            <w:r w:rsidRPr="006F11F4">
              <w:rPr>
                <w:rFonts w:ascii="Verdana" w:hAnsi="Verdana"/>
                <w:b/>
                <w:sz w:val="16"/>
                <w:szCs w:val="16"/>
                <w:lang w:val="es-MX" w:eastAsia="es-MX"/>
              </w:rPr>
              <w:t>8.6</w:t>
            </w:r>
            <w:r w:rsidRPr="006F11F4">
              <w:rPr>
                <w:rFonts w:ascii="Verdana" w:hAnsi="Verdana"/>
                <w:sz w:val="16"/>
                <w:szCs w:val="16"/>
                <w:lang w:val="es-MX" w:eastAsia="es-MX"/>
              </w:rPr>
              <w:t xml:space="preserve"> Hernández-</w:t>
            </w:r>
            <w:proofErr w:type="spellStart"/>
            <w:r w:rsidRPr="006F11F4">
              <w:rPr>
                <w:rFonts w:ascii="Verdana" w:hAnsi="Verdana"/>
                <w:sz w:val="16"/>
                <w:szCs w:val="16"/>
                <w:lang w:val="es-MX" w:eastAsia="es-MX"/>
              </w:rPr>
              <w:t>Avila</w:t>
            </w:r>
            <w:proofErr w:type="spellEnd"/>
            <w:r w:rsidRPr="006F11F4">
              <w:rPr>
                <w:rFonts w:ascii="Verdana" w:hAnsi="Verdana"/>
                <w:sz w:val="16"/>
                <w:szCs w:val="16"/>
                <w:lang w:val="es-MX" w:eastAsia="es-MX"/>
              </w:rPr>
              <w:t xml:space="preserve"> M., </w:t>
            </w:r>
            <w:proofErr w:type="spellStart"/>
            <w:r w:rsidRPr="006F11F4">
              <w:rPr>
                <w:rFonts w:ascii="Verdana" w:hAnsi="Verdana"/>
                <w:sz w:val="16"/>
                <w:szCs w:val="16"/>
                <w:lang w:val="es-MX" w:eastAsia="es-MX"/>
              </w:rPr>
              <w:t>Romieu</w:t>
            </w:r>
            <w:proofErr w:type="spellEnd"/>
            <w:r w:rsidRPr="006F11F4">
              <w:rPr>
                <w:rFonts w:ascii="Verdana" w:hAnsi="Verdana"/>
                <w:sz w:val="16"/>
                <w:szCs w:val="16"/>
                <w:lang w:val="es-MX" w:eastAsia="es-MX"/>
              </w:rPr>
              <w:t xml:space="preserve"> I., Ríos C., et al. </w:t>
            </w:r>
            <w:r w:rsidRPr="006F11F4">
              <w:rPr>
                <w:rFonts w:ascii="Verdana" w:hAnsi="Verdana"/>
                <w:sz w:val="16"/>
                <w:szCs w:val="16"/>
                <w:lang w:val="en-US" w:eastAsia="es-MX"/>
              </w:rPr>
              <w:t xml:space="preserve">Lead Glazed Ceramics Major Determinants of Blood Lead </w:t>
            </w:r>
            <w:r w:rsidRPr="006F11F4">
              <w:rPr>
                <w:rFonts w:ascii="Verdana" w:hAnsi="Verdana"/>
                <w:sz w:val="16"/>
                <w:szCs w:val="16"/>
                <w:lang w:val="en-US" w:eastAsia="es-MX"/>
              </w:rPr>
              <w:lastRenderedPageBreak/>
              <w:t xml:space="preserve">Levels in Mexican Women. </w:t>
            </w:r>
            <w:proofErr w:type="spellStart"/>
            <w:r w:rsidRPr="006F11F4">
              <w:rPr>
                <w:rFonts w:ascii="Verdana" w:hAnsi="Verdana"/>
                <w:sz w:val="16"/>
                <w:szCs w:val="16"/>
                <w:lang w:eastAsia="es-MX"/>
              </w:rPr>
              <w:t>Environmental</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Health</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Perspectives</w:t>
            </w:r>
            <w:proofErr w:type="spellEnd"/>
            <w:r w:rsidRPr="006F11F4">
              <w:rPr>
                <w:rFonts w:ascii="Verdana" w:hAnsi="Verdana"/>
                <w:sz w:val="16"/>
                <w:szCs w:val="16"/>
                <w:lang w:eastAsia="es-MX"/>
              </w:rPr>
              <w:t xml:space="preserve"> 1991; Vol. 94: 117-120.</w:t>
            </w:r>
          </w:p>
        </w:tc>
        <w:tc>
          <w:tcPr>
            <w:tcW w:w="4788" w:type="dxa"/>
          </w:tcPr>
          <w:p w14:paraId="7A098226" w14:textId="3B0E5E46"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lastRenderedPageBreak/>
              <w:t xml:space="preserve">8.6 </w:t>
            </w:r>
            <w:r w:rsidRPr="00B746AB">
              <w:rPr>
                <w:rFonts w:ascii="Verdana" w:hAnsi="Verdana" w:cs="Times New Roman"/>
                <w:sz w:val="16"/>
                <w:szCs w:val="16"/>
                <w:lang w:val="en-US"/>
              </w:rPr>
              <w:t xml:space="preserve">Hernández- Avila M., </w:t>
            </w:r>
            <w:proofErr w:type="spellStart"/>
            <w:r w:rsidRPr="00B746AB">
              <w:rPr>
                <w:rFonts w:ascii="Verdana" w:hAnsi="Verdana" w:cs="Times New Roman"/>
                <w:sz w:val="16"/>
                <w:szCs w:val="16"/>
                <w:lang w:val="en-US"/>
              </w:rPr>
              <w:t>Romieu</w:t>
            </w:r>
            <w:proofErr w:type="spellEnd"/>
            <w:r w:rsidRPr="00B746AB">
              <w:rPr>
                <w:rFonts w:ascii="Verdana" w:hAnsi="Verdana" w:cs="Times New Roman"/>
                <w:sz w:val="16"/>
                <w:szCs w:val="16"/>
                <w:lang w:val="en-US"/>
              </w:rPr>
              <w:t xml:space="preserve"> I., Ríos C., et al. Lead Glazed Ceramics Major Determinants of Blood Lead </w:t>
            </w:r>
            <w:r w:rsidRPr="00B746AB">
              <w:rPr>
                <w:rFonts w:ascii="Verdana" w:hAnsi="Verdana" w:cs="Times New Roman"/>
                <w:sz w:val="16"/>
                <w:szCs w:val="16"/>
                <w:lang w:val="en-US"/>
              </w:rPr>
              <w:lastRenderedPageBreak/>
              <w:t xml:space="preserve">Levels in Mexican Women. Environmental Health Perspectives 1991; Vol. 94: 117-120. </w:t>
            </w:r>
          </w:p>
        </w:tc>
      </w:tr>
      <w:tr w:rsidR="00307BA1" w:rsidRPr="006F11F4" w14:paraId="54B1987B" w14:textId="59D2DD18" w:rsidTr="00B746AB">
        <w:tc>
          <w:tcPr>
            <w:tcW w:w="4788" w:type="dxa"/>
          </w:tcPr>
          <w:p w14:paraId="48F406B1" w14:textId="77777777" w:rsidR="00307BA1" w:rsidRPr="006F11F4" w:rsidRDefault="00307BA1" w:rsidP="00307BA1">
            <w:pPr>
              <w:pStyle w:val="Texto"/>
              <w:spacing w:after="90" w:line="218" w:lineRule="exact"/>
              <w:ind w:firstLine="0"/>
              <w:rPr>
                <w:rFonts w:ascii="Verdana" w:hAnsi="Verdana"/>
                <w:sz w:val="16"/>
                <w:szCs w:val="16"/>
                <w:lang w:eastAsia="es-MX"/>
              </w:rPr>
            </w:pPr>
            <w:r w:rsidRPr="006F11F4">
              <w:rPr>
                <w:rFonts w:ascii="Verdana" w:hAnsi="Verdana"/>
                <w:b/>
                <w:sz w:val="16"/>
                <w:szCs w:val="16"/>
                <w:lang w:eastAsia="es-MX"/>
              </w:rPr>
              <w:lastRenderedPageBreak/>
              <w:t xml:space="preserve">8.7 </w:t>
            </w:r>
            <w:proofErr w:type="spellStart"/>
            <w:r w:rsidRPr="006F11F4">
              <w:rPr>
                <w:rFonts w:ascii="Verdana" w:hAnsi="Verdana"/>
                <w:sz w:val="16"/>
                <w:szCs w:val="16"/>
                <w:lang w:eastAsia="es-MX"/>
              </w:rPr>
              <w:t>Romieu</w:t>
            </w:r>
            <w:proofErr w:type="spellEnd"/>
            <w:r w:rsidRPr="006F11F4">
              <w:rPr>
                <w:rFonts w:ascii="Verdana" w:hAnsi="Verdana"/>
                <w:sz w:val="16"/>
                <w:szCs w:val="16"/>
                <w:lang w:eastAsia="es-MX"/>
              </w:rPr>
              <w:t xml:space="preserve"> I., Palazuelos R., Hernández-</w:t>
            </w:r>
            <w:proofErr w:type="spellStart"/>
            <w:r w:rsidRPr="006F11F4">
              <w:rPr>
                <w:rFonts w:ascii="Verdana" w:hAnsi="Verdana"/>
                <w:sz w:val="16"/>
                <w:szCs w:val="16"/>
                <w:lang w:eastAsia="es-MX"/>
              </w:rPr>
              <w:t>Avila</w:t>
            </w:r>
            <w:proofErr w:type="spellEnd"/>
            <w:r w:rsidRPr="006F11F4">
              <w:rPr>
                <w:rFonts w:ascii="Verdana" w:hAnsi="Verdana"/>
                <w:sz w:val="16"/>
                <w:szCs w:val="16"/>
                <w:lang w:eastAsia="es-MX"/>
              </w:rPr>
              <w:t xml:space="preserve"> M. et al. </w:t>
            </w:r>
            <w:r w:rsidRPr="006F11F4">
              <w:rPr>
                <w:rFonts w:ascii="Verdana" w:hAnsi="Verdana"/>
                <w:sz w:val="16"/>
                <w:szCs w:val="16"/>
                <w:lang w:val="en-US" w:eastAsia="es-MX"/>
              </w:rPr>
              <w:t xml:space="preserve">Sources of Lead Exposure in Mexico City. </w:t>
            </w:r>
            <w:proofErr w:type="spellStart"/>
            <w:r w:rsidRPr="006F11F4">
              <w:rPr>
                <w:rFonts w:ascii="Verdana" w:hAnsi="Verdana"/>
                <w:sz w:val="16"/>
                <w:szCs w:val="16"/>
                <w:lang w:eastAsia="es-MX"/>
              </w:rPr>
              <w:t>Environmental</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Health</w:t>
            </w:r>
            <w:proofErr w:type="spellEnd"/>
            <w:r w:rsidRPr="006F11F4">
              <w:rPr>
                <w:rFonts w:ascii="Verdana" w:hAnsi="Verdana"/>
                <w:sz w:val="16"/>
                <w:szCs w:val="16"/>
                <w:lang w:eastAsia="es-MX"/>
              </w:rPr>
              <w:t xml:space="preserve"> </w:t>
            </w:r>
            <w:proofErr w:type="spellStart"/>
            <w:r w:rsidRPr="006F11F4">
              <w:rPr>
                <w:rFonts w:ascii="Verdana" w:hAnsi="Verdana"/>
                <w:sz w:val="16"/>
                <w:szCs w:val="16"/>
                <w:lang w:eastAsia="es-MX"/>
              </w:rPr>
              <w:t>Perspectives</w:t>
            </w:r>
            <w:proofErr w:type="spellEnd"/>
            <w:r w:rsidRPr="006F11F4">
              <w:rPr>
                <w:rFonts w:ascii="Verdana" w:hAnsi="Verdana"/>
                <w:sz w:val="16"/>
                <w:szCs w:val="16"/>
                <w:lang w:eastAsia="es-MX"/>
              </w:rPr>
              <w:t xml:space="preserve"> 1994; Vol. 102.</w:t>
            </w:r>
          </w:p>
        </w:tc>
        <w:tc>
          <w:tcPr>
            <w:tcW w:w="4788" w:type="dxa"/>
          </w:tcPr>
          <w:p w14:paraId="0978D423" w14:textId="31437866"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8.7 </w:t>
            </w:r>
            <w:proofErr w:type="spellStart"/>
            <w:r w:rsidRPr="00B746AB">
              <w:rPr>
                <w:rFonts w:ascii="Verdana" w:hAnsi="Verdana" w:cs="Times New Roman"/>
                <w:sz w:val="16"/>
                <w:szCs w:val="16"/>
                <w:lang w:val="en-US"/>
              </w:rPr>
              <w:t>Romieu</w:t>
            </w:r>
            <w:proofErr w:type="spellEnd"/>
            <w:r w:rsidRPr="00B746AB">
              <w:rPr>
                <w:rFonts w:ascii="Verdana" w:hAnsi="Verdana" w:cs="Times New Roman"/>
                <w:sz w:val="16"/>
                <w:szCs w:val="16"/>
                <w:lang w:val="en-US"/>
              </w:rPr>
              <w:t xml:space="preserve"> I., </w:t>
            </w:r>
            <w:proofErr w:type="spellStart"/>
            <w:r w:rsidRPr="00B746AB">
              <w:rPr>
                <w:rFonts w:ascii="Verdana" w:hAnsi="Verdana" w:cs="Times New Roman"/>
                <w:sz w:val="16"/>
                <w:szCs w:val="16"/>
                <w:lang w:val="en-US"/>
              </w:rPr>
              <w:t>Palazuelos</w:t>
            </w:r>
            <w:proofErr w:type="spellEnd"/>
            <w:r w:rsidRPr="00B746AB">
              <w:rPr>
                <w:rFonts w:ascii="Verdana" w:hAnsi="Verdana" w:cs="Times New Roman"/>
                <w:sz w:val="16"/>
                <w:szCs w:val="16"/>
                <w:lang w:val="en-US"/>
              </w:rPr>
              <w:t xml:space="preserve"> R., Hernández- Avila M. et al. Sources of Lead Exposure in Mexico City. Environmental Health Perspectives 1994; Vol. 102. </w:t>
            </w:r>
          </w:p>
        </w:tc>
      </w:tr>
      <w:tr w:rsidR="00307BA1" w:rsidRPr="006F11F4" w14:paraId="1DFED00E" w14:textId="7B6F0433" w:rsidTr="00B746AB">
        <w:tc>
          <w:tcPr>
            <w:tcW w:w="4788" w:type="dxa"/>
          </w:tcPr>
          <w:p w14:paraId="3C337AE7"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eastAsia="es-MX"/>
              </w:rPr>
              <w:t>8.8</w:t>
            </w:r>
            <w:r w:rsidRPr="006F11F4">
              <w:rPr>
                <w:rFonts w:ascii="Verdana" w:hAnsi="Verdana"/>
                <w:sz w:val="16"/>
                <w:szCs w:val="16"/>
                <w:lang w:eastAsia="es-MX"/>
              </w:rPr>
              <w:t xml:space="preserve"> López-Rojas M., Santos-Burgoa, Ríos C., et al. </w:t>
            </w:r>
            <w:r w:rsidRPr="006F11F4">
              <w:rPr>
                <w:rFonts w:ascii="Verdana" w:hAnsi="Verdana"/>
                <w:sz w:val="16"/>
                <w:szCs w:val="16"/>
                <w:lang w:val="en-US" w:eastAsia="es-MX"/>
              </w:rPr>
              <w:t>Use of Lead-Glazed Ceramics is the Main Factor Associated to High Lead in Blood Levels in Two Mexican Rural Communities. Journal of Toxicology and Environmental Health. 1994; Vol. 42: 45-62.</w:t>
            </w:r>
          </w:p>
        </w:tc>
        <w:tc>
          <w:tcPr>
            <w:tcW w:w="4788" w:type="dxa"/>
          </w:tcPr>
          <w:p w14:paraId="6D010F49" w14:textId="046EBA26"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8.8 </w:t>
            </w:r>
            <w:r w:rsidRPr="00B746AB">
              <w:rPr>
                <w:rFonts w:ascii="Verdana" w:hAnsi="Verdana" w:cs="Times New Roman"/>
                <w:sz w:val="16"/>
                <w:szCs w:val="16"/>
                <w:lang w:val="en-US"/>
              </w:rPr>
              <w:t>López-Rojas M., Santos-</w:t>
            </w:r>
            <w:proofErr w:type="spellStart"/>
            <w:r w:rsidRPr="00B746AB">
              <w:rPr>
                <w:rFonts w:ascii="Verdana" w:hAnsi="Verdana" w:cs="Times New Roman"/>
                <w:sz w:val="16"/>
                <w:szCs w:val="16"/>
                <w:lang w:val="en-US"/>
              </w:rPr>
              <w:t>Burgoa</w:t>
            </w:r>
            <w:proofErr w:type="spellEnd"/>
            <w:r w:rsidRPr="00B746AB">
              <w:rPr>
                <w:rFonts w:ascii="Verdana" w:hAnsi="Verdana" w:cs="Times New Roman"/>
                <w:sz w:val="16"/>
                <w:szCs w:val="16"/>
                <w:lang w:val="en-US"/>
              </w:rPr>
              <w:t>, Ríos C., et al. Use of Lead-Glazed Ceramics is the Main Factor Associated to High Lead in Blood Levels in Two Mexican Rural Communities. Journal of Toxicology and Environmental Health. 1994; Vol. 42: 45-62.</w:t>
            </w:r>
          </w:p>
        </w:tc>
      </w:tr>
      <w:tr w:rsidR="00307BA1" w:rsidRPr="006F11F4" w14:paraId="7EADEF02" w14:textId="5CB45FF9" w:rsidTr="00B746AB">
        <w:tc>
          <w:tcPr>
            <w:tcW w:w="4788" w:type="dxa"/>
          </w:tcPr>
          <w:p w14:paraId="53805E49"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8.9</w:t>
            </w:r>
            <w:r w:rsidRPr="006F11F4">
              <w:rPr>
                <w:rFonts w:ascii="Verdana" w:hAnsi="Verdana"/>
                <w:sz w:val="16"/>
                <w:szCs w:val="16"/>
                <w:lang w:val="en-US" w:eastAsia="es-MX"/>
              </w:rPr>
              <w:t xml:space="preserve"> ASTM/C-738-81.Test for lead and Cadmium Extracted from Glazed Ceramic-Surfaces. Association of Official Analytical Chemists Official Methods of Analysis. 14th Edition, 1984 25.024-25- 027.</w:t>
            </w:r>
          </w:p>
        </w:tc>
        <w:tc>
          <w:tcPr>
            <w:tcW w:w="4788" w:type="dxa"/>
          </w:tcPr>
          <w:p w14:paraId="0ED2C86C" w14:textId="1A98E990"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8.9 </w:t>
            </w:r>
            <w:r w:rsidRPr="00B746AB">
              <w:rPr>
                <w:rFonts w:ascii="Verdana" w:hAnsi="Verdana" w:cs="Times New Roman"/>
                <w:sz w:val="16"/>
                <w:szCs w:val="16"/>
                <w:lang w:val="en-US"/>
              </w:rPr>
              <w:t>ASTM/C-738-81.Test for lead and Cadmium Extracted from Glazed Ceramic-Surfaces. Association of Official Analytical Chemists Official Methods of Analysis. 14th Edition, 1984 25.024-25-027.</w:t>
            </w:r>
          </w:p>
        </w:tc>
      </w:tr>
      <w:tr w:rsidR="00307BA1" w:rsidRPr="006F11F4" w14:paraId="168ABF14" w14:textId="475F9F77" w:rsidTr="00B746AB">
        <w:tc>
          <w:tcPr>
            <w:tcW w:w="4788" w:type="dxa"/>
          </w:tcPr>
          <w:p w14:paraId="71B70D6B"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8.10</w:t>
            </w:r>
            <w:r w:rsidRPr="006F11F4">
              <w:rPr>
                <w:rFonts w:ascii="Verdana" w:hAnsi="Verdana"/>
                <w:sz w:val="16"/>
                <w:szCs w:val="16"/>
                <w:lang w:val="en-US" w:eastAsia="es-MX"/>
              </w:rPr>
              <w:t xml:space="preserve"> ASTM/C-1034-85. Standard Test Method for Lead and </w:t>
            </w:r>
            <w:proofErr w:type="spellStart"/>
            <w:r w:rsidRPr="006F11F4">
              <w:rPr>
                <w:rFonts w:ascii="Verdana" w:hAnsi="Verdana"/>
                <w:sz w:val="16"/>
                <w:szCs w:val="16"/>
                <w:lang w:val="en-US" w:eastAsia="es-MX"/>
              </w:rPr>
              <w:t>Cadmiun</w:t>
            </w:r>
            <w:proofErr w:type="spellEnd"/>
            <w:r w:rsidRPr="006F11F4">
              <w:rPr>
                <w:rFonts w:ascii="Verdana" w:hAnsi="Verdana"/>
                <w:sz w:val="16"/>
                <w:szCs w:val="16"/>
                <w:lang w:val="en-US" w:eastAsia="es-MX"/>
              </w:rPr>
              <w:t xml:space="preserve"> Extracted from Glazed Ceramic Cookware.</w:t>
            </w:r>
          </w:p>
        </w:tc>
        <w:tc>
          <w:tcPr>
            <w:tcW w:w="4788" w:type="dxa"/>
          </w:tcPr>
          <w:p w14:paraId="3A7575F7" w14:textId="2A0075C6"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8.10 </w:t>
            </w:r>
            <w:r w:rsidRPr="00B746AB">
              <w:rPr>
                <w:rFonts w:ascii="Verdana" w:hAnsi="Verdana" w:cs="Times New Roman"/>
                <w:sz w:val="16"/>
                <w:szCs w:val="16"/>
                <w:lang w:val="en-US"/>
              </w:rPr>
              <w:t xml:space="preserve">ASTM/C-1034-85. Standard Test Method for Lead and </w:t>
            </w:r>
            <w:proofErr w:type="spellStart"/>
            <w:r w:rsidRPr="00B746AB">
              <w:rPr>
                <w:rFonts w:ascii="Verdana" w:hAnsi="Verdana" w:cs="Times New Roman"/>
                <w:sz w:val="16"/>
                <w:szCs w:val="16"/>
                <w:lang w:val="en-US"/>
              </w:rPr>
              <w:t>Cadmiun</w:t>
            </w:r>
            <w:proofErr w:type="spellEnd"/>
            <w:r w:rsidRPr="00B746AB">
              <w:rPr>
                <w:rFonts w:ascii="Verdana" w:hAnsi="Verdana" w:cs="Times New Roman"/>
                <w:sz w:val="16"/>
                <w:szCs w:val="16"/>
                <w:lang w:val="en-US"/>
              </w:rPr>
              <w:t xml:space="preserve"> Extracted from Glazed Ceramic Cookware.</w:t>
            </w:r>
          </w:p>
        </w:tc>
      </w:tr>
      <w:tr w:rsidR="00307BA1" w:rsidRPr="006F11F4" w14:paraId="6A3E4909" w14:textId="473B677C" w:rsidTr="00B746AB">
        <w:tc>
          <w:tcPr>
            <w:tcW w:w="4788" w:type="dxa"/>
          </w:tcPr>
          <w:p w14:paraId="63D129D2"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n-US" w:eastAsia="es-MX"/>
              </w:rPr>
              <w:t>8.11</w:t>
            </w:r>
            <w:r w:rsidRPr="006F11F4">
              <w:rPr>
                <w:rFonts w:ascii="Verdana" w:hAnsi="Verdana"/>
                <w:sz w:val="16"/>
                <w:szCs w:val="16"/>
                <w:lang w:val="en-US" w:eastAsia="es-MX"/>
              </w:rPr>
              <w:t xml:space="preserve"> Belisle, E.H., </w:t>
            </w:r>
            <w:proofErr w:type="spellStart"/>
            <w:r w:rsidRPr="006F11F4">
              <w:rPr>
                <w:rFonts w:ascii="Verdana" w:hAnsi="Verdana"/>
                <w:sz w:val="16"/>
                <w:szCs w:val="16"/>
                <w:lang w:val="en-US" w:eastAsia="es-MX"/>
              </w:rPr>
              <w:t>Strausser</w:t>
            </w:r>
            <w:proofErr w:type="spellEnd"/>
            <w:r w:rsidRPr="006F11F4">
              <w:rPr>
                <w:rFonts w:ascii="Verdana" w:hAnsi="Verdana"/>
                <w:sz w:val="16"/>
                <w:szCs w:val="16"/>
                <w:lang w:val="en-US" w:eastAsia="es-MX"/>
              </w:rPr>
              <w:t xml:space="preserve">, H.S. </w:t>
            </w:r>
            <w:proofErr w:type="spellStart"/>
            <w:r w:rsidRPr="006F11F4">
              <w:rPr>
                <w:rFonts w:ascii="Verdana" w:hAnsi="Verdana"/>
                <w:sz w:val="16"/>
                <w:szCs w:val="16"/>
                <w:lang w:val="en-US" w:eastAsia="es-MX"/>
              </w:rPr>
              <w:t>Inmmune</w:t>
            </w:r>
            <w:proofErr w:type="spellEnd"/>
            <w:r w:rsidRPr="006F11F4">
              <w:rPr>
                <w:rFonts w:ascii="Verdana" w:hAnsi="Verdana"/>
                <w:sz w:val="16"/>
                <w:szCs w:val="16"/>
                <w:lang w:val="en-US" w:eastAsia="es-MX"/>
              </w:rPr>
              <w:t xml:space="preserve"> response of rats chronically fed subclinical doses of lead. Exp. </w:t>
            </w:r>
            <w:proofErr w:type="spellStart"/>
            <w:r w:rsidRPr="006F11F4">
              <w:rPr>
                <w:rFonts w:ascii="Verdana" w:hAnsi="Verdana"/>
                <w:sz w:val="16"/>
                <w:szCs w:val="16"/>
                <w:lang w:val="en-US" w:eastAsia="es-MX"/>
              </w:rPr>
              <w:t>Inmunol</w:t>
            </w:r>
            <w:proofErr w:type="spellEnd"/>
            <w:r w:rsidRPr="006F11F4">
              <w:rPr>
                <w:rFonts w:ascii="Verdana" w:hAnsi="Verdana"/>
                <w:sz w:val="16"/>
                <w:szCs w:val="16"/>
                <w:lang w:val="en-US" w:eastAsia="es-MX"/>
              </w:rPr>
              <w:t>. 1981; 43: 189-94.</w:t>
            </w:r>
          </w:p>
        </w:tc>
        <w:tc>
          <w:tcPr>
            <w:tcW w:w="4788" w:type="dxa"/>
          </w:tcPr>
          <w:p w14:paraId="4CFDE952" w14:textId="3444572E"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8.11 </w:t>
            </w:r>
            <w:r w:rsidRPr="00B746AB">
              <w:rPr>
                <w:rFonts w:ascii="Verdana" w:hAnsi="Verdana" w:cs="Times New Roman"/>
                <w:sz w:val="16"/>
                <w:szCs w:val="16"/>
                <w:lang w:val="en-US"/>
              </w:rPr>
              <w:t xml:space="preserve">Belisle, EH, </w:t>
            </w:r>
            <w:proofErr w:type="spellStart"/>
            <w:r w:rsidRPr="00B746AB">
              <w:rPr>
                <w:rFonts w:ascii="Verdana" w:hAnsi="Verdana" w:cs="Times New Roman"/>
                <w:sz w:val="16"/>
                <w:szCs w:val="16"/>
                <w:lang w:val="en-US"/>
              </w:rPr>
              <w:t>Strausser</w:t>
            </w:r>
            <w:proofErr w:type="spellEnd"/>
            <w:r w:rsidRPr="00B746AB">
              <w:rPr>
                <w:rFonts w:ascii="Verdana" w:hAnsi="Verdana" w:cs="Times New Roman"/>
                <w:sz w:val="16"/>
                <w:szCs w:val="16"/>
                <w:lang w:val="en-US"/>
              </w:rPr>
              <w:t>, HS Immune response of rats chronically fed subclinical doses of lead. Exp. Immunol . 1981; 43: 189-94.</w:t>
            </w:r>
          </w:p>
        </w:tc>
      </w:tr>
      <w:tr w:rsidR="00307BA1" w:rsidRPr="006F11F4" w14:paraId="69BD0EA6" w14:textId="43ECD07F" w:rsidTr="00B746AB">
        <w:tc>
          <w:tcPr>
            <w:tcW w:w="4788" w:type="dxa"/>
          </w:tcPr>
          <w:p w14:paraId="7284BFC0" w14:textId="77777777" w:rsidR="00307BA1" w:rsidRPr="006F11F4" w:rsidRDefault="00307BA1" w:rsidP="00307BA1">
            <w:pPr>
              <w:pStyle w:val="Texto"/>
              <w:spacing w:after="90" w:line="218" w:lineRule="exact"/>
              <w:ind w:firstLine="0"/>
              <w:rPr>
                <w:rFonts w:ascii="Verdana" w:hAnsi="Verdana"/>
                <w:sz w:val="16"/>
                <w:szCs w:val="16"/>
                <w:lang w:val="en-US" w:eastAsia="es-MX"/>
              </w:rPr>
            </w:pPr>
            <w:r w:rsidRPr="006F11F4">
              <w:rPr>
                <w:rFonts w:ascii="Verdana" w:hAnsi="Verdana"/>
                <w:b/>
                <w:sz w:val="16"/>
                <w:szCs w:val="16"/>
                <w:lang w:val="es-MX" w:eastAsia="es-MX"/>
              </w:rPr>
              <w:t>8.12</w:t>
            </w:r>
            <w:r w:rsidRPr="006F11F4">
              <w:rPr>
                <w:rFonts w:ascii="Verdana" w:hAnsi="Verdana"/>
                <w:sz w:val="16"/>
                <w:szCs w:val="16"/>
                <w:lang w:val="es-MX" w:eastAsia="es-MX"/>
              </w:rPr>
              <w:t xml:space="preserve"> </w:t>
            </w:r>
            <w:proofErr w:type="spellStart"/>
            <w:r w:rsidRPr="006F11F4">
              <w:rPr>
                <w:rFonts w:ascii="Verdana" w:hAnsi="Verdana"/>
                <w:sz w:val="16"/>
                <w:szCs w:val="16"/>
                <w:lang w:val="es-MX" w:eastAsia="es-MX"/>
              </w:rPr>
              <w:t>Kawamura</w:t>
            </w:r>
            <w:proofErr w:type="spellEnd"/>
            <w:r w:rsidRPr="006F11F4">
              <w:rPr>
                <w:rFonts w:ascii="Verdana" w:hAnsi="Verdana"/>
                <w:sz w:val="16"/>
                <w:szCs w:val="16"/>
                <w:lang w:val="es-MX" w:eastAsia="es-MX"/>
              </w:rPr>
              <w:t xml:space="preserve">, R.; </w:t>
            </w:r>
            <w:proofErr w:type="spellStart"/>
            <w:r w:rsidRPr="006F11F4">
              <w:rPr>
                <w:rFonts w:ascii="Verdana" w:hAnsi="Verdana"/>
                <w:sz w:val="16"/>
                <w:szCs w:val="16"/>
                <w:lang w:val="es-MX" w:eastAsia="es-MX"/>
              </w:rPr>
              <w:t>Shimizu</w:t>
            </w:r>
            <w:proofErr w:type="spellEnd"/>
            <w:r w:rsidRPr="006F11F4">
              <w:rPr>
                <w:rFonts w:ascii="Verdana" w:hAnsi="Verdana"/>
                <w:sz w:val="16"/>
                <w:szCs w:val="16"/>
                <w:lang w:val="es-MX" w:eastAsia="es-MX"/>
              </w:rPr>
              <w:t xml:space="preserve">, F. et al. </w:t>
            </w:r>
            <w:r w:rsidRPr="006F11F4">
              <w:rPr>
                <w:rFonts w:ascii="Verdana" w:hAnsi="Verdana"/>
                <w:sz w:val="16"/>
                <w:szCs w:val="16"/>
                <w:lang w:val="en-US" w:eastAsia="es-MX"/>
              </w:rPr>
              <w:t xml:space="preserve">Effects of single exposure to cadmium on the primary humoral antibody response. Arch. </w:t>
            </w:r>
            <w:proofErr w:type="spellStart"/>
            <w:r w:rsidRPr="006F11F4">
              <w:rPr>
                <w:rFonts w:ascii="Verdana" w:hAnsi="Verdana"/>
                <w:sz w:val="16"/>
                <w:szCs w:val="16"/>
                <w:lang w:val="en-US" w:eastAsia="es-MX"/>
              </w:rPr>
              <w:t>Toxicol</w:t>
            </w:r>
            <w:proofErr w:type="spellEnd"/>
            <w:r w:rsidRPr="006F11F4">
              <w:rPr>
                <w:rFonts w:ascii="Verdana" w:hAnsi="Verdana"/>
                <w:sz w:val="16"/>
                <w:szCs w:val="16"/>
                <w:lang w:val="en-US" w:eastAsia="es-MX"/>
              </w:rPr>
              <w:t>. 1983; 54: 289-96.</w:t>
            </w:r>
          </w:p>
        </w:tc>
        <w:tc>
          <w:tcPr>
            <w:tcW w:w="4788" w:type="dxa"/>
          </w:tcPr>
          <w:p w14:paraId="6F076C94" w14:textId="5BDE05DD" w:rsidR="00307BA1" w:rsidRPr="00B746AB" w:rsidRDefault="00307BA1" w:rsidP="00307BA1">
            <w:pPr>
              <w:pStyle w:val="Texto"/>
              <w:spacing w:after="90" w:line="218"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8.12 </w:t>
            </w:r>
            <w:r w:rsidRPr="00B746AB">
              <w:rPr>
                <w:rFonts w:ascii="Verdana" w:hAnsi="Verdana" w:cs="Times New Roman"/>
                <w:sz w:val="16"/>
                <w:szCs w:val="16"/>
                <w:lang w:val="en-US"/>
              </w:rPr>
              <w:t xml:space="preserve">Kawamura, R.; Shimizu, F. et al. Effects of single exposure to cadmium on the primary humoral antibody response. Arch. </w:t>
            </w:r>
            <w:proofErr w:type="spellStart"/>
            <w:r w:rsidRPr="00B746AB">
              <w:rPr>
                <w:rFonts w:ascii="Verdana" w:hAnsi="Verdana" w:cs="Times New Roman"/>
                <w:sz w:val="16"/>
                <w:szCs w:val="16"/>
                <w:lang w:val="en-US"/>
              </w:rPr>
              <w:t>Toxicol</w:t>
            </w:r>
            <w:proofErr w:type="spellEnd"/>
            <w:r w:rsidRPr="00B746AB">
              <w:rPr>
                <w:rFonts w:ascii="Verdana" w:hAnsi="Verdana" w:cs="Times New Roman"/>
                <w:sz w:val="16"/>
                <w:szCs w:val="16"/>
                <w:lang w:val="en-US"/>
              </w:rPr>
              <w:t xml:space="preserve">. 1983; 54: 289-96. </w:t>
            </w:r>
          </w:p>
        </w:tc>
      </w:tr>
      <w:tr w:rsidR="00307BA1" w:rsidRPr="006F11F4" w14:paraId="2216A8D5" w14:textId="0ADD5ECF" w:rsidTr="00B746AB">
        <w:tc>
          <w:tcPr>
            <w:tcW w:w="4788" w:type="dxa"/>
          </w:tcPr>
          <w:p w14:paraId="14E7F7B5" w14:textId="77777777" w:rsidR="00307BA1" w:rsidRPr="006F11F4" w:rsidRDefault="00307BA1" w:rsidP="00307BA1">
            <w:pPr>
              <w:pStyle w:val="Texto"/>
              <w:spacing w:line="212" w:lineRule="exact"/>
              <w:ind w:firstLine="0"/>
              <w:rPr>
                <w:rFonts w:ascii="Verdana" w:hAnsi="Verdana"/>
                <w:sz w:val="16"/>
                <w:szCs w:val="16"/>
                <w:lang w:val="en-US" w:eastAsia="es-MX"/>
              </w:rPr>
            </w:pPr>
            <w:r w:rsidRPr="006F11F4">
              <w:rPr>
                <w:rFonts w:ascii="Verdana" w:hAnsi="Verdana"/>
                <w:b/>
                <w:sz w:val="16"/>
                <w:szCs w:val="16"/>
                <w:lang w:val="en-US" w:eastAsia="es-MX"/>
              </w:rPr>
              <w:t>8.13</w:t>
            </w:r>
            <w:r w:rsidRPr="006F11F4">
              <w:rPr>
                <w:rFonts w:ascii="Verdana" w:hAnsi="Verdana"/>
                <w:sz w:val="16"/>
                <w:szCs w:val="16"/>
                <w:lang w:val="en-US" w:eastAsia="es-MX"/>
              </w:rPr>
              <w:t xml:space="preserve"> </w:t>
            </w:r>
            <w:proofErr w:type="spellStart"/>
            <w:r w:rsidRPr="006F11F4">
              <w:rPr>
                <w:rFonts w:ascii="Verdana" w:hAnsi="Verdana"/>
                <w:sz w:val="16"/>
                <w:szCs w:val="16"/>
                <w:lang w:val="en-US" w:eastAsia="es-MX"/>
              </w:rPr>
              <w:t>Gasiorek</w:t>
            </w:r>
            <w:proofErr w:type="spellEnd"/>
            <w:r w:rsidRPr="006F11F4">
              <w:rPr>
                <w:rFonts w:ascii="Verdana" w:hAnsi="Verdana"/>
                <w:sz w:val="16"/>
                <w:szCs w:val="16"/>
                <w:lang w:val="en-US" w:eastAsia="es-MX"/>
              </w:rPr>
              <w:t xml:space="preserve">, K.K.; </w:t>
            </w:r>
            <w:proofErr w:type="spellStart"/>
            <w:r w:rsidRPr="006F11F4">
              <w:rPr>
                <w:rFonts w:ascii="Verdana" w:hAnsi="Verdana"/>
                <w:sz w:val="16"/>
                <w:szCs w:val="16"/>
                <w:lang w:val="en-US" w:eastAsia="es-MX"/>
              </w:rPr>
              <w:t>Bauchinger</w:t>
            </w:r>
            <w:proofErr w:type="spellEnd"/>
            <w:r w:rsidRPr="006F11F4">
              <w:rPr>
                <w:rFonts w:ascii="Verdana" w:hAnsi="Verdana"/>
                <w:sz w:val="16"/>
                <w:szCs w:val="16"/>
                <w:lang w:val="en-US" w:eastAsia="es-MX"/>
              </w:rPr>
              <w:t>, M. Chromosome changes in human lymphocytes after separate and combined treatment with divalent salts of lead, cadmium and zinc. Environmental Mutagenesis 1981; 3: 513-18.</w:t>
            </w:r>
          </w:p>
        </w:tc>
        <w:tc>
          <w:tcPr>
            <w:tcW w:w="4788" w:type="dxa"/>
          </w:tcPr>
          <w:p w14:paraId="698AD42F" w14:textId="46C7037F"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8.13 </w:t>
            </w:r>
            <w:proofErr w:type="spellStart"/>
            <w:r w:rsidRPr="00B746AB">
              <w:rPr>
                <w:rFonts w:ascii="Verdana" w:hAnsi="Verdana" w:cs="Times New Roman"/>
                <w:sz w:val="16"/>
                <w:szCs w:val="16"/>
                <w:lang w:val="en-US"/>
              </w:rPr>
              <w:t>Gasiorek</w:t>
            </w:r>
            <w:proofErr w:type="spellEnd"/>
            <w:r w:rsidRPr="00B746AB">
              <w:rPr>
                <w:rFonts w:ascii="Verdana" w:hAnsi="Verdana" w:cs="Times New Roman"/>
                <w:sz w:val="16"/>
                <w:szCs w:val="16"/>
                <w:lang w:val="en-US"/>
              </w:rPr>
              <w:t xml:space="preserve">, KK; </w:t>
            </w:r>
            <w:proofErr w:type="spellStart"/>
            <w:r w:rsidRPr="00B746AB">
              <w:rPr>
                <w:rFonts w:ascii="Verdana" w:hAnsi="Verdana" w:cs="Times New Roman"/>
                <w:sz w:val="16"/>
                <w:szCs w:val="16"/>
                <w:lang w:val="en-US"/>
              </w:rPr>
              <w:t>Bauchinger</w:t>
            </w:r>
            <w:proofErr w:type="spellEnd"/>
            <w:r w:rsidRPr="00B746AB">
              <w:rPr>
                <w:rFonts w:ascii="Verdana" w:hAnsi="Verdana" w:cs="Times New Roman"/>
                <w:sz w:val="16"/>
                <w:szCs w:val="16"/>
                <w:lang w:val="en-US"/>
              </w:rPr>
              <w:t xml:space="preserve">, M. Chromosome changes in human lymphocytes after separate and combined treatment with divalent salts of lead, cadmium and zinc. Environmental Mutagenesis 1981; 3: 513-18. </w:t>
            </w:r>
          </w:p>
        </w:tc>
      </w:tr>
      <w:tr w:rsidR="00307BA1" w:rsidRPr="006F11F4" w14:paraId="71359F61" w14:textId="0DFAF6A1" w:rsidTr="00B746AB">
        <w:tc>
          <w:tcPr>
            <w:tcW w:w="4788" w:type="dxa"/>
          </w:tcPr>
          <w:p w14:paraId="5A57B132" w14:textId="77777777" w:rsidR="00307BA1" w:rsidRPr="006F11F4" w:rsidRDefault="00307BA1" w:rsidP="00307BA1">
            <w:pPr>
              <w:pStyle w:val="Texto"/>
              <w:spacing w:line="212" w:lineRule="exact"/>
              <w:ind w:firstLine="0"/>
              <w:rPr>
                <w:rFonts w:ascii="Verdana" w:hAnsi="Verdana"/>
                <w:sz w:val="16"/>
                <w:szCs w:val="16"/>
                <w:lang w:val="en-US" w:eastAsia="es-MX"/>
              </w:rPr>
            </w:pPr>
            <w:r w:rsidRPr="006F11F4">
              <w:rPr>
                <w:rFonts w:ascii="Verdana" w:hAnsi="Verdana"/>
                <w:b/>
                <w:sz w:val="16"/>
                <w:szCs w:val="16"/>
                <w:lang w:val="en-US" w:eastAsia="es-MX"/>
              </w:rPr>
              <w:t>8.14</w:t>
            </w:r>
            <w:r w:rsidRPr="006F11F4">
              <w:rPr>
                <w:rFonts w:ascii="Verdana" w:hAnsi="Verdana"/>
                <w:sz w:val="16"/>
                <w:szCs w:val="16"/>
                <w:lang w:val="en-US" w:eastAsia="es-MX"/>
              </w:rPr>
              <w:t xml:space="preserve"> Kimber, I.; </w:t>
            </w:r>
            <w:proofErr w:type="spellStart"/>
            <w:r w:rsidRPr="006F11F4">
              <w:rPr>
                <w:rFonts w:ascii="Verdana" w:hAnsi="Verdana"/>
                <w:sz w:val="16"/>
                <w:szCs w:val="16"/>
                <w:lang w:val="en-US" w:eastAsia="es-MX"/>
              </w:rPr>
              <w:t>Stonard</w:t>
            </w:r>
            <w:proofErr w:type="spellEnd"/>
            <w:r w:rsidRPr="006F11F4">
              <w:rPr>
                <w:rFonts w:ascii="Verdana" w:hAnsi="Verdana"/>
                <w:sz w:val="16"/>
                <w:szCs w:val="16"/>
                <w:lang w:val="en-US" w:eastAsia="es-MX"/>
              </w:rPr>
              <w:t xml:space="preserve">, M.D.; </w:t>
            </w:r>
            <w:proofErr w:type="spellStart"/>
            <w:r w:rsidRPr="006F11F4">
              <w:rPr>
                <w:rFonts w:ascii="Verdana" w:hAnsi="Verdana"/>
                <w:sz w:val="16"/>
                <w:szCs w:val="16"/>
                <w:lang w:val="en-US" w:eastAsia="es-MX"/>
              </w:rPr>
              <w:t>Gidlow</w:t>
            </w:r>
            <w:proofErr w:type="spellEnd"/>
            <w:r w:rsidRPr="006F11F4">
              <w:rPr>
                <w:rFonts w:ascii="Verdana" w:hAnsi="Verdana"/>
                <w:sz w:val="16"/>
                <w:szCs w:val="16"/>
                <w:lang w:val="en-US" w:eastAsia="es-MX"/>
              </w:rPr>
              <w:t xml:space="preserve">, D.A. et al. Influence of </w:t>
            </w:r>
            <w:proofErr w:type="spellStart"/>
            <w:r w:rsidRPr="006F11F4">
              <w:rPr>
                <w:rFonts w:ascii="Verdana" w:hAnsi="Verdana"/>
                <w:sz w:val="16"/>
                <w:szCs w:val="16"/>
                <w:lang w:val="en-US" w:eastAsia="es-MX"/>
              </w:rPr>
              <w:t>lew</w:t>
            </w:r>
            <w:proofErr w:type="spellEnd"/>
            <w:r w:rsidRPr="006F11F4">
              <w:rPr>
                <w:rFonts w:ascii="Verdana" w:hAnsi="Verdana"/>
                <w:sz w:val="16"/>
                <w:szCs w:val="16"/>
                <w:lang w:val="en-US" w:eastAsia="es-MX"/>
              </w:rPr>
              <w:t xml:space="preserve">-level exposure to lead on plasma </w:t>
            </w:r>
            <w:proofErr w:type="spellStart"/>
            <w:r w:rsidRPr="006F11F4">
              <w:rPr>
                <w:rFonts w:ascii="Verdana" w:hAnsi="Verdana"/>
                <w:sz w:val="16"/>
                <w:szCs w:val="16"/>
                <w:lang w:val="en-US" w:eastAsia="es-MX"/>
              </w:rPr>
              <w:t>inmunoglobulin</w:t>
            </w:r>
            <w:proofErr w:type="spellEnd"/>
            <w:r w:rsidRPr="006F11F4">
              <w:rPr>
                <w:rFonts w:ascii="Verdana" w:hAnsi="Verdana"/>
                <w:sz w:val="16"/>
                <w:szCs w:val="16"/>
                <w:lang w:val="en-US" w:eastAsia="es-MX"/>
              </w:rPr>
              <w:t xml:space="preserve"> concentration and cellular </w:t>
            </w:r>
            <w:proofErr w:type="spellStart"/>
            <w:r w:rsidRPr="006F11F4">
              <w:rPr>
                <w:rFonts w:ascii="Verdana" w:hAnsi="Verdana"/>
                <w:sz w:val="16"/>
                <w:szCs w:val="16"/>
                <w:lang w:val="en-US" w:eastAsia="es-MX"/>
              </w:rPr>
              <w:t>inmune</w:t>
            </w:r>
            <w:proofErr w:type="spellEnd"/>
            <w:r w:rsidRPr="006F11F4">
              <w:rPr>
                <w:rFonts w:ascii="Verdana" w:hAnsi="Verdana"/>
                <w:sz w:val="16"/>
                <w:szCs w:val="16"/>
                <w:lang w:val="en-US" w:eastAsia="es-MX"/>
              </w:rPr>
              <w:t xml:space="preserve"> functions in man. 1986. Int. Arch. </w:t>
            </w:r>
            <w:proofErr w:type="spellStart"/>
            <w:r w:rsidRPr="006F11F4">
              <w:rPr>
                <w:rFonts w:ascii="Verdana" w:hAnsi="Verdana"/>
                <w:sz w:val="16"/>
                <w:szCs w:val="16"/>
                <w:lang w:val="en-US" w:eastAsia="es-MX"/>
              </w:rPr>
              <w:t>Occup</w:t>
            </w:r>
            <w:proofErr w:type="spellEnd"/>
            <w:r w:rsidRPr="006F11F4">
              <w:rPr>
                <w:rFonts w:ascii="Verdana" w:hAnsi="Verdana"/>
                <w:sz w:val="16"/>
                <w:szCs w:val="16"/>
                <w:lang w:val="en-US" w:eastAsia="es-MX"/>
              </w:rPr>
              <w:t>. Env. Health 1986; 57: 117-25.</w:t>
            </w:r>
          </w:p>
        </w:tc>
        <w:tc>
          <w:tcPr>
            <w:tcW w:w="4788" w:type="dxa"/>
          </w:tcPr>
          <w:p w14:paraId="6FD43303" w14:textId="45EAE381"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8.14 </w:t>
            </w:r>
            <w:r w:rsidRPr="00B746AB">
              <w:rPr>
                <w:rFonts w:ascii="Verdana" w:hAnsi="Verdana" w:cs="Times New Roman"/>
                <w:sz w:val="16"/>
                <w:szCs w:val="16"/>
                <w:lang w:val="en-US"/>
              </w:rPr>
              <w:t xml:space="preserve">Kimber, I.; </w:t>
            </w:r>
            <w:proofErr w:type="spellStart"/>
            <w:r w:rsidRPr="00B746AB">
              <w:rPr>
                <w:rFonts w:ascii="Verdana" w:hAnsi="Verdana" w:cs="Times New Roman"/>
                <w:sz w:val="16"/>
                <w:szCs w:val="16"/>
                <w:lang w:val="en-US"/>
              </w:rPr>
              <w:t>Stonard</w:t>
            </w:r>
            <w:proofErr w:type="spellEnd"/>
            <w:r w:rsidRPr="00B746AB">
              <w:rPr>
                <w:rFonts w:ascii="Verdana" w:hAnsi="Verdana" w:cs="Times New Roman"/>
                <w:sz w:val="16"/>
                <w:szCs w:val="16"/>
                <w:lang w:val="en-US"/>
              </w:rPr>
              <w:t xml:space="preserve">, MD; </w:t>
            </w:r>
            <w:proofErr w:type="spellStart"/>
            <w:r w:rsidRPr="00B746AB">
              <w:rPr>
                <w:rFonts w:ascii="Verdana" w:hAnsi="Verdana" w:cs="Times New Roman"/>
                <w:sz w:val="16"/>
                <w:szCs w:val="16"/>
                <w:lang w:val="en-US"/>
              </w:rPr>
              <w:t>Gidlow</w:t>
            </w:r>
            <w:proofErr w:type="spellEnd"/>
            <w:r w:rsidRPr="00B746AB">
              <w:rPr>
                <w:rFonts w:ascii="Verdana" w:hAnsi="Verdana" w:cs="Times New Roman"/>
                <w:sz w:val="16"/>
                <w:szCs w:val="16"/>
                <w:lang w:val="en-US"/>
              </w:rPr>
              <w:t>, DA et al. Influence of l</w:t>
            </w:r>
            <w:r w:rsidR="00B746AB">
              <w:rPr>
                <w:rFonts w:ascii="Verdana" w:hAnsi="Verdana" w:cs="Times New Roman"/>
                <w:sz w:val="16"/>
                <w:szCs w:val="16"/>
                <w:lang w:val="en-US"/>
              </w:rPr>
              <w:t>o</w:t>
            </w:r>
            <w:r w:rsidRPr="00B746AB">
              <w:rPr>
                <w:rFonts w:ascii="Verdana" w:hAnsi="Verdana" w:cs="Times New Roman"/>
                <w:sz w:val="16"/>
                <w:szCs w:val="16"/>
                <w:lang w:val="en-US"/>
              </w:rPr>
              <w:t xml:space="preserve">w -level exposure to lead on plasma immunoglobulin concentration and cellular immune functions in man. 1986. Int. Arch. </w:t>
            </w:r>
            <w:proofErr w:type="spellStart"/>
            <w:r w:rsidRPr="00B746AB">
              <w:rPr>
                <w:rFonts w:ascii="Verdana" w:hAnsi="Verdana" w:cs="Times New Roman"/>
                <w:sz w:val="16"/>
                <w:szCs w:val="16"/>
                <w:lang w:val="en-US"/>
              </w:rPr>
              <w:t>Occup</w:t>
            </w:r>
            <w:proofErr w:type="spellEnd"/>
            <w:r w:rsidRPr="00B746AB">
              <w:rPr>
                <w:rFonts w:ascii="Verdana" w:hAnsi="Verdana" w:cs="Times New Roman"/>
                <w:sz w:val="16"/>
                <w:szCs w:val="16"/>
                <w:lang w:val="en-US"/>
              </w:rPr>
              <w:t>. Env. Health 1986; 57: 117-25.</w:t>
            </w:r>
          </w:p>
        </w:tc>
      </w:tr>
      <w:tr w:rsidR="00307BA1" w:rsidRPr="006F11F4" w14:paraId="25E2D1F0" w14:textId="3AB5E098" w:rsidTr="00B746AB">
        <w:tc>
          <w:tcPr>
            <w:tcW w:w="4788" w:type="dxa"/>
          </w:tcPr>
          <w:p w14:paraId="313052BC" w14:textId="77777777" w:rsidR="00307BA1" w:rsidRPr="006F11F4" w:rsidRDefault="00307BA1" w:rsidP="00307BA1">
            <w:pPr>
              <w:pStyle w:val="Texto"/>
              <w:spacing w:line="212" w:lineRule="exact"/>
              <w:ind w:firstLine="0"/>
              <w:rPr>
                <w:rFonts w:ascii="Verdana" w:hAnsi="Verdana"/>
                <w:sz w:val="16"/>
                <w:szCs w:val="16"/>
                <w:lang w:eastAsia="es-MX"/>
              </w:rPr>
            </w:pPr>
            <w:r w:rsidRPr="006F11F4">
              <w:rPr>
                <w:rFonts w:ascii="Verdana" w:hAnsi="Verdana"/>
                <w:b/>
                <w:sz w:val="16"/>
                <w:szCs w:val="16"/>
                <w:lang w:val="en-US" w:eastAsia="es-MX"/>
              </w:rPr>
              <w:t>8.15</w:t>
            </w:r>
            <w:r w:rsidRPr="006F11F4">
              <w:rPr>
                <w:rFonts w:ascii="Verdana" w:hAnsi="Verdana"/>
                <w:sz w:val="16"/>
                <w:szCs w:val="16"/>
                <w:lang w:val="en-US" w:eastAsia="es-MX"/>
              </w:rPr>
              <w:t xml:space="preserve"> Koller, D.L. Some </w:t>
            </w:r>
            <w:proofErr w:type="spellStart"/>
            <w:r w:rsidRPr="006F11F4">
              <w:rPr>
                <w:rFonts w:ascii="Verdana" w:hAnsi="Verdana"/>
                <w:sz w:val="16"/>
                <w:szCs w:val="16"/>
                <w:lang w:val="en-US" w:eastAsia="es-MX"/>
              </w:rPr>
              <w:t>inmunologic</w:t>
            </w:r>
            <w:proofErr w:type="spellEnd"/>
            <w:r w:rsidRPr="006F11F4">
              <w:rPr>
                <w:rFonts w:ascii="Verdana" w:hAnsi="Verdana"/>
                <w:sz w:val="16"/>
                <w:szCs w:val="16"/>
                <w:lang w:val="en-US" w:eastAsia="es-MX"/>
              </w:rPr>
              <w:t xml:space="preserve"> effects of lead, cadmium and methylmercury. </w:t>
            </w:r>
            <w:proofErr w:type="spellStart"/>
            <w:r w:rsidRPr="006F11F4">
              <w:rPr>
                <w:rFonts w:ascii="Verdana" w:hAnsi="Verdana"/>
                <w:sz w:val="16"/>
                <w:szCs w:val="16"/>
                <w:lang w:eastAsia="es-MX"/>
              </w:rPr>
              <w:t>Toxicol</w:t>
            </w:r>
            <w:proofErr w:type="spellEnd"/>
            <w:r w:rsidRPr="006F11F4">
              <w:rPr>
                <w:rFonts w:ascii="Verdana" w:hAnsi="Verdana"/>
                <w:sz w:val="16"/>
                <w:szCs w:val="16"/>
                <w:lang w:eastAsia="es-MX"/>
              </w:rPr>
              <w:t xml:space="preserve"> 1979; 2: 99-110.</w:t>
            </w:r>
          </w:p>
        </w:tc>
        <w:tc>
          <w:tcPr>
            <w:tcW w:w="4788" w:type="dxa"/>
          </w:tcPr>
          <w:p w14:paraId="6E75ED46" w14:textId="13956BF7"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8.15 </w:t>
            </w:r>
            <w:r w:rsidRPr="00B746AB">
              <w:rPr>
                <w:rFonts w:ascii="Verdana" w:hAnsi="Verdana" w:cs="Times New Roman"/>
                <w:sz w:val="16"/>
                <w:szCs w:val="16"/>
                <w:lang w:val="en-US"/>
              </w:rPr>
              <w:t xml:space="preserve">Koller, DL Some immunologic effects of lead, cadmium and methylmercury. </w:t>
            </w:r>
            <w:proofErr w:type="spellStart"/>
            <w:r w:rsidRPr="00B746AB">
              <w:rPr>
                <w:rFonts w:ascii="Verdana" w:hAnsi="Verdana" w:cs="Times New Roman"/>
                <w:sz w:val="16"/>
                <w:szCs w:val="16"/>
                <w:lang w:val="en-US"/>
              </w:rPr>
              <w:t>Toxicol</w:t>
            </w:r>
            <w:proofErr w:type="spellEnd"/>
            <w:r w:rsidRPr="00B746AB">
              <w:rPr>
                <w:rFonts w:ascii="Verdana" w:hAnsi="Verdana" w:cs="Times New Roman"/>
                <w:sz w:val="16"/>
                <w:szCs w:val="16"/>
                <w:lang w:val="en-US"/>
              </w:rPr>
              <w:t xml:space="preserve"> 1979; 2: 99-110.</w:t>
            </w:r>
          </w:p>
        </w:tc>
      </w:tr>
      <w:tr w:rsidR="00307BA1" w:rsidRPr="00307BA1" w14:paraId="584ABCBB" w14:textId="3D1C9043" w:rsidTr="00B746AB">
        <w:tc>
          <w:tcPr>
            <w:tcW w:w="4788" w:type="dxa"/>
          </w:tcPr>
          <w:p w14:paraId="099C9D49" w14:textId="77777777" w:rsidR="00307BA1" w:rsidRPr="006F11F4" w:rsidRDefault="00307BA1" w:rsidP="00307BA1">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8.16</w:t>
            </w:r>
            <w:r w:rsidRPr="006F11F4">
              <w:rPr>
                <w:rFonts w:ascii="Verdana" w:hAnsi="Verdana"/>
                <w:sz w:val="16"/>
                <w:szCs w:val="16"/>
                <w:lang w:eastAsia="es-MX"/>
              </w:rPr>
              <w:t xml:space="preserve"> NMX-Z-013-SCFI-2015. Guía para la estructuración y redacción de Normas (Cancela a la NMX-Z-013/1-1977).</w:t>
            </w:r>
          </w:p>
        </w:tc>
        <w:tc>
          <w:tcPr>
            <w:tcW w:w="4788" w:type="dxa"/>
          </w:tcPr>
          <w:p w14:paraId="0BD741AB" w14:textId="665B8C77"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8.16 </w:t>
            </w:r>
            <w:r w:rsidRPr="00B746AB">
              <w:rPr>
                <w:rFonts w:ascii="Verdana" w:hAnsi="Verdana" w:cs="Times New Roman"/>
                <w:sz w:val="16"/>
                <w:szCs w:val="16"/>
                <w:lang w:val="en-US"/>
              </w:rPr>
              <w:t>NMX-Z-013-SCFI-2015. Guide for the structuring and drafting of Standards (Cancels the NMX-Z-013 / 1-1977).</w:t>
            </w:r>
          </w:p>
        </w:tc>
      </w:tr>
      <w:tr w:rsidR="00307BA1" w:rsidRPr="006F11F4" w14:paraId="4D328121" w14:textId="5BFF031A" w:rsidTr="00B746AB">
        <w:tc>
          <w:tcPr>
            <w:tcW w:w="4788" w:type="dxa"/>
          </w:tcPr>
          <w:p w14:paraId="46372926" w14:textId="77777777" w:rsidR="00307BA1" w:rsidRPr="006F11F4" w:rsidRDefault="00307BA1" w:rsidP="00307BA1">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9. Observancia de la Norma</w:t>
            </w:r>
          </w:p>
        </w:tc>
        <w:tc>
          <w:tcPr>
            <w:tcW w:w="4788" w:type="dxa"/>
          </w:tcPr>
          <w:p w14:paraId="6126EF4F" w14:textId="612891BD"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9. Compliance with the Standard</w:t>
            </w:r>
          </w:p>
        </w:tc>
      </w:tr>
      <w:tr w:rsidR="00307BA1" w:rsidRPr="00307BA1" w14:paraId="3836CF5F" w14:textId="2DB794FF" w:rsidTr="00B746AB">
        <w:tc>
          <w:tcPr>
            <w:tcW w:w="4788" w:type="dxa"/>
          </w:tcPr>
          <w:p w14:paraId="25909F2A" w14:textId="77777777" w:rsidR="00307BA1" w:rsidRPr="006F11F4" w:rsidRDefault="00307BA1" w:rsidP="00307BA1">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9.1</w:t>
            </w:r>
            <w:r w:rsidRPr="006F11F4">
              <w:rPr>
                <w:rFonts w:ascii="Verdana" w:hAnsi="Verdana"/>
                <w:sz w:val="16"/>
                <w:szCs w:val="16"/>
                <w:lang w:eastAsia="es-MX"/>
              </w:rPr>
              <w:t xml:space="preserve"> La vigilancia del cumplimiento de la presente Norma, corresponde a la Secretaría de Salud a través de la Comisión Federal para la Protección contra Riesgos Sanitarios, a los gobiernos de las entidades federativas, en el ámbito de sus respectivas competencias.</w:t>
            </w:r>
          </w:p>
        </w:tc>
        <w:tc>
          <w:tcPr>
            <w:tcW w:w="4788" w:type="dxa"/>
          </w:tcPr>
          <w:p w14:paraId="76DBD8AB" w14:textId="38C2E5C4"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9.1 </w:t>
            </w:r>
            <w:r w:rsidRPr="00B746AB">
              <w:rPr>
                <w:rFonts w:ascii="Verdana" w:hAnsi="Verdana" w:cs="Times New Roman"/>
                <w:sz w:val="16"/>
                <w:szCs w:val="16"/>
                <w:lang w:val="en-US"/>
              </w:rPr>
              <w:t>The monitoring of compliance with this Standard corresponds to the Secretary of Health through the Federal Commission for Protection against Sanitary Risks, to the governments of the states, within the scope of their respective competencies.</w:t>
            </w:r>
          </w:p>
        </w:tc>
      </w:tr>
      <w:tr w:rsidR="00307BA1" w:rsidRPr="006F11F4" w14:paraId="032DBD97" w14:textId="6B1416BF" w:rsidTr="00B746AB">
        <w:tc>
          <w:tcPr>
            <w:tcW w:w="4788" w:type="dxa"/>
          </w:tcPr>
          <w:p w14:paraId="29BE436F" w14:textId="77777777" w:rsidR="00307BA1" w:rsidRPr="006F11F4" w:rsidRDefault="00307BA1" w:rsidP="00307BA1">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10. Vigencia</w:t>
            </w:r>
          </w:p>
        </w:tc>
        <w:tc>
          <w:tcPr>
            <w:tcW w:w="4788" w:type="dxa"/>
          </w:tcPr>
          <w:p w14:paraId="7CB99CB0" w14:textId="003ED848"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10. Validity</w:t>
            </w:r>
          </w:p>
        </w:tc>
      </w:tr>
      <w:tr w:rsidR="00307BA1" w:rsidRPr="00307BA1" w14:paraId="78D43A57" w14:textId="77BCFD27" w:rsidTr="00B746AB">
        <w:tc>
          <w:tcPr>
            <w:tcW w:w="4788" w:type="dxa"/>
          </w:tcPr>
          <w:p w14:paraId="0CCEE92E" w14:textId="77777777" w:rsidR="00307BA1" w:rsidRPr="006F11F4" w:rsidRDefault="00307BA1" w:rsidP="00307BA1">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10.1</w:t>
            </w:r>
            <w:r w:rsidRPr="006F11F4">
              <w:rPr>
                <w:rFonts w:ascii="Verdana" w:hAnsi="Verdana"/>
                <w:sz w:val="16"/>
                <w:szCs w:val="16"/>
                <w:lang w:eastAsia="es-MX"/>
              </w:rPr>
              <w:t xml:space="preserve"> La presente Norma entrará en vigor a los 60 días siguientes al de su publicación en el Diario Oficial de la Federación.</w:t>
            </w:r>
          </w:p>
        </w:tc>
        <w:tc>
          <w:tcPr>
            <w:tcW w:w="4788" w:type="dxa"/>
          </w:tcPr>
          <w:p w14:paraId="2848ACB1" w14:textId="2D753203"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10.1 </w:t>
            </w:r>
            <w:r w:rsidRPr="00B746AB">
              <w:rPr>
                <w:rFonts w:ascii="Verdana" w:hAnsi="Verdana" w:cs="Times New Roman"/>
                <w:sz w:val="16"/>
                <w:szCs w:val="16"/>
                <w:lang w:val="en-US"/>
              </w:rPr>
              <w:t>This Standard will enter into force 60 days after its publication in the Official Daily of the Federation.</w:t>
            </w:r>
          </w:p>
        </w:tc>
      </w:tr>
      <w:tr w:rsidR="00307BA1" w:rsidRPr="006F11F4" w14:paraId="21736C14" w14:textId="0715CEF5" w:rsidTr="00B746AB">
        <w:tc>
          <w:tcPr>
            <w:tcW w:w="4788" w:type="dxa"/>
          </w:tcPr>
          <w:p w14:paraId="00CF0806" w14:textId="77777777" w:rsidR="00307BA1" w:rsidRPr="006F11F4" w:rsidRDefault="00307BA1" w:rsidP="00307BA1">
            <w:pPr>
              <w:pStyle w:val="ANOTACION"/>
              <w:spacing w:line="212" w:lineRule="exact"/>
              <w:rPr>
                <w:rFonts w:ascii="Verdana" w:hAnsi="Verdana"/>
                <w:sz w:val="16"/>
                <w:szCs w:val="16"/>
                <w:lang w:eastAsia="es-MX"/>
              </w:rPr>
            </w:pPr>
            <w:r w:rsidRPr="006F11F4">
              <w:rPr>
                <w:rFonts w:ascii="Verdana" w:hAnsi="Verdana"/>
                <w:sz w:val="16"/>
                <w:szCs w:val="16"/>
                <w:lang w:eastAsia="es-MX"/>
              </w:rPr>
              <w:t>TRANSITORIO</w:t>
            </w:r>
          </w:p>
        </w:tc>
        <w:tc>
          <w:tcPr>
            <w:tcW w:w="4788" w:type="dxa"/>
          </w:tcPr>
          <w:p w14:paraId="6AB13982" w14:textId="24D2C346" w:rsidR="00307BA1" w:rsidRPr="00B746AB" w:rsidRDefault="00B746AB" w:rsidP="00307BA1">
            <w:pPr>
              <w:pStyle w:val="ANOTACION"/>
              <w:spacing w:line="212" w:lineRule="exact"/>
              <w:rPr>
                <w:rFonts w:ascii="Verdana" w:hAnsi="Verdana"/>
                <w:sz w:val="16"/>
                <w:szCs w:val="16"/>
                <w:lang w:val="en-US" w:eastAsia="es-MX"/>
              </w:rPr>
            </w:pPr>
            <w:r>
              <w:rPr>
                <w:rFonts w:ascii="Verdana" w:hAnsi="Verdana"/>
                <w:sz w:val="16"/>
                <w:szCs w:val="16"/>
                <w:lang w:val="en-US"/>
              </w:rPr>
              <w:t>TRANSITIONAL ARTICLE</w:t>
            </w:r>
          </w:p>
        </w:tc>
      </w:tr>
      <w:tr w:rsidR="00307BA1" w:rsidRPr="00307BA1" w14:paraId="555F4CC5" w14:textId="2BF82C62" w:rsidTr="00B746AB">
        <w:tc>
          <w:tcPr>
            <w:tcW w:w="4788" w:type="dxa"/>
          </w:tcPr>
          <w:p w14:paraId="640600F3" w14:textId="77777777" w:rsidR="00307BA1" w:rsidRPr="006F11F4" w:rsidRDefault="00307BA1" w:rsidP="00307BA1">
            <w:pPr>
              <w:pStyle w:val="Texto"/>
              <w:spacing w:line="212" w:lineRule="exact"/>
              <w:ind w:firstLine="0"/>
              <w:rPr>
                <w:rFonts w:ascii="Verdana" w:hAnsi="Verdana"/>
                <w:sz w:val="16"/>
                <w:szCs w:val="16"/>
                <w:lang w:eastAsia="es-MX"/>
              </w:rPr>
            </w:pPr>
            <w:r w:rsidRPr="006F11F4">
              <w:rPr>
                <w:rFonts w:ascii="Verdana" w:hAnsi="Verdana"/>
                <w:b/>
                <w:sz w:val="16"/>
                <w:szCs w:val="16"/>
                <w:lang w:eastAsia="es-MX"/>
              </w:rPr>
              <w:t xml:space="preserve">UNICO. </w:t>
            </w:r>
            <w:r w:rsidRPr="006F11F4">
              <w:rPr>
                <w:rFonts w:ascii="Verdana" w:hAnsi="Verdana"/>
                <w:sz w:val="16"/>
                <w:szCs w:val="16"/>
                <w:lang w:eastAsia="es-MX"/>
              </w:rPr>
              <w:t xml:space="preserve">La entrada en vigor de la presente Norma deja sin efectos a la Norma Oficial Mexicana NOM-231-SSA1-2002, Artículos de alfarería vidriada, cerámica vidriada y porcelana. Límites de plomo y cadmio solubles. </w:t>
            </w:r>
            <w:r w:rsidRPr="006F11F4">
              <w:rPr>
                <w:rFonts w:ascii="Verdana" w:hAnsi="Verdana"/>
                <w:sz w:val="16"/>
                <w:szCs w:val="16"/>
                <w:lang w:eastAsia="es-MX"/>
              </w:rPr>
              <w:lastRenderedPageBreak/>
              <w:t>Método de ensayo, publicada en el Diario Oficial de la Federación el 2 de marzo de 2007.</w:t>
            </w:r>
          </w:p>
        </w:tc>
        <w:tc>
          <w:tcPr>
            <w:tcW w:w="4788" w:type="dxa"/>
          </w:tcPr>
          <w:p w14:paraId="6ACB849D" w14:textId="6C5E0417" w:rsidR="00307BA1" w:rsidRPr="00B746AB" w:rsidRDefault="00307BA1" w:rsidP="00307BA1">
            <w:pPr>
              <w:pStyle w:val="Texto"/>
              <w:spacing w:line="212" w:lineRule="exact"/>
              <w:ind w:firstLine="0"/>
              <w:rPr>
                <w:rFonts w:ascii="Verdana" w:hAnsi="Verdana"/>
                <w:b/>
                <w:sz w:val="16"/>
                <w:szCs w:val="16"/>
                <w:lang w:val="en-US" w:eastAsia="es-MX"/>
              </w:rPr>
            </w:pPr>
            <w:r w:rsidRPr="00B746AB">
              <w:rPr>
                <w:rFonts w:ascii="Verdana" w:hAnsi="Verdana" w:cs="Times New Roman"/>
                <w:b/>
                <w:bCs/>
                <w:sz w:val="16"/>
                <w:szCs w:val="16"/>
                <w:lang w:val="en-US"/>
              </w:rPr>
              <w:lastRenderedPageBreak/>
              <w:t xml:space="preserve">ONLY. </w:t>
            </w:r>
            <w:r w:rsidRPr="00B746AB">
              <w:rPr>
                <w:rFonts w:ascii="Verdana" w:hAnsi="Verdana" w:cs="Times New Roman"/>
                <w:sz w:val="16"/>
                <w:szCs w:val="16"/>
                <w:lang w:val="en-US"/>
              </w:rPr>
              <w:t xml:space="preserve">The entry into force of this Standard renders the Official Mexican Standard NOM-231-SSA1-2002, Articles of glazed pottery, glazed ceramics and porcelain without effect. Limits of soluble lead and cadmium. Test </w:t>
            </w:r>
            <w:r w:rsidRPr="00B746AB">
              <w:rPr>
                <w:rFonts w:ascii="Verdana" w:hAnsi="Verdana" w:cs="Times New Roman"/>
                <w:sz w:val="16"/>
                <w:szCs w:val="16"/>
                <w:lang w:val="en-US"/>
              </w:rPr>
              <w:lastRenderedPageBreak/>
              <w:t>method, published in the Official Daily of the Federation on March 2, 2007.</w:t>
            </w:r>
          </w:p>
        </w:tc>
      </w:tr>
      <w:tr w:rsidR="00307BA1" w:rsidRPr="006F11F4" w14:paraId="5C1364BC" w14:textId="1CAB7326" w:rsidTr="00B746AB">
        <w:tc>
          <w:tcPr>
            <w:tcW w:w="4788" w:type="dxa"/>
          </w:tcPr>
          <w:p w14:paraId="441105AC" w14:textId="77777777" w:rsidR="00307BA1" w:rsidRPr="006F11F4" w:rsidRDefault="00307BA1" w:rsidP="00307BA1">
            <w:pPr>
              <w:pStyle w:val="Texto"/>
              <w:ind w:firstLine="0"/>
              <w:rPr>
                <w:rFonts w:ascii="Verdana" w:hAnsi="Verdana"/>
                <w:sz w:val="16"/>
                <w:szCs w:val="16"/>
                <w:lang w:eastAsia="es-MX"/>
              </w:rPr>
            </w:pPr>
            <w:r w:rsidRPr="006F11F4">
              <w:rPr>
                <w:rFonts w:ascii="Verdana" w:hAnsi="Verdana"/>
                <w:sz w:val="16"/>
                <w:szCs w:val="16"/>
                <w:lang w:eastAsia="es-MX"/>
              </w:rPr>
              <w:lastRenderedPageBreak/>
              <w:t xml:space="preserve">Dado en la Ciudad de México, a los 20 días de junio de 2016.- El Comisionado Federal para la Protección contra Riesgos Sanitarios y Presidente del Comité Consultivo Nacional de Normalización de Regulación y Fomento Sanitario, </w:t>
            </w:r>
            <w:r w:rsidRPr="006F11F4">
              <w:rPr>
                <w:rFonts w:ascii="Verdana" w:hAnsi="Verdana"/>
                <w:b/>
                <w:sz w:val="16"/>
                <w:szCs w:val="16"/>
                <w:lang w:val="pt-BR" w:eastAsia="es-MX"/>
              </w:rPr>
              <w:t>Julio Salvador Sánchez y Tépoz</w:t>
            </w:r>
            <w:r w:rsidRPr="006F11F4">
              <w:rPr>
                <w:rFonts w:ascii="Verdana" w:hAnsi="Verdana"/>
                <w:sz w:val="16"/>
                <w:szCs w:val="16"/>
                <w:lang w:val="pt-BR" w:eastAsia="es-MX"/>
              </w:rPr>
              <w:t>.- Rúbrica.</w:t>
            </w:r>
          </w:p>
        </w:tc>
        <w:tc>
          <w:tcPr>
            <w:tcW w:w="4788" w:type="dxa"/>
          </w:tcPr>
          <w:p w14:paraId="786D32DF" w14:textId="7A83DD9B" w:rsidR="00307BA1" w:rsidRPr="00B746AB" w:rsidRDefault="00B746AB" w:rsidP="00307BA1">
            <w:pPr>
              <w:pStyle w:val="Texto"/>
              <w:ind w:firstLine="0"/>
              <w:rPr>
                <w:rFonts w:ascii="Verdana" w:hAnsi="Verdana"/>
                <w:sz w:val="16"/>
                <w:szCs w:val="16"/>
                <w:lang w:val="en-US" w:eastAsia="es-MX"/>
              </w:rPr>
            </w:pPr>
            <w:r>
              <w:rPr>
                <w:rFonts w:ascii="Verdana" w:hAnsi="Verdana" w:cs="Times New Roman"/>
                <w:sz w:val="16"/>
                <w:szCs w:val="16"/>
                <w:lang w:val="en-US"/>
              </w:rPr>
              <w:t>Issued</w:t>
            </w:r>
            <w:r w:rsidR="00307BA1" w:rsidRPr="00B746AB">
              <w:rPr>
                <w:rFonts w:ascii="Verdana" w:hAnsi="Verdana" w:cs="Times New Roman"/>
                <w:sz w:val="16"/>
                <w:szCs w:val="16"/>
                <w:lang w:val="en-US"/>
              </w:rPr>
              <w:t xml:space="preserve"> in Mexico City, on June 20, 2016.- The Federal Commissioner for Protection against Sanitary Risks and President of the National Consultative Committee for Sanitary Regulation and Promotion, </w:t>
            </w:r>
            <w:r w:rsidR="00307BA1" w:rsidRPr="00B746AB">
              <w:rPr>
                <w:rFonts w:ascii="Verdana" w:hAnsi="Verdana" w:cs="Times New Roman"/>
                <w:b/>
                <w:bCs/>
                <w:sz w:val="16"/>
                <w:szCs w:val="16"/>
                <w:lang w:val="en-US"/>
              </w:rPr>
              <w:t xml:space="preserve">Julio Salvador Sánchez y </w:t>
            </w:r>
            <w:proofErr w:type="spellStart"/>
            <w:r w:rsidR="00307BA1" w:rsidRPr="00B746AB">
              <w:rPr>
                <w:rFonts w:ascii="Verdana" w:hAnsi="Verdana" w:cs="Times New Roman"/>
                <w:b/>
                <w:bCs/>
                <w:sz w:val="16"/>
                <w:szCs w:val="16"/>
                <w:lang w:val="en-US"/>
              </w:rPr>
              <w:t>Tépoz</w:t>
            </w:r>
            <w:proofErr w:type="spellEnd"/>
            <w:r w:rsidR="00307BA1" w:rsidRPr="00B746AB">
              <w:rPr>
                <w:rFonts w:ascii="Verdana" w:hAnsi="Verdana" w:cs="Times New Roman"/>
                <w:b/>
                <w:bCs/>
                <w:sz w:val="16"/>
                <w:szCs w:val="16"/>
                <w:lang w:val="en-US"/>
              </w:rPr>
              <w:t xml:space="preserve">.- </w:t>
            </w:r>
            <w:r w:rsidR="00307BA1" w:rsidRPr="00B746AB">
              <w:rPr>
                <w:rFonts w:ascii="Verdana" w:hAnsi="Verdana" w:cs="Times New Roman"/>
                <w:sz w:val="16"/>
                <w:szCs w:val="16"/>
                <w:lang w:val="en-US"/>
              </w:rPr>
              <w:t>Sign</w:t>
            </w:r>
            <w:r>
              <w:rPr>
                <w:rFonts w:ascii="Verdana" w:hAnsi="Verdana" w:cs="Times New Roman"/>
                <w:sz w:val="16"/>
                <w:szCs w:val="16"/>
                <w:lang w:val="en-US"/>
              </w:rPr>
              <w:t>ed</w:t>
            </w:r>
            <w:r w:rsidR="00307BA1" w:rsidRPr="00B746AB">
              <w:rPr>
                <w:rFonts w:ascii="Verdana" w:hAnsi="Verdana" w:cs="Times New Roman"/>
                <w:sz w:val="16"/>
                <w:szCs w:val="16"/>
                <w:lang w:val="en-US"/>
              </w:rPr>
              <w:t>.</w:t>
            </w:r>
          </w:p>
        </w:tc>
      </w:tr>
      <w:tr w:rsidR="00307BA1" w:rsidRPr="006F11F4" w14:paraId="497A5069" w14:textId="10458C73" w:rsidTr="00B746AB">
        <w:tc>
          <w:tcPr>
            <w:tcW w:w="4788" w:type="dxa"/>
          </w:tcPr>
          <w:p w14:paraId="6F0C648C" w14:textId="77777777" w:rsidR="00307BA1" w:rsidRPr="006F11F4" w:rsidRDefault="00307BA1" w:rsidP="00307BA1">
            <w:pPr>
              <w:pStyle w:val="Texto"/>
              <w:spacing w:after="40" w:line="240" w:lineRule="auto"/>
              <w:ind w:firstLine="0"/>
              <w:jc w:val="center"/>
              <w:rPr>
                <w:rFonts w:ascii="Verdana" w:hAnsi="Verdana"/>
                <w:b/>
                <w:sz w:val="16"/>
                <w:szCs w:val="16"/>
                <w:lang w:eastAsia="es-MX"/>
              </w:rPr>
            </w:pPr>
            <w:r w:rsidRPr="006F11F4">
              <w:rPr>
                <w:rFonts w:ascii="Verdana" w:hAnsi="Verdana"/>
                <w:b/>
                <w:sz w:val="16"/>
                <w:szCs w:val="16"/>
                <w:lang w:eastAsia="es-MX"/>
              </w:rPr>
              <w:t>Apéndice A</w:t>
            </w:r>
          </w:p>
        </w:tc>
        <w:tc>
          <w:tcPr>
            <w:tcW w:w="4788" w:type="dxa"/>
          </w:tcPr>
          <w:p w14:paraId="5729DFEF" w14:textId="0604F9FB" w:rsidR="00307BA1" w:rsidRPr="00B746AB" w:rsidRDefault="00307BA1" w:rsidP="00307BA1">
            <w:pPr>
              <w:pStyle w:val="Texto"/>
              <w:spacing w:after="40" w:line="240" w:lineRule="auto"/>
              <w:ind w:firstLine="0"/>
              <w:jc w:val="center"/>
              <w:rPr>
                <w:rFonts w:ascii="Verdana" w:hAnsi="Verdana"/>
                <w:b/>
                <w:sz w:val="16"/>
                <w:szCs w:val="16"/>
                <w:lang w:val="en-US" w:eastAsia="es-MX"/>
              </w:rPr>
            </w:pPr>
            <w:r w:rsidRPr="00B746AB">
              <w:rPr>
                <w:rFonts w:ascii="Verdana" w:hAnsi="Verdana" w:cs="Times New Roman"/>
                <w:b/>
                <w:bCs/>
                <w:sz w:val="16"/>
                <w:szCs w:val="16"/>
                <w:lang w:val="en-US"/>
              </w:rPr>
              <w:t>Appendix a</w:t>
            </w:r>
          </w:p>
        </w:tc>
      </w:tr>
      <w:tr w:rsidR="00307BA1" w:rsidRPr="006F11F4" w14:paraId="6121C256" w14:textId="7C80AA96" w:rsidTr="00B746AB">
        <w:tc>
          <w:tcPr>
            <w:tcW w:w="4788" w:type="dxa"/>
          </w:tcPr>
          <w:p w14:paraId="746BA83B" w14:textId="77777777" w:rsidR="00307BA1" w:rsidRPr="006F11F4" w:rsidRDefault="00307BA1" w:rsidP="00307BA1">
            <w:pPr>
              <w:pStyle w:val="Texto"/>
              <w:spacing w:after="40" w:line="240" w:lineRule="auto"/>
              <w:ind w:firstLine="0"/>
              <w:jc w:val="center"/>
              <w:rPr>
                <w:rFonts w:ascii="Verdana" w:hAnsi="Verdana"/>
                <w:sz w:val="16"/>
                <w:szCs w:val="16"/>
                <w:lang w:eastAsia="es-MX"/>
              </w:rPr>
            </w:pPr>
            <w:r w:rsidRPr="006F11F4">
              <w:rPr>
                <w:rFonts w:ascii="Verdana" w:hAnsi="Verdana"/>
                <w:sz w:val="16"/>
                <w:szCs w:val="16"/>
                <w:lang w:eastAsia="es-MX"/>
              </w:rPr>
              <w:t>(Normativo)</w:t>
            </w:r>
          </w:p>
        </w:tc>
        <w:tc>
          <w:tcPr>
            <w:tcW w:w="4788" w:type="dxa"/>
          </w:tcPr>
          <w:p w14:paraId="6F1D49BB" w14:textId="534DB952" w:rsidR="00307BA1" w:rsidRPr="00B746AB" w:rsidRDefault="00307BA1" w:rsidP="00307BA1">
            <w:pPr>
              <w:pStyle w:val="Texto"/>
              <w:spacing w:after="40" w:line="240" w:lineRule="auto"/>
              <w:ind w:firstLine="0"/>
              <w:jc w:val="center"/>
              <w:rPr>
                <w:rFonts w:ascii="Verdana" w:hAnsi="Verdana"/>
                <w:sz w:val="16"/>
                <w:szCs w:val="16"/>
                <w:lang w:val="en-US" w:eastAsia="es-MX"/>
              </w:rPr>
            </w:pPr>
            <w:r w:rsidRPr="00B746AB">
              <w:rPr>
                <w:rFonts w:ascii="Verdana" w:hAnsi="Verdana" w:cs="Times New Roman"/>
                <w:sz w:val="16"/>
                <w:szCs w:val="16"/>
                <w:lang w:val="en-US"/>
              </w:rPr>
              <w:t>(</w:t>
            </w:r>
            <w:r w:rsidR="00B746AB">
              <w:rPr>
                <w:rFonts w:ascii="Verdana" w:hAnsi="Verdana" w:cs="Times New Roman"/>
                <w:sz w:val="16"/>
                <w:szCs w:val="16"/>
                <w:lang w:val="en-US"/>
              </w:rPr>
              <w:t>Obligatory</w:t>
            </w:r>
            <w:r w:rsidRPr="00B746AB">
              <w:rPr>
                <w:rFonts w:ascii="Verdana" w:hAnsi="Verdana" w:cs="Times New Roman"/>
                <w:sz w:val="16"/>
                <w:szCs w:val="16"/>
                <w:lang w:val="en-US"/>
              </w:rPr>
              <w:t>)</w:t>
            </w:r>
          </w:p>
        </w:tc>
      </w:tr>
      <w:tr w:rsidR="00307BA1" w:rsidRPr="00307BA1" w14:paraId="3799BF9B" w14:textId="51A273E8" w:rsidTr="00B746AB">
        <w:tc>
          <w:tcPr>
            <w:tcW w:w="4788" w:type="dxa"/>
          </w:tcPr>
          <w:p w14:paraId="67295473"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Método de ensayo para la determinación de Pb y Cd solubles en artículos de alfarería vidriada, cerámica vidriada, porcelana y artículos de vidrio.</w:t>
            </w:r>
          </w:p>
        </w:tc>
        <w:tc>
          <w:tcPr>
            <w:tcW w:w="4788" w:type="dxa"/>
          </w:tcPr>
          <w:p w14:paraId="6045778D" w14:textId="1EA8517C"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Test method for the determination of soluble Pb and Cd in glazed pottery, glazed ceramic, porcelain and glassware.</w:t>
            </w:r>
          </w:p>
        </w:tc>
      </w:tr>
      <w:tr w:rsidR="00307BA1" w:rsidRPr="00307BA1" w14:paraId="7C2D867E" w14:textId="6408481E" w:rsidTr="00B746AB">
        <w:tc>
          <w:tcPr>
            <w:tcW w:w="4788" w:type="dxa"/>
          </w:tcPr>
          <w:p w14:paraId="20587281"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El método de ensayo para la determinación de Pb y Cd solubles, es el que se describe a continuación, sin excluir otro método alternativo que cumpla con las especificaciones de esta Norma y que esté autorizado por la Secretaría.</w:t>
            </w:r>
          </w:p>
        </w:tc>
        <w:tc>
          <w:tcPr>
            <w:tcW w:w="4788" w:type="dxa"/>
          </w:tcPr>
          <w:p w14:paraId="2CC39651" w14:textId="1CDE0370"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The test method for the determination of soluble Pb and Cd is the one described below, without excluding another alternative method that meets the specifications of this Standard and that is authorized by the Secretary.</w:t>
            </w:r>
          </w:p>
        </w:tc>
      </w:tr>
      <w:tr w:rsidR="00307BA1" w:rsidRPr="006F11F4" w14:paraId="44D3D2D9" w14:textId="666A7F16" w:rsidTr="00B746AB">
        <w:tc>
          <w:tcPr>
            <w:tcW w:w="4788" w:type="dxa"/>
          </w:tcPr>
          <w:p w14:paraId="798D827C"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A.1.</w:t>
            </w:r>
            <w:r w:rsidRPr="006F11F4">
              <w:rPr>
                <w:rFonts w:ascii="Verdana" w:hAnsi="Verdana"/>
                <w:sz w:val="16"/>
                <w:szCs w:val="16"/>
                <w:lang w:eastAsia="es-MX"/>
              </w:rPr>
              <w:t xml:space="preserve"> </w:t>
            </w:r>
            <w:r w:rsidRPr="006F11F4">
              <w:rPr>
                <w:rFonts w:ascii="Verdana" w:hAnsi="Verdana"/>
                <w:b/>
                <w:sz w:val="16"/>
                <w:szCs w:val="16"/>
                <w:lang w:eastAsia="es-MX"/>
              </w:rPr>
              <w:t>Principio</w:t>
            </w:r>
          </w:p>
        </w:tc>
        <w:tc>
          <w:tcPr>
            <w:tcW w:w="4788" w:type="dxa"/>
          </w:tcPr>
          <w:p w14:paraId="1E9A4AC8" w14:textId="6383B4EA"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A.1. Beginning</w:t>
            </w:r>
            <w:r w:rsidRPr="00B746AB">
              <w:rPr>
                <w:rFonts w:ascii="Verdana" w:hAnsi="Verdana" w:cs="Times New Roman"/>
                <w:sz w:val="16"/>
                <w:szCs w:val="16"/>
                <w:lang w:val="en-US"/>
              </w:rPr>
              <w:t xml:space="preserve"> </w:t>
            </w:r>
          </w:p>
        </w:tc>
      </w:tr>
      <w:tr w:rsidR="00307BA1" w:rsidRPr="00307BA1" w14:paraId="4E1B40BF" w14:textId="2033A1B1" w:rsidTr="00B746AB">
        <w:tc>
          <w:tcPr>
            <w:tcW w:w="4788" w:type="dxa"/>
          </w:tcPr>
          <w:p w14:paraId="0D4C95CB"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Se simulan condiciones de uso extremo, cuyos resultados conferirán un amplio margen de seguridad en el empleo de artículos de alfarería vidriada, cerámica vidriada, porcelana y vidrio.</w:t>
            </w:r>
          </w:p>
        </w:tc>
        <w:tc>
          <w:tcPr>
            <w:tcW w:w="4788" w:type="dxa"/>
          </w:tcPr>
          <w:p w14:paraId="77CEBE44" w14:textId="4EC05271"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Extreme use conditions are simulated, the results of which will confer a wide margin of safety in the use of glazed pottery, glazed ceramic, porcelain and glass items.</w:t>
            </w:r>
          </w:p>
        </w:tc>
      </w:tr>
      <w:tr w:rsidR="00307BA1" w:rsidRPr="00307BA1" w14:paraId="5317F3DD" w14:textId="51663508" w:rsidTr="00B746AB">
        <w:tc>
          <w:tcPr>
            <w:tcW w:w="4788" w:type="dxa"/>
          </w:tcPr>
          <w:p w14:paraId="068FBB7A"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El Pb y el Cd son extraídos por lixiviación con ácido acético al 4%, se cuantifican por espectrofotometría de absorción atómica por flama o con horno de grafito o por Plasma Inductivamente Acoplado (por sus siglas en inglés ICP) o cualquier otro equipo que tenga la sensibilidad para alcanzar las concentraciones de trabajo establecidas en las tablas 1 y 2, citadas en el punto 5.1, de esta Norma.</w:t>
            </w:r>
          </w:p>
        </w:tc>
        <w:tc>
          <w:tcPr>
            <w:tcW w:w="4788" w:type="dxa"/>
          </w:tcPr>
          <w:p w14:paraId="590D5756" w14:textId="4327A64C"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Pb and Cd are extracted by leaching with 4% acetic acid, quantified by flame or graphite furnace atomic absorption spectrophotometry or by Inductively Coupled Plasma (ICP) or any other equipment that has the sensitivity to reach the working concentrations established in tables 1 and 2, cited in point 5.1 of this Standard.</w:t>
            </w:r>
          </w:p>
        </w:tc>
      </w:tr>
      <w:tr w:rsidR="00307BA1" w:rsidRPr="00307BA1" w14:paraId="05708FD2" w14:textId="6FDC5981" w:rsidTr="00B746AB">
        <w:tc>
          <w:tcPr>
            <w:tcW w:w="4788" w:type="dxa"/>
          </w:tcPr>
          <w:p w14:paraId="58F33622"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A.2 Símbolo y términos abreviados</w:t>
            </w:r>
          </w:p>
        </w:tc>
        <w:tc>
          <w:tcPr>
            <w:tcW w:w="4788" w:type="dxa"/>
          </w:tcPr>
          <w:p w14:paraId="73628CD7" w14:textId="63238501"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A.2 Symbol and abbreviated terms</w:t>
            </w:r>
          </w:p>
        </w:tc>
      </w:tr>
      <w:tr w:rsidR="00307BA1" w:rsidRPr="00307BA1" w14:paraId="17D8DEE5" w14:textId="26C2125D" w:rsidTr="00B746AB">
        <w:tc>
          <w:tcPr>
            <w:tcW w:w="4788" w:type="dxa"/>
          </w:tcPr>
          <w:p w14:paraId="4A4A1A1E"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Cuando en esta Norma se haga referencia a los siguientes símbolos y abreviaturas se entiende por:</w:t>
            </w:r>
          </w:p>
        </w:tc>
        <w:tc>
          <w:tcPr>
            <w:tcW w:w="4788" w:type="dxa"/>
          </w:tcPr>
          <w:p w14:paraId="7E472FCE" w14:textId="64B25792"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When this Standard refers to the following symbols and abbreviations, it is understood by:</w:t>
            </w:r>
          </w:p>
        </w:tc>
      </w:tr>
      <w:tr w:rsidR="00307BA1" w:rsidRPr="006F11F4" w14:paraId="70B988DB" w14:textId="0C01F09E" w:rsidTr="00B746AB">
        <w:tc>
          <w:tcPr>
            <w:tcW w:w="4788" w:type="dxa"/>
          </w:tcPr>
          <w:p w14:paraId="75EBC38A"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Cd</w:t>
            </w:r>
            <w:r w:rsidRPr="006F11F4">
              <w:rPr>
                <w:rFonts w:ascii="Verdana" w:hAnsi="Verdana"/>
                <w:sz w:val="16"/>
                <w:szCs w:val="16"/>
                <w:lang w:eastAsia="es-MX"/>
              </w:rPr>
              <w:tab/>
              <w:t>cadmio.</w:t>
            </w:r>
          </w:p>
        </w:tc>
        <w:tc>
          <w:tcPr>
            <w:tcW w:w="4788" w:type="dxa"/>
          </w:tcPr>
          <w:p w14:paraId="41789DC3" w14:textId="28D65E92"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Cadmium cd .              </w:t>
            </w:r>
          </w:p>
        </w:tc>
      </w:tr>
      <w:tr w:rsidR="00307BA1" w:rsidRPr="006F11F4" w14:paraId="370BEC13" w14:textId="4B491CCD" w:rsidTr="00B746AB">
        <w:tc>
          <w:tcPr>
            <w:tcW w:w="4788" w:type="dxa"/>
          </w:tcPr>
          <w:p w14:paraId="18C41FFD"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cm</w:t>
            </w:r>
            <w:r w:rsidRPr="006F11F4">
              <w:rPr>
                <w:rFonts w:ascii="Verdana" w:hAnsi="Verdana"/>
                <w:sz w:val="16"/>
                <w:szCs w:val="16"/>
                <w:lang w:eastAsia="es-MX"/>
              </w:rPr>
              <w:tab/>
              <w:t>centímetro</w:t>
            </w:r>
          </w:p>
        </w:tc>
        <w:tc>
          <w:tcPr>
            <w:tcW w:w="4788" w:type="dxa"/>
          </w:tcPr>
          <w:p w14:paraId="4EE2D1F1" w14:textId="42F6DB69"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cm centimeter              </w:t>
            </w:r>
          </w:p>
        </w:tc>
      </w:tr>
      <w:tr w:rsidR="00307BA1" w:rsidRPr="006F11F4" w14:paraId="5E96588C" w14:textId="6E9CF2D9" w:rsidTr="00B746AB">
        <w:tc>
          <w:tcPr>
            <w:tcW w:w="4788" w:type="dxa"/>
          </w:tcPr>
          <w:p w14:paraId="5F6C7376"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d</w:t>
            </w:r>
            <w:r w:rsidRPr="006F11F4">
              <w:rPr>
                <w:rFonts w:ascii="Verdana" w:hAnsi="Verdana"/>
                <w:sz w:val="16"/>
                <w:szCs w:val="16"/>
                <w:lang w:eastAsia="es-MX"/>
              </w:rPr>
              <w:tab/>
              <w:t>densidad</w:t>
            </w:r>
          </w:p>
        </w:tc>
        <w:tc>
          <w:tcPr>
            <w:tcW w:w="4788" w:type="dxa"/>
          </w:tcPr>
          <w:p w14:paraId="161D690B" w14:textId="134C12DB"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d density              </w:t>
            </w:r>
          </w:p>
        </w:tc>
      </w:tr>
      <w:tr w:rsidR="00307BA1" w:rsidRPr="006F11F4" w14:paraId="68319215" w14:textId="0153885E" w:rsidTr="00B746AB">
        <w:tc>
          <w:tcPr>
            <w:tcW w:w="4788" w:type="dxa"/>
          </w:tcPr>
          <w:p w14:paraId="48CFD52A"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°C</w:t>
            </w:r>
            <w:r w:rsidRPr="006F11F4">
              <w:rPr>
                <w:rFonts w:ascii="Verdana" w:hAnsi="Verdana"/>
                <w:sz w:val="16"/>
                <w:szCs w:val="16"/>
                <w:lang w:eastAsia="es-MX"/>
              </w:rPr>
              <w:tab/>
              <w:t>grado Celsius</w:t>
            </w:r>
          </w:p>
        </w:tc>
        <w:tc>
          <w:tcPr>
            <w:tcW w:w="4788" w:type="dxa"/>
          </w:tcPr>
          <w:p w14:paraId="7CA3288E" w14:textId="67CB72DA"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°C degree Celsius              </w:t>
            </w:r>
          </w:p>
        </w:tc>
      </w:tr>
      <w:tr w:rsidR="00307BA1" w:rsidRPr="00307BA1" w14:paraId="2A607A03" w14:textId="1A57C873" w:rsidTr="00B746AB">
        <w:tc>
          <w:tcPr>
            <w:tcW w:w="4788" w:type="dxa"/>
          </w:tcPr>
          <w:p w14:paraId="50BE2A10"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g/</w:t>
            </w:r>
            <w:proofErr w:type="spellStart"/>
            <w:r w:rsidRPr="006F11F4">
              <w:rPr>
                <w:rFonts w:ascii="Verdana" w:hAnsi="Verdana"/>
                <w:sz w:val="16"/>
                <w:szCs w:val="16"/>
                <w:lang w:eastAsia="es-MX"/>
              </w:rPr>
              <w:t>mL</w:t>
            </w:r>
            <w:proofErr w:type="spellEnd"/>
            <w:r w:rsidRPr="006F11F4">
              <w:rPr>
                <w:rFonts w:ascii="Verdana" w:hAnsi="Verdana"/>
                <w:sz w:val="16"/>
                <w:szCs w:val="16"/>
                <w:lang w:eastAsia="es-MX"/>
              </w:rPr>
              <w:t>, g/ml</w:t>
            </w:r>
            <w:r w:rsidRPr="006F11F4">
              <w:rPr>
                <w:rFonts w:ascii="Verdana" w:hAnsi="Verdana"/>
                <w:sz w:val="16"/>
                <w:szCs w:val="16"/>
                <w:lang w:eastAsia="es-MX"/>
              </w:rPr>
              <w:tab/>
              <w:t>gramo por mililitro</w:t>
            </w:r>
          </w:p>
        </w:tc>
        <w:tc>
          <w:tcPr>
            <w:tcW w:w="4788" w:type="dxa"/>
          </w:tcPr>
          <w:p w14:paraId="34B1A258" w14:textId="67660F7A"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g/mL, g/ml gram per milliliter              </w:t>
            </w:r>
          </w:p>
        </w:tc>
      </w:tr>
      <w:tr w:rsidR="00307BA1" w:rsidRPr="006F11F4" w14:paraId="69DD7325" w14:textId="1DADD726" w:rsidTr="00B746AB">
        <w:tc>
          <w:tcPr>
            <w:tcW w:w="4788" w:type="dxa"/>
          </w:tcPr>
          <w:p w14:paraId="52358288"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h</w:t>
            </w:r>
            <w:r w:rsidRPr="006F11F4">
              <w:rPr>
                <w:rFonts w:ascii="Verdana" w:hAnsi="Verdana"/>
                <w:sz w:val="16"/>
                <w:szCs w:val="16"/>
                <w:lang w:eastAsia="es-MX"/>
              </w:rPr>
              <w:tab/>
              <w:t>hora</w:t>
            </w:r>
          </w:p>
        </w:tc>
        <w:tc>
          <w:tcPr>
            <w:tcW w:w="4788" w:type="dxa"/>
          </w:tcPr>
          <w:p w14:paraId="312383BA" w14:textId="611F0373"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h hour              </w:t>
            </w:r>
          </w:p>
        </w:tc>
      </w:tr>
      <w:tr w:rsidR="00307BA1" w:rsidRPr="006F11F4" w14:paraId="19928967" w14:textId="3A8155E1" w:rsidTr="00B746AB">
        <w:tc>
          <w:tcPr>
            <w:tcW w:w="4788" w:type="dxa"/>
          </w:tcPr>
          <w:p w14:paraId="6F97472D"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L, l</w:t>
            </w:r>
            <w:r w:rsidRPr="006F11F4">
              <w:rPr>
                <w:rFonts w:ascii="Verdana" w:hAnsi="Verdana"/>
                <w:sz w:val="16"/>
                <w:szCs w:val="16"/>
                <w:lang w:eastAsia="es-MX"/>
              </w:rPr>
              <w:tab/>
              <w:t>litro</w:t>
            </w:r>
          </w:p>
        </w:tc>
        <w:tc>
          <w:tcPr>
            <w:tcW w:w="4788" w:type="dxa"/>
          </w:tcPr>
          <w:p w14:paraId="0EC87461" w14:textId="7DD44D48"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L, l liter              </w:t>
            </w:r>
          </w:p>
        </w:tc>
      </w:tr>
      <w:tr w:rsidR="00307BA1" w:rsidRPr="00307BA1" w14:paraId="1E18B1AC" w14:textId="3B256656" w:rsidTr="00B746AB">
        <w:tc>
          <w:tcPr>
            <w:tcW w:w="4788" w:type="dxa"/>
          </w:tcPr>
          <w:p w14:paraId="25ADF83B"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mg/L, mg/l</w:t>
            </w:r>
            <w:r w:rsidRPr="006F11F4">
              <w:rPr>
                <w:rFonts w:ascii="Verdana" w:hAnsi="Verdana"/>
                <w:sz w:val="16"/>
                <w:szCs w:val="16"/>
                <w:lang w:eastAsia="es-MX"/>
              </w:rPr>
              <w:tab/>
              <w:t>miligramo por litro.</w:t>
            </w:r>
          </w:p>
        </w:tc>
        <w:tc>
          <w:tcPr>
            <w:tcW w:w="4788" w:type="dxa"/>
          </w:tcPr>
          <w:p w14:paraId="24D3B474" w14:textId="6DA33EFA"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mg/L, mg</w:t>
            </w:r>
            <w:r w:rsidR="00B746AB">
              <w:rPr>
                <w:rFonts w:ascii="Verdana" w:hAnsi="Verdana" w:cs="Times New Roman"/>
                <w:sz w:val="16"/>
                <w:szCs w:val="16"/>
                <w:lang w:val="en-US"/>
              </w:rPr>
              <w:t>/</w:t>
            </w:r>
            <w:r w:rsidRPr="00B746AB">
              <w:rPr>
                <w:rFonts w:ascii="Verdana" w:hAnsi="Verdana" w:cs="Times New Roman"/>
                <w:sz w:val="16"/>
                <w:szCs w:val="16"/>
                <w:lang w:val="en-US"/>
              </w:rPr>
              <w:t xml:space="preserve">l milligram per liter.              </w:t>
            </w:r>
          </w:p>
        </w:tc>
      </w:tr>
      <w:tr w:rsidR="00307BA1" w:rsidRPr="006F11F4" w14:paraId="1C78F747" w14:textId="68BE9D5B" w:rsidTr="00B746AB">
        <w:tc>
          <w:tcPr>
            <w:tcW w:w="4788" w:type="dxa"/>
          </w:tcPr>
          <w:p w14:paraId="3464DCD7" w14:textId="77777777" w:rsidR="00307BA1" w:rsidRPr="006F11F4" w:rsidRDefault="00307BA1" w:rsidP="00307BA1">
            <w:pPr>
              <w:pStyle w:val="Texto"/>
              <w:spacing w:after="40" w:line="219" w:lineRule="exact"/>
              <w:ind w:firstLine="0"/>
              <w:rPr>
                <w:rFonts w:ascii="Verdana" w:hAnsi="Verdana"/>
                <w:sz w:val="16"/>
                <w:szCs w:val="16"/>
                <w:lang w:eastAsia="es-MX"/>
              </w:rPr>
            </w:pPr>
            <w:proofErr w:type="spellStart"/>
            <w:r w:rsidRPr="006F11F4">
              <w:rPr>
                <w:rFonts w:ascii="Verdana" w:hAnsi="Verdana"/>
                <w:sz w:val="16"/>
                <w:szCs w:val="16"/>
                <w:lang w:eastAsia="es-MX"/>
              </w:rPr>
              <w:t>mL</w:t>
            </w:r>
            <w:proofErr w:type="spellEnd"/>
            <w:r w:rsidRPr="006F11F4">
              <w:rPr>
                <w:rFonts w:ascii="Verdana" w:hAnsi="Verdana"/>
                <w:sz w:val="16"/>
                <w:szCs w:val="16"/>
                <w:lang w:eastAsia="es-MX"/>
              </w:rPr>
              <w:t>, ml</w:t>
            </w:r>
            <w:r w:rsidRPr="006F11F4">
              <w:rPr>
                <w:rFonts w:ascii="Verdana" w:hAnsi="Verdana"/>
                <w:sz w:val="16"/>
                <w:szCs w:val="16"/>
                <w:lang w:eastAsia="es-MX"/>
              </w:rPr>
              <w:tab/>
              <w:t>mililitro</w:t>
            </w:r>
          </w:p>
        </w:tc>
        <w:tc>
          <w:tcPr>
            <w:tcW w:w="4788" w:type="dxa"/>
          </w:tcPr>
          <w:p w14:paraId="73A79661" w14:textId="2AB3F814"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mL, ml milliliter              </w:t>
            </w:r>
          </w:p>
        </w:tc>
      </w:tr>
      <w:tr w:rsidR="00307BA1" w:rsidRPr="006F11F4" w14:paraId="5F62C99C" w14:textId="7F40FDC5" w:rsidTr="00B746AB">
        <w:tc>
          <w:tcPr>
            <w:tcW w:w="4788" w:type="dxa"/>
          </w:tcPr>
          <w:p w14:paraId="67B32A18"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mm</w:t>
            </w:r>
            <w:r w:rsidRPr="006F11F4">
              <w:rPr>
                <w:rFonts w:ascii="Verdana" w:hAnsi="Verdana"/>
                <w:sz w:val="16"/>
                <w:szCs w:val="16"/>
                <w:lang w:eastAsia="es-MX"/>
              </w:rPr>
              <w:tab/>
              <w:t>milímetro</w:t>
            </w:r>
          </w:p>
        </w:tc>
        <w:tc>
          <w:tcPr>
            <w:tcW w:w="4788" w:type="dxa"/>
          </w:tcPr>
          <w:p w14:paraId="7B547C8D" w14:textId="5A65E2D5"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mm millimeter              </w:t>
            </w:r>
          </w:p>
        </w:tc>
      </w:tr>
      <w:tr w:rsidR="00307BA1" w:rsidRPr="006F11F4" w14:paraId="269D1F6E" w14:textId="733B3584" w:rsidTr="00B746AB">
        <w:tc>
          <w:tcPr>
            <w:tcW w:w="4788" w:type="dxa"/>
          </w:tcPr>
          <w:p w14:paraId="6BDD5F47"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nm</w:t>
            </w:r>
            <w:r w:rsidRPr="006F11F4">
              <w:rPr>
                <w:rFonts w:ascii="Verdana" w:hAnsi="Verdana"/>
                <w:sz w:val="16"/>
                <w:szCs w:val="16"/>
                <w:lang w:eastAsia="es-MX"/>
              </w:rPr>
              <w:tab/>
              <w:t>nanómetro</w:t>
            </w:r>
          </w:p>
        </w:tc>
        <w:tc>
          <w:tcPr>
            <w:tcW w:w="4788" w:type="dxa"/>
          </w:tcPr>
          <w:p w14:paraId="4180F261" w14:textId="11BBEE82"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nm nanometer              </w:t>
            </w:r>
          </w:p>
        </w:tc>
      </w:tr>
      <w:tr w:rsidR="00307BA1" w:rsidRPr="006F11F4" w14:paraId="3E8166E0" w14:textId="0ADF3C99" w:rsidTr="00B746AB">
        <w:tc>
          <w:tcPr>
            <w:tcW w:w="4788" w:type="dxa"/>
          </w:tcPr>
          <w:p w14:paraId="74CB8384"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Pb</w:t>
            </w:r>
            <w:r w:rsidRPr="006F11F4">
              <w:rPr>
                <w:rFonts w:ascii="Verdana" w:hAnsi="Verdana"/>
                <w:sz w:val="16"/>
                <w:szCs w:val="16"/>
                <w:lang w:eastAsia="es-MX"/>
              </w:rPr>
              <w:tab/>
              <w:t>plomo</w:t>
            </w:r>
          </w:p>
        </w:tc>
        <w:tc>
          <w:tcPr>
            <w:tcW w:w="4788" w:type="dxa"/>
          </w:tcPr>
          <w:p w14:paraId="31246664" w14:textId="71B99EA1"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Pb lead              </w:t>
            </w:r>
          </w:p>
        </w:tc>
      </w:tr>
      <w:tr w:rsidR="00307BA1" w:rsidRPr="006F11F4" w14:paraId="11DB25C3" w14:textId="5C78D5A1" w:rsidTr="00B746AB">
        <w:tc>
          <w:tcPr>
            <w:tcW w:w="4788" w:type="dxa"/>
          </w:tcPr>
          <w:p w14:paraId="05546609"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PVC</w:t>
            </w:r>
            <w:r w:rsidRPr="006F11F4">
              <w:rPr>
                <w:rFonts w:ascii="Verdana" w:hAnsi="Verdana"/>
                <w:sz w:val="16"/>
                <w:szCs w:val="16"/>
                <w:lang w:eastAsia="es-MX"/>
              </w:rPr>
              <w:tab/>
              <w:t>policloruro de vinilo</w:t>
            </w:r>
          </w:p>
        </w:tc>
        <w:tc>
          <w:tcPr>
            <w:tcW w:w="4788" w:type="dxa"/>
          </w:tcPr>
          <w:p w14:paraId="22A87062" w14:textId="79078989"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PVC polyvinyl chloride              </w:t>
            </w:r>
          </w:p>
        </w:tc>
      </w:tr>
      <w:tr w:rsidR="00307BA1" w:rsidRPr="006F11F4" w14:paraId="1F8B5DC5" w14:textId="32EC32D9" w:rsidTr="00B746AB">
        <w:tc>
          <w:tcPr>
            <w:tcW w:w="4788" w:type="dxa"/>
          </w:tcPr>
          <w:p w14:paraId="1F44700D"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w:t>
            </w:r>
            <w:r w:rsidRPr="006F11F4">
              <w:rPr>
                <w:rFonts w:ascii="Verdana" w:hAnsi="Verdana"/>
                <w:sz w:val="16"/>
                <w:szCs w:val="16"/>
                <w:lang w:eastAsia="es-MX"/>
              </w:rPr>
              <w:tab/>
              <w:t>más menos</w:t>
            </w:r>
          </w:p>
        </w:tc>
        <w:tc>
          <w:tcPr>
            <w:tcW w:w="4788" w:type="dxa"/>
          </w:tcPr>
          <w:p w14:paraId="2A67811B" w14:textId="31E9993A"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plus</w:t>
            </w:r>
            <w:r w:rsidR="00B746AB">
              <w:rPr>
                <w:rFonts w:ascii="Verdana" w:hAnsi="Verdana" w:cs="Times New Roman"/>
                <w:sz w:val="16"/>
                <w:szCs w:val="16"/>
                <w:lang w:val="en-US"/>
              </w:rPr>
              <w:t xml:space="preserve"> or</w:t>
            </w:r>
            <w:r w:rsidRPr="00B746AB">
              <w:rPr>
                <w:rFonts w:ascii="Verdana" w:hAnsi="Verdana" w:cs="Times New Roman"/>
                <w:sz w:val="16"/>
                <w:szCs w:val="16"/>
                <w:lang w:val="en-US"/>
              </w:rPr>
              <w:t xml:space="preserve"> minus              </w:t>
            </w:r>
          </w:p>
        </w:tc>
      </w:tr>
      <w:tr w:rsidR="00307BA1" w:rsidRPr="006F11F4" w14:paraId="49B3A8E0" w14:textId="5FD0AD37" w:rsidTr="00B746AB">
        <w:tc>
          <w:tcPr>
            <w:tcW w:w="4788" w:type="dxa"/>
          </w:tcPr>
          <w:p w14:paraId="40990723"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w:t>
            </w:r>
            <w:r w:rsidRPr="006F11F4">
              <w:rPr>
                <w:rFonts w:ascii="Verdana" w:hAnsi="Verdana"/>
                <w:sz w:val="16"/>
                <w:szCs w:val="16"/>
                <w:lang w:eastAsia="es-MX"/>
              </w:rPr>
              <w:tab/>
              <w:t>por ciento, porcentaje</w:t>
            </w:r>
          </w:p>
        </w:tc>
        <w:tc>
          <w:tcPr>
            <w:tcW w:w="4788" w:type="dxa"/>
          </w:tcPr>
          <w:p w14:paraId="639210F6" w14:textId="3CB392A3"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 xml:space="preserve">% percent, percent              </w:t>
            </w:r>
          </w:p>
        </w:tc>
      </w:tr>
      <w:tr w:rsidR="00307BA1" w:rsidRPr="006F11F4" w14:paraId="36192B9B" w14:textId="75A1A27A" w:rsidTr="00B746AB">
        <w:tc>
          <w:tcPr>
            <w:tcW w:w="4788" w:type="dxa"/>
          </w:tcPr>
          <w:p w14:paraId="0C626714"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A.3</w:t>
            </w:r>
            <w:r w:rsidRPr="006F11F4">
              <w:rPr>
                <w:rFonts w:ascii="Verdana" w:hAnsi="Verdana"/>
                <w:sz w:val="16"/>
                <w:szCs w:val="16"/>
                <w:lang w:eastAsia="es-MX"/>
              </w:rPr>
              <w:t xml:space="preserve"> </w:t>
            </w:r>
            <w:r w:rsidRPr="006F11F4">
              <w:rPr>
                <w:rFonts w:ascii="Verdana" w:hAnsi="Verdana"/>
                <w:b/>
                <w:sz w:val="16"/>
                <w:szCs w:val="16"/>
                <w:lang w:eastAsia="es-MX"/>
              </w:rPr>
              <w:t>Reactivos</w:t>
            </w:r>
          </w:p>
        </w:tc>
        <w:tc>
          <w:tcPr>
            <w:tcW w:w="4788" w:type="dxa"/>
          </w:tcPr>
          <w:p w14:paraId="54E31EDA" w14:textId="500D5686"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A.3 Reagents</w:t>
            </w:r>
            <w:r w:rsidRPr="00B746AB">
              <w:rPr>
                <w:rFonts w:ascii="Verdana" w:hAnsi="Verdana" w:cs="Times New Roman"/>
                <w:sz w:val="16"/>
                <w:szCs w:val="16"/>
                <w:lang w:val="en-US"/>
              </w:rPr>
              <w:t xml:space="preserve"> </w:t>
            </w:r>
          </w:p>
        </w:tc>
      </w:tr>
      <w:tr w:rsidR="00307BA1" w:rsidRPr="00307BA1" w14:paraId="7226B2D3" w14:textId="282366D7" w:rsidTr="00B746AB">
        <w:tc>
          <w:tcPr>
            <w:tcW w:w="4788" w:type="dxa"/>
          </w:tcPr>
          <w:p w14:paraId="7EAA9BC4" w14:textId="77777777" w:rsidR="00307BA1" w:rsidRPr="006F11F4" w:rsidRDefault="00307BA1" w:rsidP="00307BA1">
            <w:pPr>
              <w:pStyle w:val="Texto"/>
              <w:spacing w:after="40" w:line="219" w:lineRule="exact"/>
              <w:ind w:firstLine="0"/>
              <w:rPr>
                <w:rFonts w:ascii="Verdana" w:hAnsi="Verdana"/>
                <w:strike/>
                <w:sz w:val="16"/>
                <w:szCs w:val="16"/>
                <w:lang w:eastAsia="es-MX"/>
              </w:rPr>
            </w:pPr>
            <w:r w:rsidRPr="006F11F4">
              <w:rPr>
                <w:rFonts w:ascii="Verdana" w:hAnsi="Verdana"/>
                <w:sz w:val="16"/>
                <w:szCs w:val="16"/>
                <w:lang w:eastAsia="es-MX"/>
              </w:rPr>
              <w:t>Usar solamente reactivos de grado analítico reconocido, a menos que se especifique lo contrario.</w:t>
            </w:r>
          </w:p>
        </w:tc>
        <w:tc>
          <w:tcPr>
            <w:tcW w:w="4788" w:type="dxa"/>
          </w:tcPr>
          <w:p w14:paraId="712D112E" w14:textId="2ABD2E52"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Use only reagents of recognized analytical grade, unless otherwise specified.</w:t>
            </w:r>
          </w:p>
        </w:tc>
      </w:tr>
      <w:tr w:rsidR="00307BA1" w:rsidRPr="00B746AB" w14:paraId="16CE6BE6" w14:textId="68F91210" w:rsidTr="00B746AB">
        <w:tc>
          <w:tcPr>
            <w:tcW w:w="4788" w:type="dxa"/>
          </w:tcPr>
          <w:p w14:paraId="51A735F9"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A.3.1</w:t>
            </w:r>
            <w:r w:rsidRPr="006F11F4">
              <w:rPr>
                <w:rFonts w:ascii="Verdana" w:hAnsi="Verdana"/>
                <w:sz w:val="16"/>
                <w:szCs w:val="16"/>
                <w:lang w:eastAsia="es-MX"/>
              </w:rPr>
              <w:t xml:space="preserve"> ácido acético glacial d = 1.05 g/</w:t>
            </w:r>
            <w:proofErr w:type="spellStart"/>
            <w:r w:rsidRPr="006F11F4">
              <w:rPr>
                <w:rFonts w:ascii="Verdana" w:hAnsi="Verdana"/>
                <w:sz w:val="16"/>
                <w:szCs w:val="16"/>
                <w:lang w:eastAsia="es-MX"/>
              </w:rPr>
              <w:t>mL</w:t>
            </w:r>
            <w:proofErr w:type="spellEnd"/>
            <w:r w:rsidRPr="006F11F4">
              <w:rPr>
                <w:rFonts w:ascii="Verdana" w:hAnsi="Verdana"/>
                <w:sz w:val="16"/>
                <w:szCs w:val="16"/>
                <w:lang w:eastAsia="es-MX"/>
              </w:rPr>
              <w:t>.</w:t>
            </w:r>
          </w:p>
        </w:tc>
        <w:tc>
          <w:tcPr>
            <w:tcW w:w="4788" w:type="dxa"/>
          </w:tcPr>
          <w:p w14:paraId="3636CF7F" w14:textId="5E26568B"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A.3.1 </w:t>
            </w:r>
            <w:r w:rsidRPr="00B746AB">
              <w:rPr>
                <w:rFonts w:ascii="Verdana" w:hAnsi="Verdana" w:cs="Times New Roman"/>
                <w:sz w:val="16"/>
                <w:szCs w:val="16"/>
                <w:lang w:val="en-US"/>
              </w:rPr>
              <w:t>glacial acetic acid d = 1.05 g/</w:t>
            </w:r>
            <w:proofErr w:type="spellStart"/>
            <w:r w:rsidRPr="00B746AB">
              <w:rPr>
                <w:rFonts w:ascii="Verdana" w:hAnsi="Verdana" w:cs="Times New Roman"/>
                <w:sz w:val="16"/>
                <w:szCs w:val="16"/>
                <w:lang w:val="en-US"/>
              </w:rPr>
              <w:t>mL.</w:t>
            </w:r>
            <w:proofErr w:type="spellEnd"/>
          </w:p>
        </w:tc>
      </w:tr>
      <w:tr w:rsidR="00307BA1" w:rsidRPr="00307BA1" w14:paraId="1F0536AC" w14:textId="6FC31340" w:rsidTr="00B746AB">
        <w:tc>
          <w:tcPr>
            <w:tcW w:w="4788" w:type="dxa"/>
          </w:tcPr>
          <w:p w14:paraId="080E1340"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A.3.2</w:t>
            </w:r>
            <w:r w:rsidRPr="006F11F4">
              <w:rPr>
                <w:rFonts w:ascii="Verdana" w:hAnsi="Verdana"/>
                <w:sz w:val="16"/>
                <w:szCs w:val="16"/>
                <w:lang w:eastAsia="es-MX"/>
              </w:rPr>
              <w:t xml:space="preserve"> Acetileno grado absorción atómica.</w:t>
            </w:r>
          </w:p>
        </w:tc>
        <w:tc>
          <w:tcPr>
            <w:tcW w:w="4788" w:type="dxa"/>
          </w:tcPr>
          <w:p w14:paraId="29C66F78" w14:textId="350F9FAD"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A.3.2 </w:t>
            </w:r>
            <w:r w:rsidRPr="00B746AB">
              <w:rPr>
                <w:rFonts w:ascii="Verdana" w:hAnsi="Verdana" w:cs="Times New Roman"/>
                <w:sz w:val="16"/>
                <w:szCs w:val="16"/>
                <w:lang w:val="en-US"/>
              </w:rPr>
              <w:t>Acetylene atomic absorption grade.</w:t>
            </w:r>
          </w:p>
        </w:tc>
      </w:tr>
      <w:tr w:rsidR="00307BA1" w:rsidRPr="00307BA1" w14:paraId="308C36B3" w14:textId="3CAF13C1" w:rsidTr="00B746AB">
        <w:tc>
          <w:tcPr>
            <w:tcW w:w="4788" w:type="dxa"/>
          </w:tcPr>
          <w:p w14:paraId="260F35B5"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lastRenderedPageBreak/>
              <w:t>A.3.3</w:t>
            </w:r>
            <w:r w:rsidRPr="006F11F4">
              <w:rPr>
                <w:rFonts w:ascii="Verdana" w:hAnsi="Verdana"/>
                <w:sz w:val="16"/>
                <w:szCs w:val="16"/>
                <w:lang w:eastAsia="es-MX"/>
              </w:rPr>
              <w:t xml:space="preserve"> Argón líquido de ultra alta pureza de 99.99 %.</w:t>
            </w:r>
          </w:p>
        </w:tc>
        <w:tc>
          <w:tcPr>
            <w:tcW w:w="4788" w:type="dxa"/>
          </w:tcPr>
          <w:p w14:paraId="23959FB1" w14:textId="336D8711"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A.3.3 </w:t>
            </w:r>
            <w:r w:rsidRPr="00B746AB">
              <w:rPr>
                <w:rFonts w:ascii="Verdana" w:hAnsi="Verdana" w:cs="Times New Roman"/>
                <w:sz w:val="16"/>
                <w:szCs w:val="16"/>
                <w:lang w:val="en-US"/>
              </w:rPr>
              <w:t>Liquid argon of ultra high purity of 99.99%.</w:t>
            </w:r>
          </w:p>
        </w:tc>
      </w:tr>
      <w:tr w:rsidR="00307BA1" w:rsidRPr="00307BA1" w14:paraId="444B43E7" w14:textId="3E1C1534" w:rsidTr="00B746AB">
        <w:tc>
          <w:tcPr>
            <w:tcW w:w="4788" w:type="dxa"/>
          </w:tcPr>
          <w:p w14:paraId="0E1B319E"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A.3.4</w:t>
            </w:r>
            <w:r w:rsidRPr="006F11F4">
              <w:rPr>
                <w:rFonts w:ascii="Verdana" w:hAnsi="Verdana"/>
                <w:sz w:val="16"/>
                <w:szCs w:val="16"/>
                <w:lang w:eastAsia="es-MX"/>
              </w:rPr>
              <w:t xml:space="preserve"> Nitrógeno de alta pureza grado absorción atómica.</w:t>
            </w:r>
          </w:p>
        </w:tc>
        <w:tc>
          <w:tcPr>
            <w:tcW w:w="4788" w:type="dxa"/>
          </w:tcPr>
          <w:p w14:paraId="566645CE" w14:textId="0BE35B24"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A.3.4 </w:t>
            </w:r>
            <w:r w:rsidRPr="00B746AB">
              <w:rPr>
                <w:rFonts w:ascii="Verdana" w:hAnsi="Verdana" w:cs="Times New Roman"/>
                <w:sz w:val="16"/>
                <w:szCs w:val="16"/>
                <w:lang w:val="en-US"/>
              </w:rPr>
              <w:t>High purity atomic absorption grade nitrogen.</w:t>
            </w:r>
          </w:p>
        </w:tc>
      </w:tr>
      <w:tr w:rsidR="00307BA1" w:rsidRPr="00307BA1" w14:paraId="34B78D9B" w14:textId="2C90C87A" w:rsidTr="00B746AB">
        <w:tc>
          <w:tcPr>
            <w:tcW w:w="4788" w:type="dxa"/>
          </w:tcPr>
          <w:p w14:paraId="1678D607"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A.3.5</w:t>
            </w:r>
            <w:r w:rsidRPr="006F11F4">
              <w:rPr>
                <w:rFonts w:ascii="Verdana" w:hAnsi="Verdana"/>
                <w:sz w:val="16"/>
                <w:szCs w:val="16"/>
                <w:lang w:eastAsia="es-MX"/>
              </w:rPr>
              <w:t xml:space="preserve"> Disolución de ácido acético una fracción de volumen de 4%. En un matraz de 1000 ml, mezclar 40 ml de ácido acético glacial y llevar al aforo de 1000 ml con agua tipo I, de acuerdo a la referencia normativa contenida en el numeral 2.3, de esta Norma.</w:t>
            </w:r>
          </w:p>
        </w:tc>
        <w:tc>
          <w:tcPr>
            <w:tcW w:w="4788" w:type="dxa"/>
          </w:tcPr>
          <w:p w14:paraId="4967C597" w14:textId="7FD2F420"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A.3.5 </w:t>
            </w:r>
            <w:r w:rsidRPr="00B746AB">
              <w:rPr>
                <w:rFonts w:ascii="Verdana" w:hAnsi="Verdana" w:cs="Times New Roman"/>
                <w:sz w:val="16"/>
                <w:szCs w:val="16"/>
                <w:lang w:val="en-US"/>
              </w:rPr>
              <w:t xml:space="preserve">Acetic acid solution a 4% volume section. In a 1000 ml flask, mix 40 ml of glacial acetic acid and bring to a capacity of 1000 ml with type I water, according to the </w:t>
            </w:r>
            <w:r w:rsidR="008D1161" w:rsidRPr="00B746AB">
              <w:rPr>
                <w:rFonts w:ascii="Verdana" w:hAnsi="Verdana" w:cs="Times New Roman"/>
                <w:sz w:val="16"/>
                <w:szCs w:val="16"/>
                <w:lang w:val="en-US"/>
              </w:rPr>
              <w:t>Legislative</w:t>
            </w:r>
            <w:r w:rsidRPr="00B746AB">
              <w:rPr>
                <w:rFonts w:ascii="Verdana" w:hAnsi="Verdana" w:cs="Times New Roman"/>
                <w:sz w:val="16"/>
                <w:szCs w:val="16"/>
                <w:lang w:val="en-US"/>
              </w:rPr>
              <w:t xml:space="preserve"> reference contained in section 2.3 of this Standard.</w:t>
            </w:r>
          </w:p>
        </w:tc>
      </w:tr>
      <w:tr w:rsidR="00307BA1" w:rsidRPr="00307BA1" w14:paraId="69E1390E" w14:textId="2D140075" w:rsidTr="00B746AB">
        <w:tc>
          <w:tcPr>
            <w:tcW w:w="4788" w:type="dxa"/>
          </w:tcPr>
          <w:p w14:paraId="00C03C98"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 xml:space="preserve">A.3.6 </w:t>
            </w:r>
            <w:r w:rsidRPr="006F11F4">
              <w:rPr>
                <w:rFonts w:ascii="Verdana" w:hAnsi="Verdana"/>
                <w:sz w:val="16"/>
                <w:szCs w:val="16"/>
                <w:lang w:eastAsia="es-MX"/>
              </w:rPr>
              <w:t>Disoluciones estándar de referencia certificada de Pb y Cd.</w:t>
            </w:r>
          </w:p>
        </w:tc>
        <w:tc>
          <w:tcPr>
            <w:tcW w:w="4788" w:type="dxa"/>
          </w:tcPr>
          <w:p w14:paraId="736250BB" w14:textId="338374F1"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A.3.6 </w:t>
            </w:r>
            <w:r w:rsidRPr="00B746AB">
              <w:rPr>
                <w:rFonts w:ascii="Verdana" w:hAnsi="Verdana" w:cs="Times New Roman"/>
                <w:sz w:val="16"/>
                <w:szCs w:val="16"/>
                <w:lang w:val="en-US"/>
              </w:rPr>
              <w:t>Certified reference standard solutions of Pb and Cd.</w:t>
            </w:r>
          </w:p>
        </w:tc>
      </w:tr>
      <w:tr w:rsidR="00307BA1" w:rsidRPr="00307BA1" w14:paraId="1BA53BFF" w14:textId="1DC01A09" w:rsidTr="00B746AB">
        <w:tc>
          <w:tcPr>
            <w:tcW w:w="4788" w:type="dxa"/>
          </w:tcPr>
          <w:p w14:paraId="0056C3E1"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 xml:space="preserve">A.3.6.1 </w:t>
            </w:r>
            <w:r w:rsidRPr="006F11F4">
              <w:rPr>
                <w:rFonts w:ascii="Verdana" w:hAnsi="Verdana"/>
                <w:sz w:val="16"/>
                <w:szCs w:val="16"/>
                <w:lang w:eastAsia="es-MX"/>
              </w:rPr>
              <w:t>Disoluciones estándar de Pb y Cd para análisis por Absorción Atómica o por Plasma Inductivamente Acoplado</w:t>
            </w:r>
            <w:r w:rsidRPr="006F11F4">
              <w:rPr>
                <w:rFonts w:ascii="Verdana" w:hAnsi="Verdana"/>
                <w:caps/>
                <w:sz w:val="16"/>
                <w:szCs w:val="16"/>
                <w:lang w:eastAsia="es-MX"/>
              </w:rPr>
              <w:t xml:space="preserve">. </w:t>
            </w:r>
            <w:r w:rsidRPr="006F11F4">
              <w:rPr>
                <w:rFonts w:ascii="Verdana" w:hAnsi="Verdana"/>
                <w:sz w:val="16"/>
                <w:szCs w:val="16"/>
                <w:lang w:eastAsia="es-MX"/>
              </w:rPr>
              <w:t>Diluir las disoluciones estándar de referencia con ácido acético al 4%; elaborar la curva de calibración con un mínimo de 5 concentraciones, dentro de las cuales se deberán incluir los límites máximos permisibles para Pb y Cd establecidos en las tablas 1 y 2, citadas en el punto 5.1, de esta Norma. Estos valores no deben ser ni el primero ni el último punto de la curva de trabajo.</w:t>
            </w:r>
          </w:p>
        </w:tc>
        <w:tc>
          <w:tcPr>
            <w:tcW w:w="4788" w:type="dxa"/>
          </w:tcPr>
          <w:p w14:paraId="6DB387BC" w14:textId="552A1578"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A.3.6.1 </w:t>
            </w:r>
            <w:r w:rsidRPr="00B746AB">
              <w:rPr>
                <w:rFonts w:ascii="Verdana" w:hAnsi="Verdana" w:cs="Times New Roman"/>
                <w:sz w:val="16"/>
                <w:szCs w:val="16"/>
                <w:lang w:val="en-US"/>
              </w:rPr>
              <w:t xml:space="preserve">Standard solutions of Pb and Cd for analysis by Atomic Absorption or Inductively Coupled Plasma </w:t>
            </w:r>
            <w:r w:rsidRPr="00B746AB">
              <w:rPr>
                <w:rFonts w:ascii="Verdana" w:hAnsi="Verdana" w:cs="Times New Roman"/>
                <w:caps/>
                <w:sz w:val="16"/>
                <w:szCs w:val="16"/>
                <w:lang w:val="en-US"/>
              </w:rPr>
              <w:t xml:space="preserve">. </w:t>
            </w:r>
            <w:r w:rsidRPr="00B746AB">
              <w:rPr>
                <w:rFonts w:ascii="Verdana" w:hAnsi="Verdana" w:cs="Times New Roman"/>
                <w:sz w:val="16"/>
                <w:szCs w:val="16"/>
                <w:lang w:val="en-US"/>
              </w:rPr>
              <w:t xml:space="preserve">Dilute the reference standard solutions with 4% acetic acid; Prepare the calibration curve with a minimum of 5 concentrations, within which the maximum permissible limits for Pb and Cd established in tables 1 and 2, cited in point 5.1 of this Standard, must be included. These values </w:t>
            </w:r>
            <w:r w:rsidRPr="00B746AB">
              <w:rPr>
                <w:sz w:val="16"/>
                <w:szCs w:val="16"/>
                <w:lang w:val="en-US"/>
              </w:rPr>
              <w:t>​​</w:t>
            </w:r>
            <w:r w:rsidRPr="00B746AB">
              <w:rPr>
                <w:rFonts w:ascii="Verdana" w:hAnsi="Verdana" w:cs="Times New Roman"/>
                <w:sz w:val="16"/>
                <w:szCs w:val="16"/>
                <w:lang w:val="en-US"/>
              </w:rPr>
              <w:t>should not be the first or the last point on the duty curve.</w:t>
            </w:r>
          </w:p>
        </w:tc>
      </w:tr>
      <w:tr w:rsidR="00307BA1" w:rsidRPr="00307BA1" w14:paraId="45ACDE85" w14:textId="1B6B278B" w:rsidTr="00B746AB">
        <w:tc>
          <w:tcPr>
            <w:tcW w:w="4788" w:type="dxa"/>
          </w:tcPr>
          <w:p w14:paraId="2CFB7464"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A.3.6.2</w:t>
            </w:r>
            <w:r w:rsidRPr="006F11F4">
              <w:rPr>
                <w:rFonts w:ascii="Verdana" w:hAnsi="Verdana"/>
                <w:sz w:val="16"/>
                <w:szCs w:val="16"/>
                <w:lang w:eastAsia="es-MX"/>
              </w:rPr>
              <w:t xml:space="preserve"> Las disoluciones estándar pueden guardarse en contenedores de plástico, polietileno, PVC o teflón bien cerrados y etiquetados por 4 semanas.</w:t>
            </w:r>
          </w:p>
        </w:tc>
        <w:tc>
          <w:tcPr>
            <w:tcW w:w="4788" w:type="dxa"/>
          </w:tcPr>
          <w:p w14:paraId="78D8B6DD" w14:textId="4A868737"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A.3.6.2 </w:t>
            </w:r>
            <w:r w:rsidRPr="00B746AB">
              <w:rPr>
                <w:rFonts w:ascii="Verdana" w:hAnsi="Verdana" w:cs="Times New Roman"/>
                <w:sz w:val="16"/>
                <w:szCs w:val="16"/>
                <w:lang w:val="en-US"/>
              </w:rPr>
              <w:t>Standard solutions can be stored in tightly closed and labeled plastic, polyethylene, PVC or Teflon containers for 4 weeks.</w:t>
            </w:r>
          </w:p>
        </w:tc>
      </w:tr>
      <w:tr w:rsidR="00307BA1" w:rsidRPr="006F11F4" w14:paraId="48ED15FB" w14:textId="2CEC4568" w:rsidTr="00B746AB">
        <w:tc>
          <w:tcPr>
            <w:tcW w:w="4788" w:type="dxa"/>
          </w:tcPr>
          <w:p w14:paraId="13E16504"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A.4 Materiales</w:t>
            </w:r>
          </w:p>
        </w:tc>
        <w:tc>
          <w:tcPr>
            <w:tcW w:w="4788" w:type="dxa"/>
          </w:tcPr>
          <w:p w14:paraId="7F2F69D7" w14:textId="25FE3507"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A.4 Materials</w:t>
            </w:r>
          </w:p>
        </w:tc>
      </w:tr>
      <w:tr w:rsidR="00307BA1" w:rsidRPr="00307BA1" w14:paraId="703D69A4" w14:textId="58FC4CBF" w:rsidTr="00B746AB">
        <w:tc>
          <w:tcPr>
            <w:tcW w:w="4788" w:type="dxa"/>
          </w:tcPr>
          <w:p w14:paraId="4A711B9E"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sz w:val="16"/>
                <w:szCs w:val="16"/>
                <w:lang w:eastAsia="es-MX"/>
              </w:rPr>
              <w:t>Además del material común de laboratorio de vidrio borosilicato, el especificado a continuación.</w:t>
            </w:r>
          </w:p>
        </w:tc>
        <w:tc>
          <w:tcPr>
            <w:tcW w:w="4788" w:type="dxa"/>
          </w:tcPr>
          <w:p w14:paraId="62192E1A" w14:textId="24452489" w:rsidR="00307BA1" w:rsidRPr="00B746AB" w:rsidRDefault="00307BA1" w:rsidP="00307BA1">
            <w:pPr>
              <w:pStyle w:val="Texto"/>
              <w:spacing w:after="40" w:line="219" w:lineRule="exact"/>
              <w:ind w:firstLine="0"/>
              <w:rPr>
                <w:rFonts w:ascii="Verdana" w:hAnsi="Verdana"/>
                <w:sz w:val="16"/>
                <w:szCs w:val="16"/>
                <w:lang w:val="en-US" w:eastAsia="es-MX"/>
              </w:rPr>
            </w:pPr>
            <w:r w:rsidRPr="00B746AB">
              <w:rPr>
                <w:rFonts w:ascii="Verdana" w:hAnsi="Verdana" w:cs="Times New Roman"/>
                <w:sz w:val="16"/>
                <w:szCs w:val="16"/>
                <w:lang w:val="en-US"/>
              </w:rPr>
              <w:t>In addition to common borosilicate glass labware, as specified below.</w:t>
            </w:r>
          </w:p>
        </w:tc>
      </w:tr>
      <w:tr w:rsidR="00307BA1" w:rsidRPr="00307BA1" w14:paraId="58686D86" w14:textId="7B0A78CD" w:rsidTr="00B746AB">
        <w:tc>
          <w:tcPr>
            <w:tcW w:w="4788" w:type="dxa"/>
          </w:tcPr>
          <w:p w14:paraId="7F0AB255"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 xml:space="preserve">A.4.1 </w:t>
            </w:r>
            <w:r w:rsidRPr="006F11F4">
              <w:rPr>
                <w:rFonts w:ascii="Verdana" w:hAnsi="Verdana"/>
                <w:sz w:val="16"/>
                <w:szCs w:val="16"/>
                <w:lang w:eastAsia="es-MX"/>
              </w:rPr>
              <w:t>Recipientes de plástico, polietileno, PVC o teflón.</w:t>
            </w:r>
          </w:p>
        </w:tc>
        <w:tc>
          <w:tcPr>
            <w:tcW w:w="4788" w:type="dxa"/>
          </w:tcPr>
          <w:p w14:paraId="5BC95D1D" w14:textId="0B977131"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A.4.1 </w:t>
            </w:r>
            <w:r w:rsidRPr="00B746AB">
              <w:rPr>
                <w:rFonts w:ascii="Verdana" w:hAnsi="Verdana" w:cs="Times New Roman"/>
                <w:sz w:val="16"/>
                <w:szCs w:val="16"/>
                <w:lang w:val="en-US"/>
              </w:rPr>
              <w:t>Plastic, polyethylene, PVC or Teflon containers.</w:t>
            </w:r>
          </w:p>
        </w:tc>
      </w:tr>
      <w:tr w:rsidR="00307BA1" w:rsidRPr="00307BA1" w14:paraId="313D6FD5" w14:textId="5705F920" w:rsidTr="00B746AB">
        <w:tc>
          <w:tcPr>
            <w:tcW w:w="4788" w:type="dxa"/>
          </w:tcPr>
          <w:p w14:paraId="393E9741"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 xml:space="preserve">A.4.2 </w:t>
            </w:r>
            <w:r w:rsidRPr="006F11F4">
              <w:rPr>
                <w:rFonts w:ascii="Verdana" w:hAnsi="Verdana"/>
                <w:sz w:val="16"/>
                <w:szCs w:val="16"/>
                <w:lang w:eastAsia="es-MX"/>
              </w:rPr>
              <w:t>Micropipetas y/o pipetas calibradas o verificadas</w:t>
            </w:r>
          </w:p>
        </w:tc>
        <w:tc>
          <w:tcPr>
            <w:tcW w:w="4788" w:type="dxa"/>
          </w:tcPr>
          <w:p w14:paraId="1B33276E" w14:textId="395C94F0"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A.4.2 </w:t>
            </w:r>
            <w:r w:rsidRPr="00B746AB">
              <w:rPr>
                <w:rFonts w:ascii="Verdana" w:hAnsi="Verdana" w:cs="Times New Roman"/>
                <w:sz w:val="16"/>
                <w:szCs w:val="16"/>
                <w:lang w:val="en-US"/>
              </w:rPr>
              <w:t xml:space="preserve">Micropipettes </w:t>
            </w:r>
            <w:r w:rsidR="00AA2282" w:rsidRPr="00B746AB">
              <w:rPr>
                <w:rFonts w:ascii="Verdana" w:hAnsi="Verdana" w:cs="Times New Roman"/>
                <w:sz w:val="16"/>
                <w:szCs w:val="16"/>
                <w:lang w:val="en-US"/>
              </w:rPr>
              <w:t>and/or</w:t>
            </w:r>
            <w:r w:rsidRPr="00B746AB">
              <w:rPr>
                <w:rFonts w:ascii="Verdana" w:hAnsi="Verdana" w:cs="Times New Roman"/>
                <w:sz w:val="16"/>
                <w:szCs w:val="16"/>
                <w:lang w:val="en-US"/>
              </w:rPr>
              <w:t xml:space="preserve"> pipettes calibrated or verified</w:t>
            </w:r>
          </w:p>
        </w:tc>
      </w:tr>
      <w:tr w:rsidR="00307BA1" w:rsidRPr="00307BA1" w14:paraId="717E93C7" w14:textId="147C6288" w:rsidTr="00B746AB">
        <w:tc>
          <w:tcPr>
            <w:tcW w:w="4788" w:type="dxa"/>
          </w:tcPr>
          <w:p w14:paraId="1CF80257"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 xml:space="preserve">A.4. 3 </w:t>
            </w:r>
            <w:r w:rsidRPr="006F11F4">
              <w:rPr>
                <w:rFonts w:ascii="Verdana" w:hAnsi="Verdana"/>
                <w:sz w:val="16"/>
                <w:szCs w:val="16"/>
                <w:lang w:eastAsia="es-MX"/>
              </w:rPr>
              <w:t xml:space="preserve">Tubos de polipropileno de 10 </w:t>
            </w:r>
            <w:proofErr w:type="spellStart"/>
            <w:r w:rsidRPr="006F11F4">
              <w:rPr>
                <w:rFonts w:ascii="Verdana" w:hAnsi="Verdana"/>
                <w:sz w:val="16"/>
                <w:szCs w:val="16"/>
                <w:lang w:eastAsia="es-MX"/>
              </w:rPr>
              <w:t>mL</w:t>
            </w:r>
            <w:proofErr w:type="spellEnd"/>
            <w:r w:rsidRPr="006F11F4">
              <w:rPr>
                <w:rFonts w:ascii="Verdana" w:hAnsi="Verdana"/>
                <w:sz w:val="16"/>
                <w:szCs w:val="16"/>
                <w:lang w:eastAsia="es-MX"/>
              </w:rPr>
              <w:t xml:space="preserve"> y 50 </w:t>
            </w:r>
            <w:proofErr w:type="spellStart"/>
            <w:r w:rsidRPr="006F11F4">
              <w:rPr>
                <w:rFonts w:ascii="Verdana" w:hAnsi="Verdana"/>
                <w:sz w:val="16"/>
                <w:szCs w:val="16"/>
                <w:lang w:eastAsia="es-MX"/>
              </w:rPr>
              <w:t>mL</w:t>
            </w:r>
            <w:proofErr w:type="spellEnd"/>
            <w:r w:rsidRPr="006F11F4">
              <w:rPr>
                <w:rFonts w:ascii="Verdana" w:hAnsi="Verdana"/>
                <w:sz w:val="16"/>
                <w:szCs w:val="16"/>
                <w:lang w:eastAsia="es-MX"/>
              </w:rPr>
              <w:t>.</w:t>
            </w:r>
          </w:p>
        </w:tc>
        <w:tc>
          <w:tcPr>
            <w:tcW w:w="4788" w:type="dxa"/>
          </w:tcPr>
          <w:p w14:paraId="02DCBE65" w14:textId="22BDA8D0"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A.4. 3 </w:t>
            </w:r>
            <w:r w:rsidRPr="00B746AB">
              <w:rPr>
                <w:rFonts w:ascii="Verdana" w:hAnsi="Verdana" w:cs="Times New Roman"/>
                <w:sz w:val="16"/>
                <w:szCs w:val="16"/>
                <w:lang w:val="en-US"/>
              </w:rPr>
              <w:t>10 mL and 50 mL polypropylene tubes .</w:t>
            </w:r>
          </w:p>
        </w:tc>
      </w:tr>
      <w:tr w:rsidR="00307BA1" w:rsidRPr="006F11F4" w14:paraId="0D0DF991" w14:textId="6980EB00" w:rsidTr="00B746AB">
        <w:tc>
          <w:tcPr>
            <w:tcW w:w="4788" w:type="dxa"/>
          </w:tcPr>
          <w:p w14:paraId="1FF820C5" w14:textId="77777777" w:rsidR="00307BA1" w:rsidRPr="006F11F4" w:rsidRDefault="00307BA1" w:rsidP="00307BA1">
            <w:pPr>
              <w:pStyle w:val="Texto"/>
              <w:spacing w:after="40" w:line="219" w:lineRule="exact"/>
              <w:ind w:firstLine="0"/>
              <w:rPr>
                <w:rFonts w:ascii="Verdana" w:hAnsi="Verdana"/>
                <w:sz w:val="16"/>
                <w:szCs w:val="16"/>
                <w:lang w:eastAsia="es-MX"/>
              </w:rPr>
            </w:pPr>
            <w:r w:rsidRPr="006F11F4">
              <w:rPr>
                <w:rFonts w:ascii="Verdana" w:hAnsi="Verdana"/>
                <w:b/>
                <w:sz w:val="16"/>
                <w:szCs w:val="16"/>
                <w:lang w:eastAsia="es-MX"/>
              </w:rPr>
              <w:t>A.4.</w:t>
            </w:r>
            <w:r w:rsidRPr="006F11F4">
              <w:rPr>
                <w:rFonts w:ascii="Verdana" w:hAnsi="Verdana"/>
                <w:b/>
                <w:strike/>
                <w:sz w:val="16"/>
                <w:szCs w:val="16"/>
                <w:lang w:eastAsia="es-MX"/>
              </w:rPr>
              <w:t>4</w:t>
            </w:r>
            <w:r w:rsidRPr="006F11F4">
              <w:rPr>
                <w:rFonts w:ascii="Verdana" w:hAnsi="Verdana"/>
                <w:b/>
                <w:sz w:val="16"/>
                <w:szCs w:val="16"/>
                <w:lang w:eastAsia="es-MX"/>
              </w:rPr>
              <w:t xml:space="preserve"> </w:t>
            </w:r>
            <w:r w:rsidRPr="006F11F4">
              <w:rPr>
                <w:rFonts w:ascii="Verdana" w:hAnsi="Verdana"/>
                <w:sz w:val="16"/>
                <w:szCs w:val="16"/>
                <w:lang w:eastAsia="es-MX"/>
              </w:rPr>
              <w:t>Puntas para micropipetas.</w:t>
            </w:r>
          </w:p>
        </w:tc>
        <w:tc>
          <w:tcPr>
            <w:tcW w:w="4788" w:type="dxa"/>
          </w:tcPr>
          <w:p w14:paraId="11C455B1" w14:textId="6101EBAF" w:rsidR="00307BA1" w:rsidRPr="00B746AB" w:rsidRDefault="00307BA1" w:rsidP="00307BA1">
            <w:pPr>
              <w:pStyle w:val="Texto"/>
              <w:spacing w:after="40" w:line="219" w:lineRule="exact"/>
              <w:ind w:firstLine="0"/>
              <w:rPr>
                <w:rFonts w:ascii="Verdana" w:hAnsi="Verdana"/>
                <w:b/>
                <w:sz w:val="16"/>
                <w:szCs w:val="16"/>
                <w:lang w:val="en-US" w:eastAsia="es-MX"/>
              </w:rPr>
            </w:pPr>
            <w:r w:rsidRPr="00B746AB">
              <w:rPr>
                <w:rFonts w:ascii="Verdana" w:hAnsi="Verdana" w:cs="Times New Roman"/>
                <w:b/>
                <w:bCs/>
                <w:sz w:val="16"/>
                <w:szCs w:val="16"/>
                <w:lang w:val="en-US"/>
              </w:rPr>
              <w:t xml:space="preserve">A.4. </w:t>
            </w:r>
            <w:r w:rsidRPr="00B746AB">
              <w:rPr>
                <w:rFonts w:ascii="Verdana" w:hAnsi="Verdana" w:cs="Times New Roman"/>
                <w:b/>
                <w:bCs/>
                <w:strike/>
                <w:sz w:val="16"/>
                <w:szCs w:val="16"/>
                <w:lang w:val="en-US"/>
              </w:rPr>
              <w:t xml:space="preserve">4 </w:t>
            </w:r>
            <w:r w:rsidRPr="00B746AB">
              <w:rPr>
                <w:rFonts w:ascii="Verdana" w:hAnsi="Verdana" w:cs="Times New Roman"/>
                <w:sz w:val="16"/>
                <w:szCs w:val="16"/>
                <w:lang w:val="en-US"/>
              </w:rPr>
              <w:t>Tips for micropipettes.</w:t>
            </w:r>
            <w:r w:rsidRPr="00B746AB">
              <w:rPr>
                <w:rFonts w:ascii="Verdana" w:hAnsi="Verdana" w:cs="Times New Roman"/>
                <w:b/>
                <w:bCs/>
                <w:sz w:val="16"/>
                <w:szCs w:val="16"/>
                <w:lang w:val="en-US"/>
              </w:rPr>
              <w:t xml:space="preserve"> </w:t>
            </w:r>
          </w:p>
        </w:tc>
      </w:tr>
      <w:tr w:rsidR="00307BA1" w:rsidRPr="006F11F4" w14:paraId="68859A0E" w14:textId="341826FE" w:rsidTr="00B746AB">
        <w:tc>
          <w:tcPr>
            <w:tcW w:w="4788" w:type="dxa"/>
          </w:tcPr>
          <w:p w14:paraId="6C2BD48A"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A.5 Aparatos</w:t>
            </w:r>
          </w:p>
        </w:tc>
        <w:tc>
          <w:tcPr>
            <w:tcW w:w="4788" w:type="dxa"/>
          </w:tcPr>
          <w:p w14:paraId="1D9CA0E3" w14:textId="21BB744A" w:rsidR="00307BA1" w:rsidRPr="00B746AB" w:rsidRDefault="00307BA1" w:rsidP="00307BA1">
            <w:pPr>
              <w:pStyle w:val="Texto"/>
              <w:spacing w:after="40"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A.5 Apparatus</w:t>
            </w:r>
          </w:p>
        </w:tc>
      </w:tr>
      <w:tr w:rsidR="00307BA1" w:rsidRPr="00307BA1" w14:paraId="4685EBB1" w14:textId="1CD4EA4D" w:rsidTr="00B746AB">
        <w:tc>
          <w:tcPr>
            <w:tcW w:w="4788" w:type="dxa"/>
          </w:tcPr>
          <w:p w14:paraId="687408E3"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A.5.1</w:t>
            </w:r>
            <w:r w:rsidRPr="006F11F4">
              <w:rPr>
                <w:rFonts w:ascii="Verdana" w:hAnsi="Verdana"/>
                <w:sz w:val="16"/>
                <w:szCs w:val="16"/>
                <w:lang w:eastAsia="es-MX"/>
              </w:rPr>
              <w:t xml:space="preserve"> Espectrofotómetro de absorción atómica por flama equipado con lámpara de cátodo hueco o de descarga de electrones, según lo especificado para Pb y Cd, corrección de fondo del equipo y un cabezal con ranura aproximadamente de 100 mm, usar aire acetileno y las condiciones de operación recomendadas por el fabricante del equipo, para Pb se deberá utilizar una longitud de onda de 217.0 nm y para Cd de 228.8 nm.</w:t>
            </w:r>
          </w:p>
        </w:tc>
        <w:tc>
          <w:tcPr>
            <w:tcW w:w="4788" w:type="dxa"/>
          </w:tcPr>
          <w:p w14:paraId="2F2D4A8A" w14:textId="2F68FAF3"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A.5.1 </w:t>
            </w:r>
            <w:r w:rsidRPr="00B746AB">
              <w:rPr>
                <w:rFonts w:ascii="Verdana" w:hAnsi="Verdana" w:cs="Times New Roman"/>
                <w:sz w:val="16"/>
                <w:szCs w:val="16"/>
                <w:lang w:val="en-US"/>
              </w:rPr>
              <w:t>Atomic absorption flame spectrophotometer equipped with a hollow cathode or electron discharge lamp, as specified for Pb and Cd, background correction of the equipment and a head with a slot of approximately 100 mm, use acetylene air and the conditions operating conditions recommended by the equipment manufacturer, a wavelength of 217.0 nm should be used for Pb and 228.8 nm for Cd.</w:t>
            </w:r>
          </w:p>
        </w:tc>
      </w:tr>
      <w:tr w:rsidR="00307BA1" w:rsidRPr="00307BA1" w14:paraId="65B73D8E" w14:textId="77915D4E" w:rsidTr="00B746AB">
        <w:tc>
          <w:tcPr>
            <w:tcW w:w="4788" w:type="dxa"/>
          </w:tcPr>
          <w:p w14:paraId="1AAFCF7A"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A.5.2</w:t>
            </w:r>
            <w:r w:rsidRPr="006F11F4">
              <w:rPr>
                <w:rFonts w:ascii="Verdana" w:hAnsi="Verdana"/>
                <w:sz w:val="16"/>
                <w:szCs w:val="16"/>
                <w:lang w:eastAsia="es-MX"/>
              </w:rPr>
              <w:t xml:space="preserve"> Espectrofotómetro de absorción atómica con horno de grafito, equipado con lámpara de cátodo hueco o de descarga de electrones, </w:t>
            </w:r>
            <w:proofErr w:type="spellStart"/>
            <w:r w:rsidRPr="006F11F4">
              <w:rPr>
                <w:rFonts w:ascii="Verdana" w:hAnsi="Verdana"/>
                <w:sz w:val="16"/>
                <w:szCs w:val="16"/>
                <w:lang w:eastAsia="es-MX"/>
              </w:rPr>
              <w:t>automuestreador</w:t>
            </w:r>
            <w:proofErr w:type="spellEnd"/>
            <w:r w:rsidRPr="006F11F4">
              <w:rPr>
                <w:rFonts w:ascii="Verdana" w:hAnsi="Verdana"/>
                <w:sz w:val="16"/>
                <w:szCs w:val="16"/>
                <w:lang w:eastAsia="es-MX"/>
              </w:rPr>
              <w:t xml:space="preserve"> para determinar Pb y Cd, usar un modificador químico, corrección de fondo del equipo esto está en función del diseño del mismo. La concentración de la disolución lixiviada se calcula utilizando una curva de calibración lineal, y la regresión de mínimos cuadrados.</w:t>
            </w:r>
          </w:p>
        </w:tc>
        <w:tc>
          <w:tcPr>
            <w:tcW w:w="4788" w:type="dxa"/>
          </w:tcPr>
          <w:p w14:paraId="1EB57CFD" w14:textId="696FFB5D"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A.5.2 </w:t>
            </w:r>
            <w:r w:rsidRPr="00B746AB">
              <w:rPr>
                <w:rFonts w:ascii="Verdana" w:hAnsi="Verdana" w:cs="Times New Roman"/>
                <w:sz w:val="16"/>
                <w:szCs w:val="16"/>
                <w:lang w:val="en-US"/>
              </w:rPr>
              <w:t>Atomic absorption spectrophotometer with graphite furnace, equipped with a hollow cathode or electron discharge lamp, autosampler to determine Pb and Cd, use a chemical modifier, background correction of the equipment, this depends on its design. The concentration of the leached solution is calculated using a linear calibration curve, and least squares regression.</w:t>
            </w:r>
          </w:p>
        </w:tc>
      </w:tr>
      <w:tr w:rsidR="00307BA1" w:rsidRPr="00307BA1" w14:paraId="32986382" w14:textId="3388AEEF" w:rsidTr="00B746AB">
        <w:tc>
          <w:tcPr>
            <w:tcW w:w="4788" w:type="dxa"/>
          </w:tcPr>
          <w:p w14:paraId="41C1604E"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caps/>
                <w:sz w:val="16"/>
                <w:szCs w:val="16"/>
                <w:lang w:eastAsia="es-MX"/>
              </w:rPr>
              <w:t>A.5.3</w:t>
            </w:r>
            <w:r w:rsidRPr="006F11F4">
              <w:rPr>
                <w:rFonts w:ascii="Verdana" w:hAnsi="Verdana"/>
                <w:caps/>
                <w:sz w:val="16"/>
                <w:szCs w:val="16"/>
                <w:lang w:eastAsia="es-MX"/>
              </w:rPr>
              <w:t xml:space="preserve"> </w:t>
            </w:r>
            <w:r w:rsidRPr="006F11F4">
              <w:rPr>
                <w:rFonts w:ascii="Verdana" w:hAnsi="Verdana"/>
                <w:sz w:val="16"/>
                <w:szCs w:val="16"/>
                <w:lang w:eastAsia="es-MX"/>
              </w:rPr>
              <w:t>Plasma Inductivamente Acoplado equipado con</w:t>
            </w:r>
            <w:r w:rsidRPr="006F11F4">
              <w:rPr>
                <w:rFonts w:ascii="Verdana" w:hAnsi="Verdana"/>
                <w:caps/>
                <w:sz w:val="16"/>
                <w:szCs w:val="16"/>
                <w:lang w:eastAsia="es-MX"/>
              </w:rPr>
              <w:t>:</w:t>
            </w:r>
          </w:p>
        </w:tc>
        <w:tc>
          <w:tcPr>
            <w:tcW w:w="4788" w:type="dxa"/>
          </w:tcPr>
          <w:p w14:paraId="1DABC312" w14:textId="080B1CBE" w:rsidR="00307BA1" w:rsidRPr="00B746AB" w:rsidRDefault="00307BA1" w:rsidP="00307BA1">
            <w:pPr>
              <w:pStyle w:val="Texto"/>
              <w:spacing w:after="36" w:line="240" w:lineRule="auto"/>
              <w:ind w:firstLine="0"/>
              <w:rPr>
                <w:rFonts w:ascii="Verdana" w:hAnsi="Verdana"/>
                <w:b/>
                <w:caps/>
                <w:sz w:val="16"/>
                <w:szCs w:val="16"/>
                <w:lang w:val="en-US" w:eastAsia="es-MX"/>
              </w:rPr>
            </w:pPr>
            <w:r w:rsidRPr="00B746AB">
              <w:rPr>
                <w:rFonts w:ascii="Verdana" w:hAnsi="Verdana" w:cs="Times New Roman"/>
                <w:b/>
                <w:bCs/>
                <w:caps/>
                <w:sz w:val="16"/>
                <w:szCs w:val="16"/>
                <w:lang w:val="en-US"/>
              </w:rPr>
              <w:t xml:space="preserve">A.5.3 </w:t>
            </w:r>
            <w:r w:rsidRPr="00B746AB">
              <w:rPr>
                <w:rFonts w:ascii="Verdana" w:hAnsi="Verdana" w:cs="Times New Roman"/>
                <w:sz w:val="16"/>
                <w:szCs w:val="16"/>
                <w:lang w:val="en-US"/>
              </w:rPr>
              <w:t xml:space="preserve">Inductively Coupled Plasma equipped with </w:t>
            </w:r>
            <w:r w:rsidRPr="00B746AB">
              <w:rPr>
                <w:rFonts w:ascii="Verdana" w:hAnsi="Verdana" w:cs="Times New Roman"/>
                <w:caps/>
                <w:sz w:val="16"/>
                <w:szCs w:val="16"/>
                <w:lang w:val="en-US"/>
              </w:rPr>
              <w:t xml:space="preserve">: </w:t>
            </w:r>
          </w:p>
        </w:tc>
      </w:tr>
      <w:tr w:rsidR="00307BA1" w:rsidRPr="00307BA1" w14:paraId="57FB52F0" w14:textId="61673E83" w:rsidTr="00B746AB">
        <w:tc>
          <w:tcPr>
            <w:tcW w:w="4788" w:type="dxa"/>
          </w:tcPr>
          <w:p w14:paraId="1B2E3D88"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caps/>
                <w:sz w:val="16"/>
                <w:szCs w:val="16"/>
                <w:lang w:eastAsia="es-MX"/>
              </w:rPr>
              <w:t>A.5.3.1</w:t>
            </w:r>
            <w:r w:rsidRPr="006F11F4">
              <w:rPr>
                <w:rFonts w:ascii="Verdana" w:hAnsi="Verdana"/>
                <w:caps/>
                <w:sz w:val="16"/>
                <w:szCs w:val="16"/>
                <w:lang w:eastAsia="es-MX"/>
              </w:rPr>
              <w:t xml:space="preserve"> </w:t>
            </w:r>
            <w:proofErr w:type="spellStart"/>
            <w:r w:rsidRPr="006F11F4">
              <w:rPr>
                <w:rFonts w:ascii="Verdana" w:hAnsi="Verdana"/>
                <w:sz w:val="16"/>
                <w:szCs w:val="16"/>
                <w:lang w:eastAsia="es-MX"/>
              </w:rPr>
              <w:t>Automuestreador</w:t>
            </w:r>
            <w:proofErr w:type="spellEnd"/>
            <w:r w:rsidRPr="006F11F4">
              <w:rPr>
                <w:rFonts w:ascii="Verdana" w:hAnsi="Verdana"/>
                <w:sz w:val="16"/>
                <w:szCs w:val="16"/>
                <w:lang w:eastAsia="es-MX"/>
              </w:rPr>
              <w:t>, aspiración o inyección manual;</w:t>
            </w:r>
          </w:p>
        </w:tc>
        <w:tc>
          <w:tcPr>
            <w:tcW w:w="4788" w:type="dxa"/>
          </w:tcPr>
          <w:p w14:paraId="50D6118A" w14:textId="2D5A6577" w:rsidR="00307BA1" w:rsidRPr="00B746AB" w:rsidRDefault="00307BA1" w:rsidP="00307BA1">
            <w:pPr>
              <w:pStyle w:val="Texto"/>
              <w:spacing w:after="36" w:line="240" w:lineRule="auto"/>
              <w:ind w:firstLine="0"/>
              <w:rPr>
                <w:rFonts w:ascii="Verdana" w:hAnsi="Verdana"/>
                <w:b/>
                <w:caps/>
                <w:sz w:val="16"/>
                <w:szCs w:val="16"/>
                <w:lang w:val="en-US" w:eastAsia="es-MX"/>
              </w:rPr>
            </w:pPr>
            <w:r w:rsidRPr="00B746AB">
              <w:rPr>
                <w:rFonts w:ascii="Verdana" w:hAnsi="Verdana" w:cs="Times New Roman"/>
                <w:b/>
                <w:bCs/>
                <w:caps/>
                <w:sz w:val="16"/>
                <w:szCs w:val="16"/>
                <w:lang w:val="en-US"/>
              </w:rPr>
              <w:t xml:space="preserve">A.5.3.1 </w:t>
            </w:r>
            <w:r w:rsidRPr="00B746AB">
              <w:rPr>
                <w:rFonts w:ascii="Verdana" w:hAnsi="Verdana" w:cs="Times New Roman"/>
                <w:sz w:val="16"/>
                <w:szCs w:val="16"/>
                <w:lang w:val="en-US"/>
              </w:rPr>
              <w:t>Autosampler , aspiration or manual injection;</w:t>
            </w:r>
            <w:r w:rsidRPr="00B746AB">
              <w:rPr>
                <w:rFonts w:ascii="Verdana" w:hAnsi="Verdana" w:cs="Times New Roman"/>
                <w:caps/>
                <w:sz w:val="16"/>
                <w:szCs w:val="16"/>
                <w:lang w:val="en-US"/>
              </w:rPr>
              <w:t xml:space="preserve"> </w:t>
            </w:r>
          </w:p>
        </w:tc>
      </w:tr>
      <w:tr w:rsidR="00307BA1" w:rsidRPr="00307BA1" w14:paraId="07B03899" w14:textId="3F6BAED4" w:rsidTr="00B746AB">
        <w:tc>
          <w:tcPr>
            <w:tcW w:w="4788" w:type="dxa"/>
          </w:tcPr>
          <w:p w14:paraId="5FA9946E"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A.5.3.2</w:t>
            </w:r>
            <w:r w:rsidRPr="006F11F4">
              <w:rPr>
                <w:rFonts w:ascii="Verdana" w:hAnsi="Verdana"/>
                <w:sz w:val="16"/>
                <w:szCs w:val="16"/>
                <w:lang w:eastAsia="es-MX"/>
              </w:rPr>
              <w:t xml:space="preserve"> Enfriador por recirculación de agua, y</w:t>
            </w:r>
          </w:p>
        </w:tc>
        <w:tc>
          <w:tcPr>
            <w:tcW w:w="4788" w:type="dxa"/>
          </w:tcPr>
          <w:p w14:paraId="211ED0BC" w14:textId="7FF341CB"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A.5.3.2 </w:t>
            </w:r>
            <w:r w:rsidRPr="00B746AB">
              <w:rPr>
                <w:rFonts w:ascii="Verdana" w:hAnsi="Verdana" w:cs="Times New Roman"/>
                <w:sz w:val="16"/>
                <w:szCs w:val="16"/>
                <w:lang w:val="en-US"/>
              </w:rPr>
              <w:t>Water recirculating cooler</w:t>
            </w:r>
            <w:r w:rsidRPr="00B746AB">
              <w:rPr>
                <w:rFonts w:ascii="Verdana" w:hAnsi="Verdana" w:cs="Times New Roman"/>
                <w:b/>
                <w:bCs/>
                <w:sz w:val="16"/>
                <w:szCs w:val="16"/>
                <w:lang w:val="en-US"/>
              </w:rPr>
              <w:t xml:space="preserve"> </w:t>
            </w:r>
            <w:r w:rsidRPr="00B746AB">
              <w:rPr>
                <w:rFonts w:ascii="Verdana" w:hAnsi="Verdana" w:cs="Times New Roman"/>
                <w:sz w:val="16"/>
                <w:szCs w:val="16"/>
                <w:lang w:val="en-US"/>
              </w:rPr>
              <w:t>, and</w:t>
            </w:r>
          </w:p>
        </w:tc>
      </w:tr>
      <w:tr w:rsidR="00307BA1" w:rsidRPr="00307BA1" w14:paraId="2E2428E5" w14:textId="363A8E58" w:rsidTr="00B746AB">
        <w:tc>
          <w:tcPr>
            <w:tcW w:w="4788" w:type="dxa"/>
          </w:tcPr>
          <w:p w14:paraId="0E7809FF"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A.5.3.3</w:t>
            </w:r>
            <w:r w:rsidRPr="006F11F4">
              <w:rPr>
                <w:rFonts w:ascii="Verdana" w:hAnsi="Verdana"/>
                <w:sz w:val="16"/>
                <w:szCs w:val="16"/>
                <w:lang w:eastAsia="es-MX"/>
              </w:rPr>
              <w:t xml:space="preserve"> Detector óptico o por Espectrofotometría de masas.</w:t>
            </w:r>
          </w:p>
        </w:tc>
        <w:tc>
          <w:tcPr>
            <w:tcW w:w="4788" w:type="dxa"/>
          </w:tcPr>
          <w:p w14:paraId="7F739BD5" w14:textId="32301876"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A.5.3.3 </w:t>
            </w:r>
            <w:r w:rsidRPr="00B746AB">
              <w:rPr>
                <w:rFonts w:ascii="Verdana" w:hAnsi="Verdana" w:cs="Times New Roman"/>
                <w:sz w:val="16"/>
                <w:szCs w:val="16"/>
                <w:lang w:val="en-US"/>
              </w:rPr>
              <w:t>Optical or mass spectrophotometry</w:t>
            </w:r>
            <w:r w:rsidRPr="00B746AB">
              <w:rPr>
                <w:rFonts w:ascii="Verdana" w:hAnsi="Verdana" w:cs="Times New Roman"/>
                <w:b/>
                <w:bCs/>
                <w:sz w:val="16"/>
                <w:szCs w:val="16"/>
                <w:lang w:val="en-US"/>
              </w:rPr>
              <w:t xml:space="preserve"> </w:t>
            </w:r>
            <w:r w:rsidRPr="00B746AB">
              <w:rPr>
                <w:rFonts w:ascii="Verdana" w:hAnsi="Verdana" w:cs="Times New Roman"/>
                <w:sz w:val="16"/>
                <w:szCs w:val="16"/>
                <w:lang w:val="en-US"/>
              </w:rPr>
              <w:t>detector.</w:t>
            </w:r>
          </w:p>
        </w:tc>
      </w:tr>
      <w:tr w:rsidR="00307BA1" w:rsidRPr="006F11F4" w14:paraId="3DD49EB8" w14:textId="112E40BB" w:rsidTr="00B746AB">
        <w:tc>
          <w:tcPr>
            <w:tcW w:w="4788" w:type="dxa"/>
          </w:tcPr>
          <w:p w14:paraId="3C41A7F1"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A.6 Procedimiento</w:t>
            </w:r>
          </w:p>
        </w:tc>
        <w:tc>
          <w:tcPr>
            <w:tcW w:w="4788" w:type="dxa"/>
          </w:tcPr>
          <w:p w14:paraId="3675ED46" w14:textId="7A272953"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A.6 Procedure</w:t>
            </w:r>
          </w:p>
        </w:tc>
      </w:tr>
      <w:tr w:rsidR="00307BA1" w:rsidRPr="006F11F4" w14:paraId="5ECD9CBF" w14:textId="651C57C4" w:rsidTr="00B746AB">
        <w:tc>
          <w:tcPr>
            <w:tcW w:w="4788" w:type="dxa"/>
          </w:tcPr>
          <w:p w14:paraId="20D9CE57"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A.6.1 </w:t>
            </w:r>
            <w:r w:rsidRPr="006F11F4">
              <w:rPr>
                <w:rFonts w:ascii="Verdana" w:hAnsi="Verdana"/>
                <w:sz w:val="16"/>
                <w:szCs w:val="16"/>
                <w:lang w:eastAsia="es-MX"/>
              </w:rPr>
              <w:t>Preparación de las muestras</w:t>
            </w:r>
          </w:p>
        </w:tc>
        <w:tc>
          <w:tcPr>
            <w:tcW w:w="4788" w:type="dxa"/>
          </w:tcPr>
          <w:p w14:paraId="0B5FE308" w14:textId="4B6959C6"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A.6.1 </w:t>
            </w:r>
            <w:r w:rsidRPr="00B746AB">
              <w:rPr>
                <w:rFonts w:ascii="Verdana" w:hAnsi="Verdana" w:cs="Times New Roman"/>
                <w:sz w:val="16"/>
                <w:szCs w:val="16"/>
                <w:lang w:val="en-US"/>
              </w:rPr>
              <w:t>Sample preparation</w:t>
            </w:r>
          </w:p>
        </w:tc>
      </w:tr>
      <w:tr w:rsidR="00307BA1" w:rsidRPr="00307BA1" w14:paraId="41F9E542" w14:textId="789561CD" w:rsidTr="00B746AB">
        <w:tc>
          <w:tcPr>
            <w:tcW w:w="4788" w:type="dxa"/>
          </w:tcPr>
          <w:p w14:paraId="11032D9F"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lastRenderedPageBreak/>
              <w:t xml:space="preserve">A.6.1.1 </w:t>
            </w:r>
            <w:r w:rsidRPr="006F11F4">
              <w:rPr>
                <w:rFonts w:ascii="Verdana" w:hAnsi="Verdana"/>
                <w:sz w:val="16"/>
                <w:szCs w:val="16"/>
                <w:lang w:eastAsia="es-MX"/>
              </w:rPr>
              <w:t>Lavar las piezas con detergente alcalino y enjuagar con agua corriente;</w:t>
            </w:r>
          </w:p>
        </w:tc>
        <w:tc>
          <w:tcPr>
            <w:tcW w:w="4788" w:type="dxa"/>
          </w:tcPr>
          <w:p w14:paraId="15D5E2A5" w14:textId="23A5EE41"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A.6.1.1 </w:t>
            </w:r>
            <w:r w:rsidRPr="00B746AB">
              <w:rPr>
                <w:rFonts w:ascii="Verdana" w:hAnsi="Verdana" w:cs="Times New Roman"/>
                <w:sz w:val="16"/>
                <w:szCs w:val="16"/>
                <w:lang w:val="en-US"/>
              </w:rPr>
              <w:t>Wash the parts with alkaline detergent and rinse under running water;</w:t>
            </w:r>
          </w:p>
        </w:tc>
      </w:tr>
      <w:tr w:rsidR="00307BA1" w:rsidRPr="00307BA1" w14:paraId="78835C71" w14:textId="4964A071" w:rsidTr="00B746AB">
        <w:tc>
          <w:tcPr>
            <w:tcW w:w="4788" w:type="dxa"/>
          </w:tcPr>
          <w:p w14:paraId="2ADCED2B"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A.6.1.2 </w:t>
            </w:r>
            <w:r w:rsidRPr="006F11F4">
              <w:rPr>
                <w:rFonts w:ascii="Verdana" w:hAnsi="Verdana"/>
                <w:sz w:val="16"/>
                <w:szCs w:val="16"/>
                <w:lang w:eastAsia="es-MX"/>
              </w:rPr>
              <w:t>Enjuagar con agua tipo I, escurrir y secar en horno o con papel filtro limpio, y</w:t>
            </w:r>
          </w:p>
        </w:tc>
        <w:tc>
          <w:tcPr>
            <w:tcW w:w="4788" w:type="dxa"/>
          </w:tcPr>
          <w:p w14:paraId="346BFA59" w14:textId="2FB1E79D"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A.6.1.2 </w:t>
            </w:r>
            <w:r w:rsidRPr="00B746AB">
              <w:rPr>
                <w:rFonts w:ascii="Verdana" w:hAnsi="Verdana" w:cs="Times New Roman"/>
                <w:sz w:val="16"/>
                <w:szCs w:val="16"/>
                <w:lang w:val="en-US"/>
              </w:rPr>
              <w:t>Rinse with type I water, drain and dry in the oven or with clean filter paper, and</w:t>
            </w:r>
          </w:p>
        </w:tc>
      </w:tr>
      <w:tr w:rsidR="00307BA1" w:rsidRPr="00307BA1" w14:paraId="20C5494C" w14:textId="2D70065E" w:rsidTr="00B746AB">
        <w:tc>
          <w:tcPr>
            <w:tcW w:w="4788" w:type="dxa"/>
          </w:tcPr>
          <w:p w14:paraId="627E4260"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A.6.1.3 </w:t>
            </w:r>
            <w:r w:rsidRPr="006F11F4">
              <w:rPr>
                <w:rFonts w:ascii="Verdana" w:hAnsi="Verdana"/>
                <w:sz w:val="16"/>
                <w:szCs w:val="16"/>
                <w:lang w:eastAsia="es-MX"/>
              </w:rPr>
              <w:t>Guardar la muestra en un ambiente libre de contaminación por partículas aéreas.</w:t>
            </w:r>
          </w:p>
        </w:tc>
        <w:tc>
          <w:tcPr>
            <w:tcW w:w="4788" w:type="dxa"/>
          </w:tcPr>
          <w:p w14:paraId="3DB11C6A" w14:textId="570F4E1F"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A.6.1.3 </w:t>
            </w:r>
            <w:r w:rsidRPr="00B746AB">
              <w:rPr>
                <w:rFonts w:ascii="Verdana" w:hAnsi="Verdana" w:cs="Times New Roman"/>
                <w:sz w:val="16"/>
                <w:szCs w:val="16"/>
                <w:lang w:val="en-US"/>
              </w:rPr>
              <w:t>Store the sample in an environment free from contamination by airborne particles.</w:t>
            </w:r>
          </w:p>
        </w:tc>
      </w:tr>
      <w:tr w:rsidR="00307BA1" w:rsidRPr="006F11F4" w14:paraId="63D13271" w14:textId="4E9BE74C" w:rsidTr="00B746AB">
        <w:tc>
          <w:tcPr>
            <w:tcW w:w="4788" w:type="dxa"/>
          </w:tcPr>
          <w:p w14:paraId="4B99BC14"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 </w:t>
            </w:r>
            <w:r w:rsidRPr="006F11F4">
              <w:rPr>
                <w:rFonts w:ascii="Verdana" w:hAnsi="Verdana"/>
                <w:sz w:val="16"/>
                <w:szCs w:val="16"/>
                <w:lang w:eastAsia="es-MX"/>
              </w:rPr>
              <w:t>Manejo de piezas</w:t>
            </w:r>
          </w:p>
        </w:tc>
        <w:tc>
          <w:tcPr>
            <w:tcW w:w="4788" w:type="dxa"/>
          </w:tcPr>
          <w:p w14:paraId="4E0531D0" w14:textId="0134DE2C"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 </w:t>
            </w:r>
            <w:r w:rsidRPr="00B746AB">
              <w:rPr>
                <w:rFonts w:ascii="Verdana" w:hAnsi="Verdana" w:cs="Times New Roman"/>
                <w:sz w:val="16"/>
                <w:szCs w:val="16"/>
                <w:lang w:val="en-US"/>
              </w:rPr>
              <w:t>Handling of parts</w:t>
            </w:r>
          </w:p>
        </w:tc>
      </w:tr>
      <w:tr w:rsidR="00307BA1" w:rsidRPr="006F11F4" w14:paraId="008A3E9E" w14:textId="3854E549" w:rsidTr="00B746AB">
        <w:tc>
          <w:tcPr>
            <w:tcW w:w="4788" w:type="dxa"/>
          </w:tcPr>
          <w:p w14:paraId="6B88F775"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A.6.2.1 </w:t>
            </w:r>
            <w:r w:rsidRPr="006F11F4">
              <w:rPr>
                <w:rFonts w:ascii="Verdana" w:hAnsi="Verdana"/>
                <w:sz w:val="16"/>
                <w:szCs w:val="16"/>
                <w:lang w:eastAsia="es-MX"/>
              </w:rPr>
              <w:t>Piezas huecas pequeñas:</w:t>
            </w:r>
          </w:p>
        </w:tc>
        <w:tc>
          <w:tcPr>
            <w:tcW w:w="4788" w:type="dxa"/>
          </w:tcPr>
          <w:p w14:paraId="2BECEA80" w14:textId="643BE878"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A.6.2.1 </w:t>
            </w:r>
            <w:r w:rsidRPr="00B746AB">
              <w:rPr>
                <w:rFonts w:ascii="Verdana" w:hAnsi="Verdana" w:cs="Times New Roman"/>
                <w:sz w:val="16"/>
                <w:szCs w:val="16"/>
                <w:lang w:val="en-US"/>
              </w:rPr>
              <w:t>Small hollow parts:</w:t>
            </w:r>
          </w:p>
        </w:tc>
      </w:tr>
      <w:tr w:rsidR="00307BA1" w:rsidRPr="00307BA1" w14:paraId="18BA164C" w14:textId="3AED0731" w:rsidTr="00B746AB">
        <w:tc>
          <w:tcPr>
            <w:tcW w:w="4788" w:type="dxa"/>
          </w:tcPr>
          <w:p w14:paraId="5290D14B"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sz w:val="16"/>
                <w:szCs w:val="16"/>
                <w:lang w:eastAsia="es-MX"/>
              </w:rPr>
              <w:t>Entendiéndose interior cuando el vidriado de las superficies interiores es el que está en contacto con los alimentos y bebidas; en tanto que el exterior, es el obtenido del área susceptible de entrar en contacto con labios y lengua de las personas.</w:t>
            </w:r>
          </w:p>
        </w:tc>
        <w:tc>
          <w:tcPr>
            <w:tcW w:w="4788" w:type="dxa"/>
          </w:tcPr>
          <w:p w14:paraId="3239C2B6" w14:textId="69521D0F" w:rsidR="00307BA1" w:rsidRPr="00B746AB" w:rsidRDefault="00307BA1" w:rsidP="00307BA1">
            <w:pPr>
              <w:pStyle w:val="Texto"/>
              <w:spacing w:after="36" w:line="240" w:lineRule="auto"/>
              <w:ind w:firstLine="0"/>
              <w:rPr>
                <w:rFonts w:ascii="Verdana" w:hAnsi="Verdana"/>
                <w:sz w:val="16"/>
                <w:szCs w:val="16"/>
                <w:lang w:val="en-US" w:eastAsia="es-MX"/>
              </w:rPr>
            </w:pPr>
            <w:r w:rsidRPr="00B746AB">
              <w:rPr>
                <w:rFonts w:ascii="Verdana" w:hAnsi="Verdana" w:cs="Times New Roman"/>
                <w:sz w:val="16"/>
                <w:szCs w:val="16"/>
                <w:lang w:val="en-US"/>
              </w:rPr>
              <w:t>Being understood interior when the glazing of the interior surfaces is the one that is in contact with food and beverages; while the exterior is that obtained from the area likely to come into contact with people's lips and tongue.</w:t>
            </w:r>
          </w:p>
        </w:tc>
      </w:tr>
      <w:tr w:rsidR="00307BA1" w:rsidRPr="00307BA1" w14:paraId="3DDE4FCB" w14:textId="6CEF86C6" w:rsidTr="00B746AB">
        <w:tc>
          <w:tcPr>
            <w:tcW w:w="4788" w:type="dxa"/>
          </w:tcPr>
          <w:p w14:paraId="35F61DB4"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A.6.2.1.1 </w:t>
            </w:r>
            <w:r w:rsidRPr="006F11F4">
              <w:rPr>
                <w:rFonts w:ascii="Verdana" w:hAnsi="Verdana"/>
                <w:sz w:val="16"/>
                <w:szCs w:val="16"/>
                <w:lang w:eastAsia="es-MX"/>
              </w:rPr>
              <w:t>Para medir el contenido en el interior, marcar cada una de las cuatro piezas de prueba hasta 7 mm antes que se derrame el líquido, la medición de la distancia debe ser a lo largo de la superficie de la pieza (no debe medirse la distancia vertical), llenar cada pieza hasta la marca con ácido acético al 4%, anotar el volumen utilizado para cada pieza. Cubrir cada pieza con un vidrio plano, para evitar la evaporación. Dejar reposar a una temperatura de 22 °C ± 2 °C, durante 24 h y protegidas de la luz.</w:t>
            </w:r>
          </w:p>
        </w:tc>
        <w:tc>
          <w:tcPr>
            <w:tcW w:w="4788" w:type="dxa"/>
          </w:tcPr>
          <w:p w14:paraId="3C123EC9" w14:textId="2C422D11"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A.6.2.1.1 </w:t>
            </w:r>
            <w:r w:rsidRPr="00B746AB">
              <w:rPr>
                <w:rFonts w:ascii="Verdana" w:hAnsi="Verdana" w:cs="Times New Roman"/>
                <w:sz w:val="16"/>
                <w:szCs w:val="16"/>
                <w:lang w:val="en-US"/>
              </w:rPr>
              <w:t>To measure the content inside, mark each of the four test pieces up to 7</w:t>
            </w:r>
            <w:r w:rsidR="00B746AB">
              <w:rPr>
                <w:rFonts w:ascii="Verdana" w:hAnsi="Verdana" w:cs="Times New Roman"/>
                <w:sz w:val="16"/>
                <w:szCs w:val="16"/>
                <w:lang w:val="en-US"/>
              </w:rPr>
              <w:t xml:space="preserve"> </w:t>
            </w:r>
            <w:r w:rsidRPr="00B746AB">
              <w:rPr>
                <w:rFonts w:ascii="Verdana" w:hAnsi="Verdana" w:cs="Times New Roman"/>
                <w:sz w:val="16"/>
                <w:szCs w:val="16"/>
                <w:lang w:val="en-US"/>
              </w:rPr>
              <w:t>mm before the liquid is spilled, the distance measurement should be along the surface of the piece (not vertical distance should be measured), fill each piece to the mark with 4% acetic acid, note the volume used for each piece. Cover each piece with a flat glass, to avoid evaporation. Let stand at a temperature of 22°C ± 2° C, for 24 h and protected from light.</w:t>
            </w:r>
          </w:p>
        </w:tc>
      </w:tr>
      <w:tr w:rsidR="00307BA1" w:rsidRPr="006F11F4" w14:paraId="08DEDC5A" w14:textId="22FF6B61" w:rsidTr="00B746AB">
        <w:tc>
          <w:tcPr>
            <w:tcW w:w="4788" w:type="dxa"/>
          </w:tcPr>
          <w:p w14:paraId="14A7EA94"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A.6.2.1.2 </w:t>
            </w:r>
            <w:r w:rsidRPr="006F11F4">
              <w:rPr>
                <w:rFonts w:ascii="Verdana" w:hAnsi="Verdana"/>
                <w:sz w:val="16"/>
                <w:szCs w:val="16"/>
                <w:lang w:eastAsia="es-MX"/>
              </w:rPr>
              <w:t>Ajustar el volumen de disolución después de las 24 h con ácido acético al 4%, sólo si hubo pérdida por evaporación, homogeneizar el líquido de extracción antes de retirar la pieza y tomar la cantidad suficiente y basta para efectuar las lecturas de cada pieza. Colocar en un recipiente limpio, tapar, identificar  y analizar.</w:t>
            </w:r>
          </w:p>
        </w:tc>
        <w:tc>
          <w:tcPr>
            <w:tcW w:w="4788" w:type="dxa"/>
          </w:tcPr>
          <w:p w14:paraId="3BC73138" w14:textId="223156CA"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A.6.2.1.2 </w:t>
            </w:r>
            <w:r w:rsidRPr="00B746AB">
              <w:rPr>
                <w:rFonts w:ascii="Verdana" w:hAnsi="Verdana" w:cs="Times New Roman"/>
                <w:sz w:val="16"/>
                <w:szCs w:val="16"/>
                <w:lang w:val="en-US"/>
              </w:rPr>
              <w:t>Adjust the volume of solution after 24 h with 4% acetic acid, only if there was loss by evaporation, homogenize the extraction liquid before removing the piece and take a sufficient quantity and sufficient to take the readings of each piece. Place in a clean container, cover, identify and analyze.</w:t>
            </w:r>
          </w:p>
        </w:tc>
      </w:tr>
      <w:tr w:rsidR="00307BA1" w:rsidRPr="00307BA1" w14:paraId="7A8DB09C" w14:textId="63B80809" w:rsidTr="00B746AB">
        <w:tc>
          <w:tcPr>
            <w:tcW w:w="4788" w:type="dxa"/>
          </w:tcPr>
          <w:p w14:paraId="68B81F17"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A.6.2.1.3 </w:t>
            </w:r>
            <w:r w:rsidRPr="006F11F4">
              <w:rPr>
                <w:rFonts w:ascii="Verdana" w:hAnsi="Verdana"/>
                <w:sz w:val="16"/>
                <w:szCs w:val="16"/>
                <w:lang w:eastAsia="es-MX"/>
              </w:rPr>
              <w:t>Para muestras con vidriado exterior, hacer una marca en la superficie exterior del objeto a 2 cm del borde. Colocar las muestras invertidas dentro de un recipiente de vidrio borosilicato que tenga cuando menos de 1.5 a 2 veces el diámetro del espécimen a probar (para artículos de vidrio 1.25 a 2 veces el diámetro del recipiente).</w:t>
            </w:r>
          </w:p>
        </w:tc>
        <w:tc>
          <w:tcPr>
            <w:tcW w:w="4788" w:type="dxa"/>
          </w:tcPr>
          <w:p w14:paraId="2619212E" w14:textId="59DB3F06"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A.6.2.1.3 </w:t>
            </w:r>
            <w:r w:rsidRPr="00B746AB">
              <w:rPr>
                <w:rFonts w:ascii="Verdana" w:hAnsi="Verdana" w:cs="Times New Roman"/>
                <w:sz w:val="16"/>
                <w:szCs w:val="16"/>
                <w:lang w:val="en-US"/>
              </w:rPr>
              <w:t>For specimens with exterior glazing, make a mark on the exterior surface of the object 2 cm from the edge. Place the inverted samples in a borosilicate glass container that is at least 1.5 to 2 times the diameter of the specimen to be tested (for glass items 1.25 to 2 times the diameter of the container).</w:t>
            </w:r>
          </w:p>
        </w:tc>
      </w:tr>
      <w:tr w:rsidR="00307BA1" w:rsidRPr="00307BA1" w14:paraId="00AC605F" w14:textId="2D1AA85F" w:rsidTr="00B746AB">
        <w:tc>
          <w:tcPr>
            <w:tcW w:w="4788" w:type="dxa"/>
          </w:tcPr>
          <w:p w14:paraId="28BD4929"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A.6.2.1.4 </w:t>
            </w:r>
            <w:r w:rsidRPr="006F11F4">
              <w:rPr>
                <w:rFonts w:ascii="Verdana" w:hAnsi="Verdana"/>
                <w:sz w:val="16"/>
                <w:szCs w:val="16"/>
                <w:lang w:eastAsia="es-MX"/>
              </w:rPr>
              <w:t>Llenar el recipiente con la disolución de ácido acético al 4% con una probeta graduada, hasta que alcance el nivel de la marca (a 2 cm del borde de la muestra), anotar el volumen de disolución necesaria y dejar reposar por 24 h a temperaturas de 22 °C ± 2 °C, cubrir con una tapa para evitar evaporación, así como para proteger de contaminación por partículas aéreas.</w:t>
            </w:r>
          </w:p>
        </w:tc>
        <w:tc>
          <w:tcPr>
            <w:tcW w:w="4788" w:type="dxa"/>
          </w:tcPr>
          <w:p w14:paraId="72BA0300" w14:textId="38E6E8CC"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A.6.2.1.4 </w:t>
            </w:r>
            <w:r w:rsidRPr="00B746AB">
              <w:rPr>
                <w:rFonts w:ascii="Verdana" w:hAnsi="Verdana" w:cs="Times New Roman"/>
                <w:sz w:val="16"/>
                <w:szCs w:val="16"/>
                <w:lang w:val="en-US"/>
              </w:rPr>
              <w:t>Fill the container with the 4% acetic acid solution with a graduated cylinder, until it reaches the level of the mark (2 cm from the edge of the sample), record the volume of solution required and let it settle. for 24 h at temperatures of 22°C ± 2°C, cover with a lid to avoid evaporation, as well as to protect against contamination by airborne particles.</w:t>
            </w:r>
          </w:p>
        </w:tc>
      </w:tr>
      <w:tr w:rsidR="00307BA1" w:rsidRPr="006F11F4" w14:paraId="5DFA8B17" w14:textId="65120392" w:rsidTr="00B746AB">
        <w:tc>
          <w:tcPr>
            <w:tcW w:w="4788" w:type="dxa"/>
          </w:tcPr>
          <w:p w14:paraId="6FF9D202"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A.6.2.1.5 </w:t>
            </w:r>
            <w:r w:rsidRPr="006F11F4">
              <w:rPr>
                <w:rFonts w:ascii="Verdana" w:hAnsi="Verdana"/>
                <w:sz w:val="16"/>
                <w:szCs w:val="16"/>
                <w:lang w:eastAsia="es-MX"/>
              </w:rPr>
              <w:t>Ajustar el volumen de disolución después de las 24 h con ácido acético al 4%, sólo si hubo pérdida por evaporación, homogeneizar el líquido de extracción antes de retirar la pieza y tomar la cantidad suficiente y basta para efectuar las lecturas, de cada pieza. Colocar en un recipiente limpio, tapar, identificar  y analizar.</w:t>
            </w:r>
          </w:p>
        </w:tc>
        <w:tc>
          <w:tcPr>
            <w:tcW w:w="4788" w:type="dxa"/>
          </w:tcPr>
          <w:p w14:paraId="7F1FD984" w14:textId="0D7DAE42"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A.6.2.1.5 </w:t>
            </w:r>
            <w:r w:rsidRPr="00B746AB">
              <w:rPr>
                <w:rFonts w:ascii="Verdana" w:hAnsi="Verdana" w:cs="Times New Roman"/>
                <w:sz w:val="16"/>
                <w:szCs w:val="16"/>
                <w:lang w:val="en-US"/>
              </w:rPr>
              <w:t>Adjust the volume of solution after 24 h with 4% acetic acid, only if there was loss by evaporation, homogenize the extraction liquid before removing the piece and take a sufficient quantity and sufficient to make the readings, of each piece. Place in a clean container, cover, identify and analyze.</w:t>
            </w:r>
          </w:p>
        </w:tc>
      </w:tr>
      <w:tr w:rsidR="00307BA1" w:rsidRPr="00307BA1" w14:paraId="54DCF4F8" w14:textId="03E8A939" w:rsidTr="00B746AB">
        <w:tc>
          <w:tcPr>
            <w:tcW w:w="4788" w:type="dxa"/>
          </w:tcPr>
          <w:p w14:paraId="6FB6DA2D"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A.6.2.1.6 </w:t>
            </w:r>
            <w:r w:rsidRPr="006F11F4">
              <w:rPr>
                <w:rFonts w:ascii="Verdana" w:hAnsi="Verdana"/>
                <w:sz w:val="16"/>
                <w:szCs w:val="16"/>
                <w:lang w:eastAsia="es-MX"/>
              </w:rPr>
              <w:t>Medir el volumen interior total de la pieza con agua destilada y anotar el resultado.</w:t>
            </w:r>
          </w:p>
        </w:tc>
        <w:tc>
          <w:tcPr>
            <w:tcW w:w="4788" w:type="dxa"/>
          </w:tcPr>
          <w:p w14:paraId="0FB0A463" w14:textId="49235400"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A.6.2.1.6 </w:t>
            </w:r>
            <w:r w:rsidRPr="00B746AB">
              <w:rPr>
                <w:rFonts w:ascii="Verdana" w:hAnsi="Verdana" w:cs="Times New Roman"/>
                <w:sz w:val="16"/>
                <w:szCs w:val="16"/>
                <w:lang w:val="en-US"/>
              </w:rPr>
              <w:t>Measure the total internal volume of the piece with distilled water and record the result.</w:t>
            </w:r>
          </w:p>
        </w:tc>
      </w:tr>
      <w:tr w:rsidR="00307BA1" w:rsidRPr="00307BA1" w14:paraId="3958ABDF" w14:textId="069F11AE" w:rsidTr="00B746AB">
        <w:tc>
          <w:tcPr>
            <w:tcW w:w="4788" w:type="dxa"/>
          </w:tcPr>
          <w:p w14:paraId="3BAEBB6A"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A.6.2.2 </w:t>
            </w:r>
            <w:r w:rsidRPr="006F11F4">
              <w:rPr>
                <w:rFonts w:ascii="Verdana" w:hAnsi="Verdana"/>
                <w:sz w:val="16"/>
                <w:szCs w:val="16"/>
                <w:lang w:eastAsia="es-MX"/>
              </w:rPr>
              <w:t>Piezas huecas grandes, de almacenaje y planas:</w:t>
            </w:r>
          </w:p>
        </w:tc>
        <w:tc>
          <w:tcPr>
            <w:tcW w:w="4788" w:type="dxa"/>
          </w:tcPr>
          <w:p w14:paraId="1F75FE07" w14:textId="6B5A4F87"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A.6.2.2 </w:t>
            </w:r>
            <w:r w:rsidRPr="00B746AB">
              <w:rPr>
                <w:rFonts w:ascii="Verdana" w:hAnsi="Verdana" w:cs="Times New Roman"/>
                <w:sz w:val="16"/>
                <w:szCs w:val="16"/>
                <w:lang w:val="en-US"/>
              </w:rPr>
              <w:t>Large hollow pieces, storage and flat:</w:t>
            </w:r>
          </w:p>
        </w:tc>
      </w:tr>
      <w:tr w:rsidR="00307BA1" w:rsidRPr="00307BA1" w14:paraId="6B47AFFC" w14:textId="0C9F26C4" w:rsidTr="00B746AB">
        <w:tc>
          <w:tcPr>
            <w:tcW w:w="4788" w:type="dxa"/>
          </w:tcPr>
          <w:p w14:paraId="19C6661A"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A.6.2.2.1 </w:t>
            </w:r>
            <w:r w:rsidRPr="006F11F4">
              <w:rPr>
                <w:rFonts w:ascii="Verdana" w:hAnsi="Verdana"/>
                <w:sz w:val="16"/>
                <w:szCs w:val="16"/>
                <w:lang w:eastAsia="es-MX"/>
              </w:rPr>
              <w:t>Medir y marcar cada una de las cuatro piezas de prueba hasta 7 mm antes que se derrame el líquido, la medición de la distancia debe ser a lo largo de la superficie de la pieza (no debe medirse la distancia vertical), llenar cada pieza hasta la marca con ácido acético al 4%, anotar el volumen utilizado para llenar cada pieza. Cubrir cada pieza con un vidrio plano, para evitar la evaporación. Dejar reposar a una temperatura de 22 °C ± 2 °C, durante 24 h y protegidas de la luz.</w:t>
            </w:r>
          </w:p>
        </w:tc>
        <w:tc>
          <w:tcPr>
            <w:tcW w:w="4788" w:type="dxa"/>
          </w:tcPr>
          <w:p w14:paraId="509EE6F9" w14:textId="2EB02415"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A.6.2.2.1 </w:t>
            </w:r>
            <w:r w:rsidRPr="00B746AB">
              <w:rPr>
                <w:rFonts w:ascii="Verdana" w:hAnsi="Verdana" w:cs="Times New Roman"/>
                <w:sz w:val="16"/>
                <w:szCs w:val="16"/>
                <w:lang w:val="en-US"/>
              </w:rPr>
              <w:t>Measure and mark each of the four test pieces up to 7mm before liquid is spilled, the distance measurement should be along the surface of the piece (vertical distance should not be measured), fill each piece up to the mark with 4% acetic acid, record the volume used to fill each piece. Cover each piece with a flat glass, to avoid evaporation. Let stand at a temperature of 22°C ± 2°C, for 24 h and protected from light.</w:t>
            </w:r>
          </w:p>
        </w:tc>
      </w:tr>
      <w:tr w:rsidR="00307BA1" w:rsidRPr="006F11F4" w14:paraId="3CAEE504" w14:textId="7B0FBA04" w:rsidTr="00B746AB">
        <w:tc>
          <w:tcPr>
            <w:tcW w:w="4788" w:type="dxa"/>
          </w:tcPr>
          <w:p w14:paraId="38374DC2"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lastRenderedPageBreak/>
              <w:t xml:space="preserve">A.6.2.2.2 </w:t>
            </w:r>
            <w:r w:rsidRPr="006F11F4">
              <w:rPr>
                <w:rFonts w:ascii="Verdana" w:hAnsi="Verdana"/>
                <w:sz w:val="16"/>
                <w:szCs w:val="16"/>
                <w:lang w:eastAsia="es-MX"/>
              </w:rPr>
              <w:t>Ajustar el volumen de disolución después de las 24 h con ácido acético al 4%, sólo si hubo pérdida por evaporación, homogeneizar el líquido de extracción antes de retirar la pieza y tomar la cantidad suficiente y basta para efectuar las lecturas, de cada pieza. Colocar en un recipiente limpio, tapar, identificar  y analizar.</w:t>
            </w:r>
          </w:p>
        </w:tc>
        <w:tc>
          <w:tcPr>
            <w:tcW w:w="4788" w:type="dxa"/>
          </w:tcPr>
          <w:p w14:paraId="25602A4F" w14:textId="3664FF63"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A.6.2.2.2 </w:t>
            </w:r>
            <w:r w:rsidRPr="00B746AB">
              <w:rPr>
                <w:rFonts w:ascii="Verdana" w:hAnsi="Verdana" w:cs="Times New Roman"/>
                <w:sz w:val="16"/>
                <w:szCs w:val="16"/>
                <w:lang w:val="en-US"/>
              </w:rPr>
              <w:t>Adjust the volume of solution after 24 h with 4% acetic acid, only if there was loss by evaporation, homogenize the extraction liquid before removing the piece and take a sufficient quantity and sufficient to make the readings, of each piece. Place in a clean container, cover, identify and analyze.</w:t>
            </w:r>
          </w:p>
        </w:tc>
      </w:tr>
      <w:tr w:rsidR="00307BA1" w:rsidRPr="00307BA1" w14:paraId="0DC8BEEA" w14:textId="7543E01A" w:rsidTr="00B746AB">
        <w:tc>
          <w:tcPr>
            <w:tcW w:w="4788" w:type="dxa"/>
          </w:tcPr>
          <w:p w14:paraId="1C94A69E"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A.6.2.2.3 </w:t>
            </w:r>
            <w:r w:rsidRPr="006F11F4">
              <w:rPr>
                <w:rFonts w:ascii="Verdana" w:hAnsi="Verdana"/>
                <w:sz w:val="16"/>
                <w:szCs w:val="16"/>
                <w:lang w:eastAsia="es-MX"/>
              </w:rPr>
              <w:t>Medir el volumen interior total de la pieza con agua destilada y anotar el resultado.</w:t>
            </w:r>
          </w:p>
        </w:tc>
        <w:tc>
          <w:tcPr>
            <w:tcW w:w="4788" w:type="dxa"/>
          </w:tcPr>
          <w:p w14:paraId="47F9499E" w14:textId="7E8911F1"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A.6.2.2.3 </w:t>
            </w:r>
            <w:r w:rsidRPr="00B746AB">
              <w:rPr>
                <w:rFonts w:ascii="Verdana" w:hAnsi="Verdana" w:cs="Times New Roman"/>
                <w:sz w:val="16"/>
                <w:szCs w:val="16"/>
                <w:lang w:val="en-US"/>
              </w:rPr>
              <w:t>Measure the total interior volume of the piece with distilled water and record the result.</w:t>
            </w:r>
          </w:p>
        </w:tc>
      </w:tr>
      <w:tr w:rsidR="00307BA1" w:rsidRPr="00307BA1" w14:paraId="597DBF59" w14:textId="418A1C1F" w:rsidTr="00B746AB">
        <w:tc>
          <w:tcPr>
            <w:tcW w:w="4788" w:type="dxa"/>
          </w:tcPr>
          <w:p w14:paraId="6950BD5E" w14:textId="77777777" w:rsidR="00307BA1" w:rsidRPr="006F11F4" w:rsidRDefault="00307BA1" w:rsidP="00307BA1">
            <w:pPr>
              <w:pStyle w:val="Texto"/>
              <w:spacing w:after="36" w:line="240" w:lineRule="auto"/>
              <w:ind w:firstLine="0"/>
              <w:rPr>
                <w:rFonts w:ascii="Verdana" w:hAnsi="Verdana"/>
                <w:sz w:val="16"/>
                <w:szCs w:val="16"/>
                <w:lang w:eastAsia="es-MX"/>
              </w:rPr>
            </w:pPr>
            <w:r w:rsidRPr="006F11F4">
              <w:rPr>
                <w:rFonts w:ascii="Verdana" w:hAnsi="Verdana"/>
                <w:b/>
                <w:sz w:val="16"/>
                <w:szCs w:val="16"/>
                <w:lang w:eastAsia="es-MX"/>
              </w:rPr>
              <w:t xml:space="preserve">A.6.2.3 </w:t>
            </w:r>
            <w:r w:rsidRPr="006F11F4">
              <w:rPr>
                <w:rFonts w:ascii="Verdana" w:hAnsi="Verdana"/>
                <w:sz w:val="16"/>
                <w:szCs w:val="16"/>
                <w:lang w:eastAsia="es-MX"/>
              </w:rPr>
              <w:t>Piezas para procesar alimentos y/o bebidas:</w:t>
            </w:r>
          </w:p>
        </w:tc>
        <w:tc>
          <w:tcPr>
            <w:tcW w:w="4788" w:type="dxa"/>
          </w:tcPr>
          <w:p w14:paraId="6A65B66A" w14:textId="08095322" w:rsidR="00307BA1" w:rsidRPr="00B746AB" w:rsidRDefault="00307BA1" w:rsidP="00307BA1">
            <w:pPr>
              <w:pStyle w:val="Texto"/>
              <w:spacing w:after="36"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A.6.2.3 </w:t>
            </w:r>
            <w:r w:rsidRPr="00B746AB">
              <w:rPr>
                <w:rFonts w:ascii="Verdana" w:hAnsi="Verdana" w:cs="Times New Roman"/>
                <w:sz w:val="16"/>
                <w:szCs w:val="16"/>
                <w:lang w:val="en-US"/>
              </w:rPr>
              <w:t xml:space="preserve">Parts for processing food </w:t>
            </w:r>
            <w:r w:rsidR="00AA2282" w:rsidRPr="00B746AB">
              <w:rPr>
                <w:rFonts w:ascii="Verdana" w:hAnsi="Verdana" w:cs="Times New Roman"/>
                <w:sz w:val="16"/>
                <w:szCs w:val="16"/>
                <w:lang w:val="en-US"/>
              </w:rPr>
              <w:t>and/or</w:t>
            </w:r>
            <w:r w:rsidRPr="00B746AB">
              <w:rPr>
                <w:rFonts w:ascii="Verdana" w:hAnsi="Verdana" w:cs="Times New Roman"/>
                <w:sz w:val="16"/>
                <w:szCs w:val="16"/>
                <w:lang w:val="en-US"/>
              </w:rPr>
              <w:t xml:space="preserve"> beverages:</w:t>
            </w:r>
          </w:p>
        </w:tc>
      </w:tr>
      <w:tr w:rsidR="00307BA1" w:rsidRPr="00307BA1" w14:paraId="75FB3C89" w14:textId="5B13E296" w:rsidTr="00B746AB">
        <w:tc>
          <w:tcPr>
            <w:tcW w:w="4788" w:type="dxa"/>
          </w:tcPr>
          <w:p w14:paraId="4822B15E"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 xml:space="preserve">A.6.2.3.1 </w:t>
            </w:r>
            <w:r w:rsidRPr="006F11F4">
              <w:rPr>
                <w:rFonts w:ascii="Verdana" w:hAnsi="Verdana"/>
                <w:sz w:val="16"/>
                <w:szCs w:val="16"/>
                <w:lang w:eastAsia="es-MX"/>
              </w:rPr>
              <w:t>Llene las cuatro piezas hasta 2/3 partes de su volumen efectivo con agua tipo I. Cubra el recipiente con su propia tapa, si tiene, o con una pieza de vidrio borosilicato. Determinar el volumen efectivo del espécimen midiendo el volumen necesario para llenarlo hasta el borde.</w:t>
            </w:r>
          </w:p>
        </w:tc>
        <w:tc>
          <w:tcPr>
            <w:tcW w:w="4788" w:type="dxa"/>
          </w:tcPr>
          <w:p w14:paraId="24E88BC8" w14:textId="7E83966A" w:rsidR="00307BA1" w:rsidRPr="00B746AB" w:rsidRDefault="00307BA1" w:rsidP="00307BA1">
            <w:pPr>
              <w:pStyle w:val="Texto"/>
              <w:spacing w:after="40"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xml:space="preserve">A.6.2.3.1 </w:t>
            </w:r>
            <w:r w:rsidRPr="00B746AB">
              <w:rPr>
                <w:rFonts w:ascii="Verdana" w:hAnsi="Verdana" w:cs="Times New Roman"/>
                <w:sz w:val="16"/>
                <w:szCs w:val="16"/>
                <w:lang w:val="en-US"/>
              </w:rPr>
              <w:t>Fill the four pieces to 2/3 of their effective volume with Type I water. Cover the container with its own lid, if equipped, or with a piece of borosilicate glass. Determine the effective volume of the specimen by measuring the volume necessary to fill it to the brim.</w:t>
            </w:r>
          </w:p>
        </w:tc>
      </w:tr>
      <w:tr w:rsidR="00307BA1" w:rsidRPr="00307BA1" w14:paraId="2BC851E6" w14:textId="77777777" w:rsidTr="00B746AB">
        <w:tc>
          <w:tcPr>
            <w:tcW w:w="4788" w:type="dxa"/>
          </w:tcPr>
          <w:p w14:paraId="37675D75" w14:textId="30FF8C01" w:rsidR="00307BA1" w:rsidRPr="00B746AB" w:rsidRDefault="00307BA1" w:rsidP="00B746AB">
            <w:pPr>
              <w:pStyle w:val="Texto"/>
              <w:spacing w:after="40" w:line="240" w:lineRule="auto"/>
              <w:rPr>
                <w:rFonts w:ascii="Verdana" w:hAnsi="Verdana"/>
                <w:sz w:val="16"/>
                <w:szCs w:val="16"/>
                <w:lang w:eastAsia="es-MX"/>
              </w:rPr>
            </w:pPr>
            <w:r w:rsidRPr="006F11F4">
              <w:rPr>
                <w:rFonts w:ascii="Verdana" w:hAnsi="Verdana"/>
                <w:b/>
                <w:sz w:val="16"/>
                <w:szCs w:val="16"/>
                <w:lang w:eastAsia="es-MX"/>
              </w:rPr>
              <w:t xml:space="preserve">A.6.2.3.2 </w:t>
            </w:r>
            <w:r w:rsidRPr="006F11F4">
              <w:rPr>
                <w:rFonts w:ascii="Verdana" w:hAnsi="Verdana"/>
                <w:sz w:val="16"/>
                <w:szCs w:val="16"/>
                <w:lang w:eastAsia="es-MX"/>
              </w:rPr>
              <w:t>Coloque los recipientes en una parrilla térmica y caliente hasta que se produzca una ebullición (para recipientes que tengan su propio elemento de calentamiento, controle la temperatura mediante dicho dispositivo), en ese momento agregue el ácido acético glacial para obtener una disolución al 4%. El volumen de ácido acético requerido se calcula de la siguiente manera:</w:t>
            </w:r>
          </w:p>
        </w:tc>
        <w:tc>
          <w:tcPr>
            <w:tcW w:w="4788" w:type="dxa"/>
          </w:tcPr>
          <w:p w14:paraId="192E589F" w14:textId="77777777" w:rsidR="00307BA1" w:rsidRPr="00B746AB" w:rsidRDefault="00307BA1" w:rsidP="00B746AB">
            <w:pPr>
              <w:spacing w:after="40"/>
              <w:jc w:val="both"/>
              <w:rPr>
                <w:lang w:val="en-US"/>
              </w:rPr>
            </w:pPr>
            <w:r w:rsidRPr="00B746AB">
              <w:rPr>
                <w:rFonts w:ascii="Verdana" w:hAnsi="Verdana"/>
                <w:b/>
                <w:bCs/>
                <w:sz w:val="16"/>
                <w:szCs w:val="16"/>
                <w:lang w:val="en-US"/>
              </w:rPr>
              <w:t xml:space="preserve">A.6.2.3.2 </w:t>
            </w:r>
            <w:r w:rsidRPr="00B746AB">
              <w:rPr>
                <w:rFonts w:ascii="Verdana" w:hAnsi="Verdana"/>
                <w:sz w:val="16"/>
                <w:szCs w:val="16"/>
                <w:lang w:val="en-US"/>
              </w:rPr>
              <w:t>Place the containers on a thermal grill and heat until boiling occurs (for containers that have their own heating element, control the temperature by means of this device), at that time add the glacial acetic acid to obtain a 4% solution. The required volume of acetic acid is calculated as follows:</w:t>
            </w:r>
          </w:p>
          <w:p w14:paraId="137933E3" w14:textId="220A85D5" w:rsidR="00307BA1" w:rsidRPr="00B746AB" w:rsidRDefault="00307BA1" w:rsidP="00307BA1">
            <w:pPr>
              <w:pStyle w:val="Texto"/>
              <w:spacing w:after="40" w:line="240" w:lineRule="auto"/>
              <w:ind w:firstLine="0"/>
              <w:rPr>
                <w:rFonts w:ascii="Verdana" w:hAnsi="Verdana"/>
                <w:b/>
                <w:sz w:val="16"/>
                <w:szCs w:val="16"/>
                <w:lang w:val="en-US" w:eastAsia="es-MX"/>
              </w:rPr>
            </w:pPr>
            <w:r w:rsidRPr="00B746AB">
              <w:rPr>
                <w:rFonts w:ascii="Verdana" w:hAnsi="Verdana" w:cs="Times New Roman"/>
                <w:b/>
                <w:bCs/>
                <w:sz w:val="16"/>
                <w:szCs w:val="16"/>
                <w:lang w:val="en-US"/>
              </w:rPr>
              <w:t> </w:t>
            </w:r>
          </w:p>
        </w:tc>
      </w:tr>
    </w:tbl>
    <w:p w14:paraId="25A39F2E" w14:textId="111E6E72" w:rsidR="006F11F4" w:rsidRPr="00307BA1" w:rsidRDefault="006F11F4" w:rsidP="00EA3099">
      <w:pPr>
        <w:pStyle w:val="Texto"/>
        <w:spacing w:after="40" w:line="240" w:lineRule="auto"/>
        <w:rPr>
          <w:rFonts w:ascii="Verdana" w:hAnsi="Verdana"/>
          <w:sz w:val="16"/>
          <w:szCs w:val="16"/>
          <w:lang w:val="en-US" w:eastAsia="es-MX"/>
        </w:rPr>
      </w:pPr>
    </w:p>
    <w:p w14:paraId="577FD0DF" w14:textId="4AE797A2" w:rsidR="006F11F4" w:rsidRPr="006F11F4" w:rsidRDefault="00AC7BAB" w:rsidP="00963A27">
      <w:pPr>
        <w:pStyle w:val="Texto"/>
        <w:spacing w:after="40" w:line="240" w:lineRule="auto"/>
        <w:jc w:val="center"/>
        <w:rPr>
          <w:rFonts w:ascii="Verdana" w:hAnsi="Verdana"/>
          <w:sz w:val="16"/>
          <w:szCs w:val="16"/>
          <w:lang w:eastAsia="es-MX"/>
        </w:rPr>
      </w:pPr>
      <w:r w:rsidRPr="00003EBB">
        <w:rPr>
          <w:noProof/>
        </w:rPr>
        <w:drawing>
          <wp:inline distT="0" distB="0" distL="0" distR="0" wp14:anchorId="412F12DA" wp14:editId="52100047">
            <wp:extent cx="836930" cy="122555"/>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122555"/>
                    </a:xfrm>
                    <a:prstGeom prst="rect">
                      <a:avLst/>
                    </a:prstGeom>
                    <a:noFill/>
                    <a:ln>
                      <a:noFill/>
                    </a:ln>
                  </pic:spPr>
                </pic:pic>
              </a:graphicData>
            </a:graphic>
          </wp:inline>
        </w:drawing>
      </w:r>
    </w:p>
    <w:p w14:paraId="7E257F9B" w14:textId="77777777" w:rsidR="006F11F4" w:rsidRDefault="006F11F4" w:rsidP="00EA3099">
      <w:pPr>
        <w:pStyle w:val="Texto"/>
        <w:spacing w:after="40" w:line="240" w:lineRule="auto"/>
        <w:rPr>
          <w:rFonts w:ascii="Verdana" w:hAnsi="Verdana"/>
          <w:sz w:val="16"/>
          <w:szCs w:val="16"/>
          <w:lang w:eastAsia="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307BA1" w:rsidRPr="006F11F4" w14:paraId="6CB0DCDC" w14:textId="77777777" w:rsidTr="00B746AB">
        <w:tc>
          <w:tcPr>
            <w:tcW w:w="4788" w:type="dxa"/>
          </w:tcPr>
          <w:p w14:paraId="61837FD0" w14:textId="77777777" w:rsidR="00307BA1" w:rsidRPr="006F11F4" w:rsidRDefault="00307BA1" w:rsidP="006F11F4">
            <w:pPr>
              <w:pStyle w:val="Texto"/>
              <w:spacing w:after="40" w:line="240" w:lineRule="auto"/>
              <w:ind w:firstLine="0"/>
              <w:rPr>
                <w:rFonts w:ascii="Verdana" w:hAnsi="Verdana"/>
                <w:sz w:val="16"/>
                <w:szCs w:val="16"/>
                <w:lang w:eastAsia="es-MX"/>
              </w:rPr>
            </w:pPr>
          </w:p>
        </w:tc>
        <w:tc>
          <w:tcPr>
            <w:tcW w:w="4788" w:type="dxa"/>
          </w:tcPr>
          <w:p w14:paraId="0CCB4208" w14:textId="77777777" w:rsidR="00307BA1" w:rsidRPr="006F11F4" w:rsidRDefault="00307BA1" w:rsidP="006F11F4">
            <w:pPr>
              <w:pStyle w:val="Texto"/>
              <w:spacing w:after="40" w:line="240" w:lineRule="auto"/>
              <w:ind w:firstLine="0"/>
              <w:rPr>
                <w:rFonts w:ascii="Verdana" w:hAnsi="Verdana"/>
                <w:sz w:val="16"/>
                <w:szCs w:val="16"/>
                <w:lang w:eastAsia="es-MX"/>
              </w:rPr>
            </w:pPr>
          </w:p>
        </w:tc>
      </w:tr>
      <w:tr w:rsidR="00307BA1" w:rsidRPr="006F11F4" w14:paraId="553F9A7A" w14:textId="2D24A9CD" w:rsidTr="00B746AB">
        <w:tc>
          <w:tcPr>
            <w:tcW w:w="4788" w:type="dxa"/>
          </w:tcPr>
          <w:p w14:paraId="093BC6A0" w14:textId="77777777" w:rsidR="00307BA1" w:rsidRPr="00B746AB" w:rsidRDefault="00307BA1" w:rsidP="00307BA1">
            <w:pPr>
              <w:pStyle w:val="Texto"/>
              <w:spacing w:after="40" w:line="240" w:lineRule="auto"/>
              <w:ind w:firstLine="0"/>
              <w:rPr>
                <w:rFonts w:ascii="Verdana" w:hAnsi="Verdana"/>
                <w:b/>
                <w:bCs/>
                <w:sz w:val="16"/>
                <w:szCs w:val="16"/>
                <w:lang w:eastAsia="es-MX"/>
              </w:rPr>
            </w:pPr>
            <w:r w:rsidRPr="00B746AB">
              <w:rPr>
                <w:rFonts w:ascii="Verdana" w:hAnsi="Verdana"/>
                <w:b/>
                <w:bCs/>
                <w:sz w:val="16"/>
                <w:szCs w:val="16"/>
                <w:lang w:eastAsia="es-MX"/>
              </w:rPr>
              <w:t>En donde:</w:t>
            </w:r>
          </w:p>
        </w:tc>
        <w:tc>
          <w:tcPr>
            <w:tcW w:w="4788" w:type="dxa"/>
          </w:tcPr>
          <w:p w14:paraId="7292EFAB" w14:textId="7F05AF54" w:rsidR="00307BA1" w:rsidRPr="00B746AB" w:rsidRDefault="00307BA1" w:rsidP="00307BA1">
            <w:pPr>
              <w:pStyle w:val="Texto"/>
              <w:spacing w:after="40" w:line="240" w:lineRule="auto"/>
              <w:ind w:firstLine="0"/>
              <w:rPr>
                <w:rFonts w:ascii="Verdana" w:hAnsi="Verdana"/>
                <w:b/>
                <w:bCs/>
                <w:sz w:val="16"/>
                <w:szCs w:val="16"/>
                <w:lang w:eastAsia="es-MX"/>
              </w:rPr>
            </w:pPr>
            <w:proofErr w:type="spellStart"/>
            <w:r w:rsidRPr="00B746AB">
              <w:rPr>
                <w:rFonts w:ascii="Verdana" w:hAnsi="Verdana" w:cs="Times New Roman"/>
                <w:b/>
                <w:bCs/>
                <w:sz w:val="16"/>
                <w:szCs w:val="16"/>
              </w:rPr>
              <w:t>Where</w:t>
            </w:r>
            <w:proofErr w:type="spellEnd"/>
            <w:r w:rsidRPr="00B746AB">
              <w:rPr>
                <w:rFonts w:ascii="Verdana" w:hAnsi="Verdana" w:cs="Times New Roman"/>
                <w:b/>
                <w:bCs/>
                <w:sz w:val="16"/>
                <w:szCs w:val="16"/>
              </w:rPr>
              <w:t>:</w:t>
            </w:r>
          </w:p>
        </w:tc>
      </w:tr>
      <w:tr w:rsidR="00307BA1" w:rsidRPr="00307BA1" w14:paraId="5E6C366D" w14:textId="0A0156EE" w:rsidTr="00B746AB">
        <w:tc>
          <w:tcPr>
            <w:tcW w:w="4788" w:type="dxa"/>
          </w:tcPr>
          <w:p w14:paraId="04161690" w14:textId="0BE643B2" w:rsidR="00307BA1" w:rsidRPr="006F11F4" w:rsidRDefault="00AC7BAB" w:rsidP="00307BA1">
            <w:pPr>
              <w:pStyle w:val="Texto"/>
              <w:spacing w:after="40" w:line="240" w:lineRule="auto"/>
              <w:ind w:firstLine="0"/>
              <w:rPr>
                <w:rFonts w:ascii="Verdana" w:hAnsi="Verdana"/>
                <w:sz w:val="16"/>
                <w:szCs w:val="16"/>
                <w:lang w:eastAsia="es-MX"/>
              </w:rPr>
            </w:pPr>
            <w:r w:rsidRPr="006F11F4">
              <w:rPr>
                <w:rFonts w:ascii="Verdana" w:hAnsi="Verdana"/>
                <w:noProof/>
                <w:sz w:val="16"/>
                <w:szCs w:val="16"/>
                <w:lang w:eastAsia="es-MX"/>
              </w:rPr>
              <w:drawing>
                <wp:inline distT="0" distB="0" distL="0" distR="0" wp14:anchorId="7EB3CB00" wp14:editId="5BD8168F">
                  <wp:extent cx="257810" cy="17399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810" cy="173990"/>
                          </a:xfrm>
                          <a:prstGeom prst="rect">
                            <a:avLst/>
                          </a:prstGeom>
                          <a:noFill/>
                          <a:ln>
                            <a:noFill/>
                          </a:ln>
                        </pic:spPr>
                      </pic:pic>
                    </a:graphicData>
                  </a:graphic>
                </wp:inline>
              </w:drawing>
            </w:r>
            <w:r w:rsidR="00307BA1" w:rsidRPr="006F11F4">
              <w:rPr>
                <w:rFonts w:ascii="Verdana" w:hAnsi="Verdana"/>
                <w:sz w:val="16"/>
                <w:szCs w:val="16"/>
                <w:lang w:eastAsia="es-MX"/>
              </w:rPr>
              <w:tab/>
              <w:t xml:space="preserve">es el volumen de agua, expresado en </w:t>
            </w:r>
            <w:proofErr w:type="spellStart"/>
            <w:r w:rsidR="00307BA1" w:rsidRPr="006F11F4">
              <w:rPr>
                <w:rFonts w:ascii="Verdana" w:hAnsi="Verdana"/>
                <w:sz w:val="16"/>
                <w:szCs w:val="16"/>
                <w:lang w:eastAsia="es-MX"/>
              </w:rPr>
              <w:t>mL</w:t>
            </w:r>
            <w:proofErr w:type="spellEnd"/>
            <w:r w:rsidR="00307BA1" w:rsidRPr="006F11F4">
              <w:rPr>
                <w:rFonts w:ascii="Verdana" w:hAnsi="Verdana"/>
                <w:sz w:val="16"/>
                <w:szCs w:val="16"/>
                <w:lang w:eastAsia="es-MX"/>
              </w:rPr>
              <w:t>, en el utensilio de cocina;</w:t>
            </w:r>
          </w:p>
        </w:tc>
        <w:tc>
          <w:tcPr>
            <w:tcW w:w="4788" w:type="dxa"/>
          </w:tcPr>
          <w:p w14:paraId="707099D6" w14:textId="52073180" w:rsidR="00307BA1" w:rsidRPr="00307BA1" w:rsidRDefault="00AC7BAB" w:rsidP="00B37C12">
            <w:pPr>
              <w:pStyle w:val="Texto"/>
              <w:spacing w:after="40" w:line="240" w:lineRule="auto"/>
              <w:rPr>
                <w:rFonts w:ascii="Verdana" w:hAnsi="Verdana"/>
                <w:sz w:val="16"/>
                <w:szCs w:val="16"/>
                <w:lang w:val="en-US" w:eastAsia="es-MX"/>
              </w:rPr>
            </w:pPr>
            <w:r w:rsidRPr="006F11F4">
              <w:rPr>
                <w:rFonts w:ascii="Verdana" w:hAnsi="Verdana"/>
                <w:noProof/>
                <w:sz w:val="16"/>
                <w:szCs w:val="16"/>
                <w:lang w:eastAsia="es-MX"/>
              </w:rPr>
              <w:drawing>
                <wp:inline distT="0" distB="0" distL="0" distR="0" wp14:anchorId="72EBA64A" wp14:editId="2C5EF5C4">
                  <wp:extent cx="257810" cy="17399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810" cy="173990"/>
                          </a:xfrm>
                          <a:prstGeom prst="rect">
                            <a:avLst/>
                          </a:prstGeom>
                          <a:noFill/>
                          <a:ln>
                            <a:noFill/>
                          </a:ln>
                        </pic:spPr>
                      </pic:pic>
                    </a:graphicData>
                  </a:graphic>
                </wp:inline>
              </w:drawing>
            </w:r>
            <w:r w:rsidR="00307BA1" w:rsidRPr="00307BA1">
              <w:rPr>
                <w:rFonts w:ascii="Verdana" w:hAnsi="Verdana" w:cs="Times New Roman"/>
                <w:sz w:val="16"/>
                <w:szCs w:val="16"/>
                <w:lang w:val="en-US"/>
              </w:rPr>
              <w:t>is t</w:t>
            </w:r>
            <w:r w:rsidR="00B37C12">
              <w:rPr>
                <w:rFonts w:ascii="Verdana" w:hAnsi="Verdana" w:cs="Times New Roman"/>
                <w:sz w:val="16"/>
                <w:szCs w:val="16"/>
                <w:lang w:val="en-US"/>
              </w:rPr>
              <w:t>h</w:t>
            </w:r>
            <w:r w:rsidR="00307BA1" w:rsidRPr="00307BA1">
              <w:rPr>
                <w:rFonts w:ascii="Verdana" w:hAnsi="Verdana" w:cs="Times New Roman"/>
                <w:sz w:val="16"/>
                <w:szCs w:val="16"/>
                <w:lang w:val="en-US"/>
              </w:rPr>
              <w:t>e volume of water, expressed in mL , in the kitchen utensil;</w:t>
            </w:r>
          </w:p>
        </w:tc>
      </w:tr>
      <w:tr w:rsidR="00307BA1" w:rsidRPr="00307BA1" w14:paraId="1DB0AEE4" w14:textId="2ACA9B7B" w:rsidTr="00B746AB">
        <w:tc>
          <w:tcPr>
            <w:tcW w:w="4788" w:type="dxa"/>
          </w:tcPr>
          <w:p w14:paraId="7870E290" w14:textId="4ABD5103" w:rsidR="00307BA1" w:rsidRPr="006F11F4" w:rsidRDefault="00AC7BAB" w:rsidP="00307BA1">
            <w:pPr>
              <w:pStyle w:val="Texto"/>
              <w:spacing w:after="40" w:line="240" w:lineRule="auto"/>
              <w:ind w:firstLine="0"/>
              <w:rPr>
                <w:rFonts w:ascii="Verdana" w:hAnsi="Verdana"/>
                <w:sz w:val="16"/>
                <w:szCs w:val="16"/>
                <w:lang w:eastAsia="es-MX"/>
              </w:rPr>
            </w:pPr>
            <w:r w:rsidRPr="006F11F4">
              <w:rPr>
                <w:rFonts w:ascii="Verdana" w:hAnsi="Verdana"/>
                <w:noProof/>
                <w:sz w:val="16"/>
                <w:szCs w:val="16"/>
                <w:lang w:eastAsia="es-MX"/>
              </w:rPr>
              <w:drawing>
                <wp:inline distT="0" distB="0" distL="0" distR="0" wp14:anchorId="527FBB28" wp14:editId="3A2C2612">
                  <wp:extent cx="257810" cy="1612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810" cy="161290"/>
                          </a:xfrm>
                          <a:prstGeom prst="rect">
                            <a:avLst/>
                          </a:prstGeom>
                          <a:noFill/>
                          <a:ln>
                            <a:noFill/>
                          </a:ln>
                        </pic:spPr>
                      </pic:pic>
                    </a:graphicData>
                  </a:graphic>
                </wp:inline>
              </w:drawing>
            </w:r>
            <w:r w:rsidR="00307BA1" w:rsidRPr="006F11F4">
              <w:rPr>
                <w:rFonts w:ascii="Verdana" w:hAnsi="Verdana"/>
                <w:sz w:val="16"/>
                <w:szCs w:val="16"/>
                <w:lang w:eastAsia="es-MX"/>
              </w:rPr>
              <w:tab/>
              <w:t xml:space="preserve">es el volumen de ácido acético glacial, expresado en </w:t>
            </w:r>
            <w:proofErr w:type="spellStart"/>
            <w:r w:rsidR="00307BA1" w:rsidRPr="006F11F4">
              <w:rPr>
                <w:rFonts w:ascii="Verdana" w:hAnsi="Verdana"/>
                <w:sz w:val="16"/>
                <w:szCs w:val="16"/>
                <w:lang w:eastAsia="es-MX"/>
              </w:rPr>
              <w:t>mL</w:t>
            </w:r>
            <w:proofErr w:type="spellEnd"/>
            <w:r w:rsidR="00307BA1" w:rsidRPr="006F11F4">
              <w:rPr>
                <w:rFonts w:ascii="Verdana" w:hAnsi="Verdana"/>
                <w:sz w:val="16"/>
                <w:szCs w:val="16"/>
                <w:lang w:eastAsia="es-MX"/>
              </w:rPr>
              <w:t xml:space="preserve"> que se debe adicionar.</w:t>
            </w:r>
          </w:p>
        </w:tc>
        <w:tc>
          <w:tcPr>
            <w:tcW w:w="4788" w:type="dxa"/>
          </w:tcPr>
          <w:p w14:paraId="39BB9786" w14:textId="10B0ABB3" w:rsidR="00307BA1" w:rsidRPr="00307BA1" w:rsidRDefault="00AC7BAB" w:rsidP="00307BA1">
            <w:pPr>
              <w:pStyle w:val="Texto"/>
              <w:spacing w:after="40" w:line="240" w:lineRule="auto"/>
              <w:ind w:firstLine="0"/>
              <w:rPr>
                <w:rFonts w:ascii="Verdana" w:hAnsi="Verdana"/>
                <w:sz w:val="16"/>
                <w:szCs w:val="16"/>
                <w:lang w:val="en-US" w:eastAsia="es-MX"/>
              </w:rPr>
            </w:pPr>
            <w:r w:rsidRPr="006F11F4">
              <w:rPr>
                <w:rFonts w:ascii="Verdana" w:hAnsi="Verdana"/>
                <w:noProof/>
                <w:sz w:val="16"/>
                <w:szCs w:val="16"/>
                <w:lang w:eastAsia="es-MX"/>
              </w:rPr>
              <w:drawing>
                <wp:inline distT="0" distB="0" distL="0" distR="0" wp14:anchorId="1DF5399F" wp14:editId="26AE8853">
                  <wp:extent cx="257810" cy="16129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810" cy="161290"/>
                          </a:xfrm>
                          <a:prstGeom prst="rect">
                            <a:avLst/>
                          </a:prstGeom>
                          <a:noFill/>
                          <a:ln>
                            <a:noFill/>
                          </a:ln>
                        </pic:spPr>
                      </pic:pic>
                    </a:graphicData>
                  </a:graphic>
                </wp:inline>
              </w:drawing>
            </w:r>
            <w:r w:rsidR="00307BA1" w:rsidRPr="00307BA1">
              <w:rPr>
                <w:rFonts w:ascii="Verdana" w:hAnsi="Verdana" w:cs="Times New Roman"/>
                <w:sz w:val="16"/>
                <w:szCs w:val="16"/>
                <w:lang w:val="en-US"/>
              </w:rPr>
              <w:t xml:space="preserve"> is the volume of glacial acetic acid, expressed in mL that must be added.</w:t>
            </w:r>
          </w:p>
        </w:tc>
      </w:tr>
      <w:tr w:rsidR="00307BA1" w:rsidRPr="00307BA1" w14:paraId="064117F9" w14:textId="6CB0C159" w:rsidTr="00B746AB">
        <w:tc>
          <w:tcPr>
            <w:tcW w:w="4788" w:type="dxa"/>
          </w:tcPr>
          <w:p w14:paraId="1E322EFB"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 xml:space="preserve">A.6.2.3.3 </w:t>
            </w:r>
            <w:r w:rsidRPr="006F11F4">
              <w:rPr>
                <w:rFonts w:ascii="Verdana" w:hAnsi="Verdana"/>
                <w:sz w:val="16"/>
                <w:szCs w:val="16"/>
                <w:lang w:eastAsia="es-MX"/>
              </w:rPr>
              <w:t>Mantener una ebullición baja por 2 h a partir de la adición del ácido acético glacial.</w:t>
            </w:r>
          </w:p>
        </w:tc>
        <w:tc>
          <w:tcPr>
            <w:tcW w:w="4788" w:type="dxa"/>
          </w:tcPr>
          <w:p w14:paraId="53F67315" w14:textId="5B9DA6B8"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A.6.2.3.3 </w:t>
            </w:r>
            <w:r w:rsidRPr="00307BA1">
              <w:rPr>
                <w:rFonts w:ascii="Verdana" w:hAnsi="Verdana" w:cs="Times New Roman"/>
                <w:sz w:val="16"/>
                <w:szCs w:val="16"/>
                <w:lang w:val="en-US"/>
              </w:rPr>
              <w:t xml:space="preserve">Maintain a low boil for 2 </w:t>
            </w:r>
            <w:r w:rsidR="00B37C12" w:rsidRPr="00B37C12">
              <w:rPr>
                <w:rFonts w:ascii="Verdana" w:hAnsi="Verdana" w:cs="Times New Roman"/>
                <w:sz w:val="16"/>
                <w:szCs w:val="16"/>
                <w:lang w:val="en-US"/>
              </w:rPr>
              <w:t>hours</w:t>
            </w:r>
            <w:r w:rsidRPr="00307BA1">
              <w:rPr>
                <w:rFonts w:ascii="Verdana" w:hAnsi="Verdana" w:cs="Times New Roman"/>
                <w:b/>
                <w:bCs/>
                <w:sz w:val="16"/>
                <w:szCs w:val="16"/>
                <w:lang w:val="en-US"/>
              </w:rPr>
              <w:t xml:space="preserve"> </w:t>
            </w:r>
            <w:r w:rsidRPr="00307BA1">
              <w:rPr>
                <w:rFonts w:ascii="Verdana" w:hAnsi="Verdana" w:cs="Times New Roman"/>
                <w:sz w:val="16"/>
                <w:szCs w:val="16"/>
                <w:lang w:val="en-US"/>
              </w:rPr>
              <w:t>from the addition of glacial acetic acid.</w:t>
            </w:r>
          </w:p>
        </w:tc>
      </w:tr>
      <w:tr w:rsidR="00307BA1" w:rsidRPr="00307BA1" w14:paraId="076E1950" w14:textId="30A9E14B" w:rsidTr="00B746AB">
        <w:tc>
          <w:tcPr>
            <w:tcW w:w="4788" w:type="dxa"/>
          </w:tcPr>
          <w:p w14:paraId="0A415532"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 xml:space="preserve">A.6.2.3.4 </w:t>
            </w:r>
            <w:r w:rsidRPr="006F11F4">
              <w:rPr>
                <w:rFonts w:ascii="Verdana" w:hAnsi="Verdana"/>
                <w:sz w:val="16"/>
                <w:szCs w:val="16"/>
                <w:lang w:eastAsia="es-MX"/>
              </w:rPr>
              <w:t>Si ocurre una pérdida del disolvente durante el calentamiento, reemplace la pérdida con ácido acético al 4% para mantener el nivel de la solución en 2/3 del volumen efectivo del recipiente. Al terminar las 2 h de calentamiento, quitar la fuente de calor y dejar enfriar a temperatura ambiente.</w:t>
            </w:r>
          </w:p>
        </w:tc>
        <w:tc>
          <w:tcPr>
            <w:tcW w:w="4788" w:type="dxa"/>
          </w:tcPr>
          <w:p w14:paraId="0034CCF9" w14:textId="4E7DE1CD"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A.6.2.3.4 </w:t>
            </w:r>
            <w:r w:rsidRPr="00307BA1">
              <w:rPr>
                <w:rFonts w:ascii="Verdana" w:hAnsi="Verdana" w:cs="Times New Roman"/>
                <w:sz w:val="16"/>
                <w:szCs w:val="16"/>
                <w:lang w:val="en-US"/>
              </w:rPr>
              <w:t>If a loss of solvent occurs during heating, replace the loss with 4% acetic acid to keep the solution level at 2/3 of the effective volume of the container. At the end of the 2 hours of heating, remove the heat source and allow to cool to room temperature.</w:t>
            </w:r>
          </w:p>
        </w:tc>
      </w:tr>
      <w:tr w:rsidR="00307BA1" w:rsidRPr="00B37C12" w14:paraId="61DB13E8" w14:textId="04A80DF4" w:rsidTr="00B746AB">
        <w:tc>
          <w:tcPr>
            <w:tcW w:w="4788" w:type="dxa"/>
          </w:tcPr>
          <w:p w14:paraId="25CDC3BE"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 xml:space="preserve">A.6.2.3.5 </w:t>
            </w:r>
            <w:r w:rsidRPr="006F11F4">
              <w:rPr>
                <w:rFonts w:ascii="Verdana" w:hAnsi="Verdana"/>
                <w:sz w:val="16"/>
                <w:szCs w:val="16"/>
                <w:lang w:eastAsia="es-MX"/>
              </w:rPr>
              <w:t>Ajustar el volumen de disolución después de las 24 h con ácido acético al 4%, sólo si hubo pérdida por evaporación, homogeneizar el líquido de extracción antes de retirar la pieza y tomar la cantidad suficiente y basta para efectuar las lecturas, de cada pieza. Colocar en un recipiente limpio, tapar, identificar  y analizar.</w:t>
            </w:r>
          </w:p>
        </w:tc>
        <w:tc>
          <w:tcPr>
            <w:tcW w:w="4788" w:type="dxa"/>
          </w:tcPr>
          <w:p w14:paraId="3E2C0489" w14:textId="4A11C52C" w:rsidR="00307BA1" w:rsidRPr="00B37C12"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A.6.2.3.5 </w:t>
            </w:r>
            <w:r w:rsidRPr="00307BA1">
              <w:rPr>
                <w:rFonts w:ascii="Verdana" w:hAnsi="Verdana" w:cs="Times New Roman"/>
                <w:sz w:val="16"/>
                <w:szCs w:val="16"/>
                <w:lang w:val="en-US"/>
              </w:rPr>
              <w:t xml:space="preserve">Adjust the volume of solution after 24 h with 4% acetic acid, only if there was loss by evaporation, homogenize the extraction liquid before removing the piece and take a sufficient quantity and sufficient to take the readings, of each piece. </w:t>
            </w:r>
            <w:r w:rsidRPr="00B37C12">
              <w:rPr>
                <w:rFonts w:ascii="Verdana" w:hAnsi="Verdana" w:cs="Times New Roman"/>
                <w:sz w:val="16"/>
                <w:szCs w:val="16"/>
                <w:lang w:val="en-US"/>
              </w:rPr>
              <w:t>Place in a clean container, cover, identify and analyze.</w:t>
            </w:r>
          </w:p>
        </w:tc>
      </w:tr>
      <w:tr w:rsidR="00307BA1" w:rsidRPr="00307BA1" w14:paraId="4F1C626E" w14:textId="39B6DB24" w:rsidTr="00B746AB">
        <w:tc>
          <w:tcPr>
            <w:tcW w:w="4788" w:type="dxa"/>
          </w:tcPr>
          <w:p w14:paraId="2C979ADA"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 xml:space="preserve">A.6.2.4 </w:t>
            </w:r>
            <w:r w:rsidRPr="006F11F4">
              <w:rPr>
                <w:rFonts w:ascii="Verdana" w:hAnsi="Verdana"/>
                <w:sz w:val="16"/>
                <w:szCs w:val="16"/>
                <w:lang w:eastAsia="es-MX"/>
              </w:rPr>
              <w:t>Determinación de Pb y Cd</w:t>
            </w:r>
          </w:p>
        </w:tc>
        <w:tc>
          <w:tcPr>
            <w:tcW w:w="4788" w:type="dxa"/>
          </w:tcPr>
          <w:p w14:paraId="3701BFD5" w14:textId="61157B86"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A.6.2.4 </w:t>
            </w:r>
            <w:r w:rsidRPr="00307BA1">
              <w:rPr>
                <w:rFonts w:ascii="Verdana" w:hAnsi="Verdana" w:cs="Times New Roman"/>
                <w:sz w:val="16"/>
                <w:szCs w:val="16"/>
                <w:lang w:val="en-US"/>
              </w:rPr>
              <w:t>Determination of Pb and Cd</w:t>
            </w:r>
          </w:p>
        </w:tc>
      </w:tr>
      <w:tr w:rsidR="00307BA1" w:rsidRPr="00307BA1" w14:paraId="7E22E801" w14:textId="59291A5B" w:rsidTr="00B746AB">
        <w:tc>
          <w:tcPr>
            <w:tcW w:w="4788" w:type="dxa"/>
          </w:tcPr>
          <w:p w14:paraId="0EF8E982"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A.6.2.4.1</w:t>
            </w:r>
            <w:r w:rsidRPr="006F11F4">
              <w:rPr>
                <w:rFonts w:ascii="Verdana" w:hAnsi="Verdana"/>
                <w:sz w:val="16"/>
                <w:szCs w:val="16"/>
                <w:lang w:eastAsia="es-MX"/>
              </w:rPr>
              <w:t xml:space="preserve"> Utilizar el método instrumental correspondiente de conformidad con lo dispuesto en la Norma Oficial Mexicana citada en el punto 2.2, del Capítulo de Referencias, de esta Norma</w:t>
            </w:r>
          </w:p>
        </w:tc>
        <w:tc>
          <w:tcPr>
            <w:tcW w:w="4788" w:type="dxa"/>
          </w:tcPr>
          <w:p w14:paraId="18E4F5F2" w14:textId="1030BD71"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A.6.2.4.1 </w:t>
            </w:r>
            <w:r w:rsidRPr="00307BA1">
              <w:rPr>
                <w:rFonts w:ascii="Verdana" w:hAnsi="Verdana" w:cs="Times New Roman"/>
                <w:sz w:val="16"/>
                <w:szCs w:val="16"/>
                <w:lang w:val="en-US"/>
              </w:rPr>
              <w:t>Use the corresponding instrumental method in accordance with the provisions of the Official Mexican Standard cited in point 2.2, of the References Chapter, of this Standard.</w:t>
            </w:r>
          </w:p>
        </w:tc>
      </w:tr>
      <w:tr w:rsidR="00307BA1" w:rsidRPr="00307BA1" w14:paraId="494EC1A5" w14:textId="22BBF312" w:rsidTr="00B746AB">
        <w:tc>
          <w:tcPr>
            <w:tcW w:w="4788" w:type="dxa"/>
          </w:tcPr>
          <w:p w14:paraId="1C2B6F05"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 xml:space="preserve">A.6.2.4.2 </w:t>
            </w:r>
            <w:r w:rsidRPr="006F11F4">
              <w:rPr>
                <w:rFonts w:ascii="Verdana" w:hAnsi="Verdana"/>
                <w:sz w:val="16"/>
                <w:szCs w:val="16"/>
                <w:lang w:eastAsia="es-MX"/>
              </w:rPr>
              <w:t>Se debe realizar la determinación cuantitativa de los metales en un máximo de 48 h después de efectuada la extracción.</w:t>
            </w:r>
          </w:p>
        </w:tc>
        <w:tc>
          <w:tcPr>
            <w:tcW w:w="4788" w:type="dxa"/>
          </w:tcPr>
          <w:p w14:paraId="1F68CF2F" w14:textId="38E051E5"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A.6.2.4.2 </w:t>
            </w:r>
            <w:r w:rsidRPr="00307BA1">
              <w:rPr>
                <w:rFonts w:ascii="Verdana" w:hAnsi="Verdana" w:cs="Times New Roman"/>
                <w:sz w:val="16"/>
                <w:szCs w:val="16"/>
                <w:lang w:val="en-US"/>
              </w:rPr>
              <w:t>The quantitative determination of metals must be carried out within a maximum of 48 hours after the extraction has been carried out.</w:t>
            </w:r>
          </w:p>
        </w:tc>
      </w:tr>
      <w:tr w:rsidR="00307BA1" w:rsidRPr="006F11F4" w14:paraId="40FAF78A" w14:textId="12E10928" w:rsidTr="00B746AB">
        <w:tc>
          <w:tcPr>
            <w:tcW w:w="4788" w:type="dxa"/>
          </w:tcPr>
          <w:p w14:paraId="6D67C4EF"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 xml:space="preserve">A.6.3 </w:t>
            </w:r>
            <w:r w:rsidRPr="006F11F4">
              <w:rPr>
                <w:rFonts w:ascii="Verdana" w:hAnsi="Verdana"/>
                <w:sz w:val="16"/>
                <w:szCs w:val="16"/>
                <w:lang w:eastAsia="es-MX"/>
              </w:rPr>
              <w:t>Expresión de los resultados</w:t>
            </w:r>
          </w:p>
        </w:tc>
        <w:tc>
          <w:tcPr>
            <w:tcW w:w="4788" w:type="dxa"/>
          </w:tcPr>
          <w:p w14:paraId="5E28F728" w14:textId="10B2A0BA" w:rsidR="00307BA1" w:rsidRPr="006F11F4" w:rsidRDefault="00307BA1" w:rsidP="00307BA1">
            <w:pPr>
              <w:pStyle w:val="Texto"/>
              <w:spacing w:after="40" w:line="240" w:lineRule="auto"/>
              <w:ind w:firstLine="0"/>
              <w:rPr>
                <w:rFonts w:ascii="Verdana" w:hAnsi="Verdana"/>
                <w:b/>
                <w:sz w:val="16"/>
                <w:szCs w:val="16"/>
                <w:lang w:eastAsia="es-MX"/>
              </w:rPr>
            </w:pPr>
            <w:r w:rsidRPr="00A96DA8">
              <w:rPr>
                <w:rFonts w:ascii="Verdana" w:hAnsi="Verdana" w:cs="Times New Roman"/>
                <w:b/>
                <w:bCs/>
                <w:sz w:val="16"/>
                <w:szCs w:val="16"/>
              </w:rPr>
              <w:t xml:space="preserve">A.6.3 </w:t>
            </w:r>
            <w:proofErr w:type="spellStart"/>
            <w:r w:rsidRPr="00A96DA8">
              <w:rPr>
                <w:rFonts w:ascii="Verdana" w:hAnsi="Verdana" w:cs="Times New Roman"/>
                <w:sz w:val="16"/>
                <w:szCs w:val="16"/>
              </w:rPr>
              <w:t>Expression</w:t>
            </w:r>
            <w:proofErr w:type="spellEnd"/>
            <w:r w:rsidRPr="00A96DA8">
              <w:rPr>
                <w:rFonts w:ascii="Verdana" w:hAnsi="Verdana" w:cs="Times New Roman"/>
                <w:sz w:val="16"/>
                <w:szCs w:val="16"/>
              </w:rPr>
              <w:t xml:space="preserve"> </w:t>
            </w:r>
            <w:proofErr w:type="spellStart"/>
            <w:r w:rsidRPr="00A96DA8">
              <w:rPr>
                <w:rFonts w:ascii="Verdana" w:hAnsi="Verdana" w:cs="Times New Roman"/>
                <w:sz w:val="16"/>
                <w:szCs w:val="16"/>
              </w:rPr>
              <w:t>of</w:t>
            </w:r>
            <w:proofErr w:type="spellEnd"/>
            <w:r w:rsidRPr="00A96DA8">
              <w:rPr>
                <w:rFonts w:ascii="Verdana" w:hAnsi="Verdana" w:cs="Times New Roman"/>
                <w:sz w:val="16"/>
                <w:szCs w:val="16"/>
              </w:rPr>
              <w:t xml:space="preserve"> </w:t>
            </w:r>
            <w:proofErr w:type="spellStart"/>
            <w:r w:rsidRPr="00A96DA8">
              <w:rPr>
                <w:rFonts w:ascii="Verdana" w:hAnsi="Verdana" w:cs="Times New Roman"/>
                <w:sz w:val="16"/>
                <w:szCs w:val="16"/>
              </w:rPr>
              <w:t>results</w:t>
            </w:r>
            <w:proofErr w:type="spellEnd"/>
          </w:p>
        </w:tc>
      </w:tr>
      <w:tr w:rsidR="00307BA1" w:rsidRPr="006F11F4" w14:paraId="075B15ED" w14:textId="649E9923" w:rsidTr="00B746AB">
        <w:tc>
          <w:tcPr>
            <w:tcW w:w="4788" w:type="dxa"/>
          </w:tcPr>
          <w:p w14:paraId="76F74691"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 xml:space="preserve">A.6.3.1 </w:t>
            </w:r>
            <w:r w:rsidRPr="006F11F4">
              <w:rPr>
                <w:rFonts w:ascii="Verdana" w:hAnsi="Verdana"/>
                <w:sz w:val="16"/>
                <w:szCs w:val="16"/>
                <w:lang w:eastAsia="es-MX"/>
              </w:rPr>
              <w:t>Cálculos:</w:t>
            </w:r>
          </w:p>
        </w:tc>
        <w:tc>
          <w:tcPr>
            <w:tcW w:w="4788" w:type="dxa"/>
          </w:tcPr>
          <w:p w14:paraId="3365CB3A" w14:textId="2FCCAD94" w:rsidR="00307BA1" w:rsidRPr="006F11F4" w:rsidRDefault="00307BA1" w:rsidP="00307BA1">
            <w:pPr>
              <w:pStyle w:val="Texto"/>
              <w:spacing w:after="40" w:line="240" w:lineRule="auto"/>
              <w:ind w:firstLine="0"/>
              <w:rPr>
                <w:rFonts w:ascii="Verdana" w:hAnsi="Verdana"/>
                <w:b/>
                <w:sz w:val="16"/>
                <w:szCs w:val="16"/>
                <w:lang w:eastAsia="es-MX"/>
              </w:rPr>
            </w:pPr>
            <w:r w:rsidRPr="00A96DA8">
              <w:rPr>
                <w:rFonts w:ascii="Verdana" w:hAnsi="Verdana" w:cs="Times New Roman"/>
                <w:b/>
                <w:bCs/>
                <w:sz w:val="16"/>
                <w:szCs w:val="16"/>
              </w:rPr>
              <w:t xml:space="preserve">A.6.3.1 </w:t>
            </w:r>
            <w:proofErr w:type="spellStart"/>
            <w:r w:rsidRPr="00A96DA8">
              <w:rPr>
                <w:rFonts w:ascii="Verdana" w:hAnsi="Verdana" w:cs="Times New Roman"/>
                <w:sz w:val="16"/>
                <w:szCs w:val="16"/>
              </w:rPr>
              <w:t>Calculations</w:t>
            </w:r>
            <w:proofErr w:type="spellEnd"/>
            <w:r w:rsidRPr="00A96DA8">
              <w:rPr>
                <w:rFonts w:ascii="Verdana" w:hAnsi="Verdana" w:cs="Times New Roman"/>
                <w:sz w:val="16"/>
                <w:szCs w:val="16"/>
              </w:rPr>
              <w:t>:</w:t>
            </w:r>
          </w:p>
        </w:tc>
      </w:tr>
      <w:tr w:rsidR="00307BA1" w:rsidRPr="00307BA1" w14:paraId="52E3DBF0" w14:textId="63323F0B" w:rsidTr="00B746AB">
        <w:tc>
          <w:tcPr>
            <w:tcW w:w="4788" w:type="dxa"/>
          </w:tcPr>
          <w:p w14:paraId="4C64D247"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sz w:val="16"/>
                <w:szCs w:val="16"/>
                <w:lang w:eastAsia="es-MX"/>
              </w:rPr>
              <w:t>La concentración de Pb y Cd se determinan interpolando el valor de la absorbancia, emisión o cuenta de iones según corresponda, de la muestra en la curva estándar.</w:t>
            </w:r>
          </w:p>
        </w:tc>
        <w:tc>
          <w:tcPr>
            <w:tcW w:w="4788" w:type="dxa"/>
          </w:tcPr>
          <w:p w14:paraId="19A97412" w14:textId="5A2BCE79" w:rsidR="00307BA1" w:rsidRPr="00307BA1" w:rsidRDefault="00307BA1" w:rsidP="00307BA1">
            <w:pPr>
              <w:pStyle w:val="Texto"/>
              <w:spacing w:after="40" w:line="240" w:lineRule="auto"/>
              <w:ind w:firstLine="0"/>
              <w:rPr>
                <w:rFonts w:ascii="Verdana" w:hAnsi="Verdana"/>
                <w:sz w:val="16"/>
                <w:szCs w:val="16"/>
                <w:lang w:val="en-US" w:eastAsia="es-MX"/>
              </w:rPr>
            </w:pPr>
            <w:r w:rsidRPr="00307BA1">
              <w:rPr>
                <w:rFonts w:ascii="Verdana" w:hAnsi="Verdana" w:cs="Times New Roman"/>
                <w:sz w:val="16"/>
                <w:szCs w:val="16"/>
                <w:lang w:val="en-US"/>
              </w:rPr>
              <w:t>The concentration of Pb and Cd are determined by interpolating the absorbance, emission or ion count value as appropriate, of the sample on the standard curve.</w:t>
            </w:r>
          </w:p>
        </w:tc>
      </w:tr>
      <w:tr w:rsidR="00307BA1" w:rsidRPr="00307BA1" w14:paraId="6D76FD70" w14:textId="14D69FAC" w:rsidTr="00B746AB">
        <w:tc>
          <w:tcPr>
            <w:tcW w:w="4788" w:type="dxa"/>
          </w:tcPr>
          <w:p w14:paraId="0A79607B"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sz w:val="16"/>
                <w:szCs w:val="16"/>
                <w:lang w:eastAsia="es-MX"/>
              </w:rPr>
              <w:lastRenderedPageBreak/>
              <w:t>Los resultados de las muestras se reportan directamente en mg/L de Pb o Cd obtenidos.</w:t>
            </w:r>
          </w:p>
        </w:tc>
        <w:tc>
          <w:tcPr>
            <w:tcW w:w="4788" w:type="dxa"/>
          </w:tcPr>
          <w:p w14:paraId="08B847C1" w14:textId="5D9CCB47" w:rsidR="00307BA1" w:rsidRPr="00307BA1" w:rsidRDefault="00307BA1" w:rsidP="00307BA1">
            <w:pPr>
              <w:pStyle w:val="Texto"/>
              <w:spacing w:after="40" w:line="240" w:lineRule="auto"/>
              <w:ind w:firstLine="0"/>
              <w:rPr>
                <w:rFonts w:ascii="Verdana" w:hAnsi="Verdana"/>
                <w:sz w:val="16"/>
                <w:szCs w:val="16"/>
                <w:lang w:val="en-US" w:eastAsia="es-MX"/>
              </w:rPr>
            </w:pPr>
            <w:r w:rsidRPr="00307BA1">
              <w:rPr>
                <w:rFonts w:ascii="Verdana" w:hAnsi="Verdana" w:cs="Times New Roman"/>
                <w:sz w:val="16"/>
                <w:szCs w:val="16"/>
                <w:lang w:val="en-US"/>
              </w:rPr>
              <w:t>The results of the samples are reported directly in mg / L of Pb or Cd obtained.</w:t>
            </w:r>
          </w:p>
        </w:tc>
      </w:tr>
      <w:tr w:rsidR="00307BA1" w:rsidRPr="00307BA1" w14:paraId="5B6AAF46" w14:textId="77777777" w:rsidTr="00B746AB">
        <w:tc>
          <w:tcPr>
            <w:tcW w:w="4788" w:type="dxa"/>
          </w:tcPr>
          <w:p w14:paraId="32304775" w14:textId="77777777" w:rsidR="00307BA1" w:rsidRDefault="00307BA1" w:rsidP="00307BA1">
            <w:pPr>
              <w:pStyle w:val="Texto"/>
              <w:spacing w:after="40" w:line="240" w:lineRule="auto"/>
              <w:rPr>
                <w:rFonts w:ascii="Verdana" w:hAnsi="Verdana"/>
                <w:sz w:val="16"/>
                <w:szCs w:val="16"/>
                <w:lang w:eastAsia="es-MX"/>
              </w:rPr>
            </w:pPr>
            <w:r w:rsidRPr="006F11F4">
              <w:rPr>
                <w:rFonts w:ascii="Verdana" w:hAnsi="Verdana"/>
                <w:sz w:val="16"/>
                <w:szCs w:val="16"/>
                <w:lang w:eastAsia="es-MX"/>
              </w:rPr>
              <w:t>Cuando las muestras tienen el vidriado en su superficie exterior (en la zona crítica a menos de 2,0 cm del borde), se calcula la cantidad total del Pb o Cd con la fórmula siguiente:</w:t>
            </w:r>
          </w:p>
          <w:p w14:paraId="1315B99B" w14:textId="77777777" w:rsidR="00307BA1" w:rsidRPr="006F11F4" w:rsidRDefault="00307BA1" w:rsidP="00307BA1">
            <w:pPr>
              <w:pStyle w:val="Texto"/>
              <w:spacing w:after="40" w:line="240" w:lineRule="auto"/>
              <w:ind w:firstLine="0"/>
              <w:rPr>
                <w:rFonts w:ascii="Verdana" w:hAnsi="Verdana"/>
                <w:sz w:val="16"/>
                <w:szCs w:val="16"/>
                <w:lang w:eastAsia="es-MX"/>
              </w:rPr>
            </w:pPr>
          </w:p>
        </w:tc>
        <w:tc>
          <w:tcPr>
            <w:tcW w:w="4788" w:type="dxa"/>
          </w:tcPr>
          <w:p w14:paraId="632F3C08" w14:textId="77777777" w:rsidR="00307BA1" w:rsidRPr="00307BA1" w:rsidRDefault="00307BA1" w:rsidP="00307BA1">
            <w:pPr>
              <w:spacing w:after="40"/>
              <w:ind w:firstLine="288"/>
              <w:jc w:val="both"/>
              <w:rPr>
                <w:lang w:val="en-US"/>
              </w:rPr>
            </w:pPr>
            <w:r w:rsidRPr="00307BA1">
              <w:rPr>
                <w:rFonts w:ascii="Verdana" w:hAnsi="Verdana"/>
                <w:sz w:val="16"/>
                <w:szCs w:val="16"/>
                <w:lang w:val="en-US"/>
              </w:rPr>
              <w:t>When the samples have glaze on their outer surface (in the critical zone less than 2.0 cm from the edge), the total amount of Pb or Cd is calculated with the following formula:</w:t>
            </w:r>
          </w:p>
          <w:p w14:paraId="437E32AB" w14:textId="261EE58F" w:rsidR="00307BA1" w:rsidRPr="00307BA1" w:rsidRDefault="00307BA1" w:rsidP="00307BA1">
            <w:pPr>
              <w:pStyle w:val="Texto"/>
              <w:spacing w:after="40" w:line="240" w:lineRule="auto"/>
              <w:ind w:firstLine="0"/>
              <w:rPr>
                <w:rFonts w:ascii="Verdana" w:hAnsi="Verdana"/>
                <w:sz w:val="16"/>
                <w:szCs w:val="16"/>
                <w:lang w:val="en-US" w:eastAsia="es-MX"/>
              </w:rPr>
            </w:pPr>
            <w:r w:rsidRPr="00307BA1">
              <w:rPr>
                <w:rFonts w:ascii="Verdana" w:hAnsi="Verdana" w:cs="Times New Roman"/>
                <w:sz w:val="16"/>
                <w:szCs w:val="16"/>
                <w:lang w:val="en-US"/>
              </w:rPr>
              <w:t> </w:t>
            </w:r>
          </w:p>
        </w:tc>
      </w:tr>
    </w:tbl>
    <w:p w14:paraId="7D3BBBC8" w14:textId="006B6C4F" w:rsidR="006F11F4" w:rsidRDefault="00AC7BAB" w:rsidP="00963A27">
      <w:pPr>
        <w:pStyle w:val="Texto"/>
        <w:spacing w:after="40" w:line="240" w:lineRule="auto"/>
        <w:jc w:val="center"/>
        <w:rPr>
          <w:rFonts w:ascii="Verdana" w:hAnsi="Verdana"/>
          <w:sz w:val="16"/>
          <w:szCs w:val="16"/>
        </w:rPr>
      </w:pPr>
      <w:r w:rsidRPr="00963A27">
        <w:rPr>
          <w:rFonts w:ascii="Verdana" w:hAnsi="Verdana"/>
          <w:noProof/>
          <w:sz w:val="16"/>
          <w:szCs w:val="16"/>
        </w:rPr>
        <w:drawing>
          <wp:inline distT="0" distB="0" distL="0" distR="0" wp14:anchorId="27CD0885" wp14:editId="7D535186">
            <wp:extent cx="598805" cy="2381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805" cy="2381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307BA1" w:rsidRPr="006F11F4" w14:paraId="1CBD5251" w14:textId="0DD34CC2" w:rsidTr="00B37C12">
        <w:tc>
          <w:tcPr>
            <w:tcW w:w="4788" w:type="dxa"/>
          </w:tcPr>
          <w:p w14:paraId="7B0227C9" w14:textId="77777777" w:rsidR="00307BA1" w:rsidRPr="00B37C12" w:rsidRDefault="00307BA1" w:rsidP="00307BA1">
            <w:pPr>
              <w:pStyle w:val="Texto"/>
              <w:spacing w:after="24" w:line="240" w:lineRule="auto"/>
              <w:ind w:firstLine="0"/>
              <w:rPr>
                <w:rFonts w:ascii="Verdana" w:hAnsi="Verdana"/>
                <w:b/>
                <w:bCs/>
                <w:sz w:val="16"/>
                <w:szCs w:val="16"/>
                <w:lang w:eastAsia="es-MX"/>
              </w:rPr>
            </w:pPr>
            <w:r w:rsidRPr="00B37C12">
              <w:rPr>
                <w:rFonts w:ascii="Verdana" w:hAnsi="Verdana"/>
                <w:b/>
                <w:bCs/>
                <w:sz w:val="16"/>
                <w:szCs w:val="16"/>
                <w:lang w:eastAsia="es-MX"/>
              </w:rPr>
              <w:t>En donde:</w:t>
            </w:r>
          </w:p>
        </w:tc>
        <w:tc>
          <w:tcPr>
            <w:tcW w:w="4788" w:type="dxa"/>
          </w:tcPr>
          <w:p w14:paraId="7E346F23" w14:textId="45539B6C" w:rsidR="00307BA1" w:rsidRPr="00B37C12" w:rsidRDefault="00307BA1" w:rsidP="00307BA1">
            <w:pPr>
              <w:pStyle w:val="Texto"/>
              <w:spacing w:after="24" w:line="240" w:lineRule="auto"/>
              <w:ind w:firstLine="0"/>
              <w:rPr>
                <w:rFonts w:ascii="Verdana" w:hAnsi="Verdana"/>
                <w:b/>
                <w:bCs/>
                <w:sz w:val="16"/>
                <w:szCs w:val="16"/>
                <w:lang w:eastAsia="es-MX"/>
              </w:rPr>
            </w:pPr>
            <w:proofErr w:type="spellStart"/>
            <w:r w:rsidRPr="00B37C12">
              <w:rPr>
                <w:rFonts w:ascii="Verdana" w:hAnsi="Verdana" w:cs="Times New Roman"/>
                <w:b/>
                <w:bCs/>
                <w:sz w:val="16"/>
                <w:szCs w:val="16"/>
              </w:rPr>
              <w:t>Where</w:t>
            </w:r>
            <w:proofErr w:type="spellEnd"/>
            <w:r w:rsidRPr="00B37C12">
              <w:rPr>
                <w:rFonts w:ascii="Verdana" w:hAnsi="Verdana" w:cs="Times New Roman"/>
                <w:b/>
                <w:bCs/>
                <w:sz w:val="16"/>
                <w:szCs w:val="16"/>
              </w:rPr>
              <w:t>:</w:t>
            </w:r>
          </w:p>
        </w:tc>
      </w:tr>
      <w:tr w:rsidR="00307BA1" w:rsidRPr="00307BA1" w14:paraId="297E74B1" w14:textId="3C98888D" w:rsidTr="00B37C12">
        <w:tc>
          <w:tcPr>
            <w:tcW w:w="4788" w:type="dxa"/>
          </w:tcPr>
          <w:p w14:paraId="260BB07D" w14:textId="1918E649" w:rsidR="00307BA1" w:rsidRPr="006F11F4" w:rsidRDefault="00AC7BAB" w:rsidP="00307BA1">
            <w:pPr>
              <w:pStyle w:val="Texto"/>
              <w:spacing w:after="24" w:line="240" w:lineRule="auto"/>
              <w:ind w:firstLine="0"/>
              <w:rPr>
                <w:rFonts w:ascii="Verdana" w:hAnsi="Verdana"/>
                <w:sz w:val="16"/>
                <w:szCs w:val="16"/>
                <w:lang w:eastAsia="es-MX"/>
              </w:rPr>
            </w:pPr>
            <w:r w:rsidRPr="006F11F4">
              <w:rPr>
                <w:rFonts w:ascii="Verdana" w:hAnsi="Verdana"/>
                <w:noProof/>
                <w:sz w:val="16"/>
                <w:szCs w:val="16"/>
                <w:lang w:eastAsia="es-MX"/>
              </w:rPr>
              <w:drawing>
                <wp:inline distT="0" distB="0" distL="0" distR="0" wp14:anchorId="554F370C" wp14:editId="2CAA3751">
                  <wp:extent cx="244475" cy="15430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154305"/>
                          </a:xfrm>
                          <a:prstGeom prst="rect">
                            <a:avLst/>
                          </a:prstGeom>
                          <a:noFill/>
                          <a:ln>
                            <a:noFill/>
                          </a:ln>
                        </pic:spPr>
                      </pic:pic>
                    </a:graphicData>
                  </a:graphic>
                </wp:inline>
              </w:drawing>
            </w:r>
            <w:r w:rsidR="00307BA1" w:rsidRPr="006F11F4">
              <w:rPr>
                <w:rFonts w:ascii="Verdana" w:hAnsi="Verdana"/>
                <w:sz w:val="16"/>
                <w:szCs w:val="16"/>
                <w:lang w:eastAsia="es-MX"/>
              </w:rPr>
              <w:tab/>
              <w:t>es la concentración de Pb o Cd por el exterior, expresada en mg/L;</w:t>
            </w:r>
          </w:p>
        </w:tc>
        <w:tc>
          <w:tcPr>
            <w:tcW w:w="4788" w:type="dxa"/>
          </w:tcPr>
          <w:p w14:paraId="42BB665C" w14:textId="1349A906" w:rsidR="00307BA1" w:rsidRPr="00307BA1" w:rsidRDefault="00307BA1" w:rsidP="00307BA1">
            <w:pPr>
              <w:pStyle w:val="Texto"/>
              <w:spacing w:after="24" w:line="240" w:lineRule="auto"/>
              <w:ind w:firstLine="0"/>
              <w:rPr>
                <w:rFonts w:ascii="Verdana" w:hAnsi="Verdana"/>
                <w:sz w:val="16"/>
                <w:szCs w:val="16"/>
                <w:lang w:val="en-US" w:eastAsia="es-MX"/>
              </w:rPr>
            </w:pPr>
            <w:r w:rsidRPr="00307BA1">
              <w:rPr>
                <w:rFonts w:ascii="Verdana" w:hAnsi="Verdana" w:cs="Times New Roman"/>
                <w:sz w:val="16"/>
                <w:szCs w:val="16"/>
                <w:lang w:val="en-US"/>
              </w:rPr>
              <w:t xml:space="preserve"> </w:t>
            </w:r>
            <w:r w:rsidR="00AC7BAB" w:rsidRPr="006F11F4">
              <w:rPr>
                <w:rFonts w:ascii="Verdana" w:hAnsi="Verdana"/>
                <w:noProof/>
                <w:sz w:val="16"/>
                <w:szCs w:val="16"/>
                <w:lang w:eastAsia="es-MX"/>
              </w:rPr>
              <w:drawing>
                <wp:inline distT="0" distB="0" distL="0" distR="0" wp14:anchorId="4A98FDCA" wp14:editId="6AF9FC1C">
                  <wp:extent cx="244475" cy="15430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154305"/>
                          </a:xfrm>
                          <a:prstGeom prst="rect">
                            <a:avLst/>
                          </a:prstGeom>
                          <a:noFill/>
                          <a:ln>
                            <a:noFill/>
                          </a:ln>
                        </pic:spPr>
                      </pic:pic>
                    </a:graphicData>
                  </a:graphic>
                </wp:inline>
              </w:drawing>
            </w:r>
            <w:r w:rsidR="00B37C12" w:rsidRPr="00B37C12">
              <w:rPr>
                <w:rFonts w:ascii="Verdana" w:hAnsi="Verdana"/>
                <w:sz w:val="16"/>
                <w:szCs w:val="16"/>
                <w:lang w:val="en-US" w:eastAsia="es-MX"/>
              </w:rPr>
              <w:t xml:space="preserve"> </w:t>
            </w:r>
            <w:r w:rsidRPr="00307BA1">
              <w:rPr>
                <w:rFonts w:ascii="Verdana" w:hAnsi="Verdana" w:cs="Times New Roman"/>
                <w:sz w:val="16"/>
                <w:szCs w:val="16"/>
                <w:lang w:val="en-US"/>
              </w:rPr>
              <w:t>It is the concentration of Pb or Cd on the outside, expressed in mg/L;</w:t>
            </w:r>
          </w:p>
        </w:tc>
      </w:tr>
      <w:tr w:rsidR="00307BA1" w:rsidRPr="00307BA1" w14:paraId="4A820249" w14:textId="2A52A8CC" w:rsidTr="00B37C12">
        <w:tc>
          <w:tcPr>
            <w:tcW w:w="4788" w:type="dxa"/>
          </w:tcPr>
          <w:p w14:paraId="734F7680" w14:textId="45A0156E" w:rsidR="00307BA1" w:rsidRPr="006F11F4" w:rsidRDefault="00AC7BAB" w:rsidP="00307BA1">
            <w:pPr>
              <w:pStyle w:val="Texto"/>
              <w:spacing w:after="24" w:line="240" w:lineRule="auto"/>
              <w:ind w:firstLine="0"/>
              <w:rPr>
                <w:rFonts w:ascii="Verdana" w:hAnsi="Verdana"/>
                <w:sz w:val="16"/>
                <w:szCs w:val="16"/>
                <w:lang w:eastAsia="es-MX"/>
              </w:rPr>
            </w:pPr>
            <w:r w:rsidRPr="006F11F4">
              <w:rPr>
                <w:rFonts w:ascii="Verdana" w:hAnsi="Verdana"/>
                <w:noProof/>
                <w:sz w:val="16"/>
                <w:szCs w:val="16"/>
                <w:lang w:eastAsia="es-MX"/>
              </w:rPr>
              <w:drawing>
                <wp:inline distT="0" distB="0" distL="0" distR="0" wp14:anchorId="5AFFA671" wp14:editId="661B6FE2">
                  <wp:extent cx="154305" cy="1543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00307BA1" w:rsidRPr="006F11F4">
              <w:rPr>
                <w:rFonts w:ascii="Verdana" w:hAnsi="Verdana"/>
                <w:sz w:val="16"/>
                <w:szCs w:val="16"/>
                <w:lang w:eastAsia="es-MX"/>
              </w:rPr>
              <w:tab/>
              <w:t>es la concentración obtenida en la muestra de solución de extracción, expresada en mg/L;</w:t>
            </w:r>
          </w:p>
        </w:tc>
        <w:tc>
          <w:tcPr>
            <w:tcW w:w="4788" w:type="dxa"/>
          </w:tcPr>
          <w:p w14:paraId="402257A0" w14:textId="103356DA" w:rsidR="00307BA1" w:rsidRPr="00307BA1" w:rsidRDefault="00AC7BAB" w:rsidP="00307BA1">
            <w:pPr>
              <w:pStyle w:val="Texto"/>
              <w:spacing w:after="24" w:line="240" w:lineRule="auto"/>
              <w:ind w:firstLine="0"/>
              <w:rPr>
                <w:rFonts w:ascii="Verdana" w:hAnsi="Verdana"/>
                <w:sz w:val="16"/>
                <w:szCs w:val="16"/>
                <w:lang w:val="en-US" w:eastAsia="es-MX"/>
              </w:rPr>
            </w:pPr>
            <w:r w:rsidRPr="006F11F4">
              <w:rPr>
                <w:rFonts w:ascii="Verdana" w:hAnsi="Verdana"/>
                <w:noProof/>
                <w:sz w:val="16"/>
                <w:szCs w:val="16"/>
                <w:lang w:eastAsia="es-MX"/>
              </w:rPr>
              <w:drawing>
                <wp:inline distT="0" distB="0" distL="0" distR="0" wp14:anchorId="6BA54371" wp14:editId="2F209650">
                  <wp:extent cx="154305" cy="15430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00B37C12" w:rsidRPr="00B37C12">
              <w:rPr>
                <w:rFonts w:ascii="Verdana" w:hAnsi="Verdana"/>
                <w:sz w:val="16"/>
                <w:szCs w:val="16"/>
                <w:lang w:val="en-US" w:eastAsia="es-MX"/>
              </w:rPr>
              <w:t xml:space="preserve"> </w:t>
            </w:r>
            <w:r w:rsidR="00307BA1" w:rsidRPr="00307BA1">
              <w:rPr>
                <w:rFonts w:ascii="Verdana" w:hAnsi="Verdana" w:cs="Times New Roman"/>
                <w:sz w:val="16"/>
                <w:szCs w:val="16"/>
                <w:lang w:val="en-US"/>
              </w:rPr>
              <w:t>is the concentration obtained in the extraction solution sample, expressed in mg/L;</w:t>
            </w:r>
          </w:p>
        </w:tc>
      </w:tr>
      <w:tr w:rsidR="00307BA1" w:rsidRPr="00307BA1" w14:paraId="7761EB66" w14:textId="008873D7" w:rsidTr="00B37C12">
        <w:tc>
          <w:tcPr>
            <w:tcW w:w="4788" w:type="dxa"/>
          </w:tcPr>
          <w:p w14:paraId="789E9909" w14:textId="54F2D081" w:rsidR="00307BA1" w:rsidRPr="006F11F4" w:rsidRDefault="00AC7BAB" w:rsidP="00307BA1">
            <w:pPr>
              <w:pStyle w:val="Texto"/>
              <w:spacing w:after="24" w:line="240" w:lineRule="auto"/>
              <w:ind w:firstLine="0"/>
              <w:rPr>
                <w:rFonts w:ascii="Verdana" w:hAnsi="Verdana"/>
                <w:sz w:val="16"/>
                <w:szCs w:val="16"/>
                <w:lang w:eastAsia="es-MX"/>
              </w:rPr>
            </w:pPr>
            <w:r w:rsidRPr="006F11F4">
              <w:rPr>
                <w:rFonts w:ascii="Verdana" w:hAnsi="Verdana"/>
                <w:noProof/>
                <w:sz w:val="16"/>
                <w:szCs w:val="16"/>
                <w:lang w:eastAsia="es-MX"/>
              </w:rPr>
              <w:drawing>
                <wp:inline distT="0" distB="0" distL="0" distR="0" wp14:anchorId="1CA12A26" wp14:editId="3D50845E">
                  <wp:extent cx="186690" cy="12890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 cy="128905"/>
                          </a:xfrm>
                          <a:prstGeom prst="rect">
                            <a:avLst/>
                          </a:prstGeom>
                          <a:noFill/>
                          <a:ln>
                            <a:noFill/>
                          </a:ln>
                        </pic:spPr>
                      </pic:pic>
                    </a:graphicData>
                  </a:graphic>
                </wp:inline>
              </w:drawing>
            </w:r>
            <w:r w:rsidR="00307BA1" w:rsidRPr="006F11F4">
              <w:rPr>
                <w:rFonts w:ascii="Verdana" w:hAnsi="Verdana"/>
                <w:sz w:val="16"/>
                <w:szCs w:val="16"/>
                <w:lang w:eastAsia="es-MX"/>
              </w:rPr>
              <w:tab/>
              <w:t xml:space="preserve">es el volumen de solución de extracción usada, expresada en </w:t>
            </w:r>
            <w:proofErr w:type="spellStart"/>
            <w:r w:rsidR="00307BA1" w:rsidRPr="006F11F4">
              <w:rPr>
                <w:rFonts w:ascii="Verdana" w:hAnsi="Verdana"/>
                <w:sz w:val="16"/>
                <w:szCs w:val="16"/>
                <w:lang w:eastAsia="es-MX"/>
              </w:rPr>
              <w:t>mL</w:t>
            </w:r>
            <w:proofErr w:type="spellEnd"/>
            <w:r w:rsidR="00307BA1" w:rsidRPr="006F11F4">
              <w:rPr>
                <w:rFonts w:ascii="Verdana" w:hAnsi="Verdana"/>
                <w:sz w:val="16"/>
                <w:szCs w:val="16"/>
                <w:lang w:eastAsia="es-MX"/>
              </w:rPr>
              <w:t>, y</w:t>
            </w:r>
          </w:p>
        </w:tc>
        <w:tc>
          <w:tcPr>
            <w:tcW w:w="4788" w:type="dxa"/>
          </w:tcPr>
          <w:p w14:paraId="0DD0A300" w14:textId="1A9A2D82" w:rsidR="00307BA1" w:rsidRPr="00307BA1" w:rsidRDefault="00B37C12" w:rsidP="00B37C12">
            <w:pPr>
              <w:pStyle w:val="Texto"/>
              <w:numPr>
                <w:ilvl w:val="0"/>
                <w:numId w:val="6"/>
              </w:numPr>
              <w:spacing w:after="24" w:line="240" w:lineRule="auto"/>
              <w:rPr>
                <w:rFonts w:ascii="Verdana" w:hAnsi="Verdana"/>
                <w:sz w:val="16"/>
                <w:szCs w:val="16"/>
                <w:lang w:val="en-US" w:eastAsia="es-MX"/>
              </w:rPr>
            </w:pPr>
            <w:r>
              <w:rPr>
                <w:rFonts w:ascii="Verdana" w:hAnsi="Verdana" w:cs="Times New Roman"/>
                <w:sz w:val="16"/>
                <w:szCs w:val="16"/>
                <w:lang w:val="en-US"/>
              </w:rPr>
              <w:t xml:space="preserve"> </w:t>
            </w:r>
            <w:r w:rsidR="00307BA1" w:rsidRPr="00307BA1">
              <w:rPr>
                <w:rFonts w:ascii="Verdana" w:hAnsi="Verdana" w:cs="Times New Roman"/>
                <w:sz w:val="16"/>
                <w:szCs w:val="16"/>
                <w:lang w:val="en-US"/>
              </w:rPr>
              <w:t>is the volume of extraction solution used, expressed in mL , and</w:t>
            </w:r>
          </w:p>
        </w:tc>
      </w:tr>
      <w:tr w:rsidR="00307BA1" w:rsidRPr="00307BA1" w14:paraId="7ECDE92C" w14:textId="1809EAB4" w:rsidTr="00B37C12">
        <w:tc>
          <w:tcPr>
            <w:tcW w:w="4788" w:type="dxa"/>
          </w:tcPr>
          <w:p w14:paraId="02908F16" w14:textId="4338D6E0" w:rsidR="00307BA1" w:rsidRPr="006F11F4" w:rsidRDefault="00AC7BAB" w:rsidP="00307BA1">
            <w:pPr>
              <w:pStyle w:val="Texto"/>
              <w:spacing w:after="24" w:line="240" w:lineRule="auto"/>
              <w:ind w:firstLine="0"/>
              <w:rPr>
                <w:rFonts w:ascii="Verdana" w:hAnsi="Verdana"/>
                <w:sz w:val="16"/>
                <w:szCs w:val="16"/>
                <w:lang w:eastAsia="es-MX"/>
              </w:rPr>
            </w:pPr>
            <w:r w:rsidRPr="006F11F4">
              <w:rPr>
                <w:rFonts w:ascii="Verdana" w:hAnsi="Verdana"/>
                <w:noProof/>
                <w:sz w:val="16"/>
                <w:szCs w:val="16"/>
                <w:lang w:eastAsia="es-MX"/>
              </w:rPr>
              <w:drawing>
                <wp:inline distT="0" distB="0" distL="0" distR="0" wp14:anchorId="6DDAB943" wp14:editId="46A857B0">
                  <wp:extent cx="186690" cy="1803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 cy="180340"/>
                          </a:xfrm>
                          <a:prstGeom prst="rect">
                            <a:avLst/>
                          </a:prstGeom>
                          <a:noFill/>
                          <a:ln>
                            <a:noFill/>
                          </a:ln>
                        </pic:spPr>
                      </pic:pic>
                    </a:graphicData>
                  </a:graphic>
                </wp:inline>
              </w:drawing>
            </w:r>
            <w:r w:rsidR="00307BA1" w:rsidRPr="006F11F4">
              <w:rPr>
                <w:rFonts w:ascii="Verdana" w:hAnsi="Verdana"/>
                <w:sz w:val="16"/>
                <w:szCs w:val="16"/>
                <w:lang w:eastAsia="es-MX"/>
              </w:rPr>
              <w:tab/>
              <w:t xml:space="preserve">es el volumen interior del artículo, expresada en </w:t>
            </w:r>
            <w:proofErr w:type="spellStart"/>
            <w:r w:rsidR="00307BA1" w:rsidRPr="006F11F4">
              <w:rPr>
                <w:rFonts w:ascii="Verdana" w:hAnsi="Verdana"/>
                <w:sz w:val="16"/>
                <w:szCs w:val="16"/>
                <w:lang w:eastAsia="es-MX"/>
              </w:rPr>
              <w:t>mL</w:t>
            </w:r>
            <w:proofErr w:type="spellEnd"/>
            <w:r w:rsidR="00307BA1" w:rsidRPr="006F11F4">
              <w:rPr>
                <w:rFonts w:ascii="Verdana" w:hAnsi="Verdana"/>
                <w:sz w:val="16"/>
                <w:szCs w:val="16"/>
                <w:lang w:eastAsia="es-MX"/>
              </w:rPr>
              <w:t>.</w:t>
            </w:r>
          </w:p>
        </w:tc>
        <w:tc>
          <w:tcPr>
            <w:tcW w:w="4788" w:type="dxa"/>
          </w:tcPr>
          <w:p w14:paraId="4F7DC71B" w14:textId="336D193E" w:rsidR="00307BA1" w:rsidRPr="00307BA1" w:rsidRDefault="00AC7BAB" w:rsidP="00307BA1">
            <w:pPr>
              <w:pStyle w:val="Texto"/>
              <w:spacing w:after="24" w:line="240" w:lineRule="auto"/>
              <w:ind w:firstLine="0"/>
              <w:rPr>
                <w:rFonts w:ascii="Verdana" w:hAnsi="Verdana"/>
                <w:sz w:val="16"/>
                <w:szCs w:val="16"/>
                <w:lang w:val="en-US" w:eastAsia="es-MX"/>
              </w:rPr>
            </w:pPr>
            <w:r w:rsidRPr="006F11F4">
              <w:rPr>
                <w:rFonts w:ascii="Verdana" w:hAnsi="Verdana"/>
                <w:noProof/>
                <w:sz w:val="16"/>
                <w:szCs w:val="16"/>
                <w:lang w:eastAsia="es-MX"/>
              </w:rPr>
              <w:drawing>
                <wp:inline distT="0" distB="0" distL="0" distR="0" wp14:anchorId="5D43D75F" wp14:editId="4FE2308B">
                  <wp:extent cx="186690" cy="18034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 cy="180340"/>
                          </a:xfrm>
                          <a:prstGeom prst="rect">
                            <a:avLst/>
                          </a:prstGeom>
                          <a:noFill/>
                          <a:ln>
                            <a:noFill/>
                          </a:ln>
                        </pic:spPr>
                      </pic:pic>
                    </a:graphicData>
                  </a:graphic>
                </wp:inline>
              </w:drawing>
            </w:r>
            <w:r w:rsidR="00B37C12" w:rsidRPr="00B37C12">
              <w:rPr>
                <w:rFonts w:ascii="Verdana" w:hAnsi="Verdana"/>
                <w:sz w:val="16"/>
                <w:szCs w:val="16"/>
                <w:lang w:val="en-US" w:eastAsia="es-MX"/>
              </w:rPr>
              <w:t xml:space="preserve"> </w:t>
            </w:r>
            <w:r w:rsidR="00307BA1" w:rsidRPr="00307BA1">
              <w:rPr>
                <w:rFonts w:ascii="Verdana" w:hAnsi="Verdana" w:cs="Times New Roman"/>
                <w:sz w:val="16"/>
                <w:szCs w:val="16"/>
                <w:lang w:val="en-US"/>
              </w:rPr>
              <w:t>is the internal volume of the article, expressed in mL .</w:t>
            </w:r>
          </w:p>
        </w:tc>
      </w:tr>
      <w:tr w:rsidR="00307BA1" w:rsidRPr="00307BA1" w14:paraId="46F751BA" w14:textId="274C327C" w:rsidTr="00B37C12">
        <w:tc>
          <w:tcPr>
            <w:tcW w:w="4788" w:type="dxa"/>
          </w:tcPr>
          <w:p w14:paraId="3C77474E" w14:textId="77777777" w:rsidR="00307BA1" w:rsidRPr="006F11F4" w:rsidRDefault="00307BA1" w:rsidP="00307BA1">
            <w:pPr>
              <w:pStyle w:val="Texto"/>
              <w:spacing w:after="24" w:line="240" w:lineRule="auto"/>
              <w:ind w:firstLine="0"/>
              <w:rPr>
                <w:rFonts w:ascii="Verdana" w:hAnsi="Verdana"/>
                <w:sz w:val="16"/>
                <w:szCs w:val="16"/>
                <w:lang w:eastAsia="es-MX"/>
              </w:rPr>
            </w:pPr>
            <w:r w:rsidRPr="006F11F4">
              <w:rPr>
                <w:rFonts w:ascii="Verdana" w:hAnsi="Verdana"/>
                <w:sz w:val="16"/>
                <w:szCs w:val="16"/>
                <w:lang w:eastAsia="es-MX"/>
              </w:rPr>
              <w:t>Cuando se realizan pruebas por ambos lados de la muestra (interior y exterior), se deben sumar los valores obtenidos en ambas partes.</w:t>
            </w:r>
          </w:p>
        </w:tc>
        <w:tc>
          <w:tcPr>
            <w:tcW w:w="4788" w:type="dxa"/>
          </w:tcPr>
          <w:p w14:paraId="31398EC6" w14:textId="5C040E0C" w:rsidR="00307BA1" w:rsidRPr="00307BA1" w:rsidRDefault="00307BA1" w:rsidP="00307BA1">
            <w:pPr>
              <w:pStyle w:val="Texto"/>
              <w:spacing w:after="24" w:line="240" w:lineRule="auto"/>
              <w:ind w:firstLine="0"/>
              <w:rPr>
                <w:rFonts w:ascii="Verdana" w:hAnsi="Verdana"/>
                <w:sz w:val="16"/>
                <w:szCs w:val="16"/>
                <w:lang w:val="en-US" w:eastAsia="es-MX"/>
              </w:rPr>
            </w:pPr>
            <w:r w:rsidRPr="00307BA1">
              <w:rPr>
                <w:rFonts w:ascii="Verdana" w:hAnsi="Verdana" w:cs="Times New Roman"/>
                <w:sz w:val="16"/>
                <w:szCs w:val="16"/>
                <w:lang w:val="en-US"/>
              </w:rPr>
              <w:t xml:space="preserve">When tests are carried out on both sides of the sample (inside and outside), the values </w:t>
            </w:r>
            <w:r w:rsidRPr="00307BA1">
              <w:rPr>
                <w:sz w:val="16"/>
                <w:szCs w:val="16"/>
                <w:lang w:val="en-US"/>
              </w:rPr>
              <w:t>​​</w:t>
            </w:r>
            <w:r w:rsidRPr="00307BA1">
              <w:rPr>
                <w:rFonts w:ascii="Verdana" w:hAnsi="Verdana" w:cs="Times New Roman"/>
                <w:sz w:val="16"/>
                <w:szCs w:val="16"/>
                <w:lang w:val="en-US"/>
              </w:rPr>
              <w:t>obtained in both parts must be added.</w:t>
            </w:r>
          </w:p>
        </w:tc>
      </w:tr>
      <w:tr w:rsidR="00307BA1" w:rsidRPr="006F11F4" w14:paraId="44D49F3C" w14:textId="0826FF99" w:rsidTr="00B37C12">
        <w:tc>
          <w:tcPr>
            <w:tcW w:w="4788" w:type="dxa"/>
          </w:tcPr>
          <w:p w14:paraId="190736F9" w14:textId="77777777" w:rsidR="00307BA1" w:rsidRPr="006F11F4" w:rsidRDefault="00307BA1" w:rsidP="00307BA1">
            <w:pPr>
              <w:pStyle w:val="Texto"/>
              <w:spacing w:after="24" w:line="240" w:lineRule="auto"/>
              <w:ind w:firstLine="0"/>
              <w:rPr>
                <w:rFonts w:ascii="Verdana" w:hAnsi="Verdana"/>
                <w:sz w:val="16"/>
                <w:szCs w:val="16"/>
                <w:lang w:eastAsia="es-MX"/>
              </w:rPr>
            </w:pPr>
            <w:r w:rsidRPr="006F11F4">
              <w:rPr>
                <w:rFonts w:ascii="Verdana" w:hAnsi="Verdana"/>
                <w:b/>
                <w:sz w:val="16"/>
                <w:szCs w:val="16"/>
                <w:lang w:eastAsia="es-MX"/>
              </w:rPr>
              <w:t xml:space="preserve">A.6.4 </w:t>
            </w:r>
            <w:r w:rsidRPr="006F11F4">
              <w:rPr>
                <w:rFonts w:ascii="Verdana" w:hAnsi="Verdana"/>
                <w:sz w:val="16"/>
                <w:szCs w:val="16"/>
                <w:lang w:eastAsia="es-MX"/>
              </w:rPr>
              <w:t>Informe de la prueba.</w:t>
            </w:r>
          </w:p>
        </w:tc>
        <w:tc>
          <w:tcPr>
            <w:tcW w:w="4788" w:type="dxa"/>
          </w:tcPr>
          <w:p w14:paraId="5B2856DD" w14:textId="229BC8CA" w:rsidR="00307BA1" w:rsidRPr="006F11F4" w:rsidRDefault="00307BA1" w:rsidP="00307BA1">
            <w:pPr>
              <w:pStyle w:val="Texto"/>
              <w:spacing w:after="24" w:line="240" w:lineRule="auto"/>
              <w:ind w:firstLine="0"/>
              <w:rPr>
                <w:rFonts w:ascii="Verdana" w:hAnsi="Verdana"/>
                <w:b/>
                <w:sz w:val="16"/>
                <w:szCs w:val="16"/>
                <w:lang w:eastAsia="es-MX"/>
              </w:rPr>
            </w:pPr>
            <w:r w:rsidRPr="00A96DA8">
              <w:rPr>
                <w:rFonts w:ascii="Verdana" w:hAnsi="Verdana" w:cs="Times New Roman"/>
                <w:b/>
                <w:bCs/>
                <w:sz w:val="16"/>
                <w:szCs w:val="16"/>
              </w:rPr>
              <w:t xml:space="preserve">A.6.4 </w:t>
            </w:r>
            <w:r w:rsidRPr="00B37C12">
              <w:rPr>
                <w:rFonts w:ascii="Verdana" w:hAnsi="Verdana" w:cs="Times New Roman"/>
                <w:sz w:val="16"/>
                <w:szCs w:val="16"/>
              </w:rPr>
              <w:t xml:space="preserve">Test </w:t>
            </w:r>
            <w:proofErr w:type="spellStart"/>
            <w:r w:rsidRPr="00B37C12">
              <w:rPr>
                <w:rFonts w:ascii="Verdana" w:hAnsi="Verdana" w:cs="Times New Roman"/>
                <w:sz w:val="16"/>
                <w:szCs w:val="16"/>
              </w:rPr>
              <w:t>report</w:t>
            </w:r>
            <w:proofErr w:type="spellEnd"/>
            <w:r w:rsidRPr="00A96DA8">
              <w:rPr>
                <w:rFonts w:ascii="Verdana" w:hAnsi="Verdana" w:cs="Times New Roman"/>
                <w:sz w:val="16"/>
                <w:szCs w:val="16"/>
              </w:rPr>
              <w:t>.</w:t>
            </w:r>
          </w:p>
        </w:tc>
      </w:tr>
      <w:tr w:rsidR="00307BA1" w:rsidRPr="00307BA1" w14:paraId="56BF4076" w14:textId="359944A9" w:rsidTr="00B37C12">
        <w:tc>
          <w:tcPr>
            <w:tcW w:w="4788" w:type="dxa"/>
          </w:tcPr>
          <w:p w14:paraId="2BEDA427" w14:textId="77777777" w:rsidR="00307BA1" w:rsidRPr="006F11F4" w:rsidRDefault="00307BA1" w:rsidP="00307BA1">
            <w:pPr>
              <w:pStyle w:val="Texto"/>
              <w:spacing w:after="24" w:line="240" w:lineRule="auto"/>
              <w:ind w:firstLine="0"/>
              <w:rPr>
                <w:rFonts w:ascii="Verdana" w:hAnsi="Verdana"/>
                <w:sz w:val="16"/>
                <w:szCs w:val="16"/>
                <w:lang w:eastAsia="es-MX"/>
              </w:rPr>
            </w:pPr>
            <w:r w:rsidRPr="006F11F4">
              <w:rPr>
                <w:rFonts w:ascii="Verdana" w:hAnsi="Verdana"/>
                <w:sz w:val="16"/>
                <w:szCs w:val="16"/>
                <w:lang w:eastAsia="es-MX"/>
              </w:rPr>
              <w:t>El informe de la prueba debe contener los siguientes datos como mínimo:</w:t>
            </w:r>
          </w:p>
        </w:tc>
        <w:tc>
          <w:tcPr>
            <w:tcW w:w="4788" w:type="dxa"/>
          </w:tcPr>
          <w:p w14:paraId="53EBE235" w14:textId="4D72AC79" w:rsidR="00307BA1" w:rsidRPr="00307BA1" w:rsidRDefault="00307BA1" w:rsidP="00307BA1">
            <w:pPr>
              <w:pStyle w:val="Texto"/>
              <w:spacing w:after="24" w:line="240" w:lineRule="auto"/>
              <w:ind w:firstLine="0"/>
              <w:rPr>
                <w:rFonts w:ascii="Verdana" w:hAnsi="Verdana"/>
                <w:sz w:val="16"/>
                <w:szCs w:val="16"/>
                <w:lang w:val="en-US" w:eastAsia="es-MX"/>
              </w:rPr>
            </w:pPr>
            <w:r w:rsidRPr="00307BA1">
              <w:rPr>
                <w:rFonts w:ascii="Verdana" w:hAnsi="Verdana" w:cs="Times New Roman"/>
                <w:sz w:val="16"/>
                <w:szCs w:val="16"/>
                <w:lang w:val="en-US"/>
              </w:rPr>
              <w:t>The test report must contain the following information as a minimum:</w:t>
            </w:r>
          </w:p>
        </w:tc>
      </w:tr>
      <w:tr w:rsidR="00307BA1" w:rsidRPr="00307BA1" w14:paraId="0DD5628A" w14:textId="1B51EACA" w:rsidTr="00B37C12">
        <w:tc>
          <w:tcPr>
            <w:tcW w:w="4788" w:type="dxa"/>
          </w:tcPr>
          <w:p w14:paraId="0218D5F9" w14:textId="77777777" w:rsidR="00307BA1" w:rsidRPr="006F11F4" w:rsidRDefault="00307BA1" w:rsidP="00307BA1">
            <w:pPr>
              <w:pStyle w:val="Texto"/>
              <w:spacing w:after="24" w:line="240" w:lineRule="auto"/>
              <w:ind w:firstLine="0"/>
              <w:rPr>
                <w:rFonts w:ascii="Verdana" w:hAnsi="Verdana"/>
                <w:sz w:val="16"/>
                <w:szCs w:val="16"/>
                <w:lang w:eastAsia="es-MX"/>
              </w:rPr>
            </w:pPr>
            <w:r w:rsidRPr="006F11F4">
              <w:rPr>
                <w:rFonts w:ascii="Verdana" w:hAnsi="Verdana"/>
                <w:b/>
                <w:sz w:val="16"/>
                <w:szCs w:val="16"/>
                <w:lang w:eastAsia="es-MX"/>
              </w:rPr>
              <w:t>A.6.4.1</w:t>
            </w:r>
            <w:r w:rsidRPr="006F11F4">
              <w:rPr>
                <w:rFonts w:ascii="Verdana" w:hAnsi="Verdana"/>
                <w:sz w:val="16"/>
                <w:szCs w:val="16"/>
                <w:lang w:eastAsia="es-MX"/>
              </w:rPr>
              <w:t xml:space="preserve"> Datos completos de identificación de la muestra, de preferencia como lo hace el productor (nombre, lote de producción, etc.);</w:t>
            </w:r>
          </w:p>
        </w:tc>
        <w:tc>
          <w:tcPr>
            <w:tcW w:w="4788" w:type="dxa"/>
          </w:tcPr>
          <w:p w14:paraId="30A91190" w14:textId="434F758C" w:rsidR="00307BA1" w:rsidRPr="00307BA1" w:rsidRDefault="00307BA1" w:rsidP="00307BA1">
            <w:pPr>
              <w:pStyle w:val="Texto"/>
              <w:spacing w:after="24"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A.6.4.1 </w:t>
            </w:r>
            <w:r w:rsidRPr="00307BA1">
              <w:rPr>
                <w:rFonts w:ascii="Verdana" w:hAnsi="Verdana" w:cs="Times New Roman"/>
                <w:sz w:val="16"/>
                <w:szCs w:val="16"/>
                <w:lang w:val="en-US"/>
              </w:rPr>
              <w:t>Complete identification data of the sample, preferably as the producer does (name, production lot, etc.);</w:t>
            </w:r>
          </w:p>
        </w:tc>
      </w:tr>
      <w:tr w:rsidR="00307BA1" w:rsidRPr="00307BA1" w14:paraId="6E691A07" w14:textId="61139468" w:rsidTr="00B37C12">
        <w:tc>
          <w:tcPr>
            <w:tcW w:w="4788" w:type="dxa"/>
          </w:tcPr>
          <w:p w14:paraId="4E31FAA3" w14:textId="77777777" w:rsidR="00307BA1" w:rsidRPr="006F11F4" w:rsidRDefault="00307BA1" w:rsidP="00307BA1">
            <w:pPr>
              <w:pStyle w:val="Texto"/>
              <w:spacing w:after="24" w:line="240" w:lineRule="auto"/>
              <w:ind w:firstLine="0"/>
              <w:rPr>
                <w:rFonts w:ascii="Verdana" w:hAnsi="Verdana"/>
                <w:sz w:val="16"/>
                <w:szCs w:val="16"/>
                <w:lang w:eastAsia="es-MX"/>
              </w:rPr>
            </w:pPr>
            <w:r w:rsidRPr="006F11F4">
              <w:rPr>
                <w:rFonts w:ascii="Verdana" w:hAnsi="Verdana"/>
                <w:b/>
                <w:sz w:val="16"/>
                <w:szCs w:val="16"/>
                <w:lang w:eastAsia="es-MX"/>
              </w:rPr>
              <w:t>A.6.4.2</w:t>
            </w:r>
            <w:r w:rsidRPr="006F11F4">
              <w:rPr>
                <w:rFonts w:ascii="Verdana" w:hAnsi="Verdana"/>
                <w:sz w:val="16"/>
                <w:szCs w:val="16"/>
                <w:lang w:eastAsia="es-MX"/>
              </w:rPr>
              <w:t xml:space="preserve"> Descripción de las muestras (Tipo de vidriado, su color y si presenta decoración en qué parte, cuando se amerite) y fotografía de las mismas;</w:t>
            </w:r>
          </w:p>
        </w:tc>
        <w:tc>
          <w:tcPr>
            <w:tcW w:w="4788" w:type="dxa"/>
          </w:tcPr>
          <w:p w14:paraId="4731447B" w14:textId="5A5D62A9" w:rsidR="00307BA1" w:rsidRPr="00307BA1" w:rsidRDefault="00307BA1" w:rsidP="00307BA1">
            <w:pPr>
              <w:pStyle w:val="Texto"/>
              <w:spacing w:after="24"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A.6.4.2 </w:t>
            </w:r>
            <w:r w:rsidRPr="00307BA1">
              <w:rPr>
                <w:rFonts w:ascii="Verdana" w:hAnsi="Verdana" w:cs="Times New Roman"/>
                <w:sz w:val="16"/>
                <w:szCs w:val="16"/>
                <w:lang w:val="en-US"/>
              </w:rPr>
              <w:t>Description of the samples (type of glaze, its color and if it presents decoration in which part, when required) and a photograph of the samples;</w:t>
            </w:r>
          </w:p>
        </w:tc>
      </w:tr>
      <w:tr w:rsidR="00307BA1" w:rsidRPr="00307BA1" w14:paraId="2EDDEF85" w14:textId="481CEF56" w:rsidTr="00B37C12">
        <w:tc>
          <w:tcPr>
            <w:tcW w:w="4788" w:type="dxa"/>
          </w:tcPr>
          <w:p w14:paraId="51185E13" w14:textId="77777777" w:rsidR="00307BA1" w:rsidRPr="006F11F4" w:rsidRDefault="00307BA1" w:rsidP="00307BA1">
            <w:pPr>
              <w:pStyle w:val="Texto"/>
              <w:spacing w:after="24" w:line="240" w:lineRule="auto"/>
              <w:ind w:firstLine="0"/>
              <w:rPr>
                <w:rFonts w:ascii="Verdana" w:hAnsi="Verdana"/>
                <w:sz w:val="16"/>
                <w:szCs w:val="16"/>
                <w:lang w:eastAsia="es-MX"/>
              </w:rPr>
            </w:pPr>
            <w:r w:rsidRPr="006F11F4">
              <w:rPr>
                <w:rFonts w:ascii="Verdana" w:hAnsi="Verdana"/>
                <w:b/>
                <w:sz w:val="16"/>
                <w:szCs w:val="16"/>
                <w:lang w:eastAsia="es-MX"/>
              </w:rPr>
              <w:t>A.6.4.3</w:t>
            </w:r>
            <w:r w:rsidRPr="006F11F4">
              <w:rPr>
                <w:rFonts w:ascii="Verdana" w:hAnsi="Verdana"/>
                <w:sz w:val="16"/>
                <w:szCs w:val="16"/>
                <w:lang w:eastAsia="es-MX"/>
              </w:rPr>
              <w:t xml:space="preserve"> Cantidad de piezas analizadas;</w:t>
            </w:r>
          </w:p>
        </w:tc>
        <w:tc>
          <w:tcPr>
            <w:tcW w:w="4788" w:type="dxa"/>
          </w:tcPr>
          <w:p w14:paraId="1916891E" w14:textId="4B9ECF53" w:rsidR="00307BA1" w:rsidRPr="00307BA1" w:rsidRDefault="00307BA1" w:rsidP="00307BA1">
            <w:pPr>
              <w:pStyle w:val="Texto"/>
              <w:spacing w:after="24"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A.6.4.3 </w:t>
            </w:r>
            <w:r w:rsidRPr="00307BA1">
              <w:rPr>
                <w:rFonts w:ascii="Verdana" w:hAnsi="Verdana" w:cs="Times New Roman"/>
                <w:sz w:val="16"/>
                <w:szCs w:val="16"/>
                <w:lang w:val="en-US"/>
              </w:rPr>
              <w:t>Quantity of pieces analyzed;</w:t>
            </w:r>
          </w:p>
        </w:tc>
      </w:tr>
      <w:tr w:rsidR="00307BA1" w:rsidRPr="00307BA1" w14:paraId="4A67BED1" w14:textId="1096F355" w:rsidTr="00B37C12">
        <w:tc>
          <w:tcPr>
            <w:tcW w:w="4788" w:type="dxa"/>
          </w:tcPr>
          <w:p w14:paraId="133A9B62" w14:textId="77777777" w:rsidR="00307BA1" w:rsidRPr="006F11F4" w:rsidRDefault="00307BA1" w:rsidP="00307BA1">
            <w:pPr>
              <w:pStyle w:val="Texto"/>
              <w:spacing w:after="24" w:line="240" w:lineRule="auto"/>
              <w:ind w:firstLine="0"/>
              <w:rPr>
                <w:rFonts w:ascii="Verdana" w:hAnsi="Verdana"/>
                <w:sz w:val="16"/>
                <w:szCs w:val="16"/>
                <w:lang w:eastAsia="es-MX"/>
              </w:rPr>
            </w:pPr>
            <w:r w:rsidRPr="006F11F4">
              <w:rPr>
                <w:rFonts w:ascii="Verdana" w:hAnsi="Verdana"/>
                <w:b/>
                <w:sz w:val="16"/>
                <w:szCs w:val="16"/>
                <w:lang w:eastAsia="es-MX"/>
              </w:rPr>
              <w:t>A.6.4.4</w:t>
            </w:r>
            <w:r w:rsidRPr="006F11F4">
              <w:rPr>
                <w:rFonts w:ascii="Verdana" w:hAnsi="Verdana"/>
                <w:sz w:val="16"/>
                <w:szCs w:val="16"/>
                <w:lang w:eastAsia="es-MX"/>
              </w:rPr>
              <w:t xml:space="preserve"> Referencia a este método de prueba (norma);</w:t>
            </w:r>
          </w:p>
        </w:tc>
        <w:tc>
          <w:tcPr>
            <w:tcW w:w="4788" w:type="dxa"/>
          </w:tcPr>
          <w:p w14:paraId="0A01B689" w14:textId="26848C81" w:rsidR="00307BA1" w:rsidRPr="00307BA1" w:rsidRDefault="00307BA1" w:rsidP="00307BA1">
            <w:pPr>
              <w:pStyle w:val="Texto"/>
              <w:spacing w:after="24"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A.6.4.4 </w:t>
            </w:r>
            <w:r w:rsidRPr="00307BA1">
              <w:rPr>
                <w:rFonts w:ascii="Verdana" w:hAnsi="Verdana" w:cs="Times New Roman"/>
                <w:sz w:val="16"/>
                <w:szCs w:val="16"/>
                <w:lang w:val="en-US"/>
              </w:rPr>
              <w:t>Reference to this test method (standard);</w:t>
            </w:r>
          </w:p>
        </w:tc>
      </w:tr>
      <w:tr w:rsidR="00307BA1" w:rsidRPr="00307BA1" w14:paraId="4B6673FD" w14:textId="7EC45126" w:rsidTr="00B37C12">
        <w:tc>
          <w:tcPr>
            <w:tcW w:w="4788" w:type="dxa"/>
          </w:tcPr>
          <w:p w14:paraId="091024F5"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A.6.4.5</w:t>
            </w:r>
            <w:r w:rsidRPr="006F11F4">
              <w:rPr>
                <w:rFonts w:ascii="Verdana" w:hAnsi="Verdana"/>
                <w:sz w:val="16"/>
                <w:szCs w:val="16"/>
                <w:lang w:eastAsia="es-MX"/>
              </w:rPr>
              <w:t xml:space="preserve"> Volumen interno de la pieza;</w:t>
            </w:r>
          </w:p>
        </w:tc>
        <w:tc>
          <w:tcPr>
            <w:tcW w:w="4788" w:type="dxa"/>
          </w:tcPr>
          <w:p w14:paraId="4C6A2586" w14:textId="460EF32D"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A.6.4.5 </w:t>
            </w:r>
            <w:r w:rsidRPr="00307BA1">
              <w:rPr>
                <w:rFonts w:ascii="Verdana" w:hAnsi="Verdana" w:cs="Times New Roman"/>
                <w:sz w:val="16"/>
                <w:szCs w:val="16"/>
                <w:lang w:val="en-US"/>
              </w:rPr>
              <w:t>Internal volume of the piece;</w:t>
            </w:r>
          </w:p>
        </w:tc>
      </w:tr>
      <w:tr w:rsidR="00307BA1" w:rsidRPr="00307BA1" w14:paraId="2AF1C1C2" w14:textId="1F2E764D" w:rsidTr="00B37C12">
        <w:tc>
          <w:tcPr>
            <w:tcW w:w="4788" w:type="dxa"/>
          </w:tcPr>
          <w:p w14:paraId="347C9876"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A.6.4.6</w:t>
            </w:r>
            <w:r w:rsidRPr="006F11F4">
              <w:rPr>
                <w:rFonts w:ascii="Verdana" w:hAnsi="Verdana"/>
                <w:sz w:val="16"/>
                <w:szCs w:val="16"/>
                <w:lang w:eastAsia="es-MX"/>
              </w:rPr>
              <w:t xml:space="preserve"> Volumen de la solución usada (para ataque interno, externo o ambos);</w:t>
            </w:r>
          </w:p>
        </w:tc>
        <w:tc>
          <w:tcPr>
            <w:tcW w:w="4788" w:type="dxa"/>
          </w:tcPr>
          <w:p w14:paraId="547D1BAC" w14:textId="4693D5AC"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A.6.4.6 </w:t>
            </w:r>
            <w:r w:rsidRPr="00307BA1">
              <w:rPr>
                <w:rFonts w:ascii="Verdana" w:hAnsi="Verdana" w:cs="Times New Roman"/>
                <w:sz w:val="16"/>
                <w:szCs w:val="16"/>
                <w:lang w:val="en-US"/>
              </w:rPr>
              <w:t>Volume of the solution used (for internal or external attack or both);</w:t>
            </w:r>
          </w:p>
        </w:tc>
      </w:tr>
      <w:tr w:rsidR="00307BA1" w:rsidRPr="00307BA1" w14:paraId="60CF4674" w14:textId="5E9B7C0F" w:rsidTr="00B37C12">
        <w:tc>
          <w:tcPr>
            <w:tcW w:w="4788" w:type="dxa"/>
          </w:tcPr>
          <w:p w14:paraId="17A2EF9E"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A.6.4.7</w:t>
            </w:r>
            <w:r w:rsidRPr="006F11F4">
              <w:rPr>
                <w:rFonts w:ascii="Verdana" w:hAnsi="Verdana"/>
                <w:sz w:val="16"/>
                <w:szCs w:val="16"/>
                <w:lang w:eastAsia="es-MX"/>
              </w:rPr>
              <w:t xml:space="preserve"> Concentración obtenida en mg/L;</w:t>
            </w:r>
          </w:p>
        </w:tc>
        <w:tc>
          <w:tcPr>
            <w:tcW w:w="4788" w:type="dxa"/>
          </w:tcPr>
          <w:p w14:paraId="0DF33ED8" w14:textId="3078F689"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A.6.4.7 </w:t>
            </w:r>
            <w:r w:rsidRPr="00307BA1">
              <w:rPr>
                <w:rFonts w:ascii="Verdana" w:hAnsi="Verdana" w:cs="Times New Roman"/>
                <w:sz w:val="16"/>
                <w:szCs w:val="16"/>
                <w:lang w:val="en-US"/>
              </w:rPr>
              <w:t>Concentration obtained in mg / L;</w:t>
            </w:r>
          </w:p>
        </w:tc>
      </w:tr>
      <w:tr w:rsidR="00307BA1" w:rsidRPr="00307BA1" w14:paraId="3A273CA2" w14:textId="47BE8D74" w:rsidTr="00B37C12">
        <w:tc>
          <w:tcPr>
            <w:tcW w:w="4788" w:type="dxa"/>
          </w:tcPr>
          <w:p w14:paraId="0ACEC9FA"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A.6.4.8</w:t>
            </w:r>
            <w:r w:rsidRPr="006F11F4">
              <w:rPr>
                <w:rFonts w:ascii="Verdana" w:hAnsi="Verdana"/>
                <w:sz w:val="16"/>
                <w:szCs w:val="16"/>
                <w:lang w:eastAsia="es-MX"/>
              </w:rPr>
              <w:t xml:space="preserve"> Cumplimiento o no con límites;</w:t>
            </w:r>
          </w:p>
        </w:tc>
        <w:tc>
          <w:tcPr>
            <w:tcW w:w="4788" w:type="dxa"/>
          </w:tcPr>
          <w:p w14:paraId="744582B0" w14:textId="2B96B173"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A.6.4.8 </w:t>
            </w:r>
            <w:r w:rsidRPr="00307BA1">
              <w:rPr>
                <w:rFonts w:ascii="Verdana" w:hAnsi="Verdana" w:cs="Times New Roman"/>
                <w:sz w:val="16"/>
                <w:szCs w:val="16"/>
                <w:lang w:val="en-US"/>
              </w:rPr>
              <w:t>Compliance or not with limits;</w:t>
            </w:r>
          </w:p>
        </w:tc>
      </w:tr>
      <w:tr w:rsidR="00307BA1" w:rsidRPr="00307BA1" w14:paraId="5F2D6C15" w14:textId="29B39B31" w:rsidTr="00B37C12">
        <w:tc>
          <w:tcPr>
            <w:tcW w:w="4788" w:type="dxa"/>
          </w:tcPr>
          <w:p w14:paraId="0E4DF144"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A.6.4.9</w:t>
            </w:r>
            <w:r w:rsidRPr="006F11F4">
              <w:rPr>
                <w:rFonts w:ascii="Verdana" w:hAnsi="Verdana"/>
                <w:sz w:val="16"/>
                <w:szCs w:val="16"/>
                <w:lang w:eastAsia="es-MX"/>
              </w:rPr>
              <w:t xml:space="preserve"> Identificación del espectrofotómetro utilizado (marca, modelo y número de serie e inventario);</w:t>
            </w:r>
          </w:p>
        </w:tc>
        <w:tc>
          <w:tcPr>
            <w:tcW w:w="4788" w:type="dxa"/>
          </w:tcPr>
          <w:p w14:paraId="6A556703" w14:textId="4F224DC9"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A.6.4.9 </w:t>
            </w:r>
            <w:r w:rsidRPr="00307BA1">
              <w:rPr>
                <w:rFonts w:ascii="Verdana" w:hAnsi="Verdana" w:cs="Times New Roman"/>
                <w:sz w:val="16"/>
                <w:szCs w:val="16"/>
                <w:lang w:val="en-US"/>
              </w:rPr>
              <w:t>Identification of the spectrophotometer used (brand, model and serial number and inventory);</w:t>
            </w:r>
          </w:p>
        </w:tc>
      </w:tr>
      <w:tr w:rsidR="00307BA1" w:rsidRPr="00307BA1" w14:paraId="29AF3F6D" w14:textId="695DD17A" w:rsidTr="00B37C12">
        <w:tc>
          <w:tcPr>
            <w:tcW w:w="4788" w:type="dxa"/>
          </w:tcPr>
          <w:p w14:paraId="6C984C2D"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A.6.4.10</w:t>
            </w:r>
            <w:r w:rsidRPr="006F11F4">
              <w:rPr>
                <w:rFonts w:ascii="Verdana" w:hAnsi="Verdana"/>
                <w:sz w:val="16"/>
                <w:szCs w:val="16"/>
                <w:lang w:eastAsia="es-MX"/>
              </w:rPr>
              <w:t xml:space="preserve"> Nombre y firma del responsable del laboratorio;</w:t>
            </w:r>
          </w:p>
        </w:tc>
        <w:tc>
          <w:tcPr>
            <w:tcW w:w="4788" w:type="dxa"/>
          </w:tcPr>
          <w:p w14:paraId="4F3A2B08" w14:textId="720EFD05"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A.6.4.10 </w:t>
            </w:r>
            <w:r w:rsidRPr="00307BA1">
              <w:rPr>
                <w:rFonts w:ascii="Verdana" w:hAnsi="Verdana" w:cs="Times New Roman"/>
                <w:sz w:val="16"/>
                <w:szCs w:val="16"/>
                <w:lang w:val="en-US"/>
              </w:rPr>
              <w:t>Name and signature of the laboratory manager;</w:t>
            </w:r>
          </w:p>
        </w:tc>
      </w:tr>
      <w:tr w:rsidR="00307BA1" w:rsidRPr="00307BA1" w14:paraId="6700E208" w14:textId="0591B976" w:rsidTr="00B37C12">
        <w:tc>
          <w:tcPr>
            <w:tcW w:w="4788" w:type="dxa"/>
          </w:tcPr>
          <w:p w14:paraId="432113C9"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A.6.4.11</w:t>
            </w:r>
            <w:r w:rsidRPr="006F11F4">
              <w:rPr>
                <w:rFonts w:ascii="Verdana" w:hAnsi="Verdana"/>
                <w:sz w:val="16"/>
                <w:szCs w:val="16"/>
                <w:lang w:eastAsia="es-MX"/>
              </w:rPr>
              <w:t xml:space="preserve"> Lugar y fecha de la determinación;</w:t>
            </w:r>
          </w:p>
        </w:tc>
        <w:tc>
          <w:tcPr>
            <w:tcW w:w="4788" w:type="dxa"/>
          </w:tcPr>
          <w:p w14:paraId="42849864" w14:textId="440DA353"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A.6.4.11 </w:t>
            </w:r>
            <w:r w:rsidRPr="00307BA1">
              <w:rPr>
                <w:rFonts w:ascii="Verdana" w:hAnsi="Verdana" w:cs="Times New Roman"/>
                <w:sz w:val="16"/>
                <w:szCs w:val="16"/>
                <w:lang w:val="en-US"/>
              </w:rPr>
              <w:t>Place and date of the determination;</w:t>
            </w:r>
          </w:p>
        </w:tc>
      </w:tr>
      <w:tr w:rsidR="00307BA1" w:rsidRPr="00307BA1" w14:paraId="29E7BB70" w14:textId="73D71AD4" w:rsidTr="00B37C12">
        <w:tc>
          <w:tcPr>
            <w:tcW w:w="4788" w:type="dxa"/>
          </w:tcPr>
          <w:p w14:paraId="27EC28D8"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A.6.4.12</w:t>
            </w:r>
            <w:r w:rsidRPr="006F11F4">
              <w:rPr>
                <w:rFonts w:ascii="Verdana" w:hAnsi="Verdana"/>
                <w:sz w:val="16"/>
                <w:szCs w:val="16"/>
                <w:lang w:eastAsia="es-MX"/>
              </w:rPr>
              <w:t xml:space="preserve"> Cualquier suceso no usual ocurrido durante el análisis;</w:t>
            </w:r>
          </w:p>
        </w:tc>
        <w:tc>
          <w:tcPr>
            <w:tcW w:w="4788" w:type="dxa"/>
          </w:tcPr>
          <w:p w14:paraId="1E2D2370" w14:textId="5A3F8064"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A.6.4.12 </w:t>
            </w:r>
            <w:r w:rsidRPr="00307BA1">
              <w:rPr>
                <w:rFonts w:ascii="Verdana" w:hAnsi="Verdana" w:cs="Times New Roman"/>
                <w:sz w:val="16"/>
                <w:szCs w:val="16"/>
                <w:lang w:val="en-US"/>
              </w:rPr>
              <w:t>Any unusual event occurred during the analysis;</w:t>
            </w:r>
          </w:p>
        </w:tc>
      </w:tr>
      <w:tr w:rsidR="00307BA1" w:rsidRPr="00307BA1" w14:paraId="5BD4FB02" w14:textId="44B5533C" w:rsidTr="00B37C12">
        <w:tc>
          <w:tcPr>
            <w:tcW w:w="4788" w:type="dxa"/>
          </w:tcPr>
          <w:p w14:paraId="3A0E90C7" w14:textId="77777777" w:rsidR="00307BA1" w:rsidRPr="006F11F4" w:rsidRDefault="00307BA1" w:rsidP="00307BA1">
            <w:pPr>
              <w:pStyle w:val="Texto"/>
              <w:spacing w:after="40" w:line="240" w:lineRule="auto"/>
              <w:ind w:firstLine="0"/>
              <w:rPr>
                <w:rFonts w:ascii="Verdana" w:hAnsi="Verdana"/>
                <w:sz w:val="16"/>
                <w:szCs w:val="16"/>
                <w:lang w:eastAsia="es-MX"/>
              </w:rPr>
            </w:pPr>
            <w:r w:rsidRPr="006F11F4">
              <w:rPr>
                <w:rFonts w:ascii="Verdana" w:hAnsi="Verdana"/>
                <w:b/>
                <w:sz w:val="16"/>
                <w:szCs w:val="16"/>
                <w:lang w:eastAsia="es-MX"/>
              </w:rPr>
              <w:t>A.6.4.13</w:t>
            </w:r>
            <w:r w:rsidRPr="006F11F4">
              <w:rPr>
                <w:rFonts w:ascii="Verdana" w:hAnsi="Verdana"/>
                <w:sz w:val="16"/>
                <w:szCs w:val="16"/>
                <w:lang w:eastAsia="es-MX"/>
              </w:rPr>
              <w:t xml:space="preserve"> El periodo de conservación del documento en archivo será de 1 año.</w:t>
            </w:r>
          </w:p>
        </w:tc>
        <w:tc>
          <w:tcPr>
            <w:tcW w:w="4788" w:type="dxa"/>
          </w:tcPr>
          <w:p w14:paraId="7B46EC93" w14:textId="512D62FB" w:rsidR="00307BA1" w:rsidRPr="00307BA1" w:rsidRDefault="00307BA1" w:rsidP="00307BA1">
            <w:pPr>
              <w:pStyle w:val="Texto"/>
              <w:spacing w:after="40" w:line="240" w:lineRule="auto"/>
              <w:ind w:firstLine="0"/>
              <w:rPr>
                <w:rFonts w:ascii="Verdana" w:hAnsi="Verdana"/>
                <w:b/>
                <w:sz w:val="16"/>
                <w:szCs w:val="16"/>
                <w:lang w:val="en-US" w:eastAsia="es-MX"/>
              </w:rPr>
            </w:pPr>
            <w:r w:rsidRPr="00307BA1">
              <w:rPr>
                <w:rFonts w:ascii="Verdana" w:hAnsi="Verdana" w:cs="Times New Roman"/>
                <w:b/>
                <w:bCs/>
                <w:sz w:val="16"/>
                <w:szCs w:val="16"/>
                <w:lang w:val="en-US"/>
              </w:rPr>
              <w:t xml:space="preserve">A.6.4.13 </w:t>
            </w:r>
            <w:r w:rsidRPr="00307BA1">
              <w:rPr>
                <w:rFonts w:ascii="Verdana" w:hAnsi="Verdana" w:cs="Times New Roman"/>
                <w:sz w:val="16"/>
                <w:szCs w:val="16"/>
                <w:lang w:val="en-US"/>
              </w:rPr>
              <w:t>The period of conservation of the document in file will be 1 year.</w:t>
            </w:r>
          </w:p>
        </w:tc>
      </w:tr>
    </w:tbl>
    <w:p w14:paraId="5BC7DBA8" w14:textId="2196920D" w:rsidR="008867A4" w:rsidRPr="00307BA1" w:rsidRDefault="008867A4" w:rsidP="006F11F4">
      <w:pPr>
        <w:pStyle w:val="Texto"/>
        <w:spacing w:after="40" w:line="240" w:lineRule="auto"/>
        <w:ind w:firstLine="0"/>
        <w:rPr>
          <w:rFonts w:ascii="Verdana" w:hAnsi="Verdana"/>
          <w:sz w:val="16"/>
          <w:szCs w:val="16"/>
          <w:lang w:val="en-US" w:eastAsia="es-MX"/>
        </w:rPr>
      </w:pPr>
    </w:p>
    <w:sectPr w:rsidR="008867A4" w:rsidRPr="00307BA1" w:rsidSect="00307BA1">
      <w:headerReference w:type="even" r:id="rId15"/>
      <w:headerReference w:type="default" r:id="rId16"/>
      <w:footerReference w:type="default" r:id="rId17"/>
      <w:pgSz w:w="12240" w:h="15840"/>
      <w:pgMar w:top="1440" w:right="1440" w:bottom="1440" w:left="1440"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345F7" w14:textId="77777777" w:rsidR="00DF6EDB" w:rsidRDefault="00DF6EDB">
      <w:r>
        <w:separator/>
      </w:r>
    </w:p>
  </w:endnote>
  <w:endnote w:type="continuationSeparator" w:id="0">
    <w:p w14:paraId="109F0472" w14:textId="77777777" w:rsidR="00DF6EDB" w:rsidRDefault="00DF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BD273" w14:textId="22421792" w:rsidR="00D8746B" w:rsidRPr="004071FE" w:rsidRDefault="00D8746B">
    <w:pPr>
      <w:pStyle w:val="Footer"/>
      <w:rPr>
        <w:rFonts w:ascii="Verdana" w:hAnsi="Verdana"/>
        <w:b/>
        <w:bCs/>
        <w:sz w:val="16"/>
        <w:szCs w:val="16"/>
        <w:lang w:val="es-MX"/>
      </w:rPr>
    </w:pPr>
    <w:r w:rsidRPr="004071FE">
      <w:rPr>
        <w:rFonts w:ascii="Verdana" w:hAnsi="Verdana"/>
        <w:b/>
        <w:bCs/>
        <w:sz w:val="16"/>
        <w:szCs w:val="16"/>
        <w:lang w:val="es-MX"/>
      </w:rPr>
      <w:t>Derechos Reservados © 2020 Lic. Glenn Louis McBride</w:t>
    </w:r>
    <w:r w:rsidR="004071FE">
      <w:rPr>
        <w:rFonts w:ascii="Verdana" w:hAnsi="Verdana"/>
        <w:b/>
        <w:bCs/>
        <w:sz w:val="16"/>
        <w:szCs w:val="16"/>
        <w:lang w:val="es-MX"/>
      </w:rPr>
      <w:t xml:space="preserve">                                                                      </w:t>
    </w:r>
    <w:r w:rsidRPr="004071FE">
      <w:rPr>
        <w:rFonts w:ascii="Verdana" w:hAnsi="Verdana"/>
        <w:b/>
        <w:bCs/>
        <w:sz w:val="16"/>
        <w:szCs w:val="16"/>
        <w:lang w:val="es-MX"/>
      </w:rPr>
      <w:t xml:space="preserve"> </w:t>
    </w:r>
    <w:r w:rsidRPr="004071FE">
      <w:rPr>
        <w:rFonts w:ascii="Verdana" w:hAnsi="Verdana"/>
        <w:b/>
        <w:bCs/>
        <w:sz w:val="16"/>
        <w:szCs w:val="16"/>
        <w:lang w:val="es-MX"/>
      </w:rPr>
      <w:fldChar w:fldCharType="begin"/>
    </w:r>
    <w:r w:rsidRPr="004071FE">
      <w:rPr>
        <w:rFonts w:ascii="Verdana" w:hAnsi="Verdana"/>
        <w:b/>
        <w:bCs/>
        <w:sz w:val="16"/>
        <w:szCs w:val="16"/>
        <w:lang w:val="es-MX"/>
      </w:rPr>
      <w:instrText xml:space="preserve"> PAGE   \* MERGEFORMAT </w:instrText>
    </w:r>
    <w:r w:rsidRPr="004071FE">
      <w:rPr>
        <w:rFonts w:ascii="Verdana" w:hAnsi="Verdana"/>
        <w:b/>
        <w:bCs/>
        <w:sz w:val="16"/>
        <w:szCs w:val="16"/>
        <w:lang w:val="es-MX"/>
      </w:rPr>
      <w:fldChar w:fldCharType="separate"/>
    </w:r>
    <w:r w:rsidRPr="004071FE">
      <w:rPr>
        <w:rFonts w:ascii="Verdana" w:hAnsi="Verdana"/>
        <w:b/>
        <w:bCs/>
        <w:noProof/>
        <w:sz w:val="16"/>
        <w:szCs w:val="16"/>
        <w:lang w:val="es-MX"/>
      </w:rPr>
      <w:t>1</w:t>
    </w:r>
    <w:r w:rsidRPr="004071FE">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620B4" w14:textId="77777777" w:rsidR="00DF6EDB" w:rsidRDefault="00DF6EDB">
      <w:r>
        <w:separator/>
      </w:r>
    </w:p>
  </w:footnote>
  <w:footnote w:type="continuationSeparator" w:id="0">
    <w:p w14:paraId="7CAEA1C3" w14:textId="77777777" w:rsidR="00DF6EDB" w:rsidRDefault="00DF6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70762" w14:textId="77777777" w:rsidR="00D8746B" w:rsidRPr="00985B10" w:rsidRDefault="00D8746B" w:rsidP="00F977F2">
    <w:pPr>
      <w:pStyle w:val="Fechas"/>
      <w:rPr>
        <w:rFonts w:cs="Times New Roman"/>
      </w:rPr>
    </w:pPr>
    <w:r>
      <w:rPr>
        <w:rFonts w:cs="Times New Roman"/>
      </w:rPr>
      <w:t xml:space="preserve"> </w:t>
    </w:r>
    <w:r w:rsidRPr="00985B10">
      <w:rPr>
        <w:rFonts w:cs="Times New Roman"/>
      </w:rPr>
      <w:t xml:space="preserve">     (Tercera Sección)</w:t>
    </w:r>
    <w:r w:rsidRPr="00985B10">
      <w:rPr>
        <w:rFonts w:cs="Times New Roman"/>
      </w:rPr>
      <w:tab/>
      <w:t>DIARIO OFICIAL</w:t>
    </w:r>
    <w:r w:rsidRPr="00985B10">
      <w:rPr>
        <w:rFonts w:cs="Times New Roman"/>
      </w:rPr>
      <w:tab/>
      <w:t>Martes 25 de octubre de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196D4" w14:textId="7D580A4E" w:rsidR="00D8746B" w:rsidRPr="00307BA1" w:rsidRDefault="00D8746B" w:rsidP="00307BA1">
    <w:pPr>
      <w:pStyle w:val="Header"/>
    </w:pPr>
    <w:r w:rsidRPr="00A96DA8">
      <w:rPr>
        <w:rFonts w:ascii="Verdana" w:hAnsi="Verdana"/>
        <w:b/>
        <w:bCs/>
        <w:sz w:val="16"/>
        <w:szCs w:val="16"/>
        <w:lang w:val="en-US"/>
      </w:rPr>
      <w:t>NOM-231-SSA1-2016, Articles of glazed pottery, glazed ceramics, porcelain and glass articles</w:t>
    </w:r>
    <w:r>
      <w:rPr>
        <w:rFonts w:ascii="Verdana" w:hAnsi="Verdana"/>
        <w:bCs/>
        <w:sz w:val="16"/>
        <w:szCs w:val="16"/>
        <w:lang w:val="en-US"/>
      </w:rPr>
      <w:t xml:space="preserve"> </w:t>
    </w:r>
    <w:r w:rsidRPr="00A96DA8">
      <w:rPr>
        <w:rFonts w:ascii="Verdana" w:hAnsi="Verdana"/>
        <w:b/>
        <w:bCs/>
        <w:sz w:val="16"/>
        <w:szCs w:val="16"/>
        <w:lang w:val="en-US"/>
      </w:rPr>
      <w:t>-</w:t>
    </w:r>
    <w:r>
      <w:rPr>
        <w:rFonts w:ascii="Verdana" w:hAnsi="Verdana"/>
        <w:bCs/>
        <w:sz w:val="16"/>
        <w:szCs w:val="16"/>
        <w:lang w:val="en-US"/>
      </w:rPr>
      <w:t xml:space="preserve"> </w:t>
    </w:r>
    <w:r w:rsidRPr="00A96DA8">
      <w:rPr>
        <w:rFonts w:ascii="Verdana" w:hAnsi="Verdana"/>
        <w:b/>
        <w:bCs/>
        <w:sz w:val="16"/>
        <w:szCs w:val="16"/>
        <w:lang w:val="en-US"/>
      </w:rPr>
      <w:t>Maximum permissible limits of soluble lead and cadmium</w:t>
    </w:r>
    <w:r>
      <w:rPr>
        <w:rFonts w:ascii="Verdana" w:hAnsi="Verdana"/>
        <w:bCs/>
        <w:sz w:val="16"/>
        <w:szCs w:val="16"/>
        <w:lang w:val="en-US"/>
      </w:rPr>
      <w:t xml:space="preserve"> </w:t>
    </w:r>
    <w:r w:rsidRPr="00A96DA8">
      <w:rPr>
        <w:rFonts w:ascii="Verdana" w:hAnsi="Verdana"/>
        <w:b/>
        <w:bCs/>
        <w:sz w:val="16"/>
        <w:szCs w:val="16"/>
        <w:lang w:val="en-US"/>
      </w:rPr>
      <w:t>-Test Method.</w:t>
    </w:r>
    <w:r>
      <w:rPr>
        <w:rFonts w:ascii="Verdana" w:hAnsi="Verdana"/>
        <w:bCs/>
        <w:sz w:val="16"/>
        <w:szCs w:val="16"/>
        <w:lang w:val="en-US"/>
      </w:rPr>
      <w:t xml:space="preserve">  Published in the DOF on October 25,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98" type="#_x0000_t75" style="width:441.75pt;height:21pt" o:bullet="t">
        <v:imagedata r:id="rId1" o:title="" cropbottom="35889f" cropleft="31878f" cropright="31953f"/>
      </v:shape>
    </w:pict>
  </w:numPicBullet>
  <w:numPicBullet w:numPicBulletId="1">
    <w:pict>
      <v:shape id="_x0000_i3199" type="#_x0000_t75" style="width:441.75pt;height:21pt" o:bullet="t">
        <v:imagedata r:id="rId2" o:title="" cropbottom=".5" cropleft="31804f" cropright="32027f"/>
      </v:shape>
    </w:pict>
  </w:numPicBullet>
  <w:numPicBullet w:numPicBulletId="2">
    <w:pict>
      <v:shape id="_x0000_i3200" type="#_x0000_t75" style="width:14.25pt;height:9.75pt" o:bullet="t">
        <v:imagedata r:id="rId3" o:title=""/>
      </v:shape>
    </w:pict>
  </w:numPicBullet>
  <w:numPicBullet w:numPicBulletId="3">
    <w:pict>
      <v:shape id="_x0000_i3201" type="#_x0000_t75" style="width:11.25pt;height:7.5pt" o:bullet="t">
        <v:imagedata r:id="rId4" o:title=""/>
      </v:shape>
    </w:pict>
  </w:numPicBullet>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9CC0185"/>
    <w:multiLevelType w:val="hybridMultilevel"/>
    <w:tmpl w:val="F9E8F05A"/>
    <w:lvl w:ilvl="0" w:tplc="56624662">
      <w:start w:val="1"/>
      <w:numFmt w:val="bullet"/>
      <w:lvlText w:val=""/>
      <w:lvlPicBulletId w:val="3"/>
      <w:lvlJc w:val="left"/>
      <w:pPr>
        <w:tabs>
          <w:tab w:val="num" w:pos="720"/>
        </w:tabs>
        <w:ind w:left="720" w:hanging="360"/>
      </w:pPr>
      <w:rPr>
        <w:rFonts w:ascii="Symbol" w:hAnsi="Symbol" w:hint="default"/>
      </w:rPr>
    </w:lvl>
    <w:lvl w:ilvl="1" w:tplc="8BE09F28" w:tentative="1">
      <w:start w:val="1"/>
      <w:numFmt w:val="bullet"/>
      <w:lvlText w:val=""/>
      <w:lvlJc w:val="left"/>
      <w:pPr>
        <w:tabs>
          <w:tab w:val="num" w:pos="1440"/>
        </w:tabs>
        <w:ind w:left="1440" w:hanging="360"/>
      </w:pPr>
      <w:rPr>
        <w:rFonts w:ascii="Symbol" w:hAnsi="Symbol" w:hint="default"/>
      </w:rPr>
    </w:lvl>
    <w:lvl w:ilvl="2" w:tplc="37D08E3C" w:tentative="1">
      <w:start w:val="1"/>
      <w:numFmt w:val="bullet"/>
      <w:lvlText w:val=""/>
      <w:lvlJc w:val="left"/>
      <w:pPr>
        <w:tabs>
          <w:tab w:val="num" w:pos="2160"/>
        </w:tabs>
        <w:ind w:left="2160" w:hanging="360"/>
      </w:pPr>
      <w:rPr>
        <w:rFonts w:ascii="Symbol" w:hAnsi="Symbol" w:hint="default"/>
      </w:rPr>
    </w:lvl>
    <w:lvl w:ilvl="3" w:tplc="2F4024D4" w:tentative="1">
      <w:start w:val="1"/>
      <w:numFmt w:val="bullet"/>
      <w:lvlText w:val=""/>
      <w:lvlJc w:val="left"/>
      <w:pPr>
        <w:tabs>
          <w:tab w:val="num" w:pos="2880"/>
        </w:tabs>
        <w:ind w:left="2880" w:hanging="360"/>
      </w:pPr>
      <w:rPr>
        <w:rFonts w:ascii="Symbol" w:hAnsi="Symbol" w:hint="default"/>
      </w:rPr>
    </w:lvl>
    <w:lvl w:ilvl="4" w:tplc="2AC05BF2" w:tentative="1">
      <w:start w:val="1"/>
      <w:numFmt w:val="bullet"/>
      <w:lvlText w:val=""/>
      <w:lvlJc w:val="left"/>
      <w:pPr>
        <w:tabs>
          <w:tab w:val="num" w:pos="3600"/>
        </w:tabs>
        <w:ind w:left="3600" w:hanging="360"/>
      </w:pPr>
      <w:rPr>
        <w:rFonts w:ascii="Symbol" w:hAnsi="Symbol" w:hint="default"/>
      </w:rPr>
    </w:lvl>
    <w:lvl w:ilvl="5" w:tplc="ACB88074" w:tentative="1">
      <w:start w:val="1"/>
      <w:numFmt w:val="bullet"/>
      <w:lvlText w:val=""/>
      <w:lvlJc w:val="left"/>
      <w:pPr>
        <w:tabs>
          <w:tab w:val="num" w:pos="4320"/>
        </w:tabs>
        <w:ind w:left="4320" w:hanging="360"/>
      </w:pPr>
      <w:rPr>
        <w:rFonts w:ascii="Symbol" w:hAnsi="Symbol" w:hint="default"/>
      </w:rPr>
    </w:lvl>
    <w:lvl w:ilvl="6" w:tplc="4650E7BE" w:tentative="1">
      <w:start w:val="1"/>
      <w:numFmt w:val="bullet"/>
      <w:lvlText w:val=""/>
      <w:lvlJc w:val="left"/>
      <w:pPr>
        <w:tabs>
          <w:tab w:val="num" w:pos="5040"/>
        </w:tabs>
        <w:ind w:left="5040" w:hanging="360"/>
      </w:pPr>
      <w:rPr>
        <w:rFonts w:ascii="Symbol" w:hAnsi="Symbol" w:hint="default"/>
      </w:rPr>
    </w:lvl>
    <w:lvl w:ilvl="7" w:tplc="1CFA27C0" w:tentative="1">
      <w:start w:val="1"/>
      <w:numFmt w:val="bullet"/>
      <w:lvlText w:val=""/>
      <w:lvlJc w:val="left"/>
      <w:pPr>
        <w:tabs>
          <w:tab w:val="num" w:pos="5760"/>
        </w:tabs>
        <w:ind w:left="5760" w:hanging="360"/>
      </w:pPr>
      <w:rPr>
        <w:rFonts w:ascii="Symbol" w:hAnsi="Symbol" w:hint="default"/>
      </w:rPr>
    </w:lvl>
    <w:lvl w:ilvl="8" w:tplc="61E4C3A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7A3646CD"/>
    <w:multiLevelType w:val="hybridMultilevel"/>
    <w:tmpl w:val="BCF24932"/>
    <w:lvl w:ilvl="0" w:tplc="51186348">
      <w:start w:val="1"/>
      <w:numFmt w:val="bullet"/>
      <w:lvlText w:val=""/>
      <w:lvlPicBulletId w:val="0"/>
      <w:lvlJc w:val="left"/>
      <w:pPr>
        <w:tabs>
          <w:tab w:val="num" w:pos="720"/>
        </w:tabs>
        <w:ind w:left="720" w:hanging="360"/>
      </w:pPr>
      <w:rPr>
        <w:rFonts w:ascii="Symbol" w:hAnsi="Symbol" w:hint="default"/>
      </w:rPr>
    </w:lvl>
    <w:lvl w:ilvl="1" w:tplc="5280762C" w:tentative="1">
      <w:start w:val="1"/>
      <w:numFmt w:val="bullet"/>
      <w:lvlText w:val=""/>
      <w:lvlJc w:val="left"/>
      <w:pPr>
        <w:tabs>
          <w:tab w:val="num" w:pos="1440"/>
        </w:tabs>
        <w:ind w:left="1440" w:hanging="360"/>
      </w:pPr>
      <w:rPr>
        <w:rFonts w:ascii="Symbol" w:hAnsi="Symbol" w:hint="default"/>
      </w:rPr>
    </w:lvl>
    <w:lvl w:ilvl="2" w:tplc="DA625928" w:tentative="1">
      <w:start w:val="1"/>
      <w:numFmt w:val="bullet"/>
      <w:lvlText w:val=""/>
      <w:lvlJc w:val="left"/>
      <w:pPr>
        <w:tabs>
          <w:tab w:val="num" w:pos="2160"/>
        </w:tabs>
        <w:ind w:left="2160" w:hanging="360"/>
      </w:pPr>
      <w:rPr>
        <w:rFonts w:ascii="Symbol" w:hAnsi="Symbol" w:hint="default"/>
      </w:rPr>
    </w:lvl>
    <w:lvl w:ilvl="3" w:tplc="E140E0E2" w:tentative="1">
      <w:start w:val="1"/>
      <w:numFmt w:val="bullet"/>
      <w:lvlText w:val=""/>
      <w:lvlJc w:val="left"/>
      <w:pPr>
        <w:tabs>
          <w:tab w:val="num" w:pos="2880"/>
        </w:tabs>
        <w:ind w:left="2880" w:hanging="360"/>
      </w:pPr>
      <w:rPr>
        <w:rFonts w:ascii="Symbol" w:hAnsi="Symbol" w:hint="default"/>
      </w:rPr>
    </w:lvl>
    <w:lvl w:ilvl="4" w:tplc="F126D8E8" w:tentative="1">
      <w:start w:val="1"/>
      <w:numFmt w:val="bullet"/>
      <w:lvlText w:val=""/>
      <w:lvlJc w:val="left"/>
      <w:pPr>
        <w:tabs>
          <w:tab w:val="num" w:pos="3600"/>
        </w:tabs>
        <w:ind w:left="3600" w:hanging="360"/>
      </w:pPr>
      <w:rPr>
        <w:rFonts w:ascii="Symbol" w:hAnsi="Symbol" w:hint="default"/>
      </w:rPr>
    </w:lvl>
    <w:lvl w:ilvl="5" w:tplc="C0AAC52A" w:tentative="1">
      <w:start w:val="1"/>
      <w:numFmt w:val="bullet"/>
      <w:lvlText w:val=""/>
      <w:lvlJc w:val="left"/>
      <w:pPr>
        <w:tabs>
          <w:tab w:val="num" w:pos="4320"/>
        </w:tabs>
        <w:ind w:left="4320" w:hanging="360"/>
      </w:pPr>
      <w:rPr>
        <w:rFonts w:ascii="Symbol" w:hAnsi="Symbol" w:hint="default"/>
      </w:rPr>
    </w:lvl>
    <w:lvl w:ilvl="6" w:tplc="9662D6C6" w:tentative="1">
      <w:start w:val="1"/>
      <w:numFmt w:val="bullet"/>
      <w:lvlText w:val=""/>
      <w:lvlJc w:val="left"/>
      <w:pPr>
        <w:tabs>
          <w:tab w:val="num" w:pos="5040"/>
        </w:tabs>
        <w:ind w:left="5040" w:hanging="360"/>
      </w:pPr>
      <w:rPr>
        <w:rFonts w:ascii="Symbol" w:hAnsi="Symbol" w:hint="default"/>
      </w:rPr>
    </w:lvl>
    <w:lvl w:ilvl="7" w:tplc="F0EADF4E" w:tentative="1">
      <w:start w:val="1"/>
      <w:numFmt w:val="bullet"/>
      <w:lvlText w:val=""/>
      <w:lvlJc w:val="left"/>
      <w:pPr>
        <w:tabs>
          <w:tab w:val="num" w:pos="5760"/>
        </w:tabs>
        <w:ind w:left="5760" w:hanging="360"/>
      </w:pPr>
      <w:rPr>
        <w:rFonts w:ascii="Symbol" w:hAnsi="Symbol" w:hint="default"/>
      </w:rPr>
    </w:lvl>
    <w:lvl w:ilvl="8" w:tplc="55F060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EF84744"/>
    <w:multiLevelType w:val="hybridMultilevel"/>
    <w:tmpl w:val="9648AB54"/>
    <w:lvl w:ilvl="0" w:tplc="4D7CFF28">
      <w:start w:val="1"/>
      <w:numFmt w:val="bullet"/>
      <w:lvlText w:val=""/>
      <w:lvlPicBulletId w:val="2"/>
      <w:lvlJc w:val="left"/>
      <w:pPr>
        <w:tabs>
          <w:tab w:val="num" w:pos="720"/>
        </w:tabs>
        <w:ind w:left="720" w:hanging="360"/>
      </w:pPr>
      <w:rPr>
        <w:rFonts w:ascii="Symbol" w:hAnsi="Symbol" w:hint="default"/>
      </w:rPr>
    </w:lvl>
    <w:lvl w:ilvl="1" w:tplc="4A18FB40" w:tentative="1">
      <w:start w:val="1"/>
      <w:numFmt w:val="bullet"/>
      <w:lvlText w:val=""/>
      <w:lvlJc w:val="left"/>
      <w:pPr>
        <w:tabs>
          <w:tab w:val="num" w:pos="1440"/>
        </w:tabs>
        <w:ind w:left="1440" w:hanging="360"/>
      </w:pPr>
      <w:rPr>
        <w:rFonts w:ascii="Symbol" w:hAnsi="Symbol" w:hint="default"/>
      </w:rPr>
    </w:lvl>
    <w:lvl w:ilvl="2" w:tplc="8CAE635A" w:tentative="1">
      <w:start w:val="1"/>
      <w:numFmt w:val="bullet"/>
      <w:lvlText w:val=""/>
      <w:lvlJc w:val="left"/>
      <w:pPr>
        <w:tabs>
          <w:tab w:val="num" w:pos="2160"/>
        </w:tabs>
        <w:ind w:left="2160" w:hanging="360"/>
      </w:pPr>
      <w:rPr>
        <w:rFonts w:ascii="Symbol" w:hAnsi="Symbol" w:hint="default"/>
      </w:rPr>
    </w:lvl>
    <w:lvl w:ilvl="3" w:tplc="E7927C74" w:tentative="1">
      <w:start w:val="1"/>
      <w:numFmt w:val="bullet"/>
      <w:lvlText w:val=""/>
      <w:lvlJc w:val="left"/>
      <w:pPr>
        <w:tabs>
          <w:tab w:val="num" w:pos="2880"/>
        </w:tabs>
        <w:ind w:left="2880" w:hanging="360"/>
      </w:pPr>
      <w:rPr>
        <w:rFonts w:ascii="Symbol" w:hAnsi="Symbol" w:hint="default"/>
      </w:rPr>
    </w:lvl>
    <w:lvl w:ilvl="4" w:tplc="CDC49446" w:tentative="1">
      <w:start w:val="1"/>
      <w:numFmt w:val="bullet"/>
      <w:lvlText w:val=""/>
      <w:lvlJc w:val="left"/>
      <w:pPr>
        <w:tabs>
          <w:tab w:val="num" w:pos="3600"/>
        </w:tabs>
        <w:ind w:left="3600" w:hanging="360"/>
      </w:pPr>
      <w:rPr>
        <w:rFonts w:ascii="Symbol" w:hAnsi="Symbol" w:hint="default"/>
      </w:rPr>
    </w:lvl>
    <w:lvl w:ilvl="5" w:tplc="AC00208E" w:tentative="1">
      <w:start w:val="1"/>
      <w:numFmt w:val="bullet"/>
      <w:lvlText w:val=""/>
      <w:lvlJc w:val="left"/>
      <w:pPr>
        <w:tabs>
          <w:tab w:val="num" w:pos="4320"/>
        </w:tabs>
        <w:ind w:left="4320" w:hanging="360"/>
      </w:pPr>
      <w:rPr>
        <w:rFonts w:ascii="Symbol" w:hAnsi="Symbol" w:hint="default"/>
      </w:rPr>
    </w:lvl>
    <w:lvl w:ilvl="6" w:tplc="5E66FE2A" w:tentative="1">
      <w:start w:val="1"/>
      <w:numFmt w:val="bullet"/>
      <w:lvlText w:val=""/>
      <w:lvlJc w:val="left"/>
      <w:pPr>
        <w:tabs>
          <w:tab w:val="num" w:pos="5040"/>
        </w:tabs>
        <w:ind w:left="5040" w:hanging="360"/>
      </w:pPr>
      <w:rPr>
        <w:rFonts w:ascii="Symbol" w:hAnsi="Symbol" w:hint="default"/>
      </w:rPr>
    </w:lvl>
    <w:lvl w:ilvl="7" w:tplc="35EE5A02" w:tentative="1">
      <w:start w:val="1"/>
      <w:numFmt w:val="bullet"/>
      <w:lvlText w:val=""/>
      <w:lvlJc w:val="left"/>
      <w:pPr>
        <w:tabs>
          <w:tab w:val="num" w:pos="5760"/>
        </w:tabs>
        <w:ind w:left="5760" w:hanging="360"/>
      </w:pPr>
      <w:rPr>
        <w:rFonts w:ascii="Symbol" w:hAnsi="Symbol" w:hint="default"/>
      </w:rPr>
    </w:lvl>
    <w:lvl w:ilvl="8" w:tplc="9AFA11E6"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7A4"/>
    <w:rsid w:val="000579FF"/>
    <w:rsid w:val="00085CFF"/>
    <w:rsid w:val="00086357"/>
    <w:rsid w:val="000877CB"/>
    <w:rsid w:val="000934C4"/>
    <w:rsid w:val="000B42E5"/>
    <w:rsid w:val="000B5E41"/>
    <w:rsid w:val="000C50D4"/>
    <w:rsid w:val="000F0FA3"/>
    <w:rsid w:val="000F706A"/>
    <w:rsid w:val="00105FE5"/>
    <w:rsid w:val="0010703B"/>
    <w:rsid w:val="001303A7"/>
    <w:rsid w:val="00135A26"/>
    <w:rsid w:val="00140A5C"/>
    <w:rsid w:val="00140CB7"/>
    <w:rsid w:val="00155A7E"/>
    <w:rsid w:val="001574EC"/>
    <w:rsid w:val="001642EF"/>
    <w:rsid w:val="00176B02"/>
    <w:rsid w:val="001B6981"/>
    <w:rsid w:val="001C3DA2"/>
    <w:rsid w:val="001E6CB1"/>
    <w:rsid w:val="001F6325"/>
    <w:rsid w:val="002214D8"/>
    <w:rsid w:val="0025082C"/>
    <w:rsid w:val="00255299"/>
    <w:rsid w:val="00285BE5"/>
    <w:rsid w:val="00286668"/>
    <w:rsid w:val="00290296"/>
    <w:rsid w:val="00291CA7"/>
    <w:rsid w:val="002940B6"/>
    <w:rsid w:val="002B00EE"/>
    <w:rsid w:val="002B127D"/>
    <w:rsid w:val="002B3857"/>
    <w:rsid w:val="002B3973"/>
    <w:rsid w:val="002C3644"/>
    <w:rsid w:val="002D79CA"/>
    <w:rsid w:val="002E0094"/>
    <w:rsid w:val="002E011D"/>
    <w:rsid w:val="002F6279"/>
    <w:rsid w:val="002F666A"/>
    <w:rsid w:val="0030321A"/>
    <w:rsid w:val="00307BA1"/>
    <w:rsid w:val="00323864"/>
    <w:rsid w:val="0032394E"/>
    <w:rsid w:val="00326B04"/>
    <w:rsid w:val="00330780"/>
    <w:rsid w:val="003340A4"/>
    <w:rsid w:val="0034503F"/>
    <w:rsid w:val="00357A6B"/>
    <w:rsid w:val="0036410B"/>
    <w:rsid w:val="003656C6"/>
    <w:rsid w:val="00373DFE"/>
    <w:rsid w:val="0039202C"/>
    <w:rsid w:val="003C5EB9"/>
    <w:rsid w:val="003E0440"/>
    <w:rsid w:val="003E5783"/>
    <w:rsid w:val="003E7472"/>
    <w:rsid w:val="004071FE"/>
    <w:rsid w:val="00410B8C"/>
    <w:rsid w:val="00412ED6"/>
    <w:rsid w:val="004142D5"/>
    <w:rsid w:val="0041454F"/>
    <w:rsid w:val="0042779F"/>
    <w:rsid w:val="004352A9"/>
    <w:rsid w:val="00440349"/>
    <w:rsid w:val="00464085"/>
    <w:rsid w:val="004652D9"/>
    <w:rsid w:val="00465E99"/>
    <w:rsid w:val="0048165D"/>
    <w:rsid w:val="004914BF"/>
    <w:rsid w:val="004A7426"/>
    <w:rsid w:val="004B2F2C"/>
    <w:rsid w:val="004C49C6"/>
    <w:rsid w:val="004D4A72"/>
    <w:rsid w:val="004E6B1F"/>
    <w:rsid w:val="004E77FB"/>
    <w:rsid w:val="004F3FE9"/>
    <w:rsid w:val="00512CDB"/>
    <w:rsid w:val="00514993"/>
    <w:rsid w:val="0052358B"/>
    <w:rsid w:val="00524176"/>
    <w:rsid w:val="00534337"/>
    <w:rsid w:val="0053581A"/>
    <w:rsid w:val="00535845"/>
    <w:rsid w:val="005438AB"/>
    <w:rsid w:val="0054733E"/>
    <w:rsid w:val="0055349C"/>
    <w:rsid w:val="00567A60"/>
    <w:rsid w:val="005B2280"/>
    <w:rsid w:val="005B7D3D"/>
    <w:rsid w:val="005C4019"/>
    <w:rsid w:val="005C75DE"/>
    <w:rsid w:val="005D0BFE"/>
    <w:rsid w:val="005D7D14"/>
    <w:rsid w:val="006071B5"/>
    <w:rsid w:val="006231E1"/>
    <w:rsid w:val="00627360"/>
    <w:rsid w:val="00627D1A"/>
    <w:rsid w:val="0063495E"/>
    <w:rsid w:val="00634C63"/>
    <w:rsid w:val="00656CFF"/>
    <w:rsid w:val="006711A8"/>
    <w:rsid w:val="00674139"/>
    <w:rsid w:val="00681BC5"/>
    <w:rsid w:val="00691836"/>
    <w:rsid w:val="0069357B"/>
    <w:rsid w:val="00697B7C"/>
    <w:rsid w:val="006B7539"/>
    <w:rsid w:val="006D2E40"/>
    <w:rsid w:val="006E2054"/>
    <w:rsid w:val="006E2487"/>
    <w:rsid w:val="006E4EE3"/>
    <w:rsid w:val="006E66EC"/>
    <w:rsid w:val="006F11F4"/>
    <w:rsid w:val="006F6EAA"/>
    <w:rsid w:val="0070415B"/>
    <w:rsid w:val="00704492"/>
    <w:rsid w:val="00717A6D"/>
    <w:rsid w:val="00724703"/>
    <w:rsid w:val="00735E9D"/>
    <w:rsid w:val="00741ABD"/>
    <w:rsid w:val="00746FC8"/>
    <w:rsid w:val="00754158"/>
    <w:rsid w:val="007578BE"/>
    <w:rsid w:val="007724A4"/>
    <w:rsid w:val="00797AB4"/>
    <w:rsid w:val="007A0956"/>
    <w:rsid w:val="007D00B8"/>
    <w:rsid w:val="007D286A"/>
    <w:rsid w:val="007D33CD"/>
    <w:rsid w:val="00827CE1"/>
    <w:rsid w:val="0083080F"/>
    <w:rsid w:val="00841D4C"/>
    <w:rsid w:val="008651ED"/>
    <w:rsid w:val="00875A59"/>
    <w:rsid w:val="008867A4"/>
    <w:rsid w:val="00891423"/>
    <w:rsid w:val="0089558E"/>
    <w:rsid w:val="008A23F3"/>
    <w:rsid w:val="008B487F"/>
    <w:rsid w:val="008B5BD2"/>
    <w:rsid w:val="008D1161"/>
    <w:rsid w:val="008D17A5"/>
    <w:rsid w:val="008E35DF"/>
    <w:rsid w:val="008E760A"/>
    <w:rsid w:val="008F7A18"/>
    <w:rsid w:val="00900EED"/>
    <w:rsid w:val="009104B1"/>
    <w:rsid w:val="00913D77"/>
    <w:rsid w:val="009167A0"/>
    <w:rsid w:val="009200A2"/>
    <w:rsid w:val="009329FB"/>
    <w:rsid w:val="0093525A"/>
    <w:rsid w:val="00945F33"/>
    <w:rsid w:val="00963A27"/>
    <w:rsid w:val="009779F4"/>
    <w:rsid w:val="00985B10"/>
    <w:rsid w:val="00987BEE"/>
    <w:rsid w:val="009932CA"/>
    <w:rsid w:val="009A7654"/>
    <w:rsid w:val="009C02DA"/>
    <w:rsid w:val="009E1AC6"/>
    <w:rsid w:val="009E3B35"/>
    <w:rsid w:val="009E63EA"/>
    <w:rsid w:val="009F050F"/>
    <w:rsid w:val="00A01F72"/>
    <w:rsid w:val="00A31E9B"/>
    <w:rsid w:val="00A333DC"/>
    <w:rsid w:val="00A5375D"/>
    <w:rsid w:val="00A53D31"/>
    <w:rsid w:val="00A73F8A"/>
    <w:rsid w:val="00A76032"/>
    <w:rsid w:val="00A8099D"/>
    <w:rsid w:val="00A81D62"/>
    <w:rsid w:val="00A84922"/>
    <w:rsid w:val="00AA2282"/>
    <w:rsid w:val="00AC7BAB"/>
    <w:rsid w:val="00AD24E9"/>
    <w:rsid w:val="00AD54E0"/>
    <w:rsid w:val="00B00632"/>
    <w:rsid w:val="00B14C29"/>
    <w:rsid w:val="00B170E8"/>
    <w:rsid w:val="00B3769E"/>
    <w:rsid w:val="00B37C12"/>
    <w:rsid w:val="00B63531"/>
    <w:rsid w:val="00B7008A"/>
    <w:rsid w:val="00B717B3"/>
    <w:rsid w:val="00B746AB"/>
    <w:rsid w:val="00BE5599"/>
    <w:rsid w:val="00BF091C"/>
    <w:rsid w:val="00C01B5D"/>
    <w:rsid w:val="00C02DF3"/>
    <w:rsid w:val="00C258E4"/>
    <w:rsid w:val="00C35153"/>
    <w:rsid w:val="00C82F23"/>
    <w:rsid w:val="00C9060E"/>
    <w:rsid w:val="00C96371"/>
    <w:rsid w:val="00CA2FDC"/>
    <w:rsid w:val="00CA3BBA"/>
    <w:rsid w:val="00CC0602"/>
    <w:rsid w:val="00CC39A6"/>
    <w:rsid w:val="00CC71C5"/>
    <w:rsid w:val="00CD6850"/>
    <w:rsid w:val="00CF6193"/>
    <w:rsid w:val="00D04785"/>
    <w:rsid w:val="00D32C7D"/>
    <w:rsid w:val="00D34588"/>
    <w:rsid w:val="00D42FD2"/>
    <w:rsid w:val="00D54C2F"/>
    <w:rsid w:val="00D64953"/>
    <w:rsid w:val="00D8746B"/>
    <w:rsid w:val="00D87572"/>
    <w:rsid w:val="00DA08DA"/>
    <w:rsid w:val="00DE4C7A"/>
    <w:rsid w:val="00DF6036"/>
    <w:rsid w:val="00DF6BC3"/>
    <w:rsid w:val="00DF6EDB"/>
    <w:rsid w:val="00E12E39"/>
    <w:rsid w:val="00E21F6A"/>
    <w:rsid w:val="00E30B22"/>
    <w:rsid w:val="00E3798A"/>
    <w:rsid w:val="00E460F3"/>
    <w:rsid w:val="00E50177"/>
    <w:rsid w:val="00E5027B"/>
    <w:rsid w:val="00E5626A"/>
    <w:rsid w:val="00E75797"/>
    <w:rsid w:val="00E76778"/>
    <w:rsid w:val="00E772E5"/>
    <w:rsid w:val="00E807B5"/>
    <w:rsid w:val="00E82585"/>
    <w:rsid w:val="00EA0ABD"/>
    <w:rsid w:val="00EA3099"/>
    <w:rsid w:val="00EA46E7"/>
    <w:rsid w:val="00EB3C2A"/>
    <w:rsid w:val="00ED5982"/>
    <w:rsid w:val="00ED75DA"/>
    <w:rsid w:val="00EE6353"/>
    <w:rsid w:val="00EF1962"/>
    <w:rsid w:val="00EF226B"/>
    <w:rsid w:val="00F00937"/>
    <w:rsid w:val="00F22399"/>
    <w:rsid w:val="00F315C9"/>
    <w:rsid w:val="00F42E31"/>
    <w:rsid w:val="00F51E5E"/>
    <w:rsid w:val="00F64B32"/>
    <w:rsid w:val="00F70C4B"/>
    <w:rsid w:val="00F808C0"/>
    <w:rsid w:val="00F83712"/>
    <w:rsid w:val="00F85CA3"/>
    <w:rsid w:val="00F977F2"/>
    <w:rsid w:val="00FA672D"/>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DA46B7"/>
  <w15:chartTrackingRefBased/>
  <w15:docId w15:val="{048A7049-A938-45C4-A464-844EA450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4">
    <w:name w:val="heading 4"/>
    <w:basedOn w:val="Normal"/>
    <w:next w:val="Normal"/>
    <w:link w:val="Heading4Char"/>
    <w:qFormat/>
    <w:rsid w:val="00ED75DA"/>
    <w:pPr>
      <w:keepNext/>
      <w:tabs>
        <w:tab w:val="left" w:pos="720"/>
      </w:tabs>
      <w:spacing w:after="120"/>
      <w:ind w:left="720" w:hanging="720"/>
      <w:jc w:val="center"/>
      <w:outlineLvl w:val="3"/>
    </w:pPr>
    <w:rPr>
      <w:rFonts w:ascii="Arial" w:hAnsi="Arial" w:cs="Arial"/>
      <w:b/>
      <w:sz w:val="22"/>
      <w:szCs w:val="20"/>
      <w:lang w:val="es-MX"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4Char">
    <w:name w:val="Heading 4 Char"/>
    <w:link w:val="Heading4"/>
    <w:rsid w:val="00ED75DA"/>
    <w:rPr>
      <w:rFonts w:ascii="Arial" w:hAnsi="Arial" w:cs="Arial"/>
      <w:b/>
      <w:sz w:val="22"/>
    </w:rPr>
  </w:style>
  <w:style w:type="numbering" w:customStyle="1" w:styleId="Sinlista1">
    <w:name w:val="Sin lista1"/>
    <w:next w:val="NoList"/>
    <w:semiHidden/>
    <w:unhideWhenUsed/>
    <w:rsid w:val="00ED75DA"/>
  </w:style>
  <w:style w:type="character" w:customStyle="1" w:styleId="Heading1Char">
    <w:name w:val="Heading 1 Char"/>
    <w:link w:val="Heading1"/>
    <w:rsid w:val="00ED75DA"/>
    <w:rPr>
      <w:rFonts w:cs="CG Palacio (WN)"/>
      <w:b/>
      <w:sz w:val="18"/>
      <w:szCs w:val="24"/>
      <w:lang w:val="es-ES" w:eastAsia="es-ES"/>
    </w:rPr>
  </w:style>
  <w:style w:type="character" w:customStyle="1" w:styleId="Heading2Char">
    <w:name w:val="Heading 2 Char"/>
    <w:link w:val="Heading2"/>
    <w:rsid w:val="00ED75DA"/>
    <w:rPr>
      <w:rFonts w:ascii="Arial" w:hAnsi="Arial" w:cs="Helv"/>
      <w:sz w:val="18"/>
      <w:lang w:val="es-ES_tradnl"/>
    </w:rPr>
  </w:style>
  <w:style w:type="character" w:customStyle="1" w:styleId="FooterChar">
    <w:name w:val="Footer Char"/>
    <w:link w:val="Footer"/>
    <w:rsid w:val="00ED75DA"/>
    <w:rPr>
      <w:sz w:val="24"/>
      <w:szCs w:val="24"/>
      <w:lang w:val="es-ES" w:eastAsia="es-ES"/>
    </w:rPr>
  </w:style>
  <w:style w:type="character" w:customStyle="1" w:styleId="HeaderChar">
    <w:name w:val="Header Char"/>
    <w:link w:val="Header"/>
    <w:rsid w:val="00ED75DA"/>
    <w:rPr>
      <w:sz w:val="24"/>
      <w:szCs w:val="24"/>
      <w:lang w:val="es-ES" w:eastAsia="es-ES"/>
    </w:rPr>
  </w:style>
  <w:style w:type="paragraph" w:customStyle="1" w:styleId="EstilotextoPrimeral">
    <w:name w:val="Estilo texto + Primera l"/>
    <w:basedOn w:val="Normal"/>
    <w:rsid w:val="00ED75DA"/>
    <w:pPr>
      <w:spacing w:after="101" w:line="216" w:lineRule="exact"/>
      <w:jc w:val="both"/>
    </w:pPr>
    <w:rPr>
      <w:rFonts w:ascii="Arial" w:hAnsi="Arial" w:cs="Arial"/>
      <w:sz w:val="18"/>
      <w:szCs w:val="20"/>
      <w:lang w:val="es-MX" w:eastAsia="es-MX"/>
    </w:rPr>
  </w:style>
  <w:style w:type="paragraph" w:customStyle="1" w:styleId="Textonormal">
    <w:name w:val="Texto normal"/>
    <w:basedOn w:val="Normal"/>
    <w:rsid w:val="00ED75DA"/>
    <w:pPr>
      <w:jc w:val="both"/>
    </w:pPr>
    <w:rPr>
      <w:rFonts w:ascii="Arial" w:hAnsi="Arial" w:cs="Arial"/>
      <w:szCs w:val="20"/>
      <w:lang w:val="es-MX" w:eastAsia="es-MX"/>
    </w:rPr>
  </w:style>
  <w:style w:type="paragraph" w:customStyle="1" w:styleId="Textosinformato1">
    <w:name w:val="Texto sin formato1"/>
    <w:basedOn w:val="Normal"/>
    <w:rsid w:val="00ED75DA"/>
    <w:rPr>
      <w:rFonts w:ascii="Courier New" w:hAnsi="Courier New" w:cs="Courier New"/>
      <w:sz w:val="20"/>
      <w:szCs w:val="20"/>
      <w:lang w:eastAsia="es-MX"/>
    </w:rPr>
  </w:style>
  <w:style w:type="paragraph" w:customStyle="1" w:styleId="Textoindependiente21">
    <w:name w:val="Texto independiente 21"/>
    <w:basedOn w:val="Normal"/>
    <w:rsid w:val="00ED75DA"/>
    <w:pPr>
      <w:jc w:val="both"/>
    </w:pPr>
    <w:rPr>
      <w:rFonts w:ascii="Arial" w:hAnsi="Arial" w:cs="Arial"/>
      <w:sz w:val="16"/>
      <w:szCs w:val="20"/>
      <w:lang w:val="es-MX" w:eastAsia="es-MX"/>
    </w:rPr>
  </w:style>
  <w:style w:type="paragraph" w:customStyle="1" w:styleId="Textosinformato2">
    <w:name w:val="Texto sin formato2"/>
    <w:basedOn w:val="Normal"/>
    <w:rsid w:val="00ED75DA"/>
    <w:rPr>
      <w:rFonts w:ascii="Courier New" w:hAnsi="Courier New" w:cs="Courier New"/>
      <w:sz w:val="20"/>
      <w:szCs w:val="20"/>
      <w:lang w:eastAsia="es-MX"/>
    </w:rPr>
  </w:style>
  <w:style w:type="paragraph" w:customStyle="1" w:styleId="Prrafodelista">
    <w:name w:val="Párrafo de lista"/>
    <w:basedOn w:val="Normal"/>
    <w:qFormat/>
    <w:rsid w:val="00ED75DA"/>
    <w:pPr>
      <w:ind w:left="708"/>
    </w:pPr>
    <w:rPr>
      <w:sz w:val="20"/>
      <w:szCs w:val="20"/>
      <w:lang w:eastAsia="es-MX"/>
    </w:rPr>
  </w:style>
  <w:style w:type="paragraph" w:styleId="BalloonText">
    <w:name w:val="Balloon Text"/>
    <w:basedOn w:val="Normal"/>
    <w:link w:val="BalloonTextChar"/>
    <w:rsid w:val="00ED75DA"/>
    <w:rPr>
      <w:rFonts w:ascii="Tahoma" w:hAnsi="Tahoma" w:cs="Tahoma"/>
      <w:sz w:val="16"/>
      <w:szCs w:val="16"/>
    </w:rPr>
  </w:style>
  <w:style w:type="character" w:customStyle="1" w:styleId="BalloonTextChar">
    <w:name w:val="Balloon Text Char"/>
    <w:link w:val="BalloonText"/>
    <w:rsid w:val="00ED75DA"/>
    <w:rPr>
      <w:rFonts w:ascii="Tahoma" w:hAnsi="Tahoma" w:cs="Tahoma"/>
      <w:sz w:val="16"/>
      <w:szCs w:val="16"/>
      <w:lang w:val="es-ES" w:eastAsia="es-ES"/>
    </w:rPr>
  </w:style>
  <w:style w:type="paragraph" w:customStyle="1" w:styleId="Sumario">
    <w:name w:val="Sumario"/>
    <w:basedOn w:val="Normal"/>
    <w:rsid w:val="00985B10"/>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985B10"/>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6F1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0619886">
      <w:bodyDiv w:val="1"/>
      <w:marLeft w:val="0"/>
      <w:marRight w:val="0"/>
      <w:marTop w:val="0"/>
      <w:marBottom w:val="0"/>
      <w:divBdr>
        <w:top w:val="none" w:sz="0" w:space="0" w:color="auto"/>
        <w:left w:val="none" w:sz="0" w:space="0" w:color="auto"/>
        <w:bottom w:val="none" w:sz="0" w:space="0" w:color="auto"/>
        <w:right w:val="none" w:sz="0" w:space="0" w:color="auto"/>
      </w:divBdr>
    </w:div>
    <w:div w:id="182754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image" Target="media/image10.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8.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7.png"/><Relationship Id="rId14"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19</Pages>
  <Words>12199</Words>
  <Characters>69535</Characters>
  <Application>Microsoft Office Word</Application>
  <DocSecurity>0</DocSecurity>
  <Lines>579</Lines>
  <Paragraphs>163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81571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cp:lastModifiedBy>GLENN MCBRIDE</cp:lastModifiedBy>
  <cp:revision>3</cp:revision>
  <cp:lastPrinted>2021-01-22T19:30:00Z</cp:lastPrinted>
  <dcterms:created xsi:type="dcterms:W3CDTF">2021-01-22T19:30:00Z</dcterms:created>
  <dcterms:modified xsi:type="dcterms:W3CDTF">2021-01-22T19:35:00Z</dcterms:modified>
</cp:coreProperties>
</file>