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4"/>
        <w:gridCol w:w="4676"/>
      </w:tblGrid>
      <w:tr w:rsidR="003C1F6B" w:rsidRPr="000A5335" w14:paraId="4A64DC64" w14:textId="4C81BEE6" w:rsidTr="00081E30">
        <w:tc>
          <w:tcPr>
            <w:tcW w:w="4788" w:type="dxa"/>
            <w:shd w:val="clear" w:color="auto" w:fill="auto"/>
          </w:tcPr>
          <w:p w14:paraId="54C5FC17" w14:textId="77777777" w:rsidR="00C968A5" w:rsidRPr="00C67621" w:rsidRDefault="00C968A5" w:rsidP="003C1F6B">
            <w:pPr>
              <w:pStyle w:val="Titulo1"/>
              <w:pBdr>
                <w:bottom w:val="none" w:sz="0" w:space="0" w:color="auto"/>
              </w:pBdr>
              <w:spacing w:before="0"/>
              <w:jc w:val="center"/>
              <w:rPr>
                <w:rFonts w:ascii="Verdana" w:hAnsi="Verdana" w:cs="Tahoma"/>
                <w:color w:val="008000"/>
                <w:sz w:val="16"/>
                <w:szCs w:val="16"/>
              </w:rPr>
            </w:pPr>
            <w:r w:rsidRPr="00C67621">
              <w:rPr>
                <w:rFonts w:ascii="Verdana" w:hAnsi="Verdana" w:cs="Tahoma"/>
                <w:color w:val="008000"/>
                <w:sz w:val="16"/>
                <w:szCs w:val="16"/>
              </w:rPr>
              <w:t>REGLAMENTO DE LA LEY DE HIDROCARBUROS</w:t>
            </w:r>
          </w:p>
        </w:tc>
        <w:tc>
          <w:tcPr>
            <w:tcW w:w="4788" w:type="dxa"/>
            <w:shd w:val="clear" w:color="auto" w:fill="auto"/>
          </w:tcPr>
          <w:p w14:paraId="28854D6E" w14:textId="75A8E795" w:rsidR="00C968A5" w:rsidRPr="00C67621" w:rsidRDefault="000A5335" w:rsidP="003C1F6B">
            <w:pPr>
              <w:pStyle w:val="Titulo1"/>
              <w:pBdr>
                <w:bottom w:val="none" w:sz="0" w:space="0" w:color="auto"/>
              </w:pBdr>
              <w:spacing w:before="0"/>
              <w:jc w:val="center"/>
              <w:rPr>
                <w:rFonts w:ascii="Verdana" w:hAnsi="Verdana" w:cs="Tahoma"/>
                <w:color w:val="008000"/>
                <w:sz w:val="16"/>
                <w:szCs w:val="16"/>
                <w:lang w:val="en-US"/>
              </w:rPr>
            </w:pPr>
            <w:r w:rsidRPr="00C67621">
              <w:rPr>
                <w:rFonts w:ascii="Verdana" w:hAnsi="Verdana" w:cs="Times New Roman"/>
                <w:color w:val="008000"/>
                <w:sz w:val="16"/>
                <w:szCs w:val="16"/>
                <w:lang w:val="en-US"/>
              </w:rPr>
              <w:t>REGULATION OF THE LAW OF HYDROCARBONS</w:t>
            </w:r>
          </w:p>
        </w:tc>
      </w:tr>
      <w:tr w:rsidR="003C1F6B" w:rsidRPr="000A5335" w14:paraId="19546003" w14:textId="1CF84091" w:rsidTr="00081E30">
        <w:tc>
          <w:tcPr>
            <w:tcW w:w="4788" w:type="dxa"/>
            <w:shd w:val="clear" w:color="auto" w:fill="auto"/>
          </w:tcPr>
          <w:p w14:paraId="1A67C099" w14:textId="77777777" w:rsidR="00C968A5" w:rsidRPr="00C67621" w:rsidRDefault="00C968A5" w:rsidP="003C1F6B">
            <w:pPr>
              <w:pStyle w:val="western"/>
              <w:spacing w:before="0" w:beforeAutospacing="0" w:after="0" w:afterAutospacing="0"/>
              <w:jc w:val="center"/>
              <w:rPr>
                <w:rFonts w:ascii="Verdana" w:hAnsi="Verdana" w:cs="Tahoma"/>
                <w:b/>
                <w:sz w:val="16"/>
                <w:szCs w:val="16"/>
                <w:lang w:val="en-US"/>
              </w:rPr>
            </w:pPr>
          </w:p>
        </w:tc>
        <w:tc>
          <w:tcPr>
            <w:tcW w:w="4788" w:type="dxa"/>
            <w:shd w:val="clear" w:color="auto" w:fill="auto"/>
          </w:tcPr>
          <w:p w14:paraId="7AD1B8B7" w14:textId="2A4C0045" w:rsidR="00C968A5" w:rsidRPr="00C67621" w:rsidRDefault="00C968A5" w:rsidP="003C1F6B">
            <w:pPr>
              <w:pStyle w:val="western"/>
              <w:spacing w:before="0" w:beforeAutospacing="0" w:after="0" w:afterAutospacing="0"/>
              <w:jc w:val="center"/>
              <w:rPr>
                <w:rFonts w:ascii="Verdana" w:hAnsi="Verdana" w:cs="Tahoma"/>
                <w:b/>
                <w:sz w:val="16"/>
                <w:szCs w:val="16"/>
                <w:lang w:val="en-US"/>
              </w:rPr>
            </w:pPr>
            <w:r w:rsidRPr="00C67621">
              <w:rPr>
                <w:rFonts w:ascii="Verdana" w:eastAsia="Times New Roman" w:hAnsi="Verdana" w:cs="Times New Roman"/>
                <w:b/>
                <w:sz w:val="16"/>
                <w:szCs w:val="16"/>
                <w:lang w:val="en-US"/>
              </w:rPr>
              <w:t> </w:t>
            </w:r>
          </w:p>
        </w:tc>
      </w:tr>
      <w:tr w:rsidR="003C1F6B" w:rsidRPr="003C1F6B" w14:paraId="32140A2F" w14:textId="5AA82D9B" w:rsidTr="000C4C0F">
        <w:trPr>
          <w:trHeight w:val="306"/>
        </w:trPr>
        <w:tc>
          <w:tcPr>
            <w:tcW w:w="4788" w:type="dxa"/>
            <w:shd w:val="clear" w:color="auto" w:fill="auto"/>
          </w:tcPr>
          <w:p w14:paraId="54F40FEE" w14:textId="77777777" w:rsidR="00C968A5" w:rsidRPr="00081E30" w:rsidRDefault="00C968A5" w:rsidP="003C1F6B">
            <w:pPr>
              <w:pStyle w:val="western"/>
              <w:spacing w:before="0" w:beforeAutospacing="0" w:after="0" w:afterAutospacing="0"/>
              <w:jc w:val="center"/>
              <w:rPr>
                <w:rFonts w:ascii="Verdana" w:hAnsi="Verdana" w:cs="Tahoma"/>
                <w:bCs/>
                <w:sz w:val="16"/>
                <w:szCs w:val="16"/>
              </w:rPr>
            </w:pPr>
            <w:r w:rsidRPr="00081E30">
              <w:rPr>
                <w:rFonts w:ascii="Verdana" w:hAnsi="Verdana" w:cs="Tahoma"/>
                <w:bCs/>
                <w:sz w:val="16"/>
                <w:szCs w:val="16"/>
              </w:rPr>
              <w:t>TEXTO VIGENTE</w:t>
            </w:r>
          </w:p>
        </w:tc>
        <w:tc>
          <w:tcPr>
            <w:tcW w:w="4788" w:type="dxa"/>
            <w:shd w:val="clear" w:color="auto" w:fill="auto"/>
          </w:tcPr>
          <w:p w14:paraId="00EA6728" w14:textId="40B32990" w:rsidR="00C968A5" w:rsidRPr="00081E30" w:rsidRDefault="00C968A5" w:rsidP="003C1F6B">
            <w:pPr>
              <w:pStyle w:val="western"/>
              <w:spacing w:before="0" w:beforeAutospacing="0" w:after="0" w:afterAutospacing="0"/>
              <w:jc w:val="center"/>
              <w:rPr>
                <w:rFonts w:ascii="Verdana" w:hAnsi="Verdana" w:cs="Tahoma"/>
                <w:bCs/>
                <w:sz w:val="16"/>
                <w:szCs w:val="16"/>
                <w:lang w:val="en-US"/>
              </w:rPr>
            </w:pPr>
            <w:r w:rsidRPr="00081E30">
              <w:rPr>
                <w:rFonts w:ascii="Verdana" w:eastAsia="Times New Roman" w:hAnsi="Verdana" w:cs="Times New Roman"/>
                <w:bCs/>
                <w:sz w:val="16"/>
                <w:szCs w:val="16"/>
                <w:lang w:val="en-US"/>
              </w:rPr>
              <w:t>CURRENT TEXT</w:t>
            </w:r>
          </w:p>
        </w:tc>
      </w:tr>
      <w:tr w:rsidR="003C1F6B" w:rsidRPr="000A5335" w14:paraId="75D8CDC6" w14:textId="3B8426D3" w:rsidTr="00081E30">
        <w:tc>
          <w:tcPr>
            <w:tcW w:w="4788" w:type="dxa"/>
            <w:shd w:val="clear" w:color="auto" w:fill="auto"/>
          </w:tcPr>
          <w:p w14:paraId="45D7760E" w14:textId="77777777" w:rsidR="00C968A5" w:rsidRPr="00081E30" w:rsidRDefault="00C968A5" w:rsidP="003C1F6B">
            <w:pPr>
              <w:pStyle w:val="western"/>
              <w:spacing w:before="0" w:beforeAutospacing="0" w:after="0" w:afterAutospacing="0"/>
              <w:jc w:val="center"/>
              <w:rPr>
                <w:rFonts w:ascii="Verdana" w:hAnsi="Verdana" w:cs="Tahoma"/>
                <w:bCs/>
                <w:color w:val="CC3300"/>
                <w:sz w:val="16"/>
                <w:szCs w:val="16"/>
              </w:rPr>
            </w:pPr>
            <w:r w:rsidRPr="00081E30">
              <w:rPr>
                <w:rFonts w:ascii="Verdana" w:hAnsi="Verdana" w:cs="Tahoma"/>
                <w:bCs/>
                <w:color w:val="CC3300"/>
                <w:sz w:val="16"/>
                <w:szCs w:val="16"/>
              </w:rPr>
              <w:t>Nuevo Reglamento publicado en el Diario Oficial de la Federación el 31 de octubre de 2014</w:t>
            </w:r>
          </w:p>
        </w:tc>
        <w:tc>
          <w:tcPr>
            <w:tcW w:w="4788" w:type="dxa"/>
            <w:shd w:val="clear" w:color="auto" w:fill="auto"/>
          </w:tcPr>
          <w:p w14:paraId="57D23675" w14:textId="77865C70" w:rsidR="00C968A5" w:rsidRPr="00081E30" w:rsidRDefault="00C968A5" w:rsidP="003C1F6B">
            <w:pPr>
              <w:pStyle w:val="western"/>
              <w:spacing w:before="0" w:beforeAutospacing="0" w:after="0" w:afterAutospacing="0"/>
              <w:jc w:val="center"/>
              <w:rPr>
                <w:rFonts w:ascii="Verdana" w:hAnsi="Verdana" w:cs="Tahoma"/>
                <w:bCs/>
                <w:color w:val="CC3300"/>
                <w:sz w:val="16"/>
                <w:szCs w:val="16"/>
                <w:lang w:val="en-US"/>
              </w:rPr>
            </w:pPr>
            <w:r w:rsidRPr="00081E30">
              <w:rPr>
                <w:rFonts w:ascii="Verdana" w:eastAsia="Times New Roman" w:hAnsi="Verdana" w:cs="Times New Roman"/>
                <w:bCs/>
                <w:color w:val="CC3300"/>
                <w:sz w:val="16"/>
                <w:szCs w:val="16"/>
                <w:lang w:val="en-US"/>
              </w:rPr>
              <w:t xml:space="preserve">New Regulation published in the Official </w:t>
            </w:r>
            <w:r w:rsidR="00081E30">
              <w:rPr>
                <w:rFonts w:ascii="Verdana" w:eastAsia="Times New Roman" w:hAnsi="Verdana" w:cs="Times New Roman"/>
                <w:bCs/>
                <w:color w:val="CC3300"/>
                <w:sz w:val="16"/>
                <w:szCs w:val="16"/>
                <w:lang w:val="en-US"/>
              </w:rPr>
              <w:t>Daily</w:t>
            </w:r>
            <w:r w:rsidRPr="00081E30">
              <w:rPr>
                <w:rFonts w:ascii="Verdana" w:eastAsia="Times New Roman" w:hAnsi="Verdana" w:cs="Times New Roman"/>
                <w:bCs/>
                <w:color w:val="CC3300"/>
                <w:sz w:val="16"/>
                <w:szCs w:val="16"/>
                <w:lang w:val="en-US"/>
              </w:rPr>
              <w:t xml:space="preserve"> of the Federation on October 31, 2014</w:t>
            </w:r>
          </w:p>
        </w:tc>
      </w:tr>
      <w:tr w:rsidR="003C1F6B" w:rsidRPr="000A5335" w14:paraId="5995308C" w14:textId="36800896" w:rsidTr="00081E30">
        <w:tc>
          <w:tcPr>
            <w:tcW w:w="4788" w:type="dxa"/>
            <w:shd w:val="clear" w:color="auto" w:fill="auto"/>
          </w:tcPr>
          <w:p w14:paraId="195B2B34" w14:textId="77777777" w:rsidR="00C968A5" w:rsidRPr="00081E30" w:rsidRDefault="00C968A5" w:rsidP="003C1F6B">
            <w:pPr>
              <w:pStyle w:val="Titulo1"/>
              <w:pBdr>
                <w:bottom w:val="none" w:sz="0" w:space="0" w:color="auto"/>
              </w:pBdr>
              <w:spacing w:before="0"/>
              <w:rPr>
                <w:rFonts w:ascii="Verdana" w:hAnsi="Verdana"/>
                <w:b w:val="0"/>
                <w:bCs/>
                <w:sz w:val="16"/>
                <w:szCs w:val="16"/>
                <w:lang w:val="en-US"/>
              </w:rPr>
            </w:pPr>
          </w:p>
        </w:tc>
        <w:tc>
          <w:tcPr>
            <w:tcW w:w="4788" w:type="dxa"/>
            <w:shd w:val="clear" w:color="auto" w:fill="auto"/>
          </w:tcPr>
          <w:p w14:paraId="68D6336A" w14:textId="3BC4B1BF" w:rsidR="00C968A5" w:rsidRPr="00081E30" w:rsidRDefault="00C968A5" w:rsidP="003C1F6B">
            <w:pPr>
              <w:pStyle w:val="Titulo1"/>
              <w:pBdr>
                <w:bottom w:val="none" w:sz="0" w:space="0" w:color="auto"/>
              </w:pBdr>
              <w:spacing w:before="0"/>
              <w:rPr>
                <w:rFonts w:ascii="Verdana" w:hAnsi="Verdana"/>
                <w:b w:val="0"/>
                <w:bCs/>
                <w:sz w:val="16"/>
                <w:szCs w:val="16"/>
                <w:lang w:val="en-US"/>
              </w:rPr>
            </w:pPr>
            <w:r w:rsidRPr="00081E30">
              <w:rPr>
                <w:rFonts w:ascii="Verdana" w:hAnsi="Verdana" w:cs="Times New Roman"/>
                <w:b w:val="0"/>
                <w:bCs/>
                <w:sz w:val="16"/>
                <w:szCs w:val="16"/>
                <w:lang w:val="en-US"/>
              </w:rPr>
              <w:t> </w:t>
            </w:r>
          </w:p>
        </w:tc>
      </w:tr>
      <w:tr w:rsidR="003C1F6B" w:rsidRPr="000A5335" w14:paraId="4822E5B0" w14:textId="7C7F49F0" w:rsidTr="00081E30">
        <w:tc>
          <w:tcPr>
            <w:tcW w:w="4788" w:type="dxa"/>
            <w:shd w:val="clear" w:color="auto" w:fill="auto"/>
          </w:tcPr>
          <w:p w14:paraId="4B744FB6" w14:textId="77777777" w:rsidR="00C968A5" w:rsidRPr="00081E30" w:rsidRDefault="00C968A5" w:rsidP="003C1F6B">
            <w:pPr>
              <w:pStyle w:val="Titulo1"/>
              <w:pBdr>
                <w:bottom w:val="none" w:sz="0" w:space="0" w:color="auto"/>
              </w:pBdr>
              <w:spacing w:before="0"/>
              <w:rPr>
                <w:rFonts w:ascii="Verdana" w:hAnsi="Verdana"/>
                <w:b w:val="0"/>
                <w:bCs/>
                <w:sz w:val="16"/>
                <w:szCs w:val="16"/>
                <w:lang w:val="en-US"/>
              </w:rPr>
            </w:pPr>
          </w:p>
        </w:tc>
        <w:tc>
          <w:tcPr>
            <w:tcW w:w="4788" w:type="dxa"/>
            <w:shd w:val="clear" w:color="auto" w:fill="auto"/>
          </w:tcPr>
          <w:p w14:paraId="3A4473A0" w14:textId="03E3BC44" w:rsidR="00C968A5" w:rsidRPr="00081E30" w:rsidRDefault="00C968A5" w:rsidP="003C1F6B">
            <w:pPr>
              <w:pStyle w:val="Titulo1"/>
              <w:pBdr>
                <w:bottom w:val="none" w:sz="0" w:space="0" w:color="auto"/>
              </w:pBdr>
              <w:spacing w:before="0"/>
              <w:rPr>
                <w:rFonts w:ascii="Verdana" w:hAnsi="Verdana"/>
                <w:b w:val="0"/>
                <w:bCs/>
                <w:sz w:val="16"/>
                <w:szCs w:val="16"/>
                <w:lang w:val="en-US"/>
              </w:rPr>
            </w:pPr>
            <w:r w:rsidRPr="00081E30">
              <w:rPr>
                <w:rFonts w:ascii="Verdana" w:hAnsi="Verdana" w:cs="Times New Roman"/>
                <w:b w:val="0"/>
                <w:bCs/>
                <w:sz w:val="16"/>
                <w:szCs w:val="16"/>
                <w:lang w:val="en-US"/>
              </w:rPr>
              <w:t> </w:t>
            </w:r>
          </w:p>
        </w:tc>
      </w:tr>
      <w:tr w:rsidR="003C1F6B" w:rsidRPr="000A5335" w14:paraId="0D7978E8" w14:textId="6F148947" w:rsidTr="00081E30">
        <w:tc>
          <w:tcPr>
            <w:tcW w:w="4788" w:type="dxa"/>
            <w:shd w:val="clear" w:color="auto" w:fill="auto"/>
          </w:tcPr>
          <w:p w14:paraId="7DD27257" w14:textId="77777777" w:rsidR="00C968A5" w:rsidRPr="00081E30" w:rsidRDefault="00C968A5" w:rsidP="003C1F6B">
            <w:pPr>
              <w:pStyle w:val="Titulo1"/>
              <w:pBdr>
                <w:bottom w:val="none" w:sz="0" w:space="0" w:color="auto"/>
              </w:pBdr>
              <w:spacing w:before="0"/>
              <w:rPr>
                <w:rFonts w:ascii="Verdana" w:hAnsi="Verdana"/>
                <w:b w:val="0"/>
                <w:bCs/>
                <w:sz w:val="16"/>
                <w:szCs w:val="16"/>
                <w:lang w:val="en-US"/>
              </w:rPr>
            </w:pPr>
          </w:p>
        </w:tc>
        <w:tc>
          <w:tcPr>
            <w:tcW w:w="4788" w:type="dxa"/>
            <w:shd w:val="clear" w:color="auto" w:fill="auto"/>
          </w:tcPr>
          <w:p w14:paraId="01E365ED" w14:textId="52BA21F1" w:rsidR="00C968A5" w:rsidRPr="00081E30" w:rsidRDefault="00C968A5" w:rsidP="003C1F6B">
            <w:pPr>
              <w:pStyle w:val="Titulo1"/>
              <w:pBdr>
                <w:bottom w:val="none" w:sz="0" w:space="0" w:color="auto"/>
              </w:pBdr>
              <w:spacing w:before="0"/>
              <w:rPr>
                <w:rFonts w:ascii="Verdana" w:hAnsi="Verdana"/>
                <w:b w:val="0"/>
                <w:bCs/>
                <w:sz w:val="16"/>
                <w:szCs w:val="16"/>
                <w:lang w:val="en-US"/>
              </w:rPr>
            </w:pPr>
            <w:r w:rsidRPr="00081E30">
              <w:rPr>
                <w:rFonts w:ascii="Verdana" w:hAnsi="Verdana" w:cs="Times New Roman"/>
                <w:b w:val="0"/>
                <w:bCs/>
                <w:sz w:val="16"/>
                <w:szCs w:val="16"/>
                <w:lang w:val="en-US"/>
              </w:rPr>
              <w:t> </w:t>
            </w:r>
          </w:p>
        </w:tc>
      </w:tr>
      <w:tr w:rsidR="003C1F6B" w:rsidRPr="00081E30" w14:paraId="51D84DD6" w14:textId="0BC9F5C4" w:rsidTr="00081E30">
        <w:tc>
          <w:tcPr>
            <w:tcW w:w="4788" w:type="dxa"/>
            <w:shd w:val="clear" w:color="auto" w:fill="auto"/>
          </w:tcPr>
          <w:p w14:paraId="08201528" w14:textId="77777777" w:rsidR="00C968A5" w:rsidRPr="00081E30" w:rsidRDefault="00C968A5" w:rsidP="003C1F6B">
            <w:pPr>
              <w:pStyle w:val="Titulo2"/>
              <w:pBdr>
                <w:top w:val="none" w:sz="0" w:space="0" w:color="auto"/>
              </w:pBdr>
              <w:spacing w:after="0"/>
              <w:rPr>
                <w:rFonts w:ascii="Verdana" w:hAnsi="Verdana"/>
                <w:bCs/>
                <w:sz w:val="16"/>
                <w:szCs w:val="16"/>
              </w:rPr>
            </w:pPr>
            <w:r w:rsidRPr="00081E30">
              <w:rPr>
                <w:rFonts w:ascii="Verdana" w:hAnsi="Verdana"/>
                <w:bCs/>
                <w:sz w:val="16"/>
                <w:szCs w:val="16"/>
              </w:rPr>
              <w:t>Al margen un sello con el Escudo Nacional, que dice: Estados Unidos Mexicanos.- Presidencia de la República.</w:t>
            </w:r>
          </w:p>
        </w:tc>
        <w:tc>
          <w:tcPr>
            <w:tcW w:w="4788" w:type="dxa"/>
            <w:shd w:val="clear" w:color="auto" w:fill="auto"/>
          </w:tcPr>
          <w:p w14:paraId="5DE60A50" w14:textId="0651C08D" w:rsidR="00C968A5" w:rsidRPr="00081E30" w:rsidRDefault="00081E30" w:rsidP="003C1F6B">
            <w:pPr>
              <w:pStyle w:val="Titulo2"/>
              <w:pBdr>
                <w:top w:val="none" w:sz="0" w:space="0" w:color="auto"/>
              </w:pBdr>
              <w:spacing w:after="0"/>
              <w:rPr>
                <w:rFonts w:ascii="Verdana" w:hAnsi="Verdana"/>
                <w:bCs/>
                <w:sz w:val="16"/>
                <w:szCs w:val="16"/>
                <w:lang w:val="en-US"/>
              </w:rPr>
            </w:pPr>
            <w:r>
              <w:rPr>
                <w:rFonts w:ascii="Verdana" w:hAnsi="Verdana" w:cs="Times New Roman"/>
                <w:bCs/>
                <w:sz w:val="16"/>
                <w:szCs w:val="16"/>
                <w:lang w:val="en-US"/>
              </w:rPr>
              <w:t xml:space="preserve">In the margin a stamp with the National Seal, that says: United Mexican States.  </w:t>
            </w:r>
            <w:r w:rsidR="00C968A5" w:rsidRPr="00081E30">
              <w:rPr>
                <w:rFonts w:ascii="Verdana" w:hAnsi="Verdana" w:cs="Times New Roman"/>
                <w:bCs/>
                <w:sz w:val="16"/>
                <w:szCs w:val="16"/>
                <w:lang w:val="en-US"/>
              </w:rPr>
              <w:t>- Presidency of the Republic.</w:t>
            </w:r>
          </w:p>
        </w:tc>
      </w:tr>
      <w:tr w:rsidR="003C1F6B" w:rsidRPr="00081E30" w14:paraId="0D79A8FE" w14:textId="5D26930A" w:rsidTr="00081E30">
        <w:tc>
          <w:tcPr>
            <w:tcW w:w="4788" w:type="dxa"/>
            <w:shd w:val="clear" w:color="auto" w:fill="auto"/>
          </w:tcPr>
          <w:p w14:paraId="722EEE52" w14:textId="77777777" w:rsidR="00C968A5" w:rsidRPr="00081E30" w:rsidRDefault="00C968A5" w:rsidP="003C1F6B">
            <w:pPr>
              <w:pStyle w:val="Titulo2"/>
              <w:pBdr>
                <w:top w:val="none" w:sz="0" w:space="0" w:color="auto"/>
              </w:pBdr>
              <w:spacing w:after="0"/>
              <w:rPr>
                <w:rFonts w:ascii="Verdana" w:hAnsi="Verdana"/>
                <w:bCs/>
                <w:sz w:val="16"/>
                <w:szCs w:val="16"/>
                <w:lang w:val="en-US"/>
              </w:rPr>
            </w:pPr>
          </w:p>
        </w:tc>
        <w:tc>
          <w:tcPr>
            <w:tcW w:w="4788" w:type="dxa"/>
            <w:shd w:val="clear" w:color="auto" w:fill="auto"/>
          </w:tcPr>
          <w:p w14:paraId="2BE3DE72" w14:textId="3FA5BFC4" w:rsidR="00C968A5" w:rsidRPr="00081E30" w:rsidRDefault="00C968A5" w:rsidP="003C1F6B">
            <w:pPr>
              <w:pStyle w:val="Titulo2"/>
              <w:pBdr>
                <w:top w:val="none" w:sz="0" w:space="0" w:color="auto"/>
              </w:pBdr>
              <w:spacing w:after="0"/>
              <w:rPr>
                <w:rFonts w:ascii="Verdana" w:hAnsi="Verdana"/>
                <w:bCs/>
                <w:sz w:val="16"/>
                <w:szCs w:val="16"/>
                <w:lang w:val="en-US"/>
              </w:rPr>
            </w:pPr>
            <w:r w:rsidRPr="00081E30">
              <w:rPr>
                <w:rFonts w:ascii="Verdana" w:hAnsi="Verdana" w:cs="Times New Roman"/>
                <w:bCs/>
                <w:sz w:val="16"/>
                <w:szCs w:val="16"/>
                <w:lang w:val="en-US"/>
              </w:rPr>
              <w:t> </w:t>
            </w:r>
          </w:p>
        </w:tc>
      </w:tr>
      <w:tr w:rsidR="003C1F6B" w:rsidRPr="000A5335" w14:paraId="433BD4DF" w14:textId="5FD97FE6" w:rsidTr="00081E30">
        <w:tc>
          <w:tcPr>
            <w:tcW w:w="4788" w:type="dxa"/>
            <w:shd w:val="clear" w:color="auto" w:fill="auto"/>
          </w:tcPr>
          <w:p w14:paraId="0F54CCA7" w14:textId="77777777" w:rsidR="00C968A5" w:rsidRPr="00081E30" w:rsidRDefault="00C968A5" w:rsidP="003C1F6B">
            <w:pPr>
              <w:pStyle w:val="Texto"/>
              <w:spacing w:after="0" w:line="240" w:lineRule="auto"/>
              <w:ind w:firstLine="0"/>
              <w:rPr>
                <w:rFonts w:ascii="Verdana" w:hAnsi="Verdana"/>
                <w:bCs/>
                <w:sz w:val="16"/>
                <w:szCs w:val="16"/>
              </w:rPr>
            </w:pPr>
            <w:r w:rsidRPr="00C67621">
              <w:rPr>
                <w:rFonts w:ascii="Verdana" w:hAnsi="Verdana"/>
                <w:b/>
                <w:sz w:val="16"/>
                <w:szCs w:val="16"/>
              </w:rPr>
              <w:t>ENRIQUE PEÑA NIETO,</w:t>
            </w:r>
            <w:r w:rsidRPr="00081E30">
              <w:rPr>
                <w:rFonts w:ascii="Verdana" w:hAnsi="Verdana"/>
                <w:bCs/>
                <w:sz w:val="16"/>
                <w:szCs w:val="16"/>
              </w:rPr>
              <w:t xml:space="preserve"> Presidente de los Estados Unidos Mexicanos, en ejercicio de la facultad que me confiere el artículo 89, fracción I de la Constitución Política de los Estados Unidos Mexicanos y con fundamento en los artículos 31, 32 Bis, 33, 34, 37, 41 y 43 Ter de la Ley Orgánica de la Administración Pública Federal y 10, 20, 22, 23, 27, 29, 101, 104, 113, 121 y demás relativos de la Ley de Hidrocarburos, he tenido a bien expedir el siguiente</w:t>
            </w:r>
          </w:p>
        </w:tc>
        <w:tc>
          <w:tcPr>
            <w:tcW w:w="4788" w:type="dxa"/>
            <w:shd w:val="clear" w:color="auto" w:fill="auto"/>
          </w:tcPr>
          <w:p w14:paraId="360C7525" w14:textId="0AA17FBE" w:rsidR="00C968A5" w:rsidRPr="00081E30" w:rsidRDefault="00C968A5" w:rsidP="003C1F6B">
            <w:pPr>
              <w:pStyle w:val="Texto"/>
              <w:spacing w:after="0" w:line="240" w:lineRule="auto"/>
              <w:ind w:firstLine="0"/>
              <w:rPr>
                <w:rFonts w:ascii="Verdana" w:hAnsi="Verdana"/>
                <w:bCs/>
                <w:sz w:val="16"/>
                <w:szCs w:val="16"/>
                <w:lang w:val="en-US"/>
              </w:rPr>
            </w:pPr>
            <w:r w:rsidRPr="00C67621">
              <w:rPr>
                <w:rFonts w:ascii="Verdana" w:hAnsi="Verdana" w:cs="Times New Roman"/>
                <w:b/>
                <w:sz w:val="16"/>
                <w:szCs w:val="16"/>
                <w:lang w:val="en-US"/>
              </w:rPr>
              <w:t>ENRIQUE PEÑA NIETO</w:t>
            </w:r>
            <w:r w:rsidRPr="00081E30">
              <w:rPr>
                <w:rFonts w:ascii="Verdana" w:hAnsi="Verdana" w:cs="Times New Roman"/>
                <w:bCs/>
                <w:sz w:val="16"/>
                <w:szCs w:val="16"/>
                <w:lang w:val="en-US"/>
              </w:rPr>
              <w:t xml:space="preserve">, President of the United Mexican States, in exercise of the power conferred on me by article 89, section I of the Political Constitution of the United Mexican States and based on articles 31, 32 Bis, 33, 34, 37, 41 and 43 Ter of the Organic Law of the Federal Public Administration and 10, 20, 22, 23, 27, 29, 101, 104, 113, 121 and other relative </w:t>
            </w:r>
            <w:r w:rsidR="00C67621">
              <w:rPr>
                <w:rFonts w:ascii="Verdana" w:hAnsi="Verdana" w:cs="Times New Roman"/>
                <w:bCs/>
                <w:sz w:val="16"/>
                <w:szCs w:val="16"/>
                <w:lang w:val="en-US"/>
              </w:rPr>
              <w:t xml:space="preserve">to </w:t>
            </w:r>
            <w:r w:rsidRPr="00081E30">
              <w:rPr>
                <w:rFonts w:ascii="Verdana" w:hAnsi="Verdana" w:cs="Times New Roman"/>
                <w:bCs/>
                <w:sz w:val="16"/>
                <w:szCs w:val="16"/>
                <w:lang w:val="en-US"/>
              </w:rPr>
              <w:t xml:space="preserve">the </w:t>
            </w:r>
            <w:r w:rsidR="00C67621">
              <w:rPr>
                <w:rFonts w:ascii="Verdana" w:hAnsi="Verdana" w:cs="Times New Roman"/>
                <w:bCs/>
                <w:sz w:val="16"/>
                <w:szCs w:val="16"/>
                <w:lang w:val="en-US"/>
              </w:rPr>
              <w:t>Law of Hydrocarbons</w:t>
            </w:r>
            <w:r w:rsidRPr="00081E30">
              <w:rPr>
                <w:rFonts w:ascii="Verdana" w:hAnsi="Verdana" w:cs="Times New Roman"/>
                <w:bCs/>
                <w:sz w:val="16"/>
                <w:szCs w:val="16"/>
                <w:lang w:val="en-US"/>
              </w:rPr>
              <w:t>, I have been willing to issue the next</w:t>
            </w:r>
          </w:p>
        </w:tc>
      </w:tr>
      <w:tr w:rsidR="003C1F6B" w:rsidRPr="000A5335" w14:paraId="78D6F8C8" w14:textId="16F6D713" w:rsidTr="00081E30">
        <w:tc>
          <w:tcPr>
            <w:tcW w:w="4788" w:type="dxa"/>
            <w:shd w:val="clear" w:color="auto" w:fill="auto"/>
          </w:tcPr>
          <w:p w14:paraId="69623D4F" w14:textId="77777777" w:rsidR="00C968A5" w:rsidRPr="00081E30" w:rsidRDefault="00C968A5" w:rsidP="003C1F6B">
            <w:pPr>
              <w:pStyle w:val="Texto"/>
              <w:spacing w:after="0" w:line="240" w:lineRule="auto"/>
              <w:ind w:firstLine="0"/>
              <w:rPr>
                <w:rFonts w:ascii="Verdana" w:hAnsi="Verdana"/>
                <w:bCs/>
                <w:sz w:val="16"/>
                <w:szCs w:val="16"/>
                <w:lang w:val="en-US"/>
              </w:rPr>
            </w:pPr>
          </w:p>
        </w:tc>
        <w:tc>
          <w:tcPr>
            <w:tcW w:w="4788" w:type="dxa"/>
            <w:shd w:val="clear" w:color="auto" w:fill="auto"/>
          </w:tcPr>
          <w:p w14:paraId="16A5A416" w14:textId="15184E25" w:rsidR="00C968A5" w:rsidRPr="00081E30" w:rsidRDefault="00C968A5" w:rsidP="003C1F6B">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3C1F6B" w:rsidRPr="00C67621" w14:paraId="75C8B8B4" w14:textId="6B948B99" w:rsidTr="00081E30">
        <w:tc>
          <w:tcPr>
            <w:tcW w:w="4788" w:type="dxa"/>
            <w:shd w:val="clear" w:color="auto" w:fill="auto"/>
          </w:tcPr>
          <w:p w14:paraId="6A12FEE0" w14:textId="77777777" w:rsidR="00C968A5" w:rsidRPr="00C67621" w:rsidRDefault="00C968A5" w:rsidP="003C1F6B">
            <w:pPr>
              <w:pStyle w:val="ANOTACION"/>
              <w:spacing w:before="0" w:after="0" w:line="240" w:lineRule="auto"/>
              <w:rPr>
                <w:rFonts w:ascii="Verdana" w:hAnsi="Verdana" w:cs="Arial"/>
                <w:sz w:val="16"/>
                <w:szCs w:val="16"/>
              </w:rPr>
            </w:pPr>
            <w:r w:rsidRPr="00C67621">
              <w:rPr>
                <w:rFonts w:ascii="Verdana" w:hAnsi="Verdana" w:cs="Arial"/>
                <w:sz w:val="16"/>
                <w:szCs w:val="16"/>
              </w:rPr>
              <w:t>REGLAMENTO DE LA LEY DE HIDROCARBUROS</w:t>
            </w:r>
          </w:p>
        </w:tc>
        <w:tc>
          <w:tcPr>
            <w:tcW w:w="4788" w:type="dxa"/>
            <w:shd w:val="clear" w:color="auto" w:fill="auto"/>
          </w:tcPr>
          <w:p w14:paraId="3CBC61D8" w14:textId="2717B351" w:rsidR="00C968A5" w:rsidRPr="00C67621" w:rsidRDefault="00C67621" w:rsidP="003C1F6B">
            <w:pPr>
              <w:pStyle w:val="ANOTACION"/>
              <w:spacing w:before="0" w:after="0" w:line="240" w:lineRule="auto"/>
              <w:rPr>
                <w:rFonts w:ascii="Verdana" w:hAnsi="Verdana" w:cs="Arial"/>
                <w:sz w:val="16"/>
                <w:szCs w:val="16"/>
                <w:lang w:val="en-US"/>
              </w:rPr>
            </w:pPr>
            <w:r w:rsidRPr="00C67621">
              <w:rPr>
                <w:rFonts w:ascii="Verdana" w:hAnsi="Verdana"/>
                <w:sz w:val="16"/>
                <w:szCs w:val="16"/>
                <w:lang w:val="en-US"/>
              </w:rPr>
              <w:t xml:space="preserve">REGULATION OF THE LAW OF </w:t>
            </w:r>
            <w:r w:rsidR="00C968A5" w:rsidRPr="00C67621">
              <w:rPr>
                <w:rFonts w:ascii="Verdana" w:hAnsi="Verdana"/>
                <w:sz w:val="16"/>
                <w:szCs w:val="16"/>
                <w:lang w:val="en-US"/>
              </w:rPr>
              <w:t xml:space="preserve">HYDROCARBONS </w:t>
            </w:r>
          </w:p>
        </w:tc>
      </w:tr>
      <w:tr w:rsidR="003C1F6B" w:rsidRPr="00C67621" w14:paraId="59C7A946" w14:textId="22027FA6" w:rsidTr="00081E30">
        <w:tc>
          <w:tcPr>
            <w:tcW w:w="4788" w:type="dxa"/>
            <w:shd w:val="clear" w:color="auto" w:fill="auto"/>
          </w:tcPr>
          <w:p w14:paraId="3062CFB9" w14:textId="77777777" w:rsidR="00C968A5" w:rsidRPr="00C67621" w:rsidRDefault="00C968A5" w:rsidP="002C5E29">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54E7D786" w14:textId="5DA67F64" w:rsidR="00C968A5" w:rsidRPr="00C67621" w:rsidRDefault="00C968A5" w:rsidP="002C5E29">
            <w:pPr>
              <w:pStyle w:val="ANOTACION"/>
              <w:spacing w:before="0" w:after="0" w:line="240" w:lineRule="auto"/>
              <w:jc w:val="both"/>
              <w:rPr>
                <w:rFonts w:ascii="Verdana" w:hAnsi="Verdana" w:cs="Arial"/>
                <w:sz w:val="16"/>
                <w:szCs w:val="16"/>
                <w:lang w:val="en-US"/>
              </w:rPr>
            </w:pPr>
            <w:r w:rsidRPr="00C67621">
              <w:rPr>
                <w:rFonts w:ascii="Verdana" w:hAnsi="Verdana"/>
                <w:sz w:val="16"/>
                <w:szCs w:val="16"/>
                <w:lang w:val="en-US"/>
              </w:rPr>
              <w:t> </w:t>
            </w:r>
          </w:p>
        </w:tc>
      </w:tr>
      <w:tr w:rsidR="002C5E29" w:rsidRPr="00C67621" w14:paraId="3F214550" w14:textId="77777777" w:rsidTr="00081E30">
        <w:tc>
          <w:tcPr>
            <w:tcW w:w="4788" w:type="dxa"/>
            <w:shd w:val="clear" w:color="auto" w:fill="auto"/>
          </w:tcPr>
          <w:p w14:paraId="62A584BE" w14:textId="505F5D8D" w:rsidR="002C5E29" w:rsidRPr="00C67621" w:rsidRDefault="002C5E29" w:rsidP="002C5E29">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788" w:type="dxa"/>
            <w:shd w:val="clear" w:color="auto" w:fill="auto"/>
          </w:tcPr>
          <w:p w14:paraId="02E24FEF" w14:textId="513DD035" w:rsidR="002C5E29" w:rsidRPr="00C67621" w:rsidRDefault="002C5E29" w:rsidP="002C5E29">
            <w:pPr>
              <w:pStyle w:val="ANOTACION"/>
              <w:spacing w:before="0" w:after="0" w:line="240" w:lineRule="auto"/>
              <w:rPr>
                <w:rFonts w:ascii="Verdana" w:hAnsi="Verdana"/>
                <w:sz w:val="16"/>
                <w:szCs w:val="16"/>
                <w:lang w:val="en-US"/>
              </w:rPr>
            </w:pPr>
            <w:r>
              <w:rPr>
                <w:rFonts w:ascii="Verdana" w:hAnsi="Verdana"/>
                <w:sz w:val="16"/>
                <w:szCs w:val="16"/>
                <w:lang w:val="en-US"/>
              </w:rPr>
              <w:t>INDEX</w:t>
            </w:r>
          </w:p>
        </w:tc>
      </w:tr>
      <w:tr w:rsidR="002C5E29" w:rsidRPr="00C67621" w14:paraId="1C8C2AF0" w14:textId="77777777" w:rsidTr="000A3C31">
        <w:tc>
          <w:tcPr>
            <w:tcW w:w="4788" w:type="dxa"/>
          </w:tcPr>
          <w:p w14:paraId="21AF8665" w14:textId="567F7561" w:rsidR="002C5E29" w:rsidRPr="002C5E29" w:rsidRDefault="002C5E29" w:rsidP="002C5E29">
            <w:pPr>
              <w:pStyle w:val="ANOTACION"/>
              <w:spacing w:before="0" w:after="0" w:line="240" w:lineRule="auto"/>
              <w:jc w:val="both"/>
              <w:rPr>
                <w:rFonts w:ascii="Verdana" w:hAnsi="Verdana" w:cs="Arial"/>
                <w:bCs/>
                <w:sz w:val="16"/>
                <w:szCs w:val="16"/>
                <w:lang w:val="en-US"/>
              </w:rPr>
            </w:pPr>
            <w:r w:rsidRPr="002C5E29">
              <w:rPr>
                <w:rFonts w:ascii="Verdana" w:hAnsi="Verdana"/>
                <w:bCs/>
                <w:sz w:val="16"/>
                <w:szCs w:val="16"/>
              </w:rPr>
              <w:t>TÍTULO PRIMERO</w:t>
            </w:r>
          </w:p>
        </w:tc>
        <w:tc>
          <w:tcPr>
            <w:tcW w:w="4788" w:type="dxa"/>
          </w:tcPr>
          <w:p w14:paraId="65C39DDE" w14:textId="72C6EF3D" w:rsidR="002C5E29" w:rsidRPr="002C5E29" w:rsidRDefault="002C5E29" w:rsidP="002C5E29">
            <w:pPr>
              <w:pStyle w:val="ANOTACION"/>
              <w:spacing w:before="0" w:after="0" w:line="240" w:lineRule="auto"/>
              <w:jc w:val="both"/>
              <w:rPr>
                <w:rFonts w:ascii="Verdana" w:hAnsi="Verdana"/>
                <w:bCs/>
                <w:sz w:val="16"/>
                <w:szCs w:val="16"/>
                <w:lang w:val="en-US"/>
              </w:rPr>
            </w:pPr>
            <w:r w:rsidRPr="002C5E29">
              <w:rPr>
                <w:rFonts w:ascii="Verdana" w:hAnsi="Verdana"/>
                <w:bCs/>
                <w:sz w:val="16"/>
                <w:szCs w:val="16"/>
                <w:lang w:val="en-US"/>
              </w:rPr>
              <w:t>FIRST TITLE</w:t>
            </w:r>
          </w:p>
        </w:tc>
      </w:tr>
      <w:tr w:rsidR="002C5E29" w:rsidRPr="00C67621" w14:paraId="4E78152A" w14:textId="77777777" w:rsidTr="000A3C31">
        <w:tc>
          <w:tcPr>
            <w:tcW w:w="4788" w:type="dxa"/>
          </w:tcPr>
          <w:p w14:paraId="6381125E" w14:textId="54D4F1AB" w:rsidR="002C5E29" w:rsidRPr="002C5E29" w:rsidRDefault="002C5E29" w:rsidP="002C5E29">
            <w:pPr>
              <w:pStyle w:val="ANOTACION"/>
              <w:spacing w:before="0" w:after="0" w:line="240" w:lineRule="auto"/>
              <w:jc w:val="both"/>
              <w:rPr>
                <w:rFonts w:ascii="Verdana" w:hAnsi="Verdana" w:cs="Arial"/>
                <w:bCs/>
                <w:sz w:val="16"/>
                <w:szCs w:val="16"/>
                <w:lang w:val="en-US"/>
              </w:rPr>
            </w:pPr>
            <w:r w:rsidRPr="002C5E29">
              <w:rPr>
                <w:rFonts w:ascii="Verdana" w:hAnsi="Verdana"/>
                <w:bCs/>
                <w:sz w:val="16"/>
                <w:szCs w:val="16"/>
              </w:rPr>
              <w:t>DE LAS DISPOSICIONES GENERALES</w:t>
            </w:r>
          </w:p>
        </w:tc>
        <w:tc>
          <w:tcPr>
            <w:tcW w:w="4788" w:type="dxa"/>
          </w:tcPr>
          <w:p w14:paraId="69AA89DF" w14:textId="0848065D" w:rsidR="002C5E29" w:rsidRPr="002C5E29" w:rsidRDefault="002C5E29" w:rsidP="002C5E29">
            <w:pPr>
              <w:pStyle w:val="ANOTACION"/>
              <w:spacing w:before="0" w:after="0" w:line="240" w:lineRule="auto"/>
              <w:jc w:val="both"/>
              <w:rPr>
                <w:rFonts w:ascii="Verdana" w:hAnsi="Verdana"/>
                <w:bCs/>
                <w:sz w:val="16"/>
                <w:szCs w:val="16"/>
                <w:lang w:val="en-US"/>
              </w:rPr>
            </w:pPr>
            <w:r w:rsidRPr="002C5E29">
              <w:rPr>
                <w:rFonts w:ascii="Verdana" w:hAnsi="Verdana"/>
                <w:bCs/>
                <w:sz w:val="16"/>
                <w:szCs w:val="16"/>
                <w:lang w:val="en-US"/>
              </w:rPr>
              <w:t>GENERAL PROVISIONS</w:t>
            </w:r>
          </w:p>
        </w:tc>
      </w:tr>
      <w:tr w:rsidR="002C5E29" w:rsidRPr="00C67621" w14:paraId="6A36A2D8" w14:textId="77777777" w:rsidTr="000A3C31">
        <w:tc>
          <w:tcPr>
            <w:tcW w:w="4788" w:type="dxa"/>
          </w:tcPr>
          <w:p w14:paraId="6EE90B79" w14:textId="4E28DE13"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TÍTULO SEGUNDO</w:t>
            </w:r>
          </w:p>
        </w:tc>
        <w:tc>
          <w:tcPr>
            <w:tcW w:w="4788" w:type="dxa"/>
          </w:tcPr>
          <w:p w14:paraId="7D6A1864" w14:textId="10DC52E6"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SECOND TITLE</w:t>
            </w:r>
          </w:p>
        </w:tc>
      </w:tr>
      <w:tr w:rsidR="002C5E29" w:rsidRPr="00C67621" w14:paraId="6360205C" w14:textId="77777777" w:rsidTr="000A3C31">
        <w:tc>
          <w:tcPr>
            <w:tcW w:w="4788" w:type="dxa"/>
          </w:tcPr>
          <w:p w14:paraId="364D7C4C" w14:textId="6F650CC8" w:rsidR="002C5E29" w:rsidRPr="002C5E29" w:rsidRDefault="002C5E29" w:rsidP="002C5E29">
            <w:pPr>
              <w:pStyle w:val="ANOTACION"/>
              <w:spacing w:before="0" w:after="0" w:line="240" w:lineRule="auto"/>
              <w:jc w:val="both"/>
              <w:rPr>
                <w:rFonts w:ascii="Verdana" w:hAnsi="Verdana" w:cs="Arial"/>
                <w:sz w:val="16"/>
                <w:szCs w:val="16"/>
                <w:lang w:val="es-MX"/>
              </w:rPr>
            </w:pPr>
            <w:r w:rsidRPr="006F52A3">
              <w:rPr>
                <w:rFonts w:ascii="Verdana" w:hAnsi="Verdana" w:cs="Arial"/>
                <w:sz w:val="16"/>
                <w:szCs w:val="16"/>
              </w:rPr>
              <w:t>DEL RECONOCIMIENTO Y EXPLORACIÓN SUPERFICIAL Y DE LA EXPLORACIÓN Y EXTRACCIÓN DE HIDROCARBUROS</w:t>
            </w:r>
          </w:p>
        </w:tc>
        <w:tc>
          <w:tcPr>
            <w:tcW w:w="4788" w:type="dxa"/>
          </w:tcPr>
          <w:p w14:paraId="55A62ED9" w14:textId="12A83C96"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SURFACE RECOGNITION AND EXPLORATION AND THE EXPLORATION AND EXTRACTION OF HYDROCARBONS</w:t>
            </w:r>
          </w:p>
        </w:tc>
      </w:tr>
      <w:tr w:rsidR="002C5E29" w:rsidRPr="00C67621" w14:paraId="31FC9789" w14:textId="77777777" w:rsidTr="000A3C31">
        <w:tc>
          <w:tcPr>
            <w:tcW w:w="4788" w:type="dxa"/>
          </w:tcPr>
          <w:p w14:paraId="7378E2AA" w14:textId="5B28F792"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w:t>
            </w:r>
          </w:p>
        </w:tc>
        <w:tc>
          <w:tcPr>
            <w:tcW w:w="4788" w:type="dxa"/>
          </w:tcPr>
          <w:p w14:paraId="7F9C808D" w14:textId="4DAE74E7"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w:t>
            </w:r>
          </w:p>
        </w:tc>
      </w:tr>
      <w:tr w:rsidR="002C5E29" w:rsidRPr="00C67621" w14:paraId="41C5CAA2" w14:textId="77777777" w:rsidTr="000A3C31">
        <w:tc>
          <w:tcPr>
            <w:tcW w:w="4788" w:type="dxa"/>
          </w:tcPr>
          <w:p w14:paraId="11FD99DC" w14:textId="38C7AC18"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Del Reconocimiento y Exploración Superficial</w:t>
            </w:r>
          </w:p>
        </w:tc>
        <w:tc>
          <w:tcPr>
            <w:tcW w:w="4788" w:type="dxa"/>
          </w:tcPr>
          <w:p w14:paraId="4904372E" w14:textId="5F21D6F4"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Surface Recognition and Exploration</w:t>
            </w:r>
          </w:p>
        </w:tc>
      </w:tr>
      <w:tr w:rsidR="002C5E29" w:rsidRPr="00C67621" w14:paraId="5B95DF35" w14:textId="77777777" w:rsidTr="000A3C31">
        <w:tc>
          <w:tcPr>
            <w:tcW w:w="4788" w:type="dxa"/>
          </w:tcPr>
          <w:p w14:paraId="132E7196" w14:textId="30403E5C"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Primera</w:t>
            </w:r>
          </w:p>
        </w:tc>
        <w:tc>
          <w:tcPr>
            <w:tcW w:w="4788" w:type="dxa"/>
          </w:tcPr>
          <w:p w14:paraId="77C855F0" w14:textId="2BA52298"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First Section</w:t>
            </w:r>
          </w:p>
        </w:tc>
      </w:tr>
      <w:tr w:rsidR="002C5E29" w:rsidRPr="00C67621" w14:paraId="739510AD" w14:textId="77777777" w:rsidTr="000A3C31">
        <w:tc>
          <w:tcPr>
            <w:tcW w:w="4788" w:type="dxa"/>
          </w:tcPr>
          <w:p w14:paraId="4441EBC9" w14:textId="792CEC85"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Del Otorgamiento</w:t>
            </w:r>
          </w:p>
        </w:tc>
        <w:tc>
          <w:tcPr>
            <w:tcW w:w="4788" w:type="dxa"/>
          </w:tcPr>
          <w:p w14:paraId="2FFF6366" w14:textId="4B7A9936"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Granting</w:t>
            </w:r>
          </w:p>
        </w:tc>
      </w:tr>
      <w:tr w:rsidR="002C5E29" w:rsidRPr="00C67621" w14:paraId="563F0476" w14:textId="77777777" w:rsidTr="000A3C31">
        <w:tc>
          <w:tcPr>
            <w:tcW w:w="4788" w:type="dxa"/>
          </w:tcPr>
          <w:p w14:paraId="1268FC02" w14:textId="39547FDD"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Segunda</w:t>
            </w:r>
          </w:p>
        </w:tc>
        <w:tc>
          <w:tcPr>
            <w:tcW w:w="4788" w:type="dxa"/>
          </w:tcPr>
          <w:p w14:paraId="6098854F" w14:textId="79BA138E"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Second Section</w:t>
            </w:r>
          </w:p>
        </w:tc>
      </w:tr>
      <w:tr w:rsidR="002C5E29" w:rsidRPr="00C67621" w14:paraId="1831EB44" w14:textId="77777777" w:rsidTr="000A3C31">
        <w:tc>
          <w:tcPr>
            <w:tcW w:w="4788" w:type="dxa"/>
          </w:tcPr>
          <w:p w14:paraId="7BFA4B33" w14:textId="728D195B"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 la Modificación</w:t>
            </w:r>
          </w:p>
        </w:tc>
        <w:tc>
          <w:tcPr>
            <w:tcW w:w="4788" w:type="dxa"/>
          </w:tcPr>
          <w:p w14:paraId="4C23E5C1" w14:textId="2A12B21E"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Modification</w:t>
            </w:r>
          </w:p>
        </w:tc>
      </w:tr>
      <w:tr w:rsidR="002C5E29" w:rsidRPr="00C67621" w14:paraId="247FFF7E" w14:textId="77777777" w:rsidTr="000A3C31">
        <w:tc>
          <w:tcPr>
            <w:tcW w:w="4788" w:type="dxa"/>
          </w:tcPr>
          <w:p w14:paraId="50B0CEBC" w14:textId="2A47FEB1"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Tercera</w:t>
            </w:r>
          </w:p>
        </w:tc>
        <w:tc>
          <w:tcPr>
            <w:tcW w:w="4788" w:type="dxa"/>
          </w:tcPr>
          <w:p w14:paraId="29F7DA57" w14:textId="2702A551"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Third Section</w:t>
            </w:r>
          </w:p>
        </w:tc>
      </w:tr>
      <w:tr w:rsidR="002C5E29" w:rsidRPr="00C67621" w14:paraId="6020F3F4" w14:textId="77777777" w:rsidTr="000A3C31">
        <w:tc>
          <w:tcPr>
            <w:tcW w:w="4788" w:type="dxa"/>
          </w:tcPr>
          <w:p w14:paraId="5C0CEB6A" w14:textId="2B8CE62D"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 la Cesión</w:t>
            </w:r>
          </w:p>
        </w:tc>
        <w:tc>
          <w:tcPr>
            <w:tcW w:w="4788" w:type="dxa"/>
          </w:tcPr>
          <w:p w14:paraId="76B02FA6" w14:textId="57670657"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 xml:space="preserve">The Transfer </w:t>
            </w:r>
          </w:p>
        </w:tc>
      </w:tr>
      <w:tr w:rsidR="002C5E29" w:rsidRPr="00C67621" w14:paraId="4C162509" w14:textId="77777777" w:rsidTr="000A3C31">
        <w:tc>
          <w:tcPr>
            <w:tcW w:w="4788" w:type="dxa"/>
          </w:tcPr>
          <w:p w14:paraId="4345D83F" w14:textId="266B2813"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Cuarta</w:t>
            </w:r>
          </w:p>
        </w:tc>
        <w:tc>
          <w:tcPr>
            <w:tcW w:w="4788" w:type="dxa"/>
          </w:tcPr>
          <w:p w14:paraId="6985C652" w14:textId="77ED2D07"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Fourth Section</w:t>
            </w:r>
          </w:p>
        </w:tc>
      </w:tr>
      <w:tr w:rsidR="002C5E29" w:rsidRPr="00C67621" w14:paraId="1EA033FA" w14:textId="77777777" w:rsidTr="000A3C31">
        <w:tc>
          <w:tcPr>
            <w:tcW w:w="4788" w:type="dxa"/>
          </w:tcPr>
          <w:p w14:paraId="7A498042" w14:textId="60E5545C"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 la Renuncia</w:t>
            </w:r>
          </w:p>
        </w:tc>
        <w:tc>
          <w:tcPr>
            <w:tcW w:w="4788" w:type="dxa"/>
          </w:tcPr>
          <w:p w14:paraId="70CA5EB5" w14:textId="58E24023"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Waiver</w:t>
            </w:r>
          </w:p>
        </w:tc>
      </w:tr>
      <w:tr w:rsidR="002C5E29" w:rsidRPr="00C67621" w14:paraId="56D73AF1" w14:textId="77777777" w:rsidTr="000A3C31">
        <w:tc>
          <w:tcPr>
            <w:tcW w:w="4788" w:type="dxa"/>
          </w:tcPr>
          <w:p w14:paraId="21A03A9E" w14:textId="7AC35C12"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Quinta</w:t>
            </w:r>
          </w:p>
        </w:tc>
        <w:tc>
          <w:tcPr>
            <w:tcW w:w="4788" w:type="dxa"/>
          </w:tcPr>
          <w:p w14:paraId="1AF57D5E" w14:textId="33B02B2E"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Fifth Section</w:t>
            </w:r>
          </w:p>
        </w:tc>
      </w:tr>
      <w:tr w:rsidR="002C5E29" w:rsidRPr="00C67621" w14:paraId="38DA55BF" w14:textId="77777777" w:rsidTr="000A3C31">
        <w:tc>
          <w:tcPr>
            <w:tcW w:w="4788" w:type="dxa"/>
          </w:tcPr>
          <w:p w14:paraId="4FE4FF3B" w14:textId="08755B4E"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 la Revocación</w:t>
            </w:r>
          </w:p>
        </w:tc>
        <w:tc>
          <w:tcPr>
            <w:tcW w:w="4788" w:type="dxa"/>
          </w:tcPr>
          <w:p w14:paraId="1F206549" w14:textId="193C7FC7"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Revocation</w:t>
            </w:r>
          </w:p>
        </w:tc>
      </w:tr>
      <w:tr w:rsidR="002C5E29" w:rsidRPr="00C67621" w14:paraId="2E388625" w14:textId="77777777" w:rsidTr="000A3C31">
        <w:tc>
          <w:tcPr>
            <w:tcW w:w="4788" w:type="dxa"/>
          </w:tcPr>
          <w:p w14:paraId="28003E9C" w14:textId="40FEB0DC"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III</w:t>
            </w:r>
          </w:p>
        </w:tc>
        <w:tc>
          <w:tcPr>
            <w:tcW w:w="4788" w:type="dxa"/>
          </w:tcPr>
          <w:p w14:paraId="2C6EB593" w14:textId="05D3D146"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III</w:t>
            </w:r>
          </w:p>
        </w:tc>
      </w:tr>
      <w:tr w:rsidR="002C5E29" w:rsidRPr="00C67621" w14:paraId="3547AE7D" w14:textId="77777777" w:rsidTr="000A3C31">
        <w:tc>
          <w:tcPr>
            <w:tcW w:w="4788" w:type="dxa"/>
          </w:tcPr>
          <w:p w14:paraId="48595AC6" w14:textId="2A102CBE"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los Contratos para la Exploración y Extracción</w:t>
            </w:r>
          </w:p>
        </w:tc>
        <w:tc>
          <w:tcPr>
            <w:tcW w:w="4788" w:type="dxa"/>
          </w:tcPr>
          <w:p w14:paraId="26FC39F2" w14:textId="49914559"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Contracts for Exploration and Extraction</w:t>
            </w:r>
          </w:p>
        </w:tc>
      </w:tr>
      <w:tr w:rsidR="002C5E29" w:rsidRPr="00C67621" w14:paraId="4E774EF7" w14:textId="77777777" w:rsidTr="000A3C31">
        <w:tc>
          <w:tcPr>
            <w:tcW w:w="4788" w:type="dxa"/>
          </w:tcPr>
          <w:p w14:paraId="02067F3C" w14:textId="651E3661"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Primera</w:t>
            </w:r>
          </w:p>
        </w:tc>
        <w:tc>
          <w:tcPr>
            <w:tcW w:w="4788" w:type="dxa"/>
          </w:tcPr>
          <w:p w14:paraId="4E4BD6AB" w14:textId="53191947"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First Section</w:t>
            </w:r>
          </w:p>
        </w:tc>
      </w:tr>
      <w:tr w:rsidR="002C5E29" w:rsidRPr="00C67621" w14:paraId="538BEE4E" w14:textId="77777777" w:rsidTr="000A3C31">
        <w:tc>
          <w:tcPr>
            <w:tcW w:w="4788" w:type="dxa"/>
          </w:tcPr>
          <w:p w14:paraId="5CF0AE16" w14:textId="04EBA42B"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Del Plan Quinquenal</w:t>
            </w:r>
          </w:p>
        </w:tc>
        <w:tc>
          <w:tcPr>
            <w:tcW w:w="4788" w:type="dxa"/>
          </w:tcPr>
          <w:p w14:paraId="18536D11" w14:textId="5F05C442"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Five-Year Plan</w:t>
            </w:r>
          </w:p>
        </w:tc>
      </w:tr>
      <w:tr w:rsidR="002C5E29" w:rsidRPr="00C67621" w14:paraId="4CE1B392" w14:textId="77777777" w:rsidTr="000A3C31">
        <w:tc>
          <w:tcPr>
            <w:tcW w:w="4788" w:type="dxa"/>
          </w:tcPr>
          <w:p w14:paraId="57F67976" w14:textId="7B47127B"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Segunda</w:t>
            </w:r>
          </w:p>
        </w:tc>
        <w:tc>
          <w:tcPr>
            <w:tcW w:w="4788" w:type="dxa"/>
          </w:tcPr>
          <w:p w14:paraId="259E81AE" w14:textId="709CF835"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Second Section</w:t>
            </w:r>
          </w:p>
        </w:tc>
      </w:tr>
      <w:tr w:rsidR="002C5E29" w:rsidRPr="00C67621" w14:paraId="24C5271C" w14:textId="77777777" w:rsidTr="000A3C31">
        <w:tc>
          <w:tcPr>
            <w:tcW w:w="4788" w:type="dxa"/>
          </w:tcPr>
          <w:p w14:paraId="03B95907" w14:textId="50EB0F73"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Del Procedimiento para la Migración de Asignaciones a Contratos para la Exploración y Extracción</w:t>
            </w:r>
          </w:p>
        </w:tc>
        <w:tc>
          <w:tcPr>
            <w:tcW w:w="4788" w:type="dxa"/>
          </w:tcPr>
          <w:p w14:paraId="78991B9C" w14:textId="64BC94E7"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Procedure for the Migration of Contract Assignments for Exploration and Extraction</w:t>
            </w:r>
          </w:p>
        </w:tc>
      </w:tr>
      <w:tr w:rsidR="002C5E29" w:rsidRPr="00C67621" w14:paraId="17D9C203" w14:textId="77777777" w:rsidTr="000A3C31">
        <w:tc>
          <w:tcPr>
            <w:tcW w:w="4788" w:type="dxa"/>
          </w:tcPr>
          <w:p w14:paraId="6BBA5708" w14:textId="31A951DD"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Tercera</w:t>
            </w:r>
          </w:p>
        </w:tc>
        <w:tc>
          <w:tcPr>
            <w:tcW w:w="4788" w:type="dxa"/>
          </w:tcPr>
          <w:p w14:paraId="66A9B6E1" w14:textId="47B64CFF"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Third Section</w:t>
            </w:r>
          </w:p>
        </w:tc>
      </w:tr>
      <w:tr w:rsidR="002C5E29" w:rsidRPr="00C67621" w14:paraId="4BB07C01" w14:textId="77777777" w:rsidTr="000A3C31">
        <w:tc>
          <w:tcPr>
            <w:tcW w:w="4788" w:type="dxa"/>
          </w:tcPr>
          <w:p w14:paraId="30EA5B5F" w14:textId="37B4B7F1"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Del Proceso de Licitación de los Contratos para la Exploración y Extracción</w:t>
            </w:r>
          </w:p>
        </w:tc>
        <w:tc>
          <w:tcPr>
            <w:tcW w:w="4788" w:type="dxa"/>
          </w:tcPr>
          <w:p w14:paraId="29C0274D" w14:textId="2B016235"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Bidding Process for Contracts for Exploration and Extraction</w:t>
            </w:r>
          </w:p>
        </w:tc>
      </w:tr>
      <w:tr w:rsidR="002C5E29" w:rsidRPr="00C67621" w14:paraId="7DCD520C" w14:textId="77777777" w:rsidTr="000A3C31">
        <w:tc>
          <w:tcPr>
            <w:tcW w:w="4788" w:type="dxa"/>
          </w:tcPr>
          <w:p w14:paraId="79CFE2C4" w14:textId="6F2153EF"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Cuarta</w:t>
            </w:r>
          </w:p>
        </w:tc>
        <w:tc>
          <w:tcPr>
            <w:tcW w:w="4788" w:type="dxa"/>
          </w:tcPr>
          <w:p w14:paraId="373B6CE5" w14:textId="6C9DD901"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Fourth Section</w:t>
            </w:r>
          </w:p>
        </w:tc>
      </w:tr>
      <w:tr w:rsidR="002C5E29" w:rsidRPr="00C67621" w14:paraId="125DAA17" w14:textId="77777777" w:rsidTr="000A3C31">
        <w:tc>
          <w:tcPr>
            <w:tcW w:w="4788" w:type="dxa"/>
          </w:tcPr>
          <w:p w14:paraId="73D485B8" w14:textId="7E9AEBD4"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 la Rescisión Administrativa de los Contratos para la Exploración y Extracción</w:t>
            </w:r>
          </w:p>
        </w:tc>
        <w:tc>
          <w:tcPr>
            <w:tcW w:w="4788" w:type="dxa"/>
          </w:tcPr>
          <w:p w14:paraId="3B1AE8B1" w14:textId="18561695"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Administrative Rescission of Contracts for Exploration and Extraction</w:t>
            </w:r>
          </w:p>
        </w:tc>
      </w:tr>
      <w:tr w:rsidR="002C5E29" w:rsidRPr="00C67621" w14:paraId="6C65D9F9" w14:textId="77777777" w:rsidTr="000A3C31">
        <w:tc>
          <w:tcPr>
            <w:tcW w:w="4788" w:type="dxa"/>
          </w:tcPr>
          <w:p w14:paraId="78C9C992" w14:textId="39AD21A1"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Quinta</w:t>
            </w:r>
          </w:p>
        </w:tc>
        <w:tc>
          <w:tcPr>
            <w:tcW w:w="4788" w:type="dxa"/>
          </w:tcPr>
          <w:p w14:paraId="7046EFAE" w14:textId="41EFEC9D"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Fifth Section</w:t>
            </w:r>
          </w:p>
        </w:tc>
      </w:tr>
      <w:tr w:rsidR="002C5E29" w:rsidRPr="00C67621" w14:paraId="2A91E23E" w14:textId="77777777" w:rsidTr="000A3C31">
        <w:tc>
          <w:tcPr>
            <w:tcW w:w="4788" w:type="dxa"/>
          </w:tcPr>
          <w:p w14:paraId="3C58D3C6" w14:textId="2C5515AF"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 la Comercialización de los Hidrocarburos que el Estado obtenga como Resultado de los Contratos para la Exploración y Extracción</w:t>
            </w:r>
          </w:p>
        </w:tc>
        <w:tc>
          <w:tcPr>
            <w:tcW w:w="4788" w:type="dxa"/>
          </w:tcPr>
          <w:p w14:paraId="36C12414" w14:textId="572D9B76"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Commercial Distribution of Hydrocarbons that the State obtains as a Result of the Contracts for Exploration and Extraction</w:t>
            </w:r>
          </w:p>
        </w:tc>
      </w:tr>
      <w:tr w:rsidR="002C5E29" w:rsidRPr="00C67621" w14:paraId="72054582" w14:textId="77777777" w:rsidTr="000A3C31">
        <w:tc>
          <w:tcPr>
            <w:tcW w:w="4788" w:type="dxa"/>
          </w:tcPr>
          <w:p w14:paraId="7F4B87B9" w14:textId="0BB1E340"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Sexta</w:t>
            </w:r>
          </w:p>
        </w:tc>
        <w:tc>
          <w:tcPr>
            <w:tcW w:w="4788" w:type="dxa"/>
          </w:tcPr>
          <w:p w14:paraId="0FA2C251" w14:textId="3C677B62"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Six</w:t>
            </w:r>
            <w:r>
              <w:rPr>
                <w:rFonts w:ascii="Verdana" w:hAnsi="Verdana"/>
                <w:sz w:val="16"/>
                <w:szCs w:val="16"/>
                <w:lang w:val="en-US"/>
              </w:rPr>
              <w:t>th Section</w:t>
            </w:r>
          </w:p>
        </w:tc>
      </w:tr>
      <w:tr w:rsidR="002C5E29" w:rsidRPr="00C67621" w14:paraId="0194657E" w14:textId="77777777" w:rsidTr="000A3C31">
        <w:tc>
          <w:tcPr>
            <w:tcW w:w="4788" w:type="dxa"/>
          </w:tcPr>
          <w:p w14:paraId="44976908" w14:textId="201E3E27"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 la Adjudicación Directa de los Contratos para la Exploración y Extracción a Titulares de Concesiones Mineras</w:t>
            </w:r>
          </w:p>
        </w:tc>
        <w:tc>
          <w:tcPr>
            <w:tcW w:w="4788" w:type="dxa"/>
          </w:tcPr>
          <w:p w14:paraId="7FA53FFA" w14:textId="4343195D"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 xml:space="preserve">The Direct Award of Contracts for the  Exploration and Extraction to Holders of Mining Concessions </w:t>
            </w:r>
          </w:p>
        </w:tc>
      </w:tr>
      <w:tr w:rsidR="002C5E29" w:rsidRPr="00C67621" w14:paraId="603B9F65" w14:textId="77777777" w:rsidTr="000A3C31">
        <w:tc>
          <w:tcPr>
            <w:tcW w:w="4788" w:type="dxa"/>
          </w:tcPr>
          <w:p w14:paraId="37F5A83E" w14:textId="0030CB4C"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lastRenderedPageBreak/>
              <w:t>Sección Séptima</w:t>
            </w:r>
          </w:p>
        </w:tc>
        <w:tc>
          <w:tcPr>
            <w:tcW w:w="4788" w:type="dxa"/>
          </w:tcPr>
          <w:p w14:paraId="66442B3D" w14:textId="6AF3D329"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Seventh Section</w:t>
            </w:r>
          </w:p>
        </w:tc>
      </w:tr>
      <w:tr w:rsidR="002C5E29" w:rsidRPr="00C67621" w14:paraId="7EA0AB02" w14:textId="77777777" w:rsidTr="000A3C31">
        <w:tc>
          <w:tcPr>
            <w:tcW w:w="4788" w:type="dxa"/>
          </w:tcPr>
          <w:p w14:paraId="1A895317" w14:textId="26F8C0B6"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 la Coexistencia de las Asignaciones y de los Contratos para la Exploración y Extracción con las Concesiones Mineras</w:t>
            </w:r>
          </w:p>
        </w:tc>
        <w:tc>
          <w:tcPr>
            <w:tcW w:w="4788" w:type="dxa"/>
          </w:tcPr>
          <w:p w14:paraId="21456782" w14:textId="3005CEE0"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Coexistence the Assignments and Contracts for Exploration and Extraction with Mining Concessions</w:t>
            </w:r>
          </w:p>
        </w:tc>
      </w:tr>
      <w:tr w:rsidR="002C5E29" w:rsidRPr="00C67621" w14:paraId="7B1B8A20" w14:textId="77777777" w:rsidTr="000A3C31">
        <w:tc>
          <w:tcPr>
            <w:tcW w:w="4788" w:type="dxa"/>
          </w:tcPr>
          <w:p w14:paraId="60A01AE6" w14:textId="69DE2929"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IV</w:t>
            </w:r>
          </w:p>
        </w:tc>
        <w:tc>
          <w:tcPr>
            <w:tcW w:w="4788" w:type="dxa"/>
          </w:tcPr>
          <w:p w14:paraId="7934D6A6" w14:textId="0ADDF62B"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IV</w:t>
            </w:r>
          </w:p>
        </w:tc>
      </w:tr>
      <w:tr w:rsidR="002C5E29" w:rsidRPr="00C67621" w14:paraId="79F73C73" w14:textId="77777777" w:rsidTr="000A3C31">
        <w:tc>
          <w:tcPr>
            <w:tcW w:w="4788" w:type="dxa"/>
          </w:tcPr>
          <w:p w14:paraId="7BE6F6BF" w14:textId="00399529"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 Información Nacional de Hidrocarburos</w:t>
            </w:r>
          </w:p>
        </w:tc>
        <w:tc>
          <w:tcPr>
            <w:tcW w:w="4788" w:type="dxa"/>
          </w:tcPr>
          <w:p w14:paraId="6694EA8E" w14:textId="3C1BE896"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 xml:space="preserve">The National Information of Hydrocarbons </w:t>
            </w:r>
          </w:p>
        </w:tc>
      </w:tr>
      <w:tr w:rsidR="002C5E29" w:rsidRPr="00C67621" w14:paraId="7BB2D767" w14:textId="77777777" w:rsidTr="000A3C31">
        <w:tc>
          <w:tcPr>
            <w:tcW w:w="4788" w:type="dxa"/>
          </w:tcPr>
          <w:p w14:paraId="6815B873" w14:textId="15B6A028"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V</w:t>
            </w:r>
          </w:p>
        </w:tc>
        <w:tc>
          <w:tcPr>
            <w:tcW w:w="4788" w:type="dxa"/>
          </w:tcPr>
          <w:p w14:paraId="24521315" w14:textId="1A2AE258"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V</w:t>
            </w:r>
          </w:p>
        </w:tc>
      </w:tr>
      <w:tr w:rsidR="002C5E29" w:rsidRPr="00C67621" w14:paraId="0BCD3A1D" w14:textId="77777777" w:rsidTr="000A3C31">
        <w:tc>
          <w:tcPr>
            <w:tcW w:w="4788" w:type="dxa"/>
          </w:tcPr>
          <w:p w14:paraId="02B96310" w14:textId="7A3A0C34"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las Zonas de Salvaguarda</w:t>
            </w:r>
          </w:p>
        </w:tc>
        <w:tc>
          <w:tcPr>
            <w:tcW w:w="4788" w:type="dxa"/>
          </w:tcPr>
          <w:p w14:paraId="1D1A0F64" w14:textId="1FF3169C"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The Safeguard Zones</w:t>
            </w:r>
          </w:p>
        </w:tc>
      </w:tr>
      <w:tr w:rsidR="002C5E29" w:rsidRPr="00C67621" w14:paraId="4CF603FA" w14:textId="77777777" w:rsidTr="000A3C31">
        <w:tc>
          <w:tcPr>
            <w:tcW w:w="4788" w:type="dxa"/>
          </w:tcPr>
          <w:p w14:paraId="6C50451D" w14:textId="4BB731EB"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VI</w:t>
            </w:r>
          </w:p>
        </w:tc>
        <w:tc>
          <w:tcPr>
            <w:tcW w:w="4788" w:type="dxa"/>
          </w:tcPr>
          <w:p w14:paraId="5E786CE2" w14:textId="4E02D6A4"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VI</w:t>
            </w:r>
          </w:p>
        </w:tc>
      </w:tr>
      <w:tr w:rsidR="002C5E29" w:rsidRPr="00C67621" w14:paraId="407DB519" w14:textId="77777777" w:rsidTr="000A3C31">
        <w:tc>
          <w:tcPr>
            <w:tcW w:w="4788" w:type="dxa"/>
          </w:tcPr>
          <w:p w14:paraId="1AFD52B4" w14:textId="5DF13C59"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 Unificación de Campos Compartidos o Yacimientos Nacionales</w:t>
            </w:r>
          </w:p>
        </w:tc>
        <w:tc>
          <w:tcPr>
            <w:tcW w:w="4788" w:type="dxa"/>
          </w:tcPr>
          <w:p w14:paraId="035A766C" w14:textId="0AA51C52"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The Unification of Shared Fields or National Deposits</w:t>
            </w:r>
          </w:p>
        </w:tc>
      </w:tr>
      <w:tr w:rsidR="002C5E29" w:rsidRPr="00C67621" w14:paraId="47168300" w14:textId="77777777" w:rsidTr="000A3C31">
        <w:tc>
          <w:tcPr>
            <w:tcW w:w="4788" w:type="dxa"/>
          </w:tcPr>
          <w:p w14:paraId="35FD9FBA" w14:textId="7B3C1E2C"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TÍTULO TERCERO</w:t>
            </w:r>
          </w:p>
        </w:tc>
        <w:tc>
          <w:tcPr>
            <w:tcW w:w="4788" w:type="dxa"/>
          </w:tcPr>
          <w:p w14:paraId="5DE57717" w14:textId="4C5E7A84"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THIRD TITLE</w:t>
            </w:r>
          </w:p>
        </w:tc>
      </w:tr>
      <w:tr w:rsidR="002C5E29" w:rsidRPr="00C67621" w14:paraId="781D3EFE" w14:textId="77777777" w:rsidTr="000A3C31">
        <w:tc>
          <w:tcPr>
            <w:tcW w:w="4788" w:type="dxa"/>
          </w:tcPr>
          <w:p w14:paraId="60C16438" w14:textId="5F8EEF98" w:rsidR="002C5E29" w:rsidRPr="002C5E29" w:rsidRDefault="002C5E29" w:rsidP="002C5E29">
            <w:pPr>
              <w:pStyle w:val="ANOTACION"/>
              <w:spacing w:before="0" w:after="0" w:line="240" w:lineRule="auto"/>
              <w:jc w:val="both"/>
              <w:rPr>
                <w:rFonts w:ascii="Verdana" w:hAnsi="Verdana" w:cs="Arial"/>
                <w:sz w:val="16"/>
                <w:szCs w:val="16"/>
                <w:lang w:val="es-MX"/>
              </w:rPr>
            </w:pPr>
            <w:r w:rsidRPr="006F52A3">
              <w:rPr>
                <w:rFonts w:ascii="Verdana" w:hAnsi="Verdana" w:cs="Arial"/>
                <w:sz w:val="16"/>
                <w:szCs w:val="16"/>
              </w:rPr>
              <w:t>DE LAS DISPOSICIONES APLICABLES A LA INDUSTRIA DE HIDROCARBUROS</w:t>
            </w:r>
          </w:p>
        </w:tc>
        <w:tc>
          <w:tcPr>
            <w:tcW w:w="4788" w:type="dxa"/>
          </w:tcPr>
          <w:p w14:paraId="762EAFDA" w14:textId="098A8BAA"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THE PROVISIONS APPLICABLE TO THE HYDROCARBONS INDUSTRY</w:t>
            </w:r>
          </w:p>
        </w:tc>
      </w:tr>
      <w:tr w:rsidR="002C5E29" w:rsidRPr="00C67621" w14:paraId="26B4E042" w14:textId="77777777" w:rsidTr="000A3C31">
        <w:tc>
          <w:tcPr>
            <w:tcW w:w="4788" w:type="dxa"/>
          </w:tcPr>
          <w:p w14:paraId="463CEEFA" w14:textId="231CAC63"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w:t>
            </w:r>
          </w:p>
        </w:tc>
        <w:tc>
          <w:tcPr>
            <w:tcW w:w="4788" w:type="dxa"/>
          </w:tcPr>
          <w:p w14:paraId="2AA8BF05" w14:textId="1E0E0B36"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w:t>
            </w:r>
          </w:p>
        </w:tc>
      </w:tr>
      <w:tr w:rsidR="002C5E29" w:rsidRPr="00C67621" w14:paraId="4F402EFF" w14:textId="77777777" w:rsidTr="000A3C31">
        <w:tc>
          <w:tcPr>
            <w:tcW w:w="4788" w:type="dxa"/>
          </w:tcPr>
          <w:p w14:paraId="3996AE09" w14:textId="1BD0E7C4"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 Información Obtenida de la Medición de los Hidrocarburos</w:t>
            </w:r>
          </w:p>
        </w:tc>
        <w:tc>
          <w:tcPr>
            <w:tcW w:w="4788" w:type="dxa"/>
          </w:tcPr>
          <w:p w14:paraId="649F5301" w14:textId="3858192E"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The Information Obtained from the Measurement of Hydrocarbons</w:t>
            </w:r>
          </w:p>
        </w:tc>
      </w:tr>
      <w:tr w:rsidR="002C5E29" w:rsidRPr="00C67621" w14:paraId="09B6E82E" w14:textId="77777777" w:rsidTr="000A3C31">
        <w:tc>
          <w:tcPr>
            <w:tcW w:w="4788" w:type="dxa"/>
          </w:tcPr>
          <w:p w14:paraId="17EB34C8" w14:textId="26CABE6C"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II</w:t>
            </w:r>
          </w:p>
        </w:tc>
        <w:tc>
          <w:tcPr>
            <w:tcW w:w="4788" w:type="dxa"/>
          </w:tcPr>
          <w:p w14:paraId="35549A79" w14:textId="4AF7FE5D"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II</w:t>
            </w:r>
          </w:p>
        </w:tc>
      </w:tr>
      <w:tr w:rsidR="002C5E29" w:rsidRPr="00C67621" w14:paraId="690A50E1" w14:textId="77777777" w:rsidTr="000A3C31">
        <w:tc>
          <w:tcPr>
            <w:tcW w:w="4788" w:type="dxa"/>
          </w:tcPr>
          <w:p w14:paraId="084FC161" w14:textId="26E61A6A"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las Bases de Coordinación para el Desarrollo de Proyectos en la Industria de Hidrocarburos</w:t>
            </w:r>
          </w:p>
        </w:tc>
        <w:tc>
          <w:tcPr>
            <w:tcW w:w="4788" w:type="dxa"/>
          </w:tcPr>
          <w:p w14:paraId="76BA6D91" w14:textId="64902C2C"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The Criteria of Coordination for the Development of Projects in the Hydrocarbons Industry</w:t>
            </w:r>
          </w:p>
        </w:tc>
      </w:tr>
      <w:tr w:rsidR="002C5E29" w:rsidRPr="00C67621" w14:paraId="0C193B6C" w14:textId="77777777" w:rsidTr="000A3C31">
        <w:tc>
          <w:tcPr>
            <w:tcW w:w="4788" w:type="dxa"/>
          </w:tcPr>
          <w:p w14:paraId="0DB588C7" w14:textId="09FB81C2"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III</w:t>
            </w:r>
          </w:p>
        </w:tc>
        <w:tc>
          <w:tcPr>
            <w:tcW w:w="4788" w:type="dxa"/>
          </w:tcPr>
          <w:p w14:paraId="084CF9D6" w14:textId="10ADA6ED"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III</w:t>
            </w:r>
          </w:p>
        </w:tc>
      </w:tr>
      <w:tr w:rsidR="002C5E29" w:rsidRPr="00C67621" w14:paraId="67EC2959" w14:textId="77777777" w:rsidTr="000A3C31">
        <w:tc>
          <w:tcPr>
            <w:tcW w:w="4788" w:type="dxa"/>
          </w:tcPr>
          <w:p w14:paraId="191421F1" w14:textId="70E99575"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Del Uso y la Ocupación Superficial</w:t>
            </w:r>
          </w:p>
        </w:tc>
        <w:tc>
          <w:tcPr>
            <w:tcW w:w="4788" w:type="dxa"/>
          </w:tcPr>
          <w:p w14:paraId="3466D452" w14:textId="4C178EA8"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Use and Surface Occupation</w:t>
            </w:r>
          </w:p>
        </w:tc>
      </w:tr>
      <w:tr w:rsidR="002C5E29" w:rsidRPr="00C67621" w14:paraId="51B4E3E7" w14:textId="77777777" w:rsidTr="000A3C31">
        <w:tc>
          <w:tcPr>
            <w:tcW w:w="4788" w:type="dxa"/>
          </w:tcPr>
          <w:p w14:paraId="5E4DFE68" w14:textId="3EC8A543"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IV</w:t>
            </w:r>
          </w:p>
        </w:tc>
        <w:tc>
          <w:tcPr>
            <w:tcW w:w="4788" w:type="dxa"/>
          </w:tcPr>
          <w:p w14:paraId="7125C9A0" w14:textId="3278DA33"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IV</w:t>
            </w:r>
          </w:p>
        </w:tc>
      </w:tr>
      <w:tr w:rsidR="002C5E29" w:rsidRPr="00C67621" w14:paraId="50F33588" w14:textId="77777777" w:rsidTr="000A3C31">
        <w:tc>
          <w:tcPr>
            <w:tcW w:w="4788" w:type="dxa"/>
          </w:tcPr>
          <w:p w14:paraId="6F9797EB" w14:textId="6157AEB7" w:rsidR="002C5E29" w:rsidRPr="002C5E29" w:rsidRDefault="002C5E29" w:rsidP="002C5E29">
            <w:pPr>
              <w:pStyle w:val="ANOTACION"/>
              <w:spacing w:before="0" w:after="0" w:line="240" w:lineRule="auto"/>
              <w:ind w:left="360"/>
              <w:jc w:val="both"/>
              <w:rPr>
                <w:rFonts w:ascii="Verdana" w:hAnsi="Verdana" w:cs="Arial"/>
                <w:sz w:val="16"/>
                <w:szCs w:val="16"/>
                <w:lang w:val="es-MX"/>
              </w:rPr>
            </w:pPr>
            <w:r w:rsidRPr="006F52A3">
              <w:rPr>
                <w:rFonts w:ascii="Verdana" w:hAnsi="Verdana" w:cs="Arial"/>
                <w:sz w:val="16"/>
                <w:szCs w:val="16"/>
              </w:rPr>
              <w:t>De la Evaluación de Impacto Social y la Consulta Previa</w:t>
            </w:r>
          </w:p>
        </w:tc>
        <w:tc>
          <w:tcPr>
            <w:tcW w:w="4788" w:type="dxa"/>
          </w:tcPr>
          <w:p w14:paraId="25ABF56E" w14:textId="7BD69AAA"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The Evaluation of Social Impact and prior consultation</w:t>
            </w:r>
          </w:p>
        </w:tc>
      </w:tr>
      <w:tr w:rsidR="002C5E29" w:rsidRPr="00C67621" w14:paraId="7D5BD267" w14:textId="77777777" w:rsidTr="000A3C31">
        <w:tc>
          <w:tcPr>
            <w:tcW w:w="4788" w:type="dxa"/>
          </w:tcPr>
          <w:p w14:paraId="7559FB93" w14:textId="72F85315"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Primera</w:t>
            </w:r>
          </w:p>
        </w:tc>
        <w:tc>
          <w:tcPr>
            <w:tcW w:w="4788" w:type="dxa"/>
          </w:tcPr>
          <w:p w14:paraId="18151F3B" w14:textId="3B98390D"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First Section</w:t>
            </w:r>
          </w:p>
        </w:tc>
      </w:tr>
      <w:tr w:rsidR="002C5E29" w:rsidRPr="00C67621" w14:paraId="727F0093" w14:textId="77777777" w:rsidTr="000A3C31">
        <w:tc>
          <w:tcPr>
            <w:tcW w:w="4788" w:type="dxa"/>
          </w:tcPr>
          <w:p w14:paraId="6AC9D50E" w14:textId="59D17B44" w:rsidR="002C5E29" w:rsidRPr="002C5E29" w:rsidRDefault="002C5E29" w:rsidP="002C5E29">
            <w:pPr>
              <w:pStyle w:val="ANOTACION"/>
              <w:spacing w:before="0" w:after="0" w:line="240" w:lineRule="auto"/>
              <w:ind w:left="720"/>
              <w:jc w:val="both"/>
              <w:rPr>
                <w:rFonts w:ascii="Verdana" w:hAnsi="Verdana" w:cs="Arial"/>
                <w:sz w:val="16"/>
                <w:szCs w:val="16"/>
                <w:lang w:val="es-MX"/>
              </w:rPr>
            </w:pPr>
            <w:r w:rsidRPr="006F52A3">
              <w:rPr>
                <w:rFonts w:ascii="Verdana" w:hAnsi="Verdana" w:cs="Arial"/>
                <w:sz w:val="16"/>
                <w:szCs w:val="16"/>
              </w:rPr>
              <w:t>De la Evaluación de Impacto Social</w:t>
            </w:r>
          </w:p>
        </w:tc>
        <w:tc>
          <w:tcPr>
            <w:tcW w:w="4788" w:type="dxa"/>
          </w:tcPr>
          <w:p w14:paraId="5BFF76D7" w14:textId="5472CDD9"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The Evaluation of Social Impact</w:t>
            </w:r>
          </w:p>
        </w:tc>
      </w:tr>
      <w:tr w:rsidR="002C5E29" w:rsidRPr="00C67621" w14:paraId="663FD546" w14:textId="77777777" w:rsidTr="000A3C31">
        <w:tc>
          <w:tcPr>
            <w:tcW w:w="4788" w:type="dxa"/>
          </w:tcPr>
          <w:p w14:paraId="36C08857" w14:textId="534FD81F"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Sección Segunda</w:t>
            </w:r>
          </w:p>
        </w:tc>
        <w:tc>
          <w:tcPr>
            <w:tcW w:w="4788" w:type="dxa"/>
          </w:tcPr>
          <w:p w14:paraId="133B5530" w14:textId="3922F262"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Second Section</w:t>
            </w:r>
          </w:p>
        </w:tc>
      </w:tr>
      <w:tr w:rsidR="002C5E29" w:rsidRPr="00C67621" w14:paraId="44AD9A75" w14:textId="77777777" w:rsidTr="000A3C31">
        <w:tc>
          <w:tcPr>
            <w:tcW w:w="4788" w:type="dxa"/>
          </w:tcPr>
          <w:p w14:paraId="640522BC" w14:textId="0CB95A45" w:rsidR="002C5E29" w:rsidRPr="00C67621" w:rsidRDefault="002C5E29" w:rsidP="002C5E29">
            <w:pPr>
              <w:pStyle w:val="ANOTACION"/>
              <w:spacing w:before="0" w:after="0" w:line="240" w:lineRule="auto"/>
              <w:ind w:left="720"/>
              <w:jc w:val="both"/>
              <w:rPr>
                <w:rFonts w:ascii="Verdana" w:hAnsi="Verdana" w:cs="Arial"/>
                <w:sz w:val="16"/>
                <w:szCs w:val="16"/>
                <w:lang w:val="en-US"/>
              </w:rPr>
            </w:pPr>
            <w:r w:rsidRPr="006F52A3">
              <w:rPr>
                <w:rFonts w:ascii="Verdana" w:hAnsi="Verdana" w:cs="Arial"/>
                <w:sz w:val="16"/>
                <w:szCs w:val="16"/>
              </w:rPr>
              <w:t>De la Consulta Previa</w:t>
            </w:r>
          </w:p>
        </w:tc>
        <w:tc>
          <w:tcPr>
            <w:tcW w:w="4788" w:type="dxa"/>
          </w:tcPr>
          <w:p w14:paraId="34127F62" w14:textId="3DC8B32D" w:rsidR="002C5E29" w:rsidRPr="00C67621" w:rsidRDefault="002C5E29" w:rsidP="002C5E29">
            <w:pPr>
              <w:pStyle w:val="ANOTACION"/>
              <w:spacing w:before="0" w:after="0" w:line="240" w:lineRule="auto"/>
              <w:ind w:left="720"/>
              <w:jc w:val="both"/>
              <w:rPr>
                <w:rFonts w:ascii="Verdana" w:hAnsi="Verdana"/>
                <w:sz w:val="16"/>
                <w:szCs w:val="16"/>
                <w:lang w:val="en-US"/>
              </w:rPr>
            </w:pPr>
            <w:r w:rsidRPr="006F52A3">
              <w:rPr>
                <w:rFonts w:ascii="Verdana" w:hAnsi="Verdana"/>
                <w:sz w:val="16"/>
                <w:szCs w:val="16"/>
                <w:lang w:val="en-US"/>
              </w:rPr>
              <w:t>Prior Consultation</w:t>
            </w:r>
          </w:p>
        </w:tc>
      </w:tr>
      <w:tr w:rsidR="002C5E29" w:rsidRPr="00C67621" w14:paraId="02B6DC14" w14:textId="77777777" w:rsidTr="000A3C31">
        <w:tc>
          <w:tcPr>
            <w:tcW w:w="4788" w:type="dxa"/>
          </w:tcPr>
          <w:p w14:paraId="31E1B125" w14:textId="578EA255"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TÍTULO CUARTO</w:t>
            </w:r>
          </w:p>
        </w:tc>
        <w:tc>
          <w:tcPr>
            <w:tcW w:w="4788" w:type="dxa"/>
          </w:tcPr>
          <w:p w14:paraId="3A55A565" w14:textId="15F680AE"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FOURTH TITLE</w:t>
            </w:r>
          </w:p>
        </w:tc>
      </w:tr>
      <w:tr w:rsidR="002C5E29" w:rsidRPr="00C67621" w14:paraId="0AF3D339" w14:textId="77777777" w:rsidTr="000A3C31">
        <w:tc>
          <w:tcPr>
            <w:tcW w:w="4788" w:type="dxa"/>
          </w:tcPr>
          <w:p w14:paraId="73F53703" w14:textId="2CB358F8" w:rsidR="002C5E29" w:rsidRPr="002C5E29" w:rsidRDefault="002C5E29" w:rsidP="002C5E29">
            <w:pPr>
              <w:pStyle w:val="ANOTACION"/>
              <w:spacing w:before="0" w:after="0" w:line="240" w:lineRule="auto"/>
              <w:jc w:val="both"/>
              <w:rPr>
                <w:rFonts w:ascii="Verdana" w:hAnsi="Verdana" w:cs="Arial"/>
                <w:sz w:val="16"/>
                <w:szCs w:val="16"/>
                <w:lang w:val="es-MX"/>
              </w:rPr>
            </w:pPr>
            <w:r w:rsidRPr="006F52A3">
              <w:rPr>
                <w:rFonts w:ascii="Verdana" w:hAnsi="Verdana" w:cs="Arial"/>
                <w:sz w:val="16"/>
                <w:szCs w:val="16"/>
              </w:rPr>
              <w:t>DEL CONSEJO CONSULTIVO PARA EL FOMENTO DE LA INDUSTRIA DE HIDROCARBUROS NACIONAL</w:t>
            </w:r>
          </w:p>
        </w:tc>
        <w:tc>
          <w:tcPr>
            <w:tcW w:w="4788" w:type="dxa"/>
          </w:tcPr>
          <w:p w14:paraId="214C660D" w14:textId="7769000D"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THE CONSULTATIVE COUNCIL FOR THE PROMOTION OF THE NATIONAL HYDROCARBONS INDUSTRY</w:t>
            </w:r>
          </w:p>
        </w:tc>
      </w:tr>
      <w:tr w:rsidR="002C5E29" w:rsidRPr="00C67621" w14:paraId="7C596F7C" w14:textId="77777777" w:rsidTr="000A3C31">
        <w:tc>
          <w:tcPr>
            <w:tcW w:w="4788" w:type="dxa"/>
          </w:tcPr>
          <w:p w14:paraId="312A4C8B" w14:textId="1233EA63"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w:t>
            </w:r>
          </w:p>
        </w:tc>
        <w:tc>
          <w:tcPr>
            <w:tcW w:w="4788" w:type="dxa"/>
          </w:tcPr>
          <w:p w14:paraId="3EC73C19" w14:textId="6CB38E96"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w:t>
            </w:r>
          </w:p>
        </w:tc>
      </w:tr>
      <w:tr w:rsidR="002C5E29" w:rsidRPr="00C67621" w14:paraId="0A42DD81" w14:textId="77777777" w:rsidTr="000A3C31">
        <w:tc>
          <w:tcPr>
            <w:tcW w:w="4788" w:type="dxa"/>
          </w:tcPr>
          <w:p w14:paraId="2A53A0AC" w14:textId="3F71FA4B"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Integración del Consejo Consultivo</w:t>
            </w:r>
          </w:p>
        </w:tc>
        <w:tc>
          <w:tcPr>
            <w:tcW w:w="4788" w:type="dxa"/>
          </w:tcPr>
          <w:p w14:paraId="6547B049" w14:textId="129BD502"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Integration of the Consultative Council</w:t>
            </w:r>
          </w:p>
        </w:tc>
      </w:tr>
      <w:tr w:rsidR="002C5E29" w:rsidRPr="00C67621" w14:paraId="07DE9F4D" w14:textId="77777777" w:rsidTr="000A3C31">
        <w:tc>
          <w:tcPr>
            <w:tcW w:w="4788" w:type="dxa"/>
          </w:tcPr>
          <w:p w14:paraId="1FB5AE7F" w14:textId="7F476552"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II</w:t>
            </w:r>
          </w:p>
        </w:tc>
        <w:tc>
          <w:tcPr>
            <w:tcW w:w="4788" w:type="dxa"/>
          </w:tcPr>
          <w:p w14:paraId="17F407DE" w14:textId="7106F272"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II</w:t>
            </w:r>
          </w:p>
        </w:tc>
      </w:tr>
      <w:tr w:rsidR="002C5E29" w:rsidRPr="00C67621" w14:paraId="280B96C0" w14:textId="77777777" w:rsidTr="000A3C31">
        <w:tc>
          <w:tcPr>
            <w:tcW w:w="4788" w:type="dxa"/>
          </w:tcPr>
          <w:p w14:paraId="3F6C9778" w14:textId="329002C4"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Funcionamiento del Consejo Consultivo</w:t>
            </w:r>
          </w:p>
        </w:tc>
        <w:tc>
          <w:tcPr>
            <w:tcW w:w="4788" w:type="dxa"/>
          </w:tcPr>
          <w:p w14:paraId="43FBA591" w14:textId="59C6DCB6"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Operation of the Consultative Council</w:t>
            </w:r>
          </w:p>
        </w:tc>
      </w:tr>
      <w:tr w:rsidR="002C5E29" w:rsidRPr="00C67621" w14:paraId="35AB9CB1" w14:textId="77777777" w:rsidTr="000A3C31">
        <w:tc>
          <w:tcPr>
            <w:tcW w:w="4788" w:type="dxa"/>
          </w:tcPr>
          <w:p w14:paraId="511205D0" w14:textId="3D0E2535"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Capítulo III</w:t>
            </w:r>
          </w:p>
        </w:tc>
        <w:tc>
          <w:tcPr>
            <w:tcW w:w="4788" w:type="dxa"/>
          </w:tcPr>
          <w:p w14:paraId="3B75EA55" w14:textId="62B63C17"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Chapter III</w:t>
            </w:r>
          </w:p>
        </w:tc>
      </w:tr>
      <w:tr w:rsidR="002C5E29" w:rsidRPr="00C67621" w14:paraId="139B5165" w14:textId="77777777" w:rsidTr="000A3C31">
        <w:tc>
          <w:tcPr>
            <w:tcW w:w="4788" w:type="dxa"/>
          </w:tcPr>
          <w:p w14:paraId="204B91F1" w14:textId="042C3665" w:rsidR="002C5E29" w:rsidRPr="00C67621" w:rsidRDefault="002C5E29" w:rsidP="002C5E29">
            <w:pPr>
              <w:pStyle w:val="ANOTACION"/>
              <w:spacing w:before="0" w:after="0" w:line="240" w:lineRule="auto"/>
              <w:ind w:left="360"/>
              <w:jc w:val="both"/>
              <w:rPr>
                <w:rFonts w:ascii="Verdana" w:hAnsi="Verdana" w:cs="Arial"/>
                <w:sz w:val="16"/>
                <w:szCs w:val="16"/>
                <w:lang w:val="en-US"/>
              </w:rPr>
            </w:pPr>
            <w:r w:rsidRPr="006F52A3">
              <w:rPr>
                <w:rFonts w:ascii="Verdana" w:hAnsi="Verdana" w:cs="Arial"/>
                <w:sz w:val="16"/>
                <w:szCs w:val="16"/>
              </w:rPr>
              <w:t>Funciones del Consejo Consultivo</w:t>
            </w:r>
          </w:p>
        </w:tc>
        <w:tc>
          <w:tcPr>
            <w:tcW w:w="4788" w:type="dxa"/>
          </w:tcPr>
          <w:p w14:paraId="0E2A9B7A" w14:textId="2F2F73B8" w:rsidR="002C5E29" w:rsidRPr="00C67621" w:rsidRDefault="002C5E29" w:rsidP="002C5E29">
            <w:pPr>
              <w:pStyle w:val="ANOTACION"/>
              <w:spacing w:before="0" w:after="0" w:line="240" w:lineRule="auto"/>
              <w:ind w:left="360"/>
              <w:jc w:val="both"/>
              <w:rPr>
                <w:rFonts w:ascii="Verdana" w:hAnsi="Verdana"/>
                <w:sz w:val="16"/>
                <w:szCs w:val="16"/>
                <w:lang w:val="en-US"/>
              </w:rPr>
            </w:pPr>
            <w:r w:rsidRPr="006F52A3">
              <w:rPr>
                <w:rFonts w:ascii="Verdana" w:hAnsi="Verdana"/>
                <w:sz w:val="16"/>
                <w:szCs w:val="16"/>
                <w:lang w:val="en-US"/>
              </w:rPr>
              <w:t>Functions of the Consultative Council</w:t>
            </w:r>
          </w:p>
        </w:tc>
      </w:tr>
      <w:tr w:rsidR="002C5E29" w:rsidRPr="00C67621" w14:paraId="14DD03A2" w14:textId="77777777" w:rsidTr="000A3C31">
        <w:tc>
          <w:tcPr>
            <w:tcW w:w="4788" w:type="dxa"/>
          </w:tcPr>
          <w:p w14:paraId="6304A36D" w14:textId="4A772812"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TÍTULO QUINTO</w:t>
            </w:r>
          </w:p>
        </w:tc>
        <w:tc>
          <w:tcPr>
            <w:tcW w:w="4788" w:type="dxa"/>
          </w:tcPr>
          <w:p w14:paraId="43FE7BB7" w14:textId="5849064A"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FIFTH TITLE</w:t>
            </w:r>
          </w:p>
        </w:tc>
      </w:tr>
      <w:tr w:rsidR="002C5E29" w:rsidRPr="00C67621" w14:paraId="061B350E" w14:textId="77777777" w:rsidTr="000A3C31">
        <w:tc>
          <w:tcPr>
            <w:tcW w:w="4788" w:type="dxa"/>
          </w:tcPr>
          <w:p w14:paraId="5EABECEE" w14:textId="0483373A" w:rsidR="002C5E29" w:rsidRPr="002C5E29" w:rsidRDefault="002C5E29" w:rsidP="002C5E29">
            <w:pPr>
              <w:pStyle w:val="ANOTACION"/>
              <w:spacing w:before="0" w:after="0" w:line="240" w:lineRule="auto"/>
              <w:jc w:val="both"/>
              <w:rPr>
                <w:rFonts w:ascii="Verdana" w:hAnsi="Verdana" w:cs="Arial"/>
                <w:sz w:val="16"/>
                <w:szCs w:val="16"/>
                <w:lang w:val="es-MX"/>
              </w:rPr>
            </w:pPr>
            <w:r w:rsidRPr="006F52A3">
              <w:rPr>
                <w:rFonts w:ascii="Verdana" w:hAnsi="Verdana" w:cs="Arial"/>
                <w:sz w:val="16"/>
                <w:szCs w:val="16"/>
              </w:rPr>
              <w:t>DEL CONTENIDO NACIONAL Y DE LAS ESTRATEGIAS PARA EL FOMENTO INDUSTRIAL Y DE LA INVERSIÓN DE LA INDUSTRIA DE HIDROCARBUROS</w:t>
            </w:r>
          </w:p>
        </w:tc>
        <w:tc>
          <w:tcPr>
            <w:tcW w:w="4788" w:type="dxa"/>
          </w:tcPr>
          <w:p w14:paraId="04AD4420" w14:textId="38EA6697"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NATIONAL CONTENT AND STRATEGIES FOR INDUSTRIAL DEVELOPMENT AND INVESTMENT OF THE HYDROCARBONS INDUSTRY</w:t>
            </w:r>
          </w:p>
        </w:tc>
      </w:tr>
      <w:tr w:rsidR="002C5E29" w:rsidRPr="00C67621" w14:paraId="2E2027A5" w14:textId="77777777" w:rsidTr="000A3C31">
        <w:tc>
          <w:tcPr>
            <w:tcW w:w="4788" w:type="dxa"/>
          </w:tcPr>
          <w:p w14:paraId="60CFB061" w14:textId="136E8361"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TÍTULO SEXTO</w:t>
            </w:r>
          </w:p>
        </w:tc>
        <w:tc>
          <w:tcPr>
            <w:tcW w:w="4788" w:type="dxa"/>
          </w:tcPr>
          <w:p w14:paraId="1AAE5C85" w14:textId="11B2CF85"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SIXTH TITLE</w:t>
            </w:r>
          </w:p>
        </w:tc>
      </w:tr>
      <w:tr w:rsidR="002C5E29" w:rsidRPr="00C67621" w14:paraId="17F3F8AA" w14:textId="77777777" w:rsidTr="000A3C31">
        <w:tc>
          <w:tcPr>
            <w:tcW w:w="4788" w:type="dxa"/>
          </w:tcPr>
          <w:p w14:paraId="1BBD2E86" w14:textId="13CFEC66" w:rsidR="002C5E29" w:rsidRPr="002C5E29" w:rsidRDefault="002C5E29" w:rsidP="002C5E29">
            <w:pPr>
              <w:pStyle w:val="ANOTACION"/>
              <w:spacing w:before="0" w:after="0" w:line="240" w:lineRule="auto"/>
              <w:jc w:val="both"/>
              <w:rPr>
                <w:rFonts w:ascii="Verdana" w:hAnsi="Verdana" w:cs="Arial"/>
                <w:sz w:val="16"/>
                <w:szCs w:val="16"/>
                <w:lang w:val="es-MX"/>
              </w:rPr>
            </w:pPr>
            <w:r w:rsidRPr="006F52A3">
              <w:rPr>
                <w:rFonts w:ascii="Verdana" w:hAnsi="Verdana" w:cs="Arial"/>
                <w:sz w:val="16"/>
                <w:szCs w:val="16"/>
              </w:rPr>
              <w:t>DE LA SUPERVISIÓN Y VIGILANCIA</w:t>
            </w:r>
          </w:p>
        </w:tc>
        <w:tc>
          <w:tcPr>
            <w:tcW w:w="4788" w:type="dxa"/>
          </w:tcPr>
          <w:p w14:paraId="43AE7CBB" w14:textId="2AACB8AF"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SUPERVISION AND SURVEILLANCE</w:t>
            </w:r>
          </w:p>
        </w:tc>
      </w:tr>
      <w:tr w:rsidR="002C5E29" w:rsidRPr="00C67621" w14:paraId="569B9737" w14:textId="77777777" w:rsidTr="000A3C31">
        <w:tc>
          <w:tcPr>
            <w:tcW w:w="4788" w:type="dxa"/>
          </w:tcPr>
          <w:p w14:paraId="319B6958" w14:textId="3F35CAD2" w:rsidR="002C5E29" w:rsidRPr="00C67621" w:rsidRDefault="002C5E29" w:rsidP="002C5E29">
            <w:pPr>
              <w:pStyle w:val="ANOTACION"/>
              <w:spacing w:before="0" w:after="0" w:line="240" w:lineRule="auto"/>
              <w:jc w:val="both"/>
              <w:rPr>
                <w:rFonts w:ascii="Verdana" w:hAnsi="Verdana" w:cs="Arial"/>
                <w:sz w:val="16"/>
                <w:szCs w:val="16"/>
                <w:lang w:val="en-US"/>
              </w:rPr>
            </w:pPr>
            <w:r w:rsidRPr="006F52A3">
              <w:rPr>
                <w:rFonts w:ascii="Verdana" w:hAnsi="Verdana" w:cs="Arial"/>
                <w:sz w:val="16"/>
                <w:szCs w:val="16"/>
              </w:rPr>
              <w:t>TRANSITORIOS</w:t>
            </w:r>
          </w:p>
        </w:tc>
        <w:tc>
          <w:tcPr>
            <w:tcW w:w="4788" w:type="dxa"/>
          </w:tcPr>
          <w:p w14:paraId="322528D1" w14:textId="0DB2AB71" w:rsidR="002C5E29" w:rsidRPr="00C67621" w:rsidRDefault="002C5E29" w:rsidP="002C5E29">
            <w:pPr>
              <w:pStyle w:val="ANOTACION"/>
              <w:spacing w:before="0" w:after="0" w:line="240" w:lineRule="auto"/>
              <w:jc w:val="both"/>
              <w:rPr>
                <w:rFonts w:ascii="Verdana" w:hAnsi="Verdana"/>
                <w:sz w:val="16"/>
                <w:szCs w:val="16"/>
                <w:lang w:val="en-US"/>
              </w:rPr>
            </w:pPr>
            <w:r w:rsidRPr="006F52A3">
              <w:rPr>
                <w:rFonts w:ascii="Verdana" w:hAnsi="Verdana"/>
                <w:sz w:val="16"/>
                <w:szCs w:val="16"/>
                <w:lang w:val="en-US"/>
              </w:rPr>
              <w:t>TRANSITIONAL ARTICLES</w:t>
            </w:r>
          </w:p>
        </w:tc>
      </w:tr>
      <w:tr w:rsidR="002C5E29" w:rsidRPr="00C67621" w14:paraId="168BBE1B" w14:textId="77777777" w:rsidTr="00081E30">
        <w:tc>
          <w:tcPr>
            <w:tcW w:w="4788" w:type="dxa"/>
            <w:shd w:val="clear" w:color="auto" w:fill="auto"/>
          </w:tcPr>
          <w:p w14:paraId="1DA1812D" w14:textId="77777777" w:rsidR="002C5E29" w:rsidRPr="00C67621" w:rsidRDefault="002C5E29" w:rsidP="002C5E29">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57E56620" w14:textId="77777777" w:rsidR="002C5E29" w:rsidRPr="00C67621" w:rsidRDefault="002C5E29" w:rsidP="002C5E29">
            <w:pPr>
              <w:pStyle w:val="ANOTACION"/>
              <w:spacing w:before="0" w:after="0" w:line="240" w:lineRule="auto"/>
              <w:jc w:val="both"/>
              <w:rPr>
                <w:rFonts w:ascii="Verdana" w:hAnsi="Verdana"/>
                <w:sz w:val="16"/>
                <w:szCs w:val="16"/>
                <w:lang w:val="en-US"/>
              </w:rPr>
            </w:pPr>
          </w:p>
        </w:tc>
      </w:tr>
      <w:tr w:rsidR="002C5E29" w:rsidRPr="00C67621" w14:paraId="1189DC8D" w14:textId="77777777" w:rsidTr="00081E30">
        <w:tc>
          <w:tcPr>
            <w:tcW w:w="4788" w:type="dxa"/>
            <w:shd w:val="clear" w:color="auto" w:fill="auto"/>
          </w:tcPr>
          <w:p w14:paraId="3CC78E90" w14:textId="77777777" w:rsidR="002C5E29" w:rsidRPr="00C67621" w:rsidRDefault="002C5E29" w:rsidP="002C5E29">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4EB504E6" w14:textId="77777777" w:rsidR="002C5E29" w:rsidRPr="00C67621" w:rsidRDefault="002C5E29" w:rsidP="002C5E29">
            <w:pPr>
              <w:pStyle w:val="ANOTACION"/>
              <w:spacing w:before="0" w:after="0" w:line="240" w:lineRule="auto"/>
              <w:jc w:val="both"/>
              <w:rPr>
                <w:rFonts w:ascii="Verdana" w:hAnsi="Verdana"/>
                <w:sz w:val="16"/>
                <w:szCs w:val="16"/>
                <w:lang w:val="en-US"/>
              </w:rPr>
            </w:pPr>
          </w:p>
        </w:tc>
      </w:tr>
      <w:tr w:rsidR="002C5E29" w:rsidRPr="003C1F6B" w14:paraId="663B1247" w14:textId="5D440FD0" w:rsidTr="00081E30">
        <w:tc>
          <w:tcPr>
            <w:tcW w:w="4788" w:type="dxa"/>
            <w:shd w:val="clear" w:color="auto" w:fill="auto"/>
          </w:tcPr>
          <w:p w14:paraId="5BB5BDB1" w14:textId="77777777" w:rsidR="002C5E29" w:rsidRPr="00C67621" w:rsidRDefault="002C5E29" w:rsidP="002C5E29">
            <w:pPr>
              <w:pStyle w:val="Texto"/>
              <w:spacing w:after="0" w:line="240" w:lineRule="auto"/>
              <w:ind w:firstLine="0"/>
              <w:jc w:val="center"/>
              <w:rPr>
                <w:rFonts w:ascii="Verdana" w:hAnsi="Verdana"/>
                <w:b/>
                <w:sz w:val="16"/>
                <w:szCs w:val="16"/>
              </w:rPr>
            </w:pPr>
            <w:r w:rsidRPr="00C67621">
              <w:rPr>
                <w:rFonts w:ascii="Verdana" w:hAnsi="Verdana"/>
                <w:b/>
                <w:sz w:val="16"/>
                <w:szCs w:val="16"/>
              </w:rPr>
              <w:t>TÍTULO PRIMERO</w:t>
            </w:r>
          </w:p>
        </w:tc>
        <w:tc>
          <w:tcPr>
            <w:tcW w:w="4788" w:type="dxa"/>
            <w:shd w:val="clear" w:color="auto" w:fill="auto"/>
          </w:tcPr>
          <w:p w14:paraId="171F7A21" w14:textId="5771FBCA" w:rsidR="002C5E29" w:rsidRPr="00C67621" w:rsidRDefault="002C5E29" w:rsidP="002C5E29">
            <w:pPr>
              <w:pStyle w:val="Texto"/>
              <w:spacing w:after="0" w:line="240" w:lineRule="auto"/>
              <w:ind w:firstLine="0"/>
              <w:jc w:val="center"/>
              <w:rPr>
                <w:rFonts w:ascii="Verdana" w:hAnsi="Verdana"/>
                <w:b/>
                <w:sz w:val="16"/>
                <w:szCs w:val="16"/>
                <w:lang w:val="en-US"/>
              </w:rPr>
            </w:pPr>
            <w:r w:rsidRPr="00C67621">
              <w:rPr>
                <w:rFonts w:ascii="Verdana" w:hAnsi="Verdana" w:cs="Times New Roman"/>
                <w:b/>
                <w:sz w:val="16"/>
                <w:szCs w:val="16"/>
                <w:lang w:val="en-US"/>
              </w:rPr>
              <w:t>FIRST TITLE</w:t>
            </w:r>
          </w:p>
        </w:tc>
      </w:tr>
      <w:tr w:rsidR="002C5E29" w:rsidRPr="003C1F6B" w14:paraId="4358C4CD" w14:textId="2D9CF61E" w:rsidTr="00081E30">
        <w:tc>
          <w:tcPr>
            <w:tcW w:w="4788" w:type="dxa"/>
            <w:shd w:val="clear" w:color="auto" w:fill="auto"/>
          </w:tcPr>
          <w:p w14:paraId="03392BFA" w14:textId="77777777" w:rsidR="002C5E29" w:rsidRPr="00C67621" w:rsidRDefault="002C5E29" w:rsidP="002C5E29">
            <w:pPr>
              <w:pStyle w:val="Texto"/>
              <w:spacing w:after="0" w:line="240" w:lineRule="auto"/>
              <w:ind w:firstLine="0"/>
              <w:jc w:val="center"/>
              <w:rPr>
                <w:rFonts w:ascii="Verdana" w:hAnsi="Verdana"/>
                <w:b/>
                <w:sz w:val="16"/>
                <w:szCs w:val="16"/>
              </w:rPr>
            </w:pPr>
            <w:r w:rsidRPr="00C67621">
              <w:rPr>
                <w:rFonts w:ascii="Verdana" w:hAnsi="Verdana"/>
                <w:b/>
                <w:sz w:val="16"/>
                <w:szCs w:val="16"/>
              </w:rPr>
              <w:t>DE LAS DISPOSICIONES GENERALES</w:t>
            </w:r>
          </w:p>
        </w:tc>
        <w:tc>
          <w:tcPr>
            <w:tcW w:w="4788" w:type="dxa"/>
            <w:shd w:val="clear" w:color="auto" w:fill="auto"/>
          </w:tcPr>
          <w:p w14:paraId="799AA43A" w14:textId="772C4E7F" w:rsidR="002C5E29" w:rsidRPr="00C67621" w:rsidRDefault="002C5E29" w:rsidP="002C5E29">
            <w:pPr>
              <w:pStyle w:val="Texto"/>
              <w:spacing w:after="0" w:line="240" w:lineRule="auto"/>
              <w:ind w:firstLine="0"/>
              <w:jc w:val="center"/>
              <w:rPr>
                <w:rFonts w:ascii="Verdana" w:hAnsi="Verdana"/>
                <w:b/>
                <w:sz w:val="16"/>
                <w:szCs w:val="16"/>
                <w:lang w:val="en-US"/>
              </w:rPr>
            </w:pPr>
            <w:r w:rsidRPr="00C67621">
              <w:rPr>
                <w:rFonts w:ascii="Verdana" w:hAnsi="Verdana" w:cs="Times New Roman"/>
                <w:b/>
                <w:sz w:val="16"/>
                <w:szCs w:val="16"/>
                <w:lang w:val="en-US"/>
              </w:rPr>
              <w:t>GENERAL PROVISIONS</w:t>
            </w:r>
          </w:p>
        </w:tc>
      </w:tr>
      <w:tr w:rsidR="002C5E29" w:rsidRPr="003C1F6B" w14:paraId="165AFB1D" w14:textId="3C9B4247" w:rsidTr="00081E30">
        <w:tc>
          <w:tcPr>
            <w:tcW w:w="4788" w:type="dxa"/>
            <w:shd w:val="clear" w:color="auto" w:fill="auto"/>
          </w:tcPr>
          <w:p w14:paraId="3F82C20B" w14:textId="77777777" w:rsidR="002C5E29" w:rsidRPr="00C67621" w:rsidRDefault="002C5E29" w:rsidP="002C5E29">
            <w:pPr>
              <w:pStyle w:val="Texto"/>
              <w:spacing w:after="0" w:line="240" w:lineRule="auto"/>
              <w:ind w:firstLine="0"/>
              <w:jc w:val="center"/>
              <w:rPr>
                <w:rFonts w:ascii="Verdana" w:hAnsi="Verdana"/>
                <w:b/>
                <w:sz w:val="16"/>
                <w:szCs w:val="16"/>
              </w:rPr>
            </w:pPr>
          </w:p>
        </w:tc>
        <w:tc>
          <w:tcPr>
            <w:tcW w:w="4788" w:type="dxa"/>
            <w:shd w:val="clear" w:color="auto" w:fill="auto"/>
          </w:tcPr>
          <w:p w14:paraId="2B4A655A" w14:textId="74FB68CE" w:rsidR="002C5E29" w:rsidRPr="00C67621" w:rsidRDefault="002C5E29" w:rsidP="002C5E29">
            <w:pPr>
              <w:pStyle w:val="Texto"/>
              <w:spacing w:after="0" w:line="240" w:lineRule="auto"/>
              <w:ind w:firstLine="0"/>
              <w:jc w:val="center"/>
              <w:rPr>
                <w:rFonts w:ascii="Verdana" w:hAnsi="Verdana"/>
                <w:b/>
                <w:sz w:val="16"/>
                <w:szCs w:val="16"/>
                <w:lang w:val="en-US"/>
              </w:rPr>
            </w:pPr>
            <w:r w:rsidRPr="00C67621">
              <w:rPr>
                <w:rFonts w:ascii="Verdana" w:hAnsi="Verdana" w:cs="Times New Roman"/>
                <w:b/>
                <w:sz w:val="16"/>
                <w:szCs w:val="16"/>
                <w:lang w:val="en-US"/>
              </w:rPr>
              <w:t> </w:t>
            </w:r>
          </w:p>
        </w:tc>
      </w:tr>
      <w:tr w:rsidR="002C5E29" w:rsidRPr="000A5335" w14:paraId="750CBC09" w14:textId="601EF314" w:rsidTr="00081E30">
        <w:tc>
          <w:tcPr>
            <w:tcW w:w="4788" w:type="dxa"/>
            <w:shd w:val="clear" w:color="auto" w:fill="auto"/>
          </w:tcPr>
          <w:p w14:paraId="3B603637" w14:textId="77777777" w:rsidR="002C5E29" w:rsidRPr="00171358"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Artículo 1.-</w:t>
            </w:r>
            <w:r w:rsidRPr="00171358">
              <w:rPr>
                <w:rFonts w:ascii="Verdana" w:hAnsi="Verdana"/>
                <w:bCs/>
                <w:sz w:val="16"/>
                <w:szCs w:val="16"/>
              </w:rPr>
              <w:t xml:space="preserve"> </w:t>
            </w:r>
            <w:r w:rsidRPr="00171358">
              <w:rPr>
                <w:rFonts w:ascii="Verdana" w:hAnsi="Verdana"/>
                <w:bCs/>
                <w:color w:val="000000"/>
                <w:sz w:val="16"/>
                <w:szCs w:val="16"/>
              </w:rPr>
              <w:t>El presente ordenamiento es de observancia general y obligatoria y tiene por objeto reglamentar los Títulos Primero, Segundo y Cuarto de la Ley de Hidrocarburos</w:t>
            </w:r>
            <w:r w:rsidRPr="00171358">
              <w:rPr>
                <w:rFonts w:ascii="Verdana" w:hAnsi="Verdana"/>
                <w:bCs/>
                <w:sz w:val="16"/>
                <w:szCs w:val="16"/>
              </w:rPr>
              <w:t>.</w:t>
            </w:r>
          </w:p>
        </w:tc>
        <w:tc>
          <w:tcPr>
            <w:tcW w:w="4788" w:type="dxa"/>
            <w:shd w:val="clear" w:color="auto" w:fill="auto"/>
          </w:tcPr>
          <w:p w14:paraId="1E6027C0" w14:textId="2D174B55" w:rsidR="002C5E29" w:rsidRPr="00171358"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Article 1.-</w:t>
            </w:r>
            <w:r w:rsidRPr="00171358">
              <w:rPr>
                <w:rFonts w:ascii="Verdana" w:hAnsi="Verdana" w:cs="Times New Roman"/>
                <w:bCs/>
                <w:sz w:val="16"/>
                <w:szCs w:val="16"/>
                <w:lang w:val="en-US"/>
              </w:rPr>
              <w:t xml:space="preserve"> This ordinance is of general and obligatory observance and is intended to regulate the First, Second and Four</w:t>
            </w:r>
            <w:bookmarkStart w:id="0" w:name="_GoBack"/>
            <w:bookmarkEnd w:id="0"/>
            <w:r w:rsidRPr="00171358">
              <w:rPr>
                <w:rFonts w:ascii="Verdana" w:hAnsi="Verdana" w:cs="Times New Roman"/>
                <w:bCs/>
                <w:sz w:val="16"/>
                <w:szCs w:val="16"/>
                <w:lang w:val="en-US"/>
              </w:rPr>
              <w:t xml:space="preserve">th Titles of the Law of Hydrocarbons. </w:t>
            </w:r>
          </w:p>
        </w:tc>
      </w:tr>
      <w:tr w:rsidR="002C5E29" w:rsidRPr="000A5335" w14:paraId="218DADC2" w14:textId="69E1B049" w:rsidTr="00081E30">
        <w:tc>
          <w:tcPr>
            <w:tcW w:w="4788" w:type="dxa"/>
            <w:shd w:val="clear" w:color="auto" w:fill="auto"/>
          </w:tcPr>
          <w:p w14:paraId="0496A03B" w14:textId="77777777" w:rsidR="002C5E29" w:rsidRPr="00171358"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234E1EC" w14:textId="0A7E79CC" w:rsidR="002C5E29" w:rsidRPr="00171358"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Cs/>
                <w:sz w:val="16"/>
                <w:szCs w:val="16"/>
                <w:lang w:val="en-US"/>
              </w:rPr>
              <w:t> </w:t>
            </w:r>
          </w:p>
        </w:tc>
      </w:tr>
      <w:tr w:rsidR="002C5E29" w:rsidRPr="000A5335" w14:paraId="34887AA9" w14:textId="11CBE8D0" w:rsidTr="00081E30">
        <w:tc>
          <w:tcPr>
            <w:tcW w:w="4788" w:type="dxa"/>
            <w:shd w:val="clear" w:color="auto" w:fill="auto"/>
          </w:tcPr>
          <w:p w14:paraId="534FB967" w14:textId="77777777" w:rsidR="002C5E29" w:rsidRPr="00171358" w:rsidRDefault="002C5E29" w:rsidP="002C5E29">
            <w:pPr>
              <w:pStyle w:val="Texto"/>
              <w:spacing w:after="0" w:line="240" w:lineRule="auto"/>
              <w:ind w:firstLine="0"/>
              <w:rPr>
                <w:rFonts w:ascii="Verdana" w:hAnsi="Verdana"/>
                <w:bCs/>
                <w:color w:val="000000"/>
                <w:sz w:val="16"/>
                <w:szCs w:val="16"/>
              </w:rPr>
            </w:pPr>
            <w:r w:rsidRPr="00171358">
              <w:rPr>
                <w:rFonts w:ascii="Verdana" w:hAnsi="Verdana"/>
                <w:bCs/>
                <w:color w:val="000000"/>
                <w:sz w:val="16"/>
                <w:szCs w:val="16"/>
              </w:rPr>
              <w:t>Las actividades de la Industria de Hidrocarburos a que se refiere el Título Tercero de la Ley de Hidrocarburos se regularán, además, por el Reglamento que se expida para tal efecto.</w:t>
            </w:r>
          </w:p>
        </w:tc>
        <w:tc>
          <w:tcPr>
            <w:tcW w:w="4788" w:type="dxa"/>
            <w:shd w:val="clear" w:color="auto" w:fill="auto"/>
          </w:tcPr>
          <w:p w14:paraId="56AF3161" w14:textId="79CC60BC" w:rsidR="002C5E29" w:rsidRPr="00171358" w:rsidRDefault="002C5E29" w:rsidP="002C5E29">
            <w:pPr>
              <w:pStyle w:val="Texto"/>
              <w:spacing w:after="0" w:line="240" w:lineRule="auto"/>
              <w:ind w:firstLine="0"/>
              <w:rPr>
                <w:rFonts w:ascii="Verdana" w:hAnsi="Verdana"/>
                <w:bCs/>
                <w:color w:val="000000"/>
                <w:sz w:val="16"/>
                <w:szCs w:val="16"/>
                <w:lang w:val="en-US"/>
              </w:rPr>
            </w:pPr>
            <w:r w:rsidRPr="00171358">
              <w:rPr>
                <w:rFonts w:ascii="Verdana" w:hAnsi="Verdana" w:cs="Times New Roman"/>
                <w:bCs/>
                <w:sz w:val="16"/>
                <w:szCs w:val="16"/>
                <w:lang w:val="en-US"/>
              </w:rPr>
              <w:t>The activities of the Hydrocarbons Industry referred to in the Third Title of the Law of Hydrocarbons will also be regulated by the Regulation issued for that purpose.</w:t>
            </w:r>
          </w:p>
        </w:tc>
      </w:tr>
      <w:tr w:rsidR="002C5E29" w:rsidRPr="000A5335" w14:paraId="2A408DF2" w14:textId="1A062A76" w:rsidTr="00081E30">
        <w:tc>
          <w:tcPr>
            <w:tcW w:w="4788" w:type="dxa"/>
            <w:shd w:val="clear" w:color="auto" w:fill="auto"/>
          </w:tcPr>
          <w:p w14:paraId="72D681DA"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7997AAA2" w14:textId="49DDDC9D"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49AA6EBD" w14:textId="4A7A0AC7" w:rsidTr="00081E30">
        <w:tc>
          <w:tcPr>
            <w:tcW w:w="4788" w:type="dxa"/>
            <w:shd w:val="clear" w:color="auto" w:fill="auto"/>
          </w:tcPr>
          <w:p w14:paraId="0992393C" w14:textId="77777777" w:rsidR="002C5E29" w:rsidRPr="00081E30" w:rsidRDefault="002C5E29" w:rsidP="002C5E29">
            <w:pPr>
              <w:pStyle w:val="Texto"/>
              <w:spacing w:after="0" w:line="240" w:lineRule="auto"/>
              <w:ind w:firstLine="0"/>
              <w:rPr>
                <w:rFonts w:ascii="Verdana" w:hAnsi="Verdana"/>
                <w:bCs/>
                <w:sz w:val="16"/>
                <w:szCs w:val="16"/>
              </w:rPr>
            </w:pPr>
            <w:r w:rsidRPr="00C67621">
              <w:rPr>
                <w:rFonts w:ascii="Verdana" w:hAnsi="Verdana"/>
                <w:b/>
                <w:sz w:val="16"/>
                <w:szCs w:val="16"/>
              </w:rPr>
              <w:t>Artículo 2.-</w:t>
            </w:r>
            <w:r w:rsidRPr="00081E30">
              <w:rPr>
                <w:rFonts w:ascii="Verdana" w:hAnsi="Verdana"/>
                <w:bCs/>
                <w:sz w:val="16"/>
                <w:szCs w:val="16"/>
              </w:rPr>
              <w:t xml:space="preserve"> Corresponde a las secretarías de Energía, de Hacienda y Crédito Público y de Economía, a la Comisión Nacional de Hidrocarburos, a la Comisión </w:t>
            </w:r>
            <w:r w:rsidRPr="00081E30">
              <w:rPr>
                <w:rFonts w:ascii="Verdana" w:hAnsi="Verdana"/>
                <w:bCs/>
                <w:sz w:val="16"/>
                <w:szCs w:val="16"/>
              </w:rPr>
              <w:lastRenderedPageBreak/>
              <w:t>Reguladora de Energía y a la Agencia Nacional de Seguridad Industrial y de Protección al Medio Ambiente del Sector Hidrocarburos, en el ámbito de sus respectivas competencias, la emisión de disposiciones de carácter general y la interpretación para efectos administrativos del presente Reglamento, sin perjuicio de las facultades que, en su caso, correspondan a otras dependencias y entidades de la Administración Pública Federal.</w:t>
            </w:r>
          </w:p>
        </w:tc>
        <w:tc>
          <w:tcPr>
            <w:tcW w:w="4788" w:type="dxa"/>
            <w:shd w:val="clear" w:color="auto" w:fill="auto"/>
          </w:tcPr>
          <w:p w14:paraId="46FC4CEF" w14:textId="12D5B7E4" w:rsidR="002C5E29" w:rsidRPr="00081E30" w:rsidRDefault="002C5E29" w:rsidP="002C5E29">
            <w:pPr>
              <w:pStyle w:val="Texto"/>
              <w:spacing w:after="0" w:line="240" w:lineRule="auto"/>
              <w:ind w:firstLine="0"/>
              <w:rPr>
                <w:rFonts w:ascii="Verdana" w:hAnsi="Verdana"/>
                <w:bCs/>
                <w:sz w:val="16"/>
                <w:szCs w:val="16"/>
                <w:lang w:val="en-US"/>
              </w:rPr>
            </w:pPr>
            <w:r w:rsidRPr="00C67621">
              <w:rPr>
                <w:rFonts w:ascii="Verdana" w:hAnsi="Verdana" w:cs="Times New Roman"/>
                <w:b/>
                <w:sz w:val="16"/>
                <w:szCs w:val="16"/>
                <w:lang w:val="en-US"/>
              </w:rPr>
              <w:lastRenderedPageBreak/>
              <w:t>Article 2.-</w:t>
            </w:r>
            <w:r w:rsidRPr="00081E30">
              <w:rPr>
                <w:rFonts w:ascii="Verdana" w:hAnsi="Verdana" w:cs="Times New Roman"/>
                <w:bCs/>
                <w:sz w:val="16"/>
                <w:szCs w:val="16"/>
                <w:lang w:val="en-US"/>
              </w:rPr>
              <w:t xml:space="preserve"> </w:t>
            </w:r>
            <w:r>
              <w:rPr>
                <w:rFonts w:ascii="Verdana" w:hAnsi="Verdana" w:cs="Times New Roman"/>
                <w:bCs/>
                <w:sz w:val="16"/>
                <w:szCs w:val="16"/>
                <w:lang w:val="en-US"/>
              </w:rPr>
              <w:t>It is the responsibility of</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Secretaries</w:t>
            </w:r>
            <w:r w:rsidRPr="00081E30">
              <w:rPr>
                <w:rFonts w:ascii="Verdana" w:hAnsi="Verdana" w:cs="Times New Roman"/>
                <w:bCs/>
                <w:sz w:val="16"/>
                <w:szCs w:val="16"/>
                <w:lang w:val="en-US"/>
              </w:rPr>
              <w:t xml:space="preserve"> of Energy, Finance and Public Credit and Economy, the National Hydrocarbons Commission, the Energy </w:t>
            </w:r>
            <w:r w:rsidRPr="00081E30">
              <w:rPr>
                <w:rFonts w:ascii="Verdana" w:hAnsi="Verdana" w:cs="Times New Roman"/>
                <w:bCs/>
                <w:sz w:val="16"/>
                <w:szCs w:val="16"/>
                <w:lang w:val="en-US"/>
              </w:rPr>
              <w:lastRenderedPageBreak/>
              <w:t xml:space="preserve">Regulatory Commission and the National Agency for Industrial Safety and Environmental Protection of the Hydrocarbons Sector, within the scope of their respective </w:t>
            </w:r>
            <w:r>
              <w:rPr>
                <w:rFonts w:ascii="Verdana" w:hAnsi="Verdana" w:cs="Times New Roman"/>
                <w:bCs/>
                <w:sz w:val="16"/>
                <w:szCs w:val="16"/>
                <w:lang w:val="en-US"/>
              </w:rPr>
              <w:t>authority to issue the</w:t>
            </w:r>
            <w:r w:rsidRPr="00081E30">
              <w:rPr>
                <w:rFonts w:ascii="Verdana" w:hAnsi="Verdana" w:cs="Times New Roman"/>
                <w:bCs/>
                <w:sz w:val="16"/>
                <w:szCs w:val="16"/>
                <w:lang w:val="en-US"/>
              </w:rPr>
              <w:t xml:space="preserve"> general provisions and the interpretation for administrative purposes of this Regulation, without prejudice to the powers that, where appropriate, correspond to other agencies and entities of the Federal Public Administration.</w:t>
            </w:r>
          </w:p>
        </w:tc>
      </w:tr>
      <w:tr w:rsidR="002C5E29" w:rsidRPr="000A5335" w14:paraId="536F457B" w14:textId="58204217" w:rsidTr="00081E30">
        <w:tc>
          <w:tcPr>
            <w:tcW w:w="4788" w:type="dxa"/>
            <w:shd w:val="clear" w:color="auto" w:fill="auto"/>
          </w:tcPr>
          <w:p w14:paraId="2A672E7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8946151" w14:textId="4A8852F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C57088B" w14:textId="1F664F06" w:rsidTr="00081E30">
        <w:tc>
          <w:tcPr>
            <w:tcW w:w="4788" w:type="dxa"/>
            <w:shd w:val="clear" w:color="auto" w:fill="auto"/>
          </w:tcPr>
          <w:p w14:paraId="6EC951E1"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Artículo 3</w:t>
            </w:r>
            <w:r w:rsidRPr="00081E30">
              <w:rPr>
                <w:rFonts w:ascii="Verdana" w:hAnsi="Verdana"/>
                <w:bCs/>
                <w:sz w:val="16"/>
                <w:szCs w:val="16"/>
              </w:rPr>
              <w:t xml:space="preserve">.- </w:t>
            </w:r>
            <w:r w:rsidRPr="00081E30">
              <w:rPr>
                <w:rFonts w:ascii="Verdana" w:hAnsi="Verdana"/>
                <w:bCs/>
                <w:color w:val="000000"/>
                <w:sz w:val="16"/>
                <w:szCs w:val="16"/>
              </w:rPr>
              <w:t>Para efectos de este Reglamento, además de las definiciones previstas en el artículo 4 de la Ley de Hidrocarburos se entenderá, en singular o plural, por</w:t>
            </w:r>
            <w:r w:rsidRPr="00081E30">
              <w:rPr>
                <w:rFonts w:ascii="Verdana" w:hAnsi="Verdana"/>
                <w:bCs/>
                <w:sz w:val="16"/>
                <w:szCs w:val="16"/>
              </w:rPr>
              <w:t>:</w:t>
            </w:r>
          </w:p>
        </w:tc>
        <w:tc>
          <w:tcPr>
            <w:tcW w:w="4788" w:type="dxa"/>
            <w:shd w:val="clear" w:color="auto" w:fill="auto"/>
          </w:tcPr>
          <w:p w14:paraId="32F2508E" w14:textId="223594C4"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Article 3.-</w:t>
            </w:r>
            <w:r w:rsidRPr="00081E30">
              <w:rPr>
                <w:rFonts w:ascii="Verdana" w:hAnsi="Verdana" w:cs="Times New Roman"/>
                <w:bCs/>
                <w:sz w:val="16"/>
                <w:szCs w:val="16"/>
                <w:lang w:val="en-US"/>
              </w:rPr>
              <w:t xml:space="preserve"> For the purposes of this Regulation, in addition to the definitions provided for in article 4 of the </w:t>
            </w:r>
            <w:r>
              <w:rPr>
                <w:rFonts w:ascii="Verdana" w:hAnsi="Verdana" w:cs="Times New Roman"/>
                <w:bCs/>
                <w:sz w:val="16"/>
                <w:szCs w:val="16"/>
                <w:lang w:val="en-US"/>
              </w:rPr>
              <w:t>Law of Hydrocarbons</w:t>
            </w:r>
            <w:r w:rsidRPr="00081E30">
              <w:rPr>
                <w:rFonts w:ascii="Verdana" w:hAnsi="Verdana" w:cs="Times New Roman"/>
                <w:bCs/>
                <w:sz w:val="16"/>
                <w:szCs w:val="16"/>
                <w:lang w:val="en-US"/>
              </w:rPr>
              <w:t xml:space="preserve">, </w:t>
            </w:r>
            <w:r>
              <w:rPr>
                <w:rFonts w:ascii="Verdana" w:hAnsi="Verdana" w:cs="Times New Roman"/>
                <w:bCs/>
                <w:sz w:val="16"/>
                <w:szCs w:val="16"/>
                <w:lang w:val="en-US"/>
              </w:rPr>
              <w:t xml:space="preserve">the following in the </w:t>
            </w:r>
            <w:r w:rsidRPr="00081E30">
              <w:rPr>
                <w:rFonts w:ascii="Verdana" w:hAnsi="Verdana" w:cs="Times New Roman"/>
                <w:bCs/>
                <w:sz w:val="16"/>
                <w:szCs w:val="16"/>
                <w:lang w:val="en-US"/>
              </w:rPr>
              <w:t xml:space="preserve">singular or plural </w:t>
            </w:r>
            <w:r>
              <w:rPr>
                <w:rFonts w:ascii="Verdana" w:hAnsi="Verdana" w:cs="Times New Roman"/>
                <w:bCs/>
                <w:sz w:val="16"/>
                <w:szCs w:val="16"/>
                <w:lang w:val="en-US"/>
              </w:rPr>
              <w:t xml:space="preserve">will </w:t>
            </w:r>
            <w:r w:rsidRPr="00081E30">
              <w:rPr>
                <w:rFonts w:ascii="Verdana" w:hAnsi="Verdana" w:cs="Times New Roman"/>
                <w:bCs/>
                <w:sz w:val="16"/>
                <w:szCs w:val="16"/>
                <w:lang w:val="en-US"/>
              </w:rPr>
              <w:t xml:space="preserve">be understood as : </w:t>
            </w:r>
          </w:p>
        </w:tc>
      </w:tr>
      <w:tr w:rsidR="002C5E29" w:rsidRPr="000A5335" w14:paraId="0F16B68A" w14:textId="150913FB" w:rsidTr="00081E30">
        <w:tc>
          <w:tcPr>
            <w:tcW w:w="4788" w:type="dxa"/>
            <w:shd w:val="clear" w:color="auto" w:fill="auto"/>
          </w:tcPr>
          <w:p w14:paraId="71EF943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8504719" w14:textId="37EE7CC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DD5558" w14:textId="5AC4456D" w:rsidTr="00081E30">
        <w:tc>
          <w:tcPr>
            <w:tcW w:w="4788" w:type="dxa"/>
            <w:shd w:val="clear" w:color="auto" w:fill="auto"/>
          </w:tcPr>
          <w:p w14:paraId="75657F9B"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I. Comisión:</w:t>
            </w:r>
            <w:r w:rsidRPr="00081E30">
              <w:rPr>
                <w:rFonts w:ascii="Verdana" w:hAnsi="Verdana"/>
                <w:bCs/>
                <w:sz w:val="16"/>
                <w:szCs w:val="16"/>
              </w:rPr>
              <w:t xml:space="preserve"> La Comisión Nacional de Hidrocarburos;</w:t>
            </w:r>
          </w:p>
        </w:tc>
        <w:tc>
          <w:tcPr>
            <w:tcW w:w="4788" w:type="dxa"/>
            <w:shd w:val="clear" w:color="auto" w:fill="auto"/>
          </w:tcPr>
          <w:p w14:paraId="36A83B0B" w14:textId="5334A2E6"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I. Commission:</w:t>
            </w:r>
            <w:r w:rsidRPr="00081E30">
              <w:rPr>
                <w:rFonts w:ascii="Verdana" w:hAnsi="Verdana" w:cs="Times New Roman"/>
                <w:bCs/>
                <w:sz w:val="16"/>
                <w:szCs w:val="16"/>
                <w:lang w:val="en-US"/>
              </w:rPr>
              <w:t xml:space="preserve"> The National Hydrocarbons Commission;</w:t>
            </w:r>
          </w:p>
        </w:tc>
      </w:tr>
      <w:tr w:rsidR="002C5E29" w:rsidRPr="000A5335" w14:paraId="6A745963" w14:textId="6EEDE3AB" w:rsidTr="00081E30">
        <w:tc>
          <w:tcPr>
            <w:tcW w:w="4788" w:type="dxa"/>
            <w:shd w:val="clear" w:color="auto" w:fill="auto"/>
          </w:tcPr>
          <w:p w14:paraId="331FEA8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440CAF" w14:textId="255A208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4AA48D4" w14:textId="48A76F43" w:rsidTr="00081E30">
        <w:tc>
          <w:tcPr>
            <w:tcW w:w="4788" w:type="dxa"/>
            <w:shd w:val="clear" w:color="auto" w:fill="auto"/>
          </w:tcPr>
          <w:p w14:paraId="0C9614D8" w14:textId="4D3DE2A3"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bCs/>
                <w:sz w:val="16"/>
                <w:szCs w:val="16"/>
              </w:rPr>
              <w:t>II.</w:t>
            </w:r>
            <w:r w:rsidRPr="00171358">
              <w:rPr>
                <w:rFonts w:ascii="Verdana" w:hAnsi="Verdana"/>
                <w:b/>
                <w:sz w:val="16"/>
                <w:szCs w:val="16"/>
              </w:rPr>
              <w:t xml:space="preserve"> </w:t>
            </w:r>
            <w:r w:rsidRPr="00171358">
              <w:rPr>
                <w:rFonts w:ascii="Verdana" w:hAnsi="Verdana"/>
                <w:b/>
                <w:color w:val="000000"/>
                <w:sz w:val="16"/>
                <w:szCs w:val="16"/>
              </w:rPr>
              <w:t>Consejo Consultivo:</w:t>
            </w:r>
            <w:r w:rsidRPr="00081E30">
              <w:rPr>
                <w:rFonts w:ascii="Verdana" w:hAnsi="Verdana"/>
                <w:bCs/>
                <w:color w:val="000000"/>
                <w:sz w:val="16"/>
                <w:szCs w:val="16"/>
              </w:rPr>
              <w:t xml:space="preserve"> El Consejo Consultivo para el Fomento de la Industria de Hidrocarburos Nacional a que se refiere el artículo 125, fracción I, inciso e) de la Ley;</w:t>
            </w:r>
          </w:p>
        </w:tc>
        <w:tc>
          <w:tcPr>
            <w:tcW w:w="4788" w:type="dxa"/>
            <w:shd w:val="clear" w:color="auto" w:fill="auto"/>
          </w:tcPr>
          <w:p w14:paraId="5A644770" w14:textId="7648E89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171358">
              <w:rPr>
                <w:rFonts w:ascii="Verdana" w:hAnsi="Verdana" w:cs="Times New Roman"/>
                <w:b/>
                <w:sz w:val="16"/>
                <w:szCs w:val="16"/>
                <w:lang w:val="en-US"/>
              </w:rPr>
              <w:t xml:space="preserve"> Consultative council:</w:t>
            </w:r>
            <w:r w:rsidRPr="00081E30">
              <w:rPr>
                <w:rFonts w:ascii="Verdana" w:hAnsi="Verdana" w:cs="Times New Roman"/>
                <w:bCs/>
                <w:sz w:val="16"/>
                <w:szCs w:val="16"/>
                <w:lang w:val="en-US"/>
              </w:rPr>
              <w:t xml:space="preserve">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for the Promotion of the National Hydrocarbons Industry referred to in article 125, section I, subsection e) of the Law;</w:t>
            </w:r>
          </w:p>
        </w:tc>
      </w:tr>
      <w:tr w:rsidR="002C5E29" w:rsidRPr="000A5335" w14:paraId="28714F18" w14:textId="54157551" w:rsidTr="00081E30">
        <w:tc>
          <w:tcPr>
            <w:tcW w:w="4788" w:type="dxa"/>
            <w:shd w:val="clear" w:color="auto" w:fill="auto"/>
          </w:tcPr>
          <w:p w14:paraId="43B8ED38"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56429844" w14:textId="1F233608"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358C0796" w14:textId="53D83B7F" w:rsidTr="00081E30">
        <w:tc>
          <w:tcPr>
            <w:tcW w:w="4788" w:type="dxa"/>
            <w:shd w:val="clear" w:color="auto" w:fill="auto"/>
          </w:tcPr>
          <w:p w14:paraId="1DF405B7" w14:textId="2AF051E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171358">
              <w:rPr>
                <w:rFonts w:ascii="Verdana" w:hAnsi="Verdana"/>
                <w:b/>
                <w:sz w:val="16"/>
                <w:szCs w:val="16"/>
              </w:rPr>
              <w:t xml:space="preserve"> Consulta Previa:</w:t>
            </w:r>
            <w:r w:rsidRPr="00081E30">
              <w:rPr>
                <w:rFonts w:ascii="Verdana" w:hAnsi="Verdana"/>
                <w:bCs/>
                <w:sz w:val="16"/>
                <w:szCs w:val="16"/>
              </w:rPr>
              <w:t xml:space="preserve"> El procedimiento mediante el cual se ejerce el derecho colectivo de las comunidades y pueblos indígenas a ser consultados cuando se prevea el desarrollo de proyectos de la industria de hidrocarburos, susceptibles de afectar directamente sus intereses y derechos;</w:t>
            </w:r>
          </w:p>
        </w:tc>
        <w:tc>
          <w:tcPr>
            <w:tcW w:w="4788" w:type="dxa"/>
            <w:shd w:val="clear" w:color="auto" w:fill="auto"/>
          </w:tcPr>
          <w:p w14:paraId="296F6C54" w14:textId="73B41A8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171358">
              <w:rPr>
                <w:rFonts w:ascii="Verdana" w:hAnsi="Verdana" w:cs="Times New Roman"/>
                <w:b/>
                <w:sz w:val="16"/>
                <w:szCs w:val="16"/>
                <w:lang w:val="en-US"/>
              </w:rPr>
              <w:t xml:space="preserve"> </w:t>
            </w:r>
            <w:r>
              <w:rPr>
                <w:rFonts w:ascii="Verdana" w:hAnsi="Verdana" w:cs="Times New Roman"/>
                <w:b/>
                <w:sz w:val="16"/>
                <w:szCs w:val="16"/>
                <w:lang w:val="en-US"/>
              </w:rPr>
              <w:t>prior consultation</w:t>
            </w:r>
            <w:r w:rsidRPr="00171358">
              <w:rPr>
                <w:rFonts w:ascii="Verdana" w:hAnsi="Verdana" w:cs="Times New Roman"/>
                <w:b/>
                <w:sz w:val="16"/>
                <w:szCs w:val="16"/>
                <w:lang w:val="en-US"/>
              </w:rPr>
              <w:t>:</w:t>
            </w:r>
            <w:r w:rsidRPr="00081E30">
              <w:rPr>
                <w:rFonts w:ascii="Verdana" w:hAnsi="Verdana" w:cs="Times New Roman"/>
                <w:bCs/>
                <w:sz w:val="16"/>
                <w:szCs w:val="16"/>
                <w:lang w:val="en-US"/>
              </w:rPr>
              <w:t xml:space="preserve"> The procedure by which the collective right of indigenous communities and peoples to be consulted is exercised when the development of hydrocarbon industry projects is </w:t>
            </w:r>
            <w:r>
              <w:rPr>
                <w:rFonts w:ascii="Verdana" w:hAnsi="Verdana" w:cs="Times New Roman"/>
                <w:bCs/>
                <w:sz w:val="16"/>
                <w:szCs w:val="16"/>
                <w:lang w:val="en-US"/>
              </w:rPr>
              <w:t>detailed</w:t>
            </w:r>
            <w:r w:rsidRPr="00081E30">
              <w:rPr>
                <w:rFonts w:ascii="Verdana" w:hAnsi="Verdana" w:cs="Times New Roman"/>
                <w:bCs/>
                <w:sz w:val="16"/>
                <w:szCs w:val="16"/>
                <w:lang w:val="en-US"/>
              </w:rPr>
              <w:t>, which may directly affect their interests and rights;</w:t>
            </w:r>
          </w:p>
        </w:tc>
      </w:tr>
      <w:tr w:rsidR="002C5E29" w:rsidRPr="000A5335" w14:paraId="58758937" w14:textId="329B894A" w:rsidTr="00081E30">
        <w:tc>
          <w:tcPr>
            <w:tcW w:w="4788" w:type="dxa"/>
            <w:shd w:val="clear" w:color="auto" w:fill="auto"/>
          </w:tcPr>
          <w:p w14:paraId="580BD19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3EEAD42" w14:textId="3C6D62A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64AB28" w14:textId="46797A7E" w:rsidTr="00081E30">
        <w:tc>
          <w:tcPr>
            <w:tcW w:w="4788" w:type="dxa"/>
            <w:shd w:val="clear" w:color="auto" w:fill="auto"/>
          </w:tcPr>
          <w:p w14:paraId="301DF59F" w14:textId="387AF3B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171358">
              <w:rPr>
                <w:rFonts w:ascii="Verdana" w:hAnsi="Verdana"/>
                <w:b/>
                <w:sz w:val="16"/>
                <w:szCs w:val="16"/>
              </w:rPr>
              <w:t xml:space="preserve"> Evaluación de Impacto Social: El</w:t>
            </w:r>
            <w:r w:rsidRPr="00081E30">
              <w:rPr>
                <w:rFonts w:ascii="Verdana" w:hAnsi="Verdana"/>
                <w:bCs/>
                <w:sz w:val="16"/>
                <w:szCs w:val="16"/>
              </w:rPr>
              <w:t xml:space="preserve"> documento que contiene la identificación de las comunidades y pueblos ubicados en el área de influencia de un proyecto en materia de Hidrocarburos, así como la identificación, caracterización, predicción y valoración de las consecuencias a la población que podrían derivarse del mismo y las medidas de mitigación y los planes de gestión social correspondientes;</w:t>
            </w:r>
          </w:p>
        </w:tc>
        <w:tc>
          <w:tcPr>
            <w:tcW w:w="4788" w:type="dxa"/>
            <w:shd w:val="clear" w:color="auto" w:fill="auto"/>
          </w:tcPr>
          <w:p w14:paraId="3D5D127C" w14:textId="683D7F2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171358">
              <w:rPr>
                <w:rFonts w:ascii="Verdana" w:hAnsi="Verdana" w:cs="Times New Roman"/>
                <w:b/>
                <w:sz w:val="16"/>
                <w:szCs w:val="16"/>
                <w:lang w:val="en-US"/>
              </w:rPr>
              <w:t xml:space="preserve"> </w:t>
            </w:r>
            <w:r>
              <w:rPr>
                <w:rFonts w:ascii="Verdana" w:hAnsi="Verdana" w:cs="Times New Roman"/>
                <w:b/>
                <w:sz w:val="16"/>
                <w:szCs w:val="16"/>
                <w:lang w:val="en-US"/>
              </w:rPr>
              <w:t xml:space="preserve">Evaluation of the </w:t>
            </w:r>
            <w:r w:rsidRPr="00171358">
              <w:rPr>
                <w:rFonts w:ascii="Verdana" w:hAnsi="Verdana" w:cs="Times New Roman"/>
                <w:b/>
                <w:sz w:val="16"/>
                <w:szCs w:val="16"/>
                <w:lang w:val="en-US"/>
              </w:rPr>
              <w:t>Social Impact:</w:t>
            </w:r>
            <w:r w:rsidRPr="00081E30">
              <w:rPr>
                <w:rFonts w:ascii="Verdana" w:hAnsi="Verdana" w:cs="Times New Roman"/>
                <w:bCs/>
                <w:sz w:val="16"/>
                <w:szCs w:val="16"/>
                <w:lang w:val="en-US"/>
              </w:rPr>
              <w:t xml:space="preserve"> The document that contains the identification of the communities and towns located in the area of </w:t>
            </w:r>
            <w:r w:rsidRPr="00081E30">
              <w:rPr>
                <w:bCs/>
                <w:sz w:val="16"/>
                <w:szCs w:val="16"/>
                <w:lang w:val="en-US"/>
              </w:rPr>
              <w:t>​​</w:t>
            </w:r>
            <w:r w:rsidRPr="00081E30">
              <w:rPr>
                <w:rFonts w:ascii="Verdana" w:hAnsi="Verdana" w:cs="Times New Roman"/>
                <w:bCs/>
                <w:sz w:val="16"/>
                <w:szCs w:val="16"/>
                <w:lang w:val="en-US"/>
              </w:rPr>
              <w:t>influence of a hydrocarbons project, as well as the identification, characterization, prediction and assessment of the consequences to the population that could derive from the same and the corresponding mitigation measures and social management plans;</w:t>
            </w:r>
          </w:p>
        </w:tc>
      </w:tr>
      <w:tr w:rsidR="002C5E29" w:rsidRPr="000A5335" w14:paraId="38084ED1" w14:textId="369AE94D" w:rsidTr="00081E30">
        <w:tc>
          <w:tcPr>
            <w:tcW w:w="4788" w:type="dxa"/>
            <w:shd w:val="clear" w:color="auto" w:fill="auto"/>
          </w:tcPr>
          <w:p w14:paraId="1906E19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F50909" w14:textId="659B7EB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C201D73" w14:textId="266884D9" w:rsidTr="00081E30">
        <w:tc>
          <w:tcPr>
            <w:tcW w:w="4788" w:type="dxa"/>
            <w:shd w:val="clear" w:color="auto" w:fill="auto"/>
          </w:tcPr>
          <w:p w14:paraId="31C48B48" w14:textId="4602361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171358">
              <w:rPr>
                <w:rFonts w:ascii="Verdana" w:hAnsi="Verdana"/>
                <w:b/>
                <w:sz w:val="16"/>
                <w:szCs w:val="16"/>
              </w:rPr>
              <w:t xml:space="preserve"> Fondo Mexicano del Petróleo:</w:t>
            </w:r>
            <w:r w:rsidRPr="00081E30">
              <w:rPr>
                <w:rFonts w:ascii="Verdana" w:hAnsi="Verdana"/>
                <w:bCs/>
                <w:sz w:val="16"/>
                <w:szCs w:val="16"/>
              </w:rPr>
              <w:t xml:space="preserve"> El Fondo Mexicano del Petróleo para la Estabilización y el Desarrollo;</w:t>
            </w:r>
          </w:p>
        </w:tc>
        <w:tc>
          <w:tcPr>
            <w:tcW w:w="4788" w:type="dxa"/>
            <w:shd w:val="clear" w:color="auto" w:fill="auto"/>
          </w:tcPr>
          <w:p w14:paraId="12BD45F0" w14:textId="5DC60E0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171358">
              <w:rPr>
                <w:rFonts w:ascii="Verdana" w:hAnsi="Verdana" w:cs="Times New Roman"/>
                <w:b/>
                <w:sz w:val="16"/>
                <w:szCs w:val="16"/>
                <w:lang w:val="en-US"/>
              </w:rPr>
              <w:t xml:space="preserve"> Mexican Petroleum Fund:</w:t>
            </w:r>
            <w:r w:rsidRPr="00081E30">
              <w:rPr>
                <w:rFonts w:ascii="Verdana" w:hAnsi="Verdana" w:cs="Times New Roman"/>
                <w:bCs/>
                <w:sz w:val="16"/>
                <w:szCs w:val="16"/>
                <w:lang w:val="en-US"/>
              </w:rPr>
              <w:t xml:space="preserve"> The Mexican Petroleum Fund for Stabilization and Development;</w:t>
            </w:r>
          </w:p>
        </w:tc>
      </w:tr>
      <w:tr w:rsidR="002C5E29" w:rsidRPr="000A5335" w14:paraId="1BCCAE2F" w14:textId="0230B825" w:rsidTr="00081E30">
        <w:tc>
          <w:tcPr>
            <w:tcW w:w="4788" w:type="dxa"/>
            <w:shd w:val="clear" w:color="auto" w:fill="auto"/>
          </w:tcPr>
          <w:p w14:paraId="5716ABE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2152083" w14:textId="04DC1E4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1873894" w14:textId="1F8CF67E" w:rsidTr="00081E30">
        <w:tc>
          <w:tcPr>
            <w:tcW w:w="4788" w:type="dxa"/>
            <w:shd w:val="clear" w:color="auto" w:fill="auto"/>
          </w:tcPr>
          <w:p w14:paraId="1642F394"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VI. Industria de Hidrocarburos:</w:t>
            </w:r>
            <w:r w:rsidRPr="00081E30">
              <w:rPr>
                <w:rFonts w:ascii="Verdana" w:hAnsi="Verdana"/>
                <w:bCs/>
                <w:sz w:val="16"/>
                <w:szCs w:val="16"/>
              </w:rPr>
              <w:t xml:space="preserve"> El conjunto de actividades señaladas en el artículo 2 de la Ley;</w:t>
            </w:r>
          </w:p>
        </w:tc>
        <w:tc>
          <w:tcPr>
            <w:tcW w:w="4788" w:type="dxa"/>
            <w:shd w:val="clear" w:color="auto" w:fill="auto"/>
          </w:tcPr>
          <w:p w14:paraId="7DD91364" w14:textId="0EC5CEB8"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VI.</w:t>
            </w:r>
            <w:r w:rsidRPr="00081E30">
              <w:rPr>
                <w:rFonts w:ascii="Verdana" w:hAnsi="Verdana" w:cs="Times New Roman"/>
                <w:bCs/>
                <w:sz w:val="16"/>
                <w:szCs w:val="16"/>
                <w:lang w:val="en-US"/>
              </w:rPr>
              <w:t xml:space="preserve"> </w:t>
            </w:r>
            <w:r w:rsidRPr="00171358">
              <w:rPr>
                <w:rFonts w:ascii="Verdana" w:hAnsi="Verdana" w:cs="Times New Roman"/>
                <w:b/>
                <w:sz w:val="16"/>
                <w:szCs w:val="16"/>
                <w:lang w:val="en-US"/>
              </w:rPr>
              <w:t>Hydrocarbon Industry:</w:t>
            </w:r>
            <w:r w:rsidRPr="00081E30">
              <w:rPr>
                <w:rFonts w:ascii="Verdana" w:hAnsi="Verdana" w:cs="Times New Roman"/>
                <w:bCs/>
                <w:sz w:val="16"/>
                <w:szCs w:val="16"/>
                <w:lang w:val="en-US"/>
              </w:rPr>
              <w:t xml:space="preserve"> The set of activities indicated in article 2 of the Law;</w:t>
            </w:r>
          </w:p>
        </w:tc>
      </w:tr>
      <w:tr w:rsidR="002C5E29" w:rsidRPr="000A5335" w14:paraId="15E117B9" w14:textId="0BC9D872" w:rsidTr="00081E30">
        <w:tc>
          <w:tcPr>
            <w:tcW w:w="4788" w:type="dxa"/>
            <w:shd w:val="clear" w:color="auto" w:fill="auto"/>
          </w:tcPr>
          <w:p w14:paraId="5B92480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9813D4B" w14:textId="08B28C6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C9481C1" w14:textId="4E1942B5" w:rsidTr="00081E30">
        <w:tc>
          <w:tcPr>
            <w:tcW w:w="4788" w:type="dxa"/>
            <w:shd w:val="clear" w:color="auto" w:fill="auto"/>
          </w:tcPr>
          <w:p w14:paraId="7757C103" w14:textId="16E3D815"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VII.</w:t>
            </w:r>
            <w:r w:rsidRPr="00171358">
              <w:rPr>
                <w:rFonts w:ascii="Verdana" w:hAnsi="Verdana"/>
                <w:b/>
                <w:sz w:val="16"/>
                <w:szCs w:val="16"/>
              </w:rPr>
              <w:t xml:space="preserve"> Ley</w:t>
            </w:r>
            <w:r w:rsidRPr="00081E30">
              <w:rPr>
                <w:rFonts w:ascii="Verdana" w:hAnsi="Verdana"/>
                <w:bCs/>
                <w:sz w:val="16"/>
                <w:szCs w:val="16"/>
              </w:rPr>
              <w:t>: La Ley de Hidrocarburos;</w:t>
            </w:r>
          </w:p>
        </w:tc>
        <w:tc>
          <w:tcPr>
            <w:tcW w:w="4788" w:type="dxa"/>
            <w:shd w:val="clear" w:color="auto" w:fill="auto"/>
          </w:tcPr>
          <w:p w14:paraId="3A20F923" w14:textId="223FC0A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VII.</w:t>
            </w:r>
            <w:r w:rsidRPr="00171358">
              <w:rPr>
                <w:rFonts w:ascii="Verdana" w:hAnsi="Verdana" w:cs="Times New Roman"/>
                <w:b/>
                <w:sz w:val="16"/>
                <w:szCs w:val="16"/>
                <w:lang w:val="en-US"/>
              </w:rPr>
              <w:t xml:space="preserve"> Law:</w:t>
            </w:r>
            <w:r w:rsidRPr="00081E30">
              <w:rPr>
                <w:rFonts w:ascii="Verdana" w:hAnsi="Verdana" w:cs="Times New Roman"/>
                <w:bCs/>
                <w:sz w:val="16"/>
                <w:szCs w:val="16"/>
                <w:lang w:val="en-US"/>
              </w:rPr>
              <w:t xml:space="preserve"> The </w:t>
            </w:r>
            <w:r>
              <w:rPr>
                <w:rFonts w:ascii="Verdana" w:hAnsi="Verdana" w:cs="Times New Roman"/>
                <w:bCs/>
                <w:sz w:val="16"/>
                <w:szCs w:val="16"/>
                <w:lang w:val="en-US"/>
              </w:rPr>
              <w:t>Law of Hydrocarbons</w:t>
            </w:r>
            <w:r w:rsidRPr="00081E30">
              <w:rPr>
                <w:rFonts w:ascii="Verdana" w:hAnsi="Verdana" w:cs="Times New Roman"/>
                <w:bCs/>
                <w:sz w:val="16"/>
                <w:szCs w:val="16"/>
                <w:lang w:val="en-US"/>
              </w:rPr>
              <w:t>;</w:t>
            </w:r>
          </w:p>
        </w:tc>
      </w:tr>
      <w:tr w:rsidR="002C5E29" w:rsidRPr="000A5335" w14:paraId="629CD7EA" w14:textId="1E029653" w:rsidTr="00081E30">
        <w:tc>
          <w:tcPr>
            <w:tcW w:w="4788" w:type="dxa"/>
            <w:shd w:val="clear" w:color="auto" w:fill="auto"/>
          </w:tcPr>
          <w:p w14:paraId="6842B81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44DA320" w14:textId="13BE2C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E3BCD70" w14:textId="1177EC94" w:rsidTr="00081E30">
        <w:tc>
          <w:tcPr>
            <w:tcW w:w="4788" w:type="dxa"/>
            <w:shd w:val="clear" w:color="auto" w:fill="auto"/>
          </w:tcPr>
          <w:p w14:paraId="3614277E" w14:textId="2082979C"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V</w:t>
            </w:r>
            <w:r w:rsidRPr="00030FCB">
              <w:rPr>
                <w:rFonts w:ascii="Verdana" w:hAnsi="Verdana"/>
                <w:b/>
                <w:bCs/>
                <w:sz w:val="16"/>
                <w:szCs w:val="16"/>
              </w:rPr>
              <w:t>III.</w:t>
            </w:r>
            <w:r w:rsidRPr="00171358">
              <w:rPr>
                <w:rFonts w:ascii="Verdana" w:hAnsi="Verdana"/>
                <w:b/>
                <w:sz w:val="16"/>
                <w:szCs w:val="16"/>
              </w:rPr>
              <w:t xml:space="preserve"> Lineamientos Técnicos:</w:t>
            </w:r>
            <w:r w:rsidRPr="00081E30">
              <w:rPr>
                <w:rFonts w:ascii="Verdana" w:hAnsi="Verdana"/>
                <w:bCs/>
                <w:sz w:val="16"/>
                <w:szCs w:val="16"/>
              </w:rPr>
              <w:t xml:space="preserve"> Las especificaciones que corresponde establecer a la Secretaría para regular cada proceso de licitación de Contratos para la Exploración y Extracción;</w:t>
            </w:r>
          </w:p>
        </w:tc>
        <w:tc>
          <w:tcPr>
            <w:tcW w:w="4788" w:type="dxa"/>
            <w:shd w:val="clear" w:color="auto" w:fill="auto"/>
          </w:tcPr>
          <w:p w14:paraId="40BB9719" w14:textId="6ABEFB42"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V</w:t>
            </w:r>
            <w:r w:rsidRPr="00030FCB">
              <w:rPr>
                <w:rFonts w:ascii="Verdana" w:hAnsi="Verdana" w:cs="Times New Roman"/>
                <w:b/>
                <w:bCs/>
                <w:sz w:val="16"/>
                <w:szCs w:val="16"/>
                <w:lang w:val="en-US"/>
              </w:rPr>
              <w:t>III.</w:t>
            </w:r>
            <w:r w:rsidRPr="00171358">
              <w:rPr>
                <w:rFonts w:ascii="Verdana" w:hAnsi="Verdana" w:cs="Times New Roman"/>
                <w:b/>
                <w:sz w:val="16"/>
                <w:szCs w:val="16"/>
                <w:lang w:val="en-US"/>
              </w:rPr>
              <w:t xml:space="preserve"> Technical Guidelines: </w:t>
            </w:r>
            <w:r w:rsidRPr="00171358">
              <w:rPr>
                <w:rFonts w:ascii="Verdana" w:hAnsi="Verdana" w:cs="Times New Roman"/>
                <w:bCs/>
                <w:sz w:val="16"/>
                <w:szCs w:val="16"/>
                <w:lang w:val="en-US"/>
              </w:rPr>
              <w:t xml:space="preserve">The </w:t>
            </w:r>
            <w:r w:rsidRPr="00081E30">
              <w:rPr>
                <w:rFonts w:ascii="Verdana" w:hAnsi="Verdana" w:cs="Times New Roman"/>
                <w:bCs/>
                <w:sz w:val="16"/>
                <w:szCs w:val="16"/>
                <w:lang w:val="en-US"/>
              </w:rPr>
              <w:t xml:space="preserve">specifications </w:t>
            </w:r>
            <w:r>
              <w:rPr>
                <w:rFonts w:ascii="Verdana" w:hAnsi="Verdana" w:cs="Times New Roman"/>
                <w:bCs/>
                <w:sz w:val="16"/>
                <w:szCs w:val="16"/>
                <w:lang w:val="en-US"/>
              </w:rPr>
              <w:t xml:space="preserve">that are the responsibility of </w:t>
            </w: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to regulate each bidding process for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w:t>
            </w:r>
          </w:p>
        </w:tc>
      </w:tr>
      <w:tr w:rsidR="002C5E29" w:rsidRPr="000A5335" w14:paraId="4FD68BE1" w14:textId="77A06FCC" w:rsidTr="00081E30">
        <w:tc>
          <w:tcPr>
            <w:tcW w:w="4788" w:type="dxa"/>
            <w:shd w:val="clear" w:color="auto" w:fill="auto"/>
          </w:tcPr>
          <w:p w14:paraId="1745122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0EDDD84" w14:textId="3DACD93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00A13E4" w14:textId="20580D43" w:rsidTr="00081E30">
        <w:tc>
          <w:tcPr>
            <w:tcW w:w="4788" w:type="dxa"/>
            <w:shd w:val="clear" w:color="auto" w:fill="auto"/>
          </w:tcPr>
          <w:p w14:paraId="74C12089"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IX. Modelo de Contratación:</w:t>
            </w:r>
            <w:r w:rsidRPr="00081E30">
              <w:rPr>
                <w:rFonts w:ascii="Verdana" w:hAnsi="Verdana"/>
                <w:bCs/>
                <w:sz w:val="16"/>
                <w:szCs w:val="16"/>
              </w:rPr>
              <w:t xml:space="preserve"> La modalidad que elige la Secretaría y bajo la cual se licita o adjudica un Área Contractual, entre las que se encuentran la modalidad de servicios, de utilidad compartida, de producción compartida y de licencia;</w:t>
            </w:r>
          </w:p>
        </w:tc>
        <w:tc>
          <w:tcPr>
            <w:tcW w:w="4788" w:type="dxa"/>
            <w:shd w:val="clear" w:color="auto" w:fill="auto"/>
          </w:tcPr>
          <w:p w14:paraId="6D0183ED" w14:textId="6762EC87"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IX. Contract Model:</w:t>
            </w:r>
            <w:r w:rsidRPr="00081E30">
              <w:rPr>
                <w:rFonts w:ascii="Verdana" w:hAnsi="Verdana" w:cs="Times New Roman"/>
                <w:bCs/>
                <w:sz w:val="16"/>
                <w:szCs w:val="16"/>
                <w:lang w:val="en-US"/>
              </w:rPr>
              <w:t xml:space="preserve"> The modality chosen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under which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 is tendered or awarded, among which are the modality of services, of shared utility, of shared production and of license;</w:t>
            </w:r>
          </w:p>
        </w:tc>
      </w:tr>
      <w:tr w:rsidR="002C5E29" w:rsidRPr="000A5335" w14:paraId="4B63C98D" w14:textId="6E2F0AF7" w:rsidTr="00081E30">
        <w:tc>
          <w:tcPr>
            <w:tcW w:w="4788" w:type="dxa"/>
            <w:shd w:val="clear" w:color="auto" w:fill="auto"/>
          </w:tcPr>
          <w:p w14:paraId="0DA9EFD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DC486EA" w14:textId="6F5C811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53EF94B" w14:textId="1778891D" w:rsidTr="00081E30">
        <w:tc>
          <w:tcPr>
            <w:tcW w:w="4788" w:type="dxa"/>
            <w:shd w:val="clear" w:color="auto" w:fill="auto"/>
          </w:tcPr>
          <w:p w14:paraId="4E37FF03"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X. Plan Quinquenal:</w:t>
            </w:r>
            <w:r w:rsidRPr="00081E30">
              <w:rPr>
                <w:rFonts w:ascii="Verdana" w:hAnsi="Verdana"/>
                <w:bCs/>
                <w:sz w:val="16"/>
                <w:szCs w:val="16"/>
              </w:rPr>
              <w:t xml:space="preserve"> El documento indicativo en el que se establecen las Áreas Contractuales que se propone licitar durante un período de cinco años;</w:t>
            </w:r>
          </w:p>
        </w:tc>
        <w:tc>
          <w:tcPr>
            <w:tcW w:w="4788" w:type="dxa"/>
            <w:shd w:val="clear" w:color="auto" w:fill="auto"/>
          </w:tcPr>
          <w:p w14:paraId="0630E9AB" w14:textId="4AD158EC"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X. Five-Year Plan:</w:t>
            </w:r>
            <w:r w:rsidRPr="00081E30">
              <w:rPr>
                <w:rFonts w:ascii="Verdana" w:hAnsi="Verdana" w:cs="Times New Roman"/>
                <w:bCs/>
                <w:sz w:val="16"/>
                <w:szCs w:val="16"/>
                <w:lang w:val="en-US"/>
              </w:rPr>
              <w:t xml:space="preserve"> The indicative document that establishes the Contract Areas proposed to be tendered for a period of five years;</w:t>
            </w:r>
          </w:p>
        </w:tc>
      </w:tr>
      <w:tr w:rsidR="002C5E29" w:rsidRPr="000A5335" w14:paraId="3C555913" w14:textId="1D80E737" w:rsidTr="00081E30">
        <w:tc>
          <w:tcPr>
            <w:tcW w:w="4788" w:type="dxa"/>
            <w:shd w:val="clear" w:color="auto" w:fill="auto"/>
          </w:tcPr>
          <w:p w14:paraId="6BEE9EF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532F541" w14:textId="5C4D427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C8DDADF" w14:textId="3EF7BB5F" w:rsidTr="00081E30">
        <w:tc>
          <w:tcPr>
            <w:tcW w:w="4788" w:type="dxa"/>
            <w:shd w:val="clear" w:color="auto" w:fill="auto"/>
          </w:tcPr>
          <w:p w14:paraId="314704BF"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XI. Secretaría:</w:t>
            </w:r>
            <w:r w:rsidRPr="00081E30">
              <w:rPr>
                <w:rFonts w:ascii="Verdana" w:hAnsi="Verdana"/>
                <w:bCs/>
                <w:sz w:val="16"/>
                <w:szCs w:val="16"/>
              </w:rPr>
              <w:t xml:space="preserve"> La Secretaría de Energía, y</w:t>
            </w:r>
          </w:p>
        </w:tc>
        <w:tc>
          <w:tcPr>
            <w:tcW w:w="4788" w:type="dxa"/>
            <w:shd w:val="clear" w:color="auto" w:fill="auto"/>
          </w:tcPr>
          <w:p w14:paraId="40DBEF9F" w14:textId="0180279D"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XI. 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and</w:t>
            </w:r>
          </w:p>
        </w:tc>
      </w:tr>
      <w:tr w:rsidR="002C5E29" w:rsidRPr="000A5335" w14:paraId="104A4A34" w14:textId="508484DF" w:rsidTr="00081E30">
        <w:tc>
          <w:tcPr>
            <w:tcW w:w="4788" w:type="dxa"/>
            <w:shd w:val="clear" w:color="auto" w:fill="auto"/>
          </w:tcPr>
          <w:p w14:paraId="39125B6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6EA3E40" w14:textId="358BAAB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F733A5" w14:textId="6362CB8E" w:rsidTr="00081E30">
        <w:tc>
          <w:tcPr>
            <w:tcW w:w="4788" w:type="dxa"/>
            <w:shd w:val="clear" w:color="auto" w:fill="auto"/>
          </w:tcPr>
          <w:p w14:paraId="0D0D6C0F" w14:textId="19C0CC05"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lastRenderedPageBreak/>
              <w:t>X</w:t>
            </w:r>
            <w:r w:rsidRPr="00030FCB">
              <w:rPr>
                <w:rFonts w:ascii="Verdana" w:hAnsi="Verdana"/>
                <w:b/>
                <w:bCs/>
                <w:sz w:val="16"/>
                <w:szCs w:val="16"/>
              </w:rPr>
              <w:t>II.</w:t>
            </w:r>
            <w:r w:rsidRPr="00171358">
              <w:rPr>
                <w:rFonts w:ascii="Verdana" w:hAnsi="Verdana"/>
                <w:b/>
                <w:sz w:val="16"/>
                <w:szCs w:val="16"/>
              </w:rPr>
              <w:t xml:space="preserve"> Términos y Condiciones Técnicos: El</w:t>
            </w:r>
            <w:r w:rsidRPr="00081E30">
              <w:rPr>
                <w:rFonts w:ascii="Verdana" w:hAnsi="Verdana"/>
                <w:bCs/>
                <w:sz w:val="16"/>
                <w:szCs w:val="16"/>
              </w:rPr>
              <w:t xml:space="preserve"> contenido y las cláusulas de los Contratos para la Exploración y Extracción que establece la Secretaría.</w:t>
            </w:r>
          </w:p>
        </w:tc>
        <w:tc>
          <w:tcPr>
            <w:tcW w:w="4788" w:type="dxa"/>
            <w:shd w:val="clear" w:color="auto" w:fill="auto"/>
          </w:tcPr>
          <w:p w14:paraId="6027EA2A" w14:textId="34D49635"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X</w:t>
            </w:r>
            <w:r w:rsidRPr="00030FCB">
              <w:rPr>
                <w:rFonts w:ascii="Verdana" w:hAnsi="Verdana" w:cs="Times New Roman"/>
                <w:b/>
                <w:bCs/>
                <w:sz w:val="16"/>
                <w:szCs w:val="16"/>
                <w:lang w:val="en-US"/>
              </w:rPr>
              <w:t>II.</w:t>
            </w:r>
            <w:r w:rsidRPr="00171358">
              <w:rPr>
                <w:rFonts w:ascii="Verdana" w:hAnsi="Verdana" w:cs="Times New Roman"/>
                <w:b/>
                <w:sz w:val="16"/>
                <w:szCs w:val="16"/>
                <w:lang w:val="en-US"/>
              </w:rPr>
              <w:t xml:space="preserve"> Technical Terms and Conditions</w:t>
            </w:r>
            <w:r w:rsidRPr="00081E30">
              <w:rPr>
                <w:rFonts w:ascii="Verdana" w:hAnsi="Verdana" w:cs="Times New Roman"/>
                <w:bCs/>
                <w:sz w:val="16"/>
                <w:szCs w:val="16"/>
                <w:lang w:val="en-US"/>
              </w:rPr>
              <w:t xml:space="preserve">: The content and clauses of the contracts </w:t>
            </w:r>
            <w:r>
              <w:rPr>
                <w:rFonts w:ascii="Verdana" w:hAnsi="Verdana" w:cs="Times New Roman"/>
                <w:bCs/>
                <w:sz w:val="16"/>
                <w:szCs w:val="16"/>
                <w:lang w:val="en-US"/>
              </w:rPr>
              <w:t xml:space="preserve">for </w:t>
            </w:r>
            <w:r w:rsidRPr="00081E30">
              <w:rPr>
                <w:rFonts w:ascii="Verdana" w:hAnsi="Verdana" w:cs="Times New Roman"/>
                <w:bCs/>
                <w:sz w:val="16"/>
                <w:szCs w:val="16"/>
                <w:lang w:val="en-US"/>
              </w:rPr>
              <w:t xml:space="preserve">exploration and extraction established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62B46D11" w14:textId="764F3674" w:rsidTr="00081E30">
        <w:tc>
          <w:tcPr>
            <w:tcW w:w="4788" w:type="dxa"/>
            <w:shd w:val="clear" w:color="auto" w:fill="auto"/>
          </w:tcPr>
          <w:p w14:paraId="6485239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7E9013E" w14:textId="13B04BB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1B7F96F" w14:textId="20E1802A" w:rsidTr="00081E30">
        <w:tc>
          <w:tcPr>
            <w:tcW w:w="4788" w:type="dxa"/>
            <w:shd w:val="clear" w:color="auto" w:fill="auto"/>
          </w:tcPr>
          <w:p w14:paraId="3EC90B01"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Artículo 4.-</w:t>
            </w:r>
            <w:r w:rsidRPr="00081E30">
              <w:rPr>
                <w:rFonts w:ascii="Verdana" w:hAnsi="Verdana"/>
                <w:bCs/>
                <w:sz w:val="16"/>
                <w:szCs w:val="16"/>
              </w:rPr>
              <w:t xml:space="preserve"> La actuación administrativa en los procedimientos previstos en la Ley y en este Reglamento se desarrollará conforme a los principios de economía, competitividad, sencillez, celeridad, eficiencia, legalidad, mejores prácticas de la industria, transparencia, imparcialidad, máxima publicidad, igualdad y buena fe.</w:t>
            </w:r>
          </w:p>
        </w:tc>
        <w:tc>
          <w:tcPr>
            <w:tcW w:w="4788" w:type="dxa"/>
            <w:shd w:val="clear" w:color="auto" w:fill="auto"/>
          </w:tcPr>
          <w:p w14:paraId="05FEA088" w14:textId="1FB04F94"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Article 4.-</w:t>
            </w:r>
            <w:r w:rsidRPr="00081E30">
              <w:rPr>
                <w:rFonts w:ascii="Verdana" w:hAnsi="Verdana" w:cs="Times New Roman"/>
                <w:bCs/>
                <w:sz w:val="16"/>
                <w:szCs w:val="16"/>
                <w:lang w:val="en-US"/>
              </w:rPr>
              <w:t xml:space="preserve"> The administrative action in the procedures provided for in the Law and in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carried out in accordance with the principles of economy, competitiveness, simplicity, speed, efficiency, legality, best industry practices, transparency, impartiality, maximum publicity, equality and good faith</w:t>
            </w:r>
          </w:p>
        </w:tc>
      </w:tr>
      <w:tr w:rsidR="002C5E29" w:rsidRPr="000A5335" w14:paraId="07537720" w14:textId="146129A5" w:rsidTr="00081E30">
        <w:tc>
          <w:tcPr>
            <w:tcW w:w="4788" w:type="dxa"/>
            <w:shd w:val="clear" w:color="auto" w:fill="auto"/>
          </w:tcPr>
          <w:p w14:paraId="49E8E98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E87672B" w14:textId="69D0448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158CCBD" w14:textId="5B8DE0B8" w:rsidTr="00081E30">
        <w:tc>
          <w:tcPr>
            <w:tcW w:w="4788" w:type="dxa"/>
            <w:shd w:val="clear" w:color="auto" w:fill="auto"/>
          </w:tcPr>
          <w:p w14:paraId="280DB801" w14:textId="77777777" w:rsidR="002C5E29" w:rsidRPr="00081E30" w:rsidRDefault="002C5E29" w:rsidP="002C5E29">
            <w:pPr>
              <w:pStyle w:val="Texto"/>
              <w:spacing w:after="0" w:line="240" w:lineRule="auto"/>
              <w:ind w:firstLine="0"/>
              <w:rPr>
                <w:rFonts w:ascii="Verdana" w:hAnsi="Verdana"/>
                <w:bCs/>
                <w:sz w:val="16"/>
                <w:szCs w:val="16"/>
              </w:rPr>
            </w:pPr>
            <w:r w:rsidRPr="00171358">
              <w:rPr>
                <w:rFonts w:ascii="Verdana" w:hAnsi="Verdana"/>
                <w:b/>
                <w:sz w:val="16"/>
                <w:szCs w:val="16"/>
              </w:rPr>
              <w:t>Artículo 5.-</w:t>
            </w:r>
            <w:r w:rsidRPr="00081E30">
              <w:rPr>
                <w:rFonts w:ascii="Verdana" w:hAnsi="Verdana"/>
                <w:bCs/>
                <w:sz w:val="16"/>
                <w:szCs w:val="16"/>
              </w:rPr>
              <w:t xml:space="preserve"> En lo no previsto en el presente Reglamento en los actos, procedimientos y resoluciones administrativas, será aplicable de manera supletoria la Ley Federal de Procedimiento Administrativo.</w:t>
            </w:r>
          </w:p>
        </w:tc>
        <w:tc>
          <w:tcPr>
            <w:tcW w:w="4788" w:type="dxa"/>
            <w:shd w:val="clear" w:color="auto" w:fill="auto"/>
          </w:tcPr>
          <w:p w14:paraId="6CF2D5AC" w14:textId="586F17F4"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sz w:val="16"/>
                <w:szCs w:val="16"/>
                <w:lang w:val="en-US"/>
              </w:rPr>
              <w:t>Article 5.-</w:t>
            </w:r>
            <w:r w:rsidRPr="00081E30">
              <w:rPr>
                <w:rFonts w:ascii="Verdana" w:hAnsi="Verdana" w:cs="Times New Roman"/>
                <w:bCs/>
                <w:sz w:val="16"/>
                <w:szCs w:val="16"/>
                <w:lang w:val="en-US"/>
              </w:rPr>
              <w:t xml:space="preserve"> In matters not provided for in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in administrative acts, procedures and resolutions, the Federal Law of Administrative Procedure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applied in a supplementary manner.</w:t>
            </w:r>
          </w:p>
        </w:tc>
      </w:tr>
      <w:tr w:rsidR="002C5E29" w:rsidRPr="000A5335" w14:paraId="16EB686F" w14:textId="3AFC17BA" w:rsidTr="00081E30">
        <w:tc>
          <w:tcPr>
            <w:tcW w:w="4788" w:type="dxa"/>
            <w:shd w:val="clear" w:color="auto" w:fill="auto"/>
          </w:tcPr>
          <w:p w14:paraId="36B3485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427184E" w14:textId="6D49CCC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33905B2" w14:textId="1ADC4B18" w:rsidTr="00081E30">
        <w:tc>
          <w:tcPr>
            <w:tcW w:w="4788" w:type="dxa"/>
            <w:shd w:val="clear" w:color="auto" w:fill="auto"/>
          </w:tcPr>
          <w:p w14:paraId="60122597" w14:textId="77777777" w:rsidR="002C5E29" w:rsidRPr="00171358" w:rsidRDefault="002C5E29" w:rsidP="002C5E29">
            <w:pPr>
              <w:pStyle w:val="ANOTACION"/>
              <w:spacing w:before="0" w:after="0" w:line="240" w:lineRule="auto"/>
              <w:rPr>
                <w:rFonts w:ascii="Verdana" w:hAnsi="Verdana" w:cs="Arial"/>
                <w:sz w:val="16"/>
                <w:szCs w:val="16"/>
              </w:rPr>
            </w:pPr>
            <w:r w:rsidRPr="00171358">
              <w:rPr>
                <w:rFonts w:ascii="Verdana" w:hAnsi="Verdana" w:cs="Arial"/>
                <w:sz w:val="16"/>
                <w:szCs w:val="16"/>
              </w:rPr>
              <w:t>TÍTULO SEGUNDO</w:t>
            </w:r>
          </w:p>
        </w:tc>
        <w:tc>
          <w:tcPr>
            <w:tcW w:w="4788" w:type="dxa"/>
            <w:shd w:val="clear" w:color="auto" w:fill="auto"/>
          </w:tcPr>
          <w:p w14:paraId="10399AC8" w14:textId="43428926" w:rsidR="002C5E29" w:rsidRPr="00171358" w:rsidRDefault="002C5E29" w:rsidP="002C5E29">
            <w:pPr>
              <w:pStyle w:val="ANOTACION"/>
              <w:spacing w:before="0" w:after="0" w:line="240" w:lineRule="auto"/>
              <w:rPr>
                <w:rFonts w:ascii="Verdana" w:hAnsi="Verdana" w:cs="Arial"/>
                <w:sz w:val="16"/>
                <w:szCs w:val="16"/>
                <w:lang w:val="en-US"/>
              </w:rPr>
            </w:pPr>
            <w:r w:rsidRPr="00171358">
              <w:rPr>
                <w:rFonts w:ascii="Verdana" w:hAnsi="Verdana"/>
                <w:sz w:val="16"/>
                <w:szCs w:val="16"/>
                <w:lang w:val="en-US"/>
              </w:rPr>
              <w:t>SECOND TITLE</w:t>
            </w:r>
          </w:p>
        </w:tc>
      </w:tr>
      <w:tr w:rsidR="002C5E29" w:rsidRPr="000A5335" w14:paraId="60C78DB1" w14:textId="0CF3B3F1" w:rsidTr="00081E30">
        <w:tc>
          <w:tcPr>
            <w:tcW w:w="4788" w:type="dxa"/>
            <w:shd w:val="clear" w:color="auto" w:fill="auto"/>
          </w:tcPr>
          <w:p w14:paraId="2D9C5076" w14:textId="77777777" w:rsidR="002C5E29" w:rsidRPr="00171358" w:rsidRDefault="002C5E29" w:rsidP="002C5E29">
            <w:pPr>
              <w:pStyle w:val="ANOTACION"/>
              <w:spacing w:before="0" w:after="0" w:line="240" w:lineRule="auto"/>
              <w:rPr>
                <w:rFonts w:ascii="Verdana" w:hAnsi="Verdana" w:cs="Arial"/>
                <w:sz w:val="16"/>
                <w:szCs w:val="16"/>
              </w:rPr>
            </w:pPr>
            <w:r w:rsidRPr="00171358">
              <w:rPr>
                <w:rFonts w:ascii="Verdana" w:hAnsi="Verdana" w:cs="Arial"/>
                <w:sz w:val="16"/>
                <w:szCs w:val="16"/>
              </w:rPr>
              <w:t>DEL RECONOCIMIENTO Y EXPLORACIÓN SUPERFICIAL Y DE LA EXPLORACIÓN Y EXTRACCIÓN DE HIDROCARBUROS</w:t>
            </w:r>
          </w:p>
        </w:tc>
        <w:tc>
          <w:tcPr>
            <w:tcW w:w="4788" w:type="dxa"/>
            <w:shd w:val="clear" w:color="auto" w:fill="auto"/>
          </w:tcPr>
          <w:p w14:paraId="7C4ACA63" w14:textId="527426A5" w:rsidR="002C5E29" w:rsidRPr="00171358" w:rsidRDefault="002C5E29" w:rsidP="002C5E29">
            <w:pPr>
              <w:pStyle w:val="ANOTACION"/>
              <w:spacing w:before="0" w:after="0" w:line="240" w:lineRule="auto"/>
              <w:rPr>
                <w:rFonts w:ascii="Verdana" w:hAnsi="Verdana" w:cs="Arial"/>
                <w:sz w:val="16"/>
                <w:szCs w:val="16"/>
                <w:lang w:val="en-US"/>
              </w:rPr>
            </w:pPr>
            <w:r w:rsidRPr="00171358">
              <w:rPr>
                <w:rFonts w:ascii="Verdana" w:hAnsi="Verdana"/>
                <w:sz w:val="16"/>
                <w:szCs w:val="16"/>
                <w:lang w:val="en-US"/>
              </w:rPr>
              <w:t>SURFACE RECOGNITION AND EXPLORATION AND</w:t>
            </w:r>
            <w:r>
              <w:rPr>
                <w:rFonts w:ascii="Verdana" w:hAnsi="Verdana"/>
                <w:sz w:val="16"/>
                <w:szCs w:val="16"/>
                <w:lang w:val="en-US"/>
              </w:rPr>
              <w:t xml:space="preserve"> THE</w:t>
            </w:r>
            <w:r w:rsidRPr="00171358">
              <w:rPr>
                <w:rFonts w:ascii="Verdana" w:hAnsi="Verdana"/>
                <w:sz w:val="16"/>
                <w:szCs w:val="16"/>
                <w:lang w:val="en-US"/>
              </w:rPr>
              <w:t xml:space="preserve"> EXPLORATION AND EXTRACTION </w:t>
            </w:r>
            <w:r>
              <w:rPr>
                <w:rFonts w:ascii="Verdana" w:hAnsi="Verdana"/>
                <w:sz w:val="16"/>
                <w:szCs w:val="16"/>
                <w:lang w:val="en-US"/>
              </w:rPr>
              <w:t xml:space="preserve">OF </w:t>
            </w:r>
            <w:r w:rsidRPr="00171358">
              <w:rPr>
                <w:rFonts w:ascii="Verdana" w:hAnsi="Verdana"/>
                <w:sz w:val="16"/>
                <w:szCs w:val="16"/>
                <w:lang w:val="en-US"/>
              </w:rPr>
              <w:t>HYDROCARBON</w:t>
            </w:r>
            <w:r>
              <w:rPr>
                <w:rFonts w:ascii="Verdana" w:hAnsi="Verdana"/>
                <w:sz w:val="16"/>
                <w:szCs w:val="16"/>
                <w:lang w:val="en-US"/>
              </w:rPr>
              <w:t>S</w:t>
            </w:r>
          </w:p>
        </w:tc>
      </w:tr>
      <w:tr w:rsidR="002C5E29" w:rsidRPr="000A5335" w14:paraId="53E5460F" w14:textId="5C432DC0" w:rsidTr="00081E30">
        <w:tc>
          <w:tcPr>
            <w:tcW w:w="4788" w:type="dxa"/>
            <w:shd w:val="clear" w:color="auto" w:fill="auto"/>
          </w:tcPr>
          <w:p w14:paraId="62939C6F" w14:textId="77777777" w:rsidR="002C5E29" w:rsidRPr="00081E30" w:rsidRDefault="002C5E29" w:rsidP="002C5E29">
            <w:pPr>
              <w:pStyle w:val="ANOTACION"/>
              <w:spacing w:before="0" w:after="0" w:line="240" w:lineRule="auto"/>
              <w:rPr>
                <w:rFonts w:ascii="Verdana" w:hAnsi="Verdana" w:cs="Arial"/>
                <w:b w:val="0"/>
                <w:bCs/>
                <w:sz w:val="16"/>
                <w:szCs w:val="16"/>
                <w:lang w:val="en-US"/>
              </w:rPr>
            </w:pPr>
          </w:p>
        </w:tc>
        <w:tc>
          <w:tcPr>
            <w:tcW w:w="4788" w:type="dxa"/>
            <w:shd w:val="clear" w:color="auto" w:fill="auto"/>
          </w:tcPr>
          <w:p w14:paraId="183F0D46" w14:textId="55262FCA" w:rsidR="002C5E29" w:rsidRPr="00081E30" w:rsidRDefault="002C5E29" w:rsidP="002C5E29">
            <w:pPr>
              <w:pStyle w:val="ANOTACION"/>
              <w:spacing w:before="0" w:after="0" w:line="240" w:lineRule="auto"/>
              <w:rPr>
                <w:rFonts w:ascii="Verdana" w:hAnsi="Verdana" w:cs="Arial"/>
                <w:b w:val="0"/>
                <w:bCs/>
                <w:sz w:val="16"/>
                <w:szCs w:val="16"/>
                <w:lang w:val="en-US"/>
              </w:rPr>
            </w:pPr>
            <w:r w:rsidRPr="00081E30">
              <w:rPr>
                <w:rFonts w:ascii="Verdana" w:hAnsi="Verdana"/>
                <w:b w:val="0"/>
                <w:bCs/>
                <w:sz w:val="16"/>
                <w:szCs w:val="16"/>
                <w:lang w:val="en-US"/>
              </w:rPr>
              <w:t> </w:t>
            </w:r>
          </w:p>
        </w:tc>
      </w:tr>
      <w:tr w:rsidR="002C5E29" w:rsidRPr="003C1F6B" w14:paraId="0C7D223A" w14:textId="45ECE6D5" w:rsidTr="00081E30">
        <w:tc>
          <w:tcPr>
            <w:tcW w:w="4788" w:type="dxa"/>
            <w:shd w:val="clear" w:color="auto" w:fill="auto"/>
          </w:tcPr>
          <w:p w14:paraId="1DBD9155" w14:textId="77777777" w:rsidR="002C5E29" w:rsidRPr="00171358" w:rsidRDefault="002C5E29" w:rsidP="002C5E29">
            <w:pPr>
              <w:pStyle w:val="ANOTACION"/>
              <w:spacing w:before="0" w:after="0" w:line="240" w:lineRule="auto"/>
              <w:rPr>
                <w:rFonts w:ascii="Verdana" w:hAnsi="Verdana" w:cs="Arial"/>
                <w:sz w:val="16"/>
                <w:szCs w:val="16"/>
              </w:rPr>
            </w:pPr>
            <w:r w:rsidRPr="00171358">
              <w:rPr>
                <w:rFonts w:ascii="Verdana" w:hAnsi="Verdana" w:cs="Arial"/>
                <w:sz w:val="16"/>
                <w:szCs w:val="16"/>
              </w:rPr>
              <w:t>Capítulo I</w:t>
            </w:r>
          </w:p>
        </w:tc>
        <w:tc>
          <w:tcPr>
            <w:tcW w:w="4788" w:type="dxa"/>
            <w:shd w:val="clear" w:color="auto" w:fill="auto"/>
          </w:tcPr>
          <w:p w14:paraId="2C606042" w14:textId="3504287B" w:rsidR="002C5E29" w:rsidRPr="00171358" w:rsidRDefault="002C5E29" w:rsidP="002C5E29">
            <w:pPr>
              <w:pStyle w:val="ANOTACION"/>
              <w:spacing w:before="0" w:after="0" w:line="240" w:lineRule="auto"/>
              <w:rPr>
                <w:rFonts w:ascii="Verdana" w:hAnsi="Verdana" w:cs="Arial"/>
                <w:sz w:val="16"/>
                <w:szCs w:val="16"/>
                <w:lang w:val="en-US"/>
              </w:rPr>
            </w:pPr>
            <w:r w:rsidRPr="00171358">
              <w:rPr>
                <w:rFonts w:ascii="Verdana" w:hAnsi="Verdana"/>
                <w:sz w:val="16"/>
                <w:szCs w:val="16"/>
                <w:lang w:val="en-US"/>
              </w:rPr>
              <w:t>Chapter I</w:t>
            </w:r>
          </w:p>
        </w:tc>
      </w:tr>
      <w:tr w:rsidR="002C5E29" w:rsidRPr="000A5335" w14:paraId="3082AB38" w14:textId="08598684" w:rsidTr="00081E30">
        <w:tc>
          <w:tcPr>
            <w:tcW w:w="4788" w:type="dxa"/>
            <w:shd w:val="clear" w:color="auto" w:fill="auto"/>
          </w:tcPr>
          <w:p w14:paraId="3796D553" w14:textId="77777777" w:rsidR="002C5E29" w:rsidRPr="00171358" w:rsidRDefault="002C5E29" w:rsidP="002C5E29">
            <w:pPr>
              <w:pStyle w:val="ANOTACION"/>
              <w:spacing w:before="0" w:after="0" w:line="240" w:lineRule="auto"/>
              <w:rPr>
                <w:rFonts w:ascii="Verdana" w:hAnsi="Verdana" w:cs="Arial"/>
                <w:sz w:val="16"/>
                <w:szCs w:val="16"/>
              </w:rPr>
            </w:pPr>
            <w:r w:rsidRPr="00171358">
              <w:rPr>
                <w:rFonts w:ascii="Verdana" w:hAnsi="Verdana" w:cs="Arial"/>
                <w:sz w:val="16"/>
                <w:szCs w:val="16"/>
              </w:rPr>
              <w:t>Del Reconocimiento y Exploración Superficial</w:t>
            </w:r>
          </w:p>
        </w:tc>
        <w:tc>
          <w:tcPr>
            <w:tcW w:w="4788" w:type="dxa"/>
            <w:shd w:val="clear" w:color="auto" w:fill="auto"/>
          </w:tcPr>
          <w:p w14:paraId="6D8A34D1" w14:textId="2F1660D0" w:rsidR="002C5E29" w:rsidRPr="00171358"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Surface</w:t>
            </w:r>
            <w:r w:rsidRPr="00171358">
              <w:rPr>
                <w:rFonts w:ascii="Verdana" w:hAnsi="Verdana"/>
                <w:sz w:val="16"/>
                <w:szCs w:val="16"/>
                <w:lang w:val="en-US"/>
              </w:rPr>
              <w:t xml:space="preserve"> Recognition and Exploration</w:t>
            </w:r>
          </w:p>
        </w:tc>
      </w:tr>
      <w:tr w:rsidR="002C5E29" w:rsidRPr="000A5335" w14:paraId="38FF91FA" w14:textId="6A191EF9" w:rsidTr="00081E30">
        <w:tc>
          <w:tcPr>
            <w:tcW w:w="4788" w:type="dxa"/>
            <w:shd w:val="clear" w:color="auto" w:fill="auto"/>
          </w:tcPr>
          <w:p w14:paraId="1FEF438F"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60C629C5" w14:textId="24F94AD8"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070A02D" w14:textId="2D3D5950" w:rsidTr="00081E30">
        <w:tc>
          <w:tcPr>
            <w:tcW w:w="4788" w:type="dxa"/>
            <w:shd w:val="clear" w:color="auto" w:fill="auto"/>
          </w:tcPr>
          <w:p w14:paraId="3F8FF32B" w14:textId="7777777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sz w:val="16"/>
                <w:szCs w:val="16"/>
              </w:rPr>
              <w:t>Artículo 6.-</w:t>
            </w:r>
            <w:r w:rsidRPr="00081E30">
              <w:rPr>
                <w:rFonts w:ascii="Verdana" w:hAnsi="Verdana"/>
                <w:bCs/>
                <w:sz w:val="16"/>
                <w:szCs w:val="16"/>
              </w:rPr>
              <w:t xml:space="preserve"> Las actividades de Reconocimiento y Exploración Superficial requieren de autorización de la Comisión de conformidad con la regulación que ésta emita para tal efecto. No requiere de autorización para realizar actividades de Reconocimiento y Exploración Superficial lo previsto en el último párrafo del artículo 37 de la Ley.</w:t>
            </w:r>
          </w:p>
        </w:tc>
        <w:tc>
          <w:tcPr>
            <w:tcW w:w="4788" w:type="dxa"/>
            <w:shd w:val="clear" w:color="auto" w:fill="auto"/>
          </w:tcPr>
          <w:p w14:paraId="25981760" w14:textId="6C472EB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sz w:val="16"/>
                <w:szCs w:val="16"/>
                <w:lang w:val="en-US"/>
              </w:rPr>
              <w:t>Article 6.-</w:t>
            </w:r>
            <w:r w:rsidRPr="00081E30">
              <w:rPr>
                <w:rFonts w:ascii="Verdana" w:hAnsi="Verdana" w:cs="Times New Roman"/>
                <w:bCs/>
                <w:sz w:val="16"/>
                <w:szCs w:val="16"/>
                <w:lang w:val="en-US"/>
              </w:rPr>
              <w:t xml:space="preserve"> The surface recognition and exploration activities require authorization from the Commission in accordance with the regulations issued by the Commission for this purpose. It does not require authorization to carry out surface recognition and exploration activities as provided in the last paragraph of article 37 of the Law.</w:t>
            </w:r>
          </w:p>
        </w:tc>
      </w:tr>
      <w:tr w:rsidR="002C5E29" w:rsidRPr="000A5335" w14:paraId="42B85B84" w14:textId="56C57206" w:rsidTr="00081E30">
        <w:tc>
          <w:tcPr>
            <w:tcW w:w="4788" w:type="dxa"/>
            <w:shd w:val="clear" w:color="auto" w:fill="auto"/>
          </w:tcPr>
          <w:p w14:paraId="4BBD92D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B43A33" w14:textId="76EBC02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DE34F90" w14:textId="7029B78D" w:rsidTr="00081E30">
        <w:tc>
          <w:tcPr>
            <w:tcW w:w="4788" w:type="dxa"/>
            <w:shd w:val="clear" w:color="auto" w:fill="auto"/>
          </w:tcPr>
          <w:p w14:paraId="359B9D03"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empresa productiva del Estado o la persona que pretenda obtener la autorización a que se refiere este artículo, deberá presentar a la Comisión una solicitud que contenga lo siguiente:</w:t>
            </w:r>
          </w:p>
        </w:tc>
        <w:tc>
          <w:tcPr>
            <w:tcW w:w="4788" w:type="dxa"/>
            <w:shd w:val="clear" w:color="auto" w:fill="auto"/>
          </w:tcPr>
          <w:p w14:paraId="0B739456" w14:textId="4D36BFD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State productive company or the person seeking to obtain the authorization referred to in this article, must submit to the Commission a request that contains the following:</w:t>
            </w:r>
          </w:p>
        </w:tc>
      </w:tr>
      <w:tr w:rsidR="002C5E29" w:rsidRPr="000A5335" w14:paraId="58F49209" w14:textId="6C0E614F" w:rsidTr="00081E30">
        <w:tc>
          <w:tcPr>
            <w:tcW w:w="4788" w:type="dxa"/>
            <w:shd w:val="clear" w:color="auto" w:fill="auto"/>
          </w:tcPr>
          <w:p w14:paraId="0470082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B80B22" w14:textId="4869FC0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D8B5A3" w14:textId="759005DE" w:rsidTr="00081E30">
        <w:tc>
          <w:tcPr>
            <w:tcW w:w="4788" w:type="dxa"/>
            <w:shd w:val="clear" w:color="auto" w:fill="auto"/>
          </w:tcPr>
          <w:p w14:paraId="39933804" w14:textId="7777777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sz w:val="16"/>
                <w:szCs w:val="16"/>
              </w:rPr>
              <w:t>I.</w:t>
            </w:r>
            <w:r w:rsidRPr="00081E30">
              <w:rPr>
                <w:rFonts w:ascii="Verdana" w:hAnsi="Verdana"/>
                <w:bCs/>
                <w:sz w:val="16"/>
                <w:szCs w:val="16"/>
              </w:rPr>
              <w:t xml:space="preserve"> La descripción general del proyecto, la cual deberá incluir el objeto y alcance;</w:t>
            </w:r>
          </w:p>
        </w:tc>
        <w:tc>
          <w:tcPr>
            <w:tcW w:w="4788" w:type="dxa"/>
            <w:shd w:val="clear" w:color="auto" w:fill="auto"/>
          </w:tcPr>
          <w:p w14:paraId="313E12DB" w14:textId="65A472F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general description of the project, which must include the object and scope;</w:t>
            </w:r>
          </w:p>
        </w:tc>
      </w:tr>
      <w:tr w:rsidR="002C5E29" w:rsidRPr="000A5335" w14:paraId="4B99FF5C" w14:textId="3566231E" w:rsidTr="00081E30">
        <w:tc>
          <w:tcPr>
            <w:tcW w:w="4788" w:type="dxa"/>
            <w:shd w:val="clear" w:color="auto" w:fill="auto"/>
          </w:tcPr>
          <w:p w14:paraId="17BD134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A5DFB49" w14:textId="045F6D5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56A524A" w14:textId="727DDAA3" w:rsidTr="00081E30">
        <w:tc>
          <w:tcPr>
            <w:tcW w:w="4788" w:type="dxa"/>
            <w:shd w:val="clear" w:color="auto" w:fill="auto"/>
          </w:tcPr>
          <w:p w14:paraId="6DE64177" w14:textId="3F9F04D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Las áreas en las que se pretende realizar el levantamiento de datos de campo;</w:t>
            </w:r>
          </w:p>
        </w:tc>
        <w:tc>
          <w:tcPr>
            <w:tcW w:w="4788" w:type="dxa"/>
            <w:shd w:val="clear" w:color="auto" w:fill="auto"/>
          </w:tcPr>
          <w:p w14:paraId="6139851E" w14:textId="2A7E676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areas in which it is intended to carry out field data collection;</w:t>
            </w:r>
          </w:p>
        </w:tc>
      </w:tr>
      <w:tr w:rsidR="002C5E29" w:rsidRPr="000A5335" w14:paraId="1CBBA5AD" w14:textId="76B4AAEF" w:rsidTr="00081E30">
        <w:tc>
          <w:tcPr>
            <w:tcW w:w="4788" w:type="dxa"/>
            <w:shd w:val="clear" w:color="auto" w:fill="auto"/>
          </w:tcPr>
          <w:p w14:paraId="4AE3B5A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C0E8744" w14:textId="117D50B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B61B6C" w14:textId="2467F9AC" w:rsidTr="00081E30">
        <w:tc>
          <w:tcPr>
            <w:tcW w:w="4788" w:type="dxa"/>
            <w:shd w:val="clear" w:color="auto" w:fill="auto"/>
          </w:tcPr>
          <w:p w14:paraId="65CF9C90" w14:textId="5D90849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descripción del plan de adquisición de datos a realizar;</w:t>
            </w:r>
          </w:p>
        </w:tc>
        <w:tc>
          <w:tcPr>
            <w:tcW w:w="4788" w:type="dxa"/>
            <w:shd w:val="clear" w:color="auto" w:fill="auto"/>
          </w:tcPr>
          <w:p w14:paraId="43E1F747" w14:textId="6E0D07D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description of the data acquisition plan to be carried out;</w:t>
            </w:r>
          </w:p>
        </w:tc>
      </w:tr>
      <w:tr w:rsidR="002C5E29" w:rsidRPr="000A5335" w14:paraId="16E3E8A4" w14:textId="4ED836AF" w:rsidTr="00081E30">
        <w:tc>
          <w:tcPr>
            <w:tcW w:w="4788" w:type="dxa"/>
            <w:shd w:val="clear" w:color="auto" w:fill="auto"/>
          </w:tcPr>
          <w:p w14:paraId="2D46F9A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7B6B3E2" w14:textId="5A239A9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293A6CF" w14:textId="171FDCEA" w:rsidTr="00081E30">
        <w:tc>
          <w:tcPr>
            <w:tcW w:w="4788" w:type="dxa"/>
            <w:shd w:val="clear" w:color="auto" w:fill="auto"/>
          </w:tcPr>
          <w:p w14:paraId="406089CF" w14:textId="7AD5BC6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 descripción de la tecnología que se utilizará para la adquisición de datos;</w:t>
            </w:r>
          </w:p>
        </w:tc>
        <w:tc>
          <w:tcPr>
            <w:tcW w:w="4788" w:type="dxa"/>
            <w:shd w:val="clear" w:color="auto" w:fill="auto"/>
          </w:tcPr>
          <w:p w14:paraId="3C6AC17E" w14:textId="1263791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description of the technology that will be used for data acquisition;</w:t>
            </w:r>
          </w:p>
        </w:tc>
      </w:tr>
      <w:tr w:rsidR="002C5E29" w:rsidRPr="000A5335" w14:paraId="317F08AE" w14:textId="668DD95C" w:rsidTr="00081E30">
        <w:tc>
          <w:tcPr>
            <w:tcW w:w="4788" w:type="dxa"/>
            <w:shd w:val="clear" w:color="auto" w:fill="auto"/>
          </w:tcPr>
          <w:p w14:paraId="0573408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AD88F69" w14:textId="281BB2E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D5C6183" w14:textId="1102AC0E" w:rsidTr="00081E30">
        <w:tc>
          <w:tcPr>
            <w:tcW w:w="4788" w:type="dxa"/>
            <w:shd w:val="clear" w:color="auto" w:fill="auto"/>
          </w:tcPr>
          <w:p w14:paraId="717CD74C" w14:textId="59C0C49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El análisis de riesgos técnicos para el caso de adquisición de datos en campo;</w:t>
            </w:r>
          </w:p>
        </w:tc>
        <w:tc>
          <w:tcPr>
            <w:tcW w:w="4788" w:type="dxa"/>
            <w:shd w:val="clear" w:color="auto" w:fill="auto"/>
          </w:tcPr>
          <w:p w14:paraId="2E8F40C5" w14:textId="3B60BAB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The analysis of technical risks in the case of data acquisition in the field;</w:t>
            </w:r>
          </w:p>
        </w:tc>
      </w:tr>
      <w:tr w:rsidR="002C5E29" w:rsidRPr="000A5335" w14:paraId="2CB7F2F0" w14:textId="48B49B6F" w:rsidTr="00081E30">
        <w:tc>
          <w:tcPr>
            <w:tcW w:w="4788" w:type="dxa"/>
            <w:shd w:val="clear" w:color="auto" w:fill="auto"/>
          </w:tcPr>
          <w:p w14:paraId="3C15D5C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3BBD14E" w14:textId="6543D02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234953C" w14:textId="67599153" w:rsidTr="00081E30">
        <w:tc>
          <w:tcPr>
            <w:tcW w:w="4788" w:type="dxa"/>
            <w:shd w:val="clear" w:color="auto" w:fill="auto"/>
          </w:tcPr>
          <w:p w14:paraId="27EFB662" w14:textId="2F885CC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sz w:val="16"/>
                <w:szCs w:val="16"/>
              </w:rPr>
              <w:t>V</w:t>
            </w:r>
            <w:r w:rsidRPr="00030FCB">
              <w:rPr>
                <w:rFonts w:ascii="Verdana" w:hAnsi="Verdana"/>
                <w:b/>
                <w:bCs/>
                <w:sz w:val="16"/>
                <w:szCs w:val="16"/>
              </w:rPr>
              <w:t>I.</w:t>
            </w:r>
            <w:r w:rsidRPr="00081E30">
              <w:rPr>
                <w:rFonts w:ascii="Verdana" w:hAnsi="Verdana"/>
                <w:bCs/>
                <w:sz w:val="16"/>
                <w:szCs w:val="16"/>
              </w:rPr>
              <w:t xml:space="preserve"> El programa de entrega de datos de campo, procesados, reprocesados y sus interpretaciones, según sea el caso;</w:t>
            </w:r>
          </w:p>
        </w:tc>
        <w:tc>
          <w:tcPr>
            <w:tcW w:w="4788" w:type="dxa"/>
            <w:shd w:val="clear" w:color="auto" w:fill="auto"/>
          </w:tcPr>
          <w:p w14:paraId="7228FDE2" w14:textId="0369CEF8"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program for the delivery of field data, processed, reprocessed and their interpretations, as the case may be;</w:t>
            </w:r>
          </w:p>
        </w:tc>
      </w:tr>
      <w:tr w:rsidR="002C5E29" w:rsidRPr="000A5335" w14:paraId="1642EE2B" w14:textId="29A0B40D" w:rsidTr="00081E30">
        <w:tc>
          <w:tcPr>
            <w:tcW w:w="4788" w:type="dxa"/>
            <w:shd w:val="clear" w:color="auto" w:fill="auto"/>
          </w:tcPr>
          <w:p w14:paraId="264DEB2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280E66" w14:textId="254446E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0A30A49" w14:textId="3CBD10F5" w:rsidTr="00081E30">
        <w:tc>
          <w:tcPr>
            <w:tcW w:w="4788" w:type="dxa"/>
            <w:shd w:val="clear" w:color="auto" w:fill="auto"/>
          </w:tcPr>
          <w:p w14:paraId="20B7A78A" w14:textId="67A9ADE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VII.</w:t>
            </w:r>
            <w:r w:rsidRPr="00081E30">
              <w:rPr>
                <w:rFonts w:ascii="Verdana" w:hAnsi="Verdana"/>
                <w:bCs/>
                <w:sz w:val="16"/>
                <w:szCs w:val="16"/>
              </w:rPr>
              <w:t xml:space="preserve"> La demás información que solicite la Comisión con base en la regulación que emita.</w:t>
            </w:r>
          </w:p>
        </w:tc>
        <w:tc>
          <w:tcPr>
            <w:tcW w:w="4788" w:type="dxa"/>
            <w:shd w:val="clear" w:color="auto" w:fill="auto"/>
          </w:tcPr>
          <w:p w14:paraId="3C405FCB" w14:textId="29309D9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VII.</w:t>
            </w:r>
            <w:r w:rsidRPr="00081E30">
              <w:rPr>
                <w:rFonts w:ascii="Verdana" w:hAnsi="Verdana" w:cs="Times New Roman"/>
                <w:bCs/>
                <w:sz w:val="16"/>
                <w:szCs w:val="16"/>
                <w:lang w:val="en-US"/>
              </w:rPr>
              <w:t xml:space="preserve"> Other information requested by the Commission based on the regulations issued.</w:t>
            </w:r>
          </w:p>
        </w:tc>
      </w:tr>
      <w:tr w:rsidR="002C5E29" w:rsidRPr="000A5335" w14:paraId="1005CCC0" w14:textId="0CA7D1F4" w:rsidTr="00081E30">
        <w:tc>
          <w:tcPr>
            <w:tcW w:w="4788" w:type="dxa"/>
            <w:shd w:val="clear" w:color="auto" w:fill="auto"/>
          </w:tcPr>
          <w:p w14:paraId="49CE725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D2E4400" w14:textId="4D1B31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38A499F" w14:textId="12F37CFC" w:rsidTr="00081E30">
        <w:tc>
          <w:tcPr>
            <w:tcW w:w="4788" w:type="dxa"/>
            <w:shd w:val="clear" w:color="auto" w:fill="auto"/>
          </w:tcPr>
          <w:p w14:paraId="498CA45C"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sz w:val="16"/>
                <w:szCs w:val="16"/>
              </w:rPr>
              <w:t>Artículo 7.-</w:t>
            </w:r>
            <w:r w:rsidRPr="00081E30">
              <w:rPr>
                <w:rFonts w:ascii="Verdana" w:hAnsi="Verdana"/>
                <w:bCs/>
                <w:sz w:val="16"/>
                <w:szCs w:val="16"/>
              </w:rPr>
              <w:t xml:space="preserve"> </w:t>
            </w:r>
            <w:r w:rsidRPr="00081E30">
              <w:rPr>
                <w:rFonts w:ascii="Verdana" w:hAnsi="Verdana"/>
                <w:bCs/>
                <w:color w:val="000000"/>
                <w:sz w:val="16"/>
                <w:szCs w:val="16"/>
              </w:rPr>
              <w:t xml:space="preserve">El aviso a que se refiere el último párrafo del artículo 37 de la Ley se sujetará a la regulación que al efecto emita la Comisión y deberá incluir lo previsto en las fracciones III a VII del artículo anterior. Esto último será aplicable solamente tratándose de </w:t>
            </w:r>
            <w:r w:rsidRPr="00081E30">
              <w:rPr>
                <w:rFonts w:ascii="Verdana" w:hAnsi="Verdana"/>
                <w:bCs/>
                <w:color w:val="000000"/>
                <w:sz w:val="16"/>
                <w:szCs w:val="16"/>
              </w:rPr>
              <w:lastRenderedPageBreak/>
              <w:t>actividades que en su totalidad se realicen dentro del Área de Asignación o el Área Contractual.</w:t>
            </w:r>
          </w:p>
        </w:tc>
        <w:tc>
          <w:tcPr>
            <w:tcW w:w="4788" w:type="dxa"/>
            <w:shd w:val="clear" w:color="auto" w:fill="auto"/>
          </w:tcPr>
          <w:p w14:paraId="220E7FE1" w14:textId="383F009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sz w:val="16"/>
                <w:szCs w:val="16"/>
                <w:lang w:val="en-US"/>
              </w:rPr>
              <w:lastRenderedPageBreak/>
              <w:t>Article 7.-</w:t>
            </w:r>
            <w:r w:rsidRPr="00081E30">
              <w:rPr>
                <w:rFonts w:ascii="Verdana" w:hAnsi="Verdana" w:cs="Times New Roman"/>
                <w:bCs/>
                <w:sz w:val="16"/>
                <w:szCs w:val="16"/>
                <w:lang w:val="en-US"/>
              </w:rPr>
              <w:t xml:space="preserve"> The notice referred to in the last paragraph of article 37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subject to the regulation issued by the Commission for this purpose and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include the provisions of sections III to VII of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The latter will be applicable only in the </w:t>
            </w:r>
            <w:r w:rsidRPr="00081E30">
              <w:rPr>
                <w:rFonts w:ascii="Verdana" w:hAnsi="Verdana" w:cs="Times New Roman"/>
                <w:bCs/>
                <w:sz w:val="16"/>
                <w:szCs w:val="16"/>
                <w:lang w:val="en-US"/>
              </w:rPr>
              <w:lastRenderedPageBreak/>
              <w:t xml:space="preserve">case of activities that are entirely carried out within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or the Contract Area. </w:t>
            </w:r>
          </w:p>
        </w:tc>
      </w:tr>
      <w:tr w:rsidR="002C5E29" w:rsidRPr="000A5335" w14:paraId="6B86BEB0" w14:textId="214C9449" w:rsidTr="00081E30">
        <w:tc>
          <w:tcPr>
            <w:tcW w:w="4788" w:type="dxa"/>
            <w:shd w:val="clear" w:color="auto" w:fill="auto"/>
          </w:tcPr>
          <w:p w14:paraId="5B37175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1E17B2E" w14:textId="3063462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7A357EDF" w14:textId="123F5234" w:rsidTr="00081E30">
        <w:tc>
          <w:tcPr>
            <w:tcW w:w="4788" w:type="dxa"/>
            <w:shd w:val="clear" w:color="auto" w:fill="auto"/>
          </w:tcPr>
          <w:p w14:paraId="2B4E6997" w14:textId="77777777" w:rsidR="002C5E29" w:rsidRPr="00030FCB" w:rsidRDefault="002C5E29" w:rsidP="002C5E29">
            <w:pPr>
              <w:pStyle w:val="ANOTACION"/>
              <w:spacing w:before="0" w:after="0" w:line="240" w:lineRule="auto"/>
              <w:rPr>
                <w:rFonts w:ascii="Verdana" w:hAnsi="Verdana" w:cs="Arial"/>
                <w:sz w:val="16"/>
                <w:szCs w:val="16"/>
              </w:rPr>
            </w:pPr>
            <w:r w:rsidRPr="00030FCB">
              <w:rPr>
                <w:rFonts w:ascii="Verdana" w:hAnsi="Verdana" w:cs="Arial"/>
                <w:sz w:val="16"/>
                <w:szCs w:val="16"/>
              </w:rPr>
              <w:t>Capítulo II</w:t>
            </w:r>
          </w:p>
        </w:tc>
        <w:tc>
          <w:tcPr>
            <w:tcW w:w="4788" w:type="dxa"/>
            <w:shd w:val="clear" w:color="auto" w:fill="auto"/>
          </w:tcPr>
          <w:p w14:paraId="22415B1A" w14:textId="6B868401" w:rsidR="002C5E29" w:rsidRPr="00030FCB" w:rsidRDefault="002C5E29" w:rsidP="002C5E29">
            <w:pPr>
              <w:pStyle w:val="ANOTACION"/>
              <w:spacing w:before="0" w:after="0" w:line="240" w:lineRule="auto"/>
              <w:rPr>
                <w:rFonts w:ascii="Verdana" w:hAnsi="Verdana" w:cs="Arial"/>
                <w:sz w:val="16"/>
                <w:szCs w:val="16"/>
                <w:lang w:val="en-US"/>
              </w:rPr>
            </w:pPr>
            <w:r w:rsidRPr="00030FCB">
              <w:rPr>
                <w:rFonts w:ascii="Verdana" w:hAnsi="Verdana"/>
                <w:sz w:val="16"/>
                <w:szCs w:val="16"/>
                <w:lang w:val="en-US"/>
              </w:rPr>
              <w:t>Chapter II</w:t>
            </w:r>
          </w:p>
        </w:tc>
      </w:tr>
      <w:tr w:rsidR="002C5E29" w:rsidRPr="003C1F6B" w14:paraId="542A2D85" w14:textId="4050AF7D" w:rsidTr="00081E30">
        <w:tc>
          <w:tcPr>
            <w:tcW w:w="4788" w:type="dxa"/>
            <w:shd w:val="clear" w:color="auto" w:fill="auto"/>
          </w:tcPr>
          <w:p w14:paraId="715139FA" w14:textId="77777777" w:rsidR="002C5E29" w:rsidRPr="00030FCB" w:rsidRDefault="002C5E29" w:rsidP="002C5E29">
            <w:pPr>
              <w:pStyle w:val="ANOTACION"/>
              <w:spacing w:before="0" w:after="0" w:line="240" w:lineRule="auto"/>
              <w:rPr>
                <w:rFonts w:ascii="Verdana" w:hAnsi="Verdana" w:cs="Arial"/>
                <w:sz w:val="16"/>
                <w:szCs w:val="16"/>
              </w:rPr>
            </w:pPr>
            <w:r w:rsidRPr="00030FCB">
              <w:rPr>
                <w:rFonts w:ascii="Verdana" w:hAnsi="Verdana" w:cs="Arial"/>
                <w:sz w:val="16"/>
                <w:szCs w:val="16"/>
              </w:rPr>
              <w:t>De las Asignaciones</w:t>
            </w:r>
          </w:p>
        </w:tc>
        <w:tc>
          <w:tcPr>
            <w:tcW w:w="4788" w:type="dxa"/>
            <w:shd w:val="clear" w:color="auto" w:fill="auto"/>
          </w:tcPr>
          <w:p w14:paraId="72692D57" w14:textId="7ACAF145" w:rsidR="002C5E29" w:rsidRPr="00030FCB"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030FCB">
              <w:rPr>
                <w:rFonts w:ascii="Verdana" w:hAnsi="Verdana"/>
                <w:sz w:val="16"/>
                <w:szCs w:val="16"/>
                <w:lang w:val="en-US"/>
              </w:rPr>
              <w:t xml:space="preserve"> Assignments</w:t>
            </w:r>
          </w:p>
        </w:tc>
      </w:tr>
      <w:tr w:rsidR="002C5E29" w:rsidRPr="003C1F6B" w14:paraId="216EB145" w14:textId="47FD6821" w:rsidTr="00081E30">
        <w:tc>
          <w:tcPr>
            <w:tcW w:w="4788" w:type="dxa"/>
            <w:shd w:val="clear" w:color="auto" w:fill="auto"/>
          </w:tcPr>
          <w:p w14:paraId="71213156"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5F9087D6" w14:textId="1862F816"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A1B8CEB" w14:textId="46B81261" w:rsidTr="00081E30">
        <w:tc>
          <w:tcPr>
            <w:tcW w:w="4788" w:type="dxa"/>
            <w:shd w:val="clear" w:color="auto" w:fill="auto"/>
          </w:tcPr>
          <w:p w14:paraId="2E9375D1" w14:textId="7777777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sz w:val="16"/>
                <w:szCs w:val="16"/>
              </w:rPr>
              <w:t>Artículo 8.-</w:t>
            </w:r>
            <w:r w:rsidRPr="00081E30">
              <w:rPr>
                <w:rFonts w:ascii="Verdana" w:hAnsi="Verdana"/>
                <w:bCs/>
                <w:sz w:val="16"/>
                <w:szCs w:val="16"/>
              </w:rPr>
              <w:t xml:space="preserve"> La Secretaría podrá otorgar, modificar y revocar, así como autorizar la cesión o la renuncia de Asignaciones para realizar la Exploración y Extracción a cualquier empresa productiva del Estado.</w:t>
            </w:r>
          </w:p>
        </w:tc>
        <w:tc>
          <w:tcPr>
            <w:tcW w:w="4788" w:type="dxa"/>
            <w:shd w:val="clear" w:color="auto" w:fill="auto"/>
          </w:tcPr>
          <w:p w14:paraId="1EA5F3D3" w14:textId="3CB2C39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sz w:val="16"/>
                <w:szCs w:val="16"/>
                <w:lang w:val="en-US"/>
              </w:rPr>
              <w:t>Article 8.-</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may grant, modify and revoke, as well as authorize the assignment or resignation of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ssignments to carry out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to any productive company of the State.</w:t>
            </w:r>
          </w:p>
        </w:tc>
      </w:tr>
      <w:tr w:rsidR="002C5E29" w:rsidRPr="000A5335" w14:paraId="3B721B3C" w14:textId="5F879E4C" w:rsidTr="00081E30">
        <w:tc>
          <w:tcPr>
            <w:tcW w:w="4788" w:type="dxa"/>
            <w:shd w:val="clear" w:color="auto" w:fill="auto"/>
          </w:tcPr>
          <w:p w14:paraId="3DFA03D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0D0AFBC" w14:textId="10AEB01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CE9AAE4" w14:textId="10F2AF3E" w:rsidTr="00081E30">
        <w:tc>
          <w:tcPr>
            <w:tcW w:w="4788" w:type="dxa"/>
            <w:shd w:val="clear" w:color="auto" w:fill="auto"/>
          </w:tcPr>
          <w:p w14:paraId="238B9541" w14:textId="77777777" w:rsidR="002C5E29" w:rsidRPr="00030FCB" w:rsidRDefault="002C5E29" w:rsidP="002C5E29">
            <w:pPr>
              <w:pStyle w:val="ANOTACION"/>
              <w:spacing w:before="0" w:after="0" w:line="240" w:lineRule="auto"/>
              <w:rPr>
                <w:rFonts w:ascii="Verdana" w:hAnsi="Verdana" w:cs="Arial"/>
                <w:sz w:val="16"/>
                <w:szCs w:val="16"/>
              </w:rPr>
            </w:pPr>
            <w:r w:rsidRPr="00030FCB">
              <w:rPr>
                <w:rFonts w:ascii="Verdana" w:hAnsi="Verdana" w:cs="Arial"/>
                <w:sz w:val="16"/>
                <w:szCs w:val="16"/>
              </w:rPr>
              <w:t>Sección Primera</w:t>
            </w:r>
          </w:p>
        </w:tc>
        <w:tc>
          <w:tcPr>
            <w:tcW w:w="4788" w:type="dxa"/>
            <w:shd w:val="clear" w:color="auto" w:fill="auto"/>
          </w:tcPr>
          <w:p w14:paraId="49399F63" w14:textId="18A5EBA6" w:rsidR="002C5E29" w:rsidRPr="00030FCB" w:rsidRDefault="002C5E29" w:rsidP="002C5E29">
            <w:pPr>
              <w:pStyle w:val="ANOTACION"/>
              <w:spacing w:before="0" w:after="0" w:line="240" w:lineRule="auto"/>
              <w:rPr>
                <w:rFonts w:ascii="Verdana" w:hAnsi="Verdana" w:cs="Arial"/>
                <w:sz w:val="16"/>
                <w:szCs w:val="16"/>
                <w:lang w:val="en-US"/>
              </w:rPr>
            </w:pPr>
            <w:r w:rsidRPr="00030FCB">
              <w:rPr>
                <w:rFonts w:ascii="Verdana" w:hAnsi="Verdana"/>
                <w:sz w:val="16"/>
                <w:szCs w:val="16"/>
                <w:lang w:val="en-US"/>
              </w:rPr>
              <w:t>First Section</w:t>
            </w:r>
          </w:p>
        </w:tc>
      </w:tr>
      <w:tr w:rsidR="002C5E29" w:rsidRPr="003C1F6B" w14:paraId="214725BE" w14:textId="42A465D7" w:rsidTr="00081E30">
        <w:tc>
          <w:tcPr>
            <w:tcW w:w="4788" w:type="dxa"/>
            <w:shd w:val="clear" w:color="auto" w:fill="auto"/>
          </w:tcPr>
          <w:p w14:paraId="6B4DC338" w14:textId="77777777" w:rsidR="002C5E29" w:rsidRPr="00030FCB" w:rsidRDefault="002C5E29" w:rsidP="002C5E29">
            <w:pPr>
              <w:pStyle w:val="ANOTACION"/>
              <w:spacing w:before="0" w:after="0" w:line="240" w:lineRule="auto"/>
              <w:rPr>
                <w:rFonts w:ascii="Verdana" w:hAnsi="Verdana" w:cs="Arial"/>
                <w:sz w:val="16"/>
                <w:szCs w:val="16"/>
              </w:rPr>
            </w:pPr>
            <w:r w:rsidRPr="00030FCB">
              <w:rPr>
                <w:rFonts w:ascii="Verdana" w:hAnsi="Verdana" w:cs="Arial"/>
                <w:sz w:val="16"/>
                <w:szCs w:val="16"/>
              </w:rPr>
              <w:t>Del Otorgamiento</w:t>
            </w:r>
          </w:p>
        </w:tc>
        <w:tc>
          <w:tcPr>
            <w:tcW w:w="4788" w:type="dxa"/>
            <w:shd w:val="clear" w:color="auto" w:fill="auto"/>
          </w:tcPr>
          <w:p w14:paraId="37E3D0E2" w14:textId="729741D6" w:rsidR="002C5E29" w:rsidRPr="00030FCB" w:rsidRDefault="002C5E29" w:rsidP="002C5E29">
            <w:pPr>
              <w:pStyle w:val="ANOTACION"/>
              <w:spacing w:before="0" w:after="0" w:line="240" w:lineRule="auto"/>
              <w:rPr>
                <w:rFonts w:ascii="Verdana" w:hAnsi="Verdana" w:cs="Arial"/>
                <w:sz w:val="16"/>
                <w:szCs w:val="16"/>
                <w:lang w:val="en-US"/>
              </w:rPr>
            </w:pPr>
            <w:r w:rsidRPr="00030FCB">
              <w:rPr>
                <w:rFonts w:ascii="Verdana" w:hAnsi="Verdana"/>
                <w:sz w:val="16"/>
                <w:szCs w:val="16"/>
                <w:lang w:val="en-US"/>
              </w:rPr>
              <w:t>Granting</w:t>
            </w:r>
          </w:p>
        </w:tc>
      </w:tr>
      <w:tr w:rsidR="002C5E29" w:rsidRPr="003C1F6B" w14:paraId="5D224B9C" w14:textId="39D13788" w:rsidTr="00081E30">
        <w:tc>
          <w:tcPr>
            <w:tcW w:w="4788" w:type="dxa"/>
            <w:shd w:val="clear" w:color="auto" w:fill="auto"/>
          </w:tcPr>
          <w:p w14:paraId="417FC12A"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2A4C368C" w14:textId="3C6A11AB"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31C6F9E" w14:textId="48D5600B" w:rsidTr="00081E30">
        <w:tc>
          <w:tcPr>
            <w:tcW w:w="4788" w:type="dxa"/>
            <w:shd w:val="clear" w:color="auto" w:fill="auto"/>
          </w:tcPr>
          <w:p w14:paraId="07BB9A55"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sz w:val="16"/>
                <w:szCs w:val="16"/>
              </w:rPr>
              <w:t>Artículo 9.-</w:t>
            </w:r>
            <w:r w:rsidRPr="00081E30">
              <w:rPr>
                <w:rFonts w:ascii="Verdana" w:hAnsi="Verdana"/>
                <w:bCs/>
                <w:sz w:val="16"/>
                <w:szCs w:val="16"/>
              </w:rPr>
              <w:t xml:space="preserve"> </w:t>
            </w:r>
            <w:r w:rsidRPr="00081E30">
              <w:rPr>
                <w:rFonts w:ascii="Verdana" w:hAnsi="Verdana"/>
                <w:bCs/>
                <w:color w:val="000000"/>
                <w:sz w:val="16"/>
                <w:szCs w:val="16"/>
              </w:rPr>
              <w:t>Los supuestos que tendrán el carácter de excepcionales a que se refiere el primer párrafo del artículo 6 de la Ley, para que la Secretaría pueda otorgar una Asignación sobre áreas en las que no se encuentren vigentes Contratos para la Exploración y Extracción serán los siguientes:</w:t>
            </w:r>
          </w:p>
        </w:tc>
        <w:tc>
          <w:tcPr>
            <w:tcW w:w="4788" w:type="dxa"/>
            <w:shd w:val="clear" w:color="auto" w:fill="auto"/>
          </w:tcPr>
          <w:p w14:paraId="3CD24EE7" w14:textId="1A7F286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sz w:val="16"/>
                <w:szCs w:val="16"/>
                <w:lang w:val="en-US"/>
              </w:rPr>
              <w:t>Article 9.-</w:t>
            </w:r>
            <w:r w:rsidRPr="00081E30">
              <w:rPr>
                <w:rFonts w:ascii="Verdana" w:hAnsi="Verdana" w:cs="Times New Roman"/>
                <w:bCs/>
                <w:sz w:val="16"/>
                <w:szCs w:val="16"/>
                <w:lang w:val="en-US"/>
              </w:rPr>
              <w:t xml:space="preserve"> The cases that will have the character of exceptional referred to in the first paragraph of article 6 of the Law, so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can grant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w:t>
            </w:r>
            <w:r>
              <w:rPr>
                <w:rFonts w:ascii="Verdana" w:hAnsi="Verdana" w:cs="Times New Roman"/>
                <w:bCs/>
                <w:sz w:val="16"/>
                <w:szCs w:val="16"/>
                <w:lang w:val="en-US"/>
              </w:rPr>
              <w:t>i</w:t>
            </w:r>
            <w:r w:rsidRPr="00081E30">
              <w:rPr>
                <w:rFonts w:ascii="Verdana" w:hAnsi="Verdana" w:cs="Times New Roman"/>
                <w:bCs/>
                <w:sz w:val="16"/>
                <w:szCs w:val="16"/>
                <w:lang w:val="en-US"/>
              </w:rPr>
              <w:t xml:space="preserve">n areas in which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 xml:space="preserve"> are not in force will be the following:</w:t>
            </w:r>
          </w:p>
        </w:tc>
      </w:tr>
      <w:tr w:rsidR="002C5E29" w:rsidRPr="000A5335" w14:paraId="634F2BF8" w14:textId="6B29C3A4" w:rsidTr="00081E30">
        <w:tc>
          <w:tcPr>
            <w:tcW w:w="4788" w:type="dxa"/>
            <w:shd w:val="clear" w:color="auto" w:fill="auto"/>
          </w:tcPr>
          <w:p w14:paraId="34F2D7D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C434E9C" w14:textId="1C1B2FD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C28204D" w14:textId="7D2B7D07" w:rsidTr="00081E30">
        <w:tc>
          <w:tcPr>
            <w:tcW w:w="4788" w:type="dxa"/>
            <w:shd w:val="clear" w:color="auto" w:fill="auto"/>
          </w:tcPr>
          <w:p w14:paraId="6F56B344" w14:textId="34DF08B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Se trate de una estructura geológica que se estima que contenga Recursos Prospectivos mayores a 2,000 millones de barriles de petróleo crudo equivalente y que se pueda incorporar como Reserva de forma eficiente con recursos propios de una empresa productiva del Estado;</w:t>
            </w:r>
          </w:p>
        </w:tc>
        <w:tc>
          <w:tcPr>
            <w:tcW w:w="4788" w:type="dxa"/>
            <w:shd w:val="clear" w:color="auto" w:fill="auto"/>
          </w:tcPr>
          <w:p w14:paraId="086864E4" w14:textId="52AB760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This is a geological structure that is estimated to contain </w:t>
            </w:r>
            <w:r>
              <w:rPr>
                <w:rFonts w:ascii="Verdana" w:hAnsi="Verdana" w:cs="Times New Roman"/>
                <w:bCs/>
                <w:sz w:val="16"/>
                <w:szCs w:val="16"/>
                <w:lang w:val="en-US"/>
              </w:rPr>
              <w:t>p</w:t>
            </w:r>
            <w:r w:rsidRPr="00081E30">
              <w:rPr>
                <w:rFonts w:ascii="Verdana" w:hAnsi="Verdana" w:cs="Times New Roman"/>
                <w:bCs/>
                <w:sz w:val="16"/>
                <w:szCs w:val="16"/>
                <w:lang w:val="en-US"/>
              </w:rPr>
              <w:t xml:space="preserve">rospective </w:t>
            </w:r>
            <w:r>
              <w:rPr>
                <w:rFonts w:ascii="Verdana" w:hAnsi="Verdana" w:cs="Times New Roman"/>
                <w:bCs/>
                <w:sz w:val="16"/>
                <w:szCs w:val="16"/>
                <w:lang w:val="en-US"/>
              </w:rPr>
              <w:t>r</w:t>
            </w:r>
            <w:r w:rsidRPr="00081E30">
              <w:rPr>
                <w:rFonts w:ascii="Verdana" w:hAnsi="Verdana" w:cs="Times New Roman"/>
                <w:bCs/>
                <w:sz w:val="16"/>
                <w:szCs w:val="16"/>
                <w:lang w:val="en-US"/>
              </w:rPr>
              <w:t xml:space="preserve">esources greater than 2,000 million barrels of </w:t>
            </w:r>
            <w:r>
              <w:rPr>
                <w:rFonts w:ascii="Verdana" w:hAnsi="Verdana" w:cs="Times New Roman"/>
                <w:bCs/>
                <w:sz w:val="16"/>
                <w:szCs w:val="16"/>
                <w:lang w:val="en-US"/>
              </w:rPr>
              <w:t xml:space="preserve">crude oil </w:t>
            </w:r>
            <w:r w:rsidRPr="00081E30">
              <w:rPr>
                <w:rFonts w:ascii="Verdana" w:hAnsi="Verdana" w:cs="Times New Roman"/>
                <w:bCs/>
                <w:sz w:val="16"/>
                <w:szCs w:val="16"/>
                <w:lang w:val="en-US"/>
              </w:rPr>
              <w:t xml:space="preserve">equivalent and that can be incorporated as a </w:t>
            </w:r>
            <w:r>
              <w:rPr>
                <w:rFonts w:ascii="Verdana" w:hAnsi="Verdana" w:cs="Times New Roman"/>
                <w:bCs/>
                <w:sz w:val="16"/>
                <w:szCs w:val="16"/>
                <w:lang w:val="en-US"/>
              </w:rPr>
              <w:t>r</w:t>
            </w:r>
            <w:r w:rsidRPr="00081E30">
              <w:rPr>
                <w:rFonts w:ascii="Verdana" w:hAnsi="Verdana" w:cs="Times New Roman"/>
                <w:bCs/>
                <w:sz w:val="16"/>
                <w:szCs w:val="16"/>
                <w:lang w:val="en-US"/>
              </w:rPr>
              <w:t>eserve efficiently with the resources of a State-owned productive company;</w:t>
            </w:r>
          </w:p>
        </w:tc>
      </w:tr>
      <w:tr w:rsidR="002C5E29" w:rsidRPr="000A5335" w14:paraId="00226E8D" w14:textId="27F32F4F" w:rsidTr="00081E30">
        <w:tc>
          <w:tcPr>
            <w:tcW w:w="4788" w:type="dxa"/>
            <w:shd w:val="clear" w:color="auto" w:fill="auto"/>
          </w:tcPr>
          <w:p w14:paraId="5A6C19B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6AB12F" w14:textId="6ACEA31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305B3C4" w14:textId="131C167E" w:rsidTr="00081E30">
        <w:tc>
          <w:tcPr>
            <w:tcW w:w="4788" w:type="dxa"/>
            <w:shd w:val="clear" w:color="auto" w:fill="auto"/>
          </w:tcPr>
          <w:p w14:paraId="43F7C321" w14:textId="1ADD25C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Se trate de un yacimiento en el que la empresa productiva del Estado cuente con capacidades técnicas, financieras y de ejecución superiores para extraer los Hidrocarburos de forma eficiente y competitiva al promedio del mercado;</w:t>
            </w:r>
          </w:p>
        </w:tc>
        <w:tc>
          <w:tcPr>
            <w:tcW w:w="4788" w:type="dxa"/>
            <w:shd w:val="clear" w:color="auto" w:fill="auto"/>
          </w:tcPr>
          <w:p w14:paraId="37979F04" w14:textId="0435816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This is a field in which the State's productive company has superior technical, financial and execution capabilities to extract </w:t>
            </w:r>
            <w:r>
              <w:rPr>
                <w:rFonts w:ascii="Verdana" w:hAnsi="Verdana" w:cs="Times New Roman"/>
                <w:bCs/>
                <w:sz w:val="16"/>
                <w:szCs w:val="16"/>
                <w:lang w:val="en-US"/>
              </w:rPr>
              <w:t>h</w:t>
            </w:r>
            <w:r w:rsidRPr="00081E30">
              <w:rPr>
                <w:rFonts w:ascii="Verdana" w:hAnsi="Verdana" w:cs="Times New Roman"/>
                <w:bCs/>
                <w:sz w:val="16"/>
                <w:szCs w:val="16"/>
                <w:lang w:val="en-US"/>
              </w:rPr>
              <w:t>ydrocarbons efficiently and competitively at the market average;</w:t>
            </w:r>
          </w:p>
        </w:tc>
      </w:tr>
      <w:tr w:rsidR="002C5E29" w:rsidRPr="000A5335" w14:paraId="6AF54BC9" w14:textId="4EBC1B9E" w:rsidTr="00081E30">
        <w:tc>
          <w:tcPr>
            <w:tcW w:w="4788" w:type="dxa"/>
            <w:shd w:val="clear" w:color="auto" w:fill="auto"/>
          </w:tcPr>
          <w:p w14:paraId="5CCE21D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7C5AF6" w14:textId="5EA9D74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42BD240" w14:textId="3ABA4BAF" w:rsidTr="00081E30">
        <w:tc>
          <w:tcPr>
            <w:tcW w:w="4788" w:type="dxa"/>
            <w:shd w:val="clear" w:color="auto" w:fill="auto"/>
          </w:tcPr>
          <w:p w14:paraId="5F694292" w14:textId="463163A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Cuando exista un área específica que presente las características idóneas para impulsar el desarrollo de alguna técnica o tecnología determinada para incrementar la incorporación de Reservas o el factor de recuperación;</w:t>
            </w:r>
          </w:p>
        </w:tc>
        <w:tc>
          <w:tcPr>
            <w:tcW w:w="4788" w:type="dxa"/>
            <w:shd w:val="clear" w:color="auto" w:fill="auto"/>
          </w:tcPr>
          <w:p w14:paraId="17F65AE2" w14:textId="77CF36E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When there is a specific area that presents the ideal characteristics to promote the development of a certain technique or technology to increase the incorporation of reserves or the recovery factor;</w:t>
            </w:r>
          </w:p>
        </w:tc>
      </w:tr>
      <w:tr w:rsidR="002C5E29" w:rsidRPr="000A5335" w14:paraId="7560D3AC" w14:textId="61094F90" w:rsidTr="00081E30">
        <w:tc>
          <w:tcPr>
            <w:tcW w:w="4788" w:type="dxa"/>
            <w:shd w:val="clear" w:color="auto" w:fill="auto"/>
          </w:tcPr>
          <w:p w14:paraId="002DBAB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D3E41BF" w14:textId="114D19A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8B3586C" w14:textId="186D0E96" w:rsidTr="00081E30">
        <w:tc>
          <w:tcPr>
            <w:tcW w:w="4788" w:type="dxa"/>
            <w:shd w:val="clear" w:color="auto" w:fill="auto"/>
          </w:tcPr>
          <w:p w14:paraId="1EA55B7C" w14:textId="3E15797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Cuando se rescinda administrativamente un Contrato para la Exploración y Extracción y sea necesario operar temporalmente en el Área Contractual, en tanto se adjudica una nueva Asignación o se licita un nuevo Contrato para la Exploración y Extracción, o</w:t>
            </w:r>
          </w:p>
        </w:tc>
        <w:tc>
          <w:tcPr>
            <w:tcW w:w="4788" w:type="dxa"/>
            <w:shd w:val="clear" w:color="auto" w:fill="auto"/>
          </w:tcPr>
          <w:p w14:paraId="2AD54DEF" w14:textId="221C7DF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When an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is administratively terminated and it is necessary to operate temporarily in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 while a new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is awarded or a new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ontract is tendered, or</w:t>
            </w:r>
          </w:p>
        </w:tc>
      </w:tr>
      <w:tr w:rsidR="002C5E29" w:rsidRPr="000A5335" w14:paraId="688929C5" w14:textId="541BA190" w:rsidTr="00081E30">
        <w:tc>
          <w:tcPr>
            <w:tcW w:w="4788" w:type="dxa"/>
            <w:shd w:val="clear" w:color="auto" w:fill="auto"/>
          </w:tcPr>
          <w:p w14:paraId="2353FFC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312060D" w14:textId="223C3AA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63FC586" w14:textId="257EFA6A" w:rsidTr="00081E30">
        <w:tc>
          <w:tcPr>
            <w:tcW w:w="4788" w:type="dxa"/>
            <w:shd w:val="clear" w:color="auto" w:fill="auto"/>
          </w:tcPr>
          <w:p w14:paraId="711463A6" w14:textId="13269A8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Cualquier otro caso en el que la Secretaría determine que la Asignación es el mecanismo más adecuado para el interés del Estado en términos de producción y garantía de abasto de Hidrocarburos y considerando el retorno económico y social de la Asignación.</w:t>
            </w:r>
          </w:p>
        </w:tc>
        <w:tc>
          <w:tcPr>
            <w:tcW w:w="4788" w:type="dxa"/>
            <w:shd w:val="clear" w:color="auto" w:fill="auto"/>
          </w:tcPr>
          <w:p w14:paraId="1359783F" w14:textId="4C77EC1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Any other case in which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that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is the most appropriate mechanism for the State's interest in terms of production and guarantee of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ydrocarbons supply and considering the economic and social return of the </w:t>
            </w:r>
            <w:r>
              <w:rPr>
                <w:rFonts w:ascii="Verdana" w:hAnsi="Verdana" w:cs="Times New Roman"/>
                <w:bCs/>
                <w:sz w:val="16"/>
                <w:szCs w:val="16"/>
                <w:lang w:val="en-US"/>
              </w:rPr>
              <w:t>a</w:t>
            </w:r>
            <w:r w:rsidRPr="00081E30">
              <w:rPr>
                <w:rFonts w:ascii="Verdana" w:hAnsi="Verdana" w:cs="Times New Roman"/>
                <w:bCs/>
                <w:sz w:val="16"/>
                <w:szCs w:val="16"/>
                <w:lang w:val="en-US"/>
              </w:rPr>
              <w:t>ssignment.</w:t>
            </w:r>
          </w:p>
        </w:tc>
      </w:tr>
      <w:tr w:rsidR="002C5E29" w:rsidRPr="000A5335" w14:paraId="020D560F" w14:textId="6A66C427" w:rsidTr="00081E30">
        <w:tc>
          <w:tcPr>
            <w:tcW w:w="4788" w:type="dxa"/>
            <w:shd w:val="clear" w:color="auto" w:fill="auto"/>
          </w:tcPr>
          <w:p w14:paraId="4789870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3800003" w14:textId="37747D6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7EAF57A" w14:textId="608D1F85" w:rsidTr="00081E30">
        <w:tc>
          <w:tcPr>
            <w:tcW w:w="4788" w:type="dxa"/>
            <w:shd w:val="clear" w:color="auto" w:fill="auto"/>
          </w:tcPr>
          <w:p w14:paraId="54AB3A5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Cuando la Secretaría determine otorgar una Asignación por alguno de los supuestos a que se refiere este artículo, deberá motivar que se trata del mecanismo más adecuado para el interés del Estado en términos de producción y garantía de abasto de Hidrocarburos y que el Asignatario tiene la capacidad técnica, financiera y de ejecución para extraer los Hidrocarburos de forma eficiente y competitiva.</w:t>
            </w:r>
          </w:p>
        </w:tc>
        <w:tc>
          <w:tcPr>
            <w:tcW w:w="4788" w:type="dxa"/>
            <w:shd w:val="clear" w:color="auto" w:fill="auto"/>
          </w:tcPr>
          <w:p w14:paraId="20FF2682" w14:textId="7DD6C27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When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to grant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for any of the assumptions referred to in this article, it must provide that it is the most appropriate mechanism for the State's interest in terms of production and guarantee of </w:t>
            </w:r>
            <w:r>
              <w:rPr>
                <w:rFonts w:ascii="Verdana" w:hAnsi="Verdana" w:cs="Times New Roman"/>
                <w:bCs/>
                <w:sz w:val="16"/>
                <w:szCs w:val="16"/>
                <w:lang w:val="en-US"/>
              </w:rPr>
              <w:t>h</w:t>
            </w:r>
            <w:r w:rsidRPr="00081E30">
              <w:rPr>
                <w:rFonts w:ascii="Verdana" w:hAnsi="Verdana" w:cs="Times New Roman"/>
                <w:bCs/>
                <w:sz w:val="16"/>
                <w:szCs w:val="16"/>
                <w:lang w:val="en-US"/>
              </w:rPr>
              <w:t>ydrocarbons supply and that the Assignee has the capacity technical, financial and execution to extract hydrocarbons efficiently and competitively.</w:t>
            </w:r>
          </w:p>
        </w:tc>
      </w:tr>
      <w:tr w:rsidR="002C5E29" w:rsidRPr="000A5335" w14:paraId="4E174A13" w14:textId="7774FFFF" w:rsidTr="00081E30">
        <w:tc>
          <w:tcPr>
            <w:tcW w:w="4788" w:type="dxa"/>
            <w:shd w:val="clear" w:color="auto" w:fill="auto"/>
          </w:tcPr>
          <w:p w14:paraId="1BD825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E8DD15F" w14:textId="10B41FF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CB568DF" w14:textId="01A60D8C" w:rsidTr="00081E30">
        <w:tc>
          <w:tcPr>
            <w:tcW w:w="4788" w:type="dxa"/>
            <w:shd w:val="clear" w:color="auto" w:fill="auto"/>
          </w:tcPr>
          <w:p w14:paraId="6E81981C"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A3619">
              <w:rPr>
                <w:rFonts w:ascii="Verdana" w:hAnsi="Verdana"/>
                <w:b/>
                <w:sz w:val="16"/>
                <w:szCs w:val="16"/>
              </w:rPr>
              <w:t>Artículo 10.-</w:t>
            </w:r>
            <w:r w:rsidRPr="00081E30">
              <w:rPr>
                <w:rFonts w:ascii="Verdana" w:hAnsi="Verdana"/>
                <w:bCs/>
                <w:sz w:val="16"/>
                <w:szCs w:val="16"/>
              </w:rPr>
              <w:t xml:space="preserve"> </w:t>
            </w:r>
            <w:r w:rsidRPr="00081E30">
              <w:rPr>
                <w:rFonts w:ascii="Verdana" w:hAnsi="Verdana"/>
                <w:bCs/>
                <w:color w:val="000000"/>
                <w:sz w:val="16"/>
                <w:szCs w:val="16"/>
              </w:rPr>
              <w:t>La Secretaría remitirá a la Comisión la propuesta de Área de Asignación para que emita, en un plazo de veinte días hábiles, el dictamen técnico a que se refiere el artículo 6 de la Ley.</w:t>
            </w:r>
          </w:p>
        </w:tc>
        <w:tc>
          <w:tcPr>
            <w:tcW w:w="4788" w:type="dxa"/>
            <w:shd w:val="clear" w:color="auto" w:fill="auto"/>
          </w:tcPr>
          <w:p w14:paraId="5A6253C7" w14:textId="3E48CC63"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10.-</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forward to the Commission the assignment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to issue, within twenty working days, the technical opinion referred to in Article 6 of the Law.</w:t>
            </w:r>
          </w:p>
        </w:tc>
      </w:tr>
      <w:tr w:rsidR="002C5E29" w:rsidRPr="000A5335" w14:paraId="4FF08C61" w14:textId="0934E1AC" w:rsidTr="00081E30">
        <w:tc>
          <w:tcPr>
            <w:tcW w:w="4788" w:type="dxa"/>
            <w:shd w:val="clear" w:color="auto" w:fill="auto"/>
          </w:tcPr>
          <w:p w14:paraId="5685393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CC24366" w14:textId="0DA7BC2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3EADC9" w14:textId="53A07792" w:rsidTr="00081E30">
        <w:tc>
          <w:tcPr>
            <w:tcW w:w="4788" w:type="dxa"/>
            <w:shd w:val="clear" w:color="auto" w:fill="auto"/>
          </w:tcPr>
          <w:p w14:paraId="5A46552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color w:val="000000"/>
                <w:sz w:val="16"/>
                <w:szCs w:val="16"/>
              </w:rPr>
              <w:lastRenderedPageBreak/>
              <w:t>Para emitir su dictamen técnico, la Comisión podrá solicitar a la empresa productiva del Estado la información que considera necesaria para emitir dicho dictamen</w:t>
            </w:r>
            <w:r w:rsidRPr="00081E30">
              <w:rPr>
                <w:rFonts w:ascii="Verdana" w:hAnsi="Verdana"/>
                <w:bCs/>
                <w:sz w:val="16"/>
                <w:szCs w:val="16"/>
              </w:rPr>
              <w:t>, la cual deberá ser remitida a la Comisión en un plazo de quince días hábiles.</w:t>
            </w:r>
          </w:p>
        </w:tc>
        <w:tc>
          <w:tcPr>
            <w:tcW w:w="4788" w:type="dxa"/>
            <w:shd w:val="clear" w:color="auto" w:fill="auto"/>
          </w:tcPr>
          <w:p w14:paraId="4E17FBDF" w14:textId="32F08ABB"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In order to issue its technical opinion, the Commission may request from the State productive company the information it deems necessary to issue said opinion, which must be sent to the Commission within fifteen business days.</w:t>
            </w:r>
          </w:p>
        </w:tc>
      </w:tr>
      <w:tr w:rsidR="002C5E29" w:rsidRPr="000A5335" w14:paraId="354082CF" w14:textId="09268011" w:rsidTr="00081E30">
        <w:tc>
          <w:tcPr>
            <w:tcW w:w="4788" w:type="dxa"/>
            <w:shd w:val="clear" w:color="auto" w:fill="auto"/>
          </w:tcPr>
          <w:p w14:paraId="1A9DDD5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50BCECA" w14:textId="659A84D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2623EB" w14:textId="5108E137" w:rsidTr="00081E30">
        <w:tc>
          <w:tcPr>
            <w:tcW w:w="4788" w:type="dxa"/>
            <w:shd w:val="clear" w:color="auto" w:fill="auto"/>
          </w:tcPr>
          <w:p w14:paraId="06E707E2" w14:textId="77777777" w:rsidR="002C5E29" w:rsidRPr="00081E30" w:rsidRDefault="002C5E29" w:rsidP="002C5E29">
            <w:pPr>
              <w:pStyle w:val="Texto"/>
              <w:spacing w:after="0" w:line="240" w:lineRule="auto"/>
              <w:ind w:firstLine="0"/>
              <w:rPr>
                <w:rFonts w:ascii="Verdana" w:hAnsi="Verdana"/>
                <w:bCs/>
                <w:sz w:val="16"/>
                <w:szCs w:val="16"/>
              </w:rPr>
            </w:pPr>
            <w:r w:rsidRPr="00BA3619">
              <w:rPr>
                <w:rFonts w:ascii="Verdana" w:hAnsi="Verdana"/>
                <w:b/>
                <w:sz w:val="16"/>
                <w:szCs w:val="16"/>
              </w:rPr>
              <w:t>Artículo 11.-</w:t>
            </w:r>
            <w:r w:rsidRPr="00081E30">
              <w:rPr>
                <w:rFonts w:ascii="Verdana" w:hAnsi="Verdana"/>
                <w:bCs/>
                <w:sz w:val="16"/>
                <w:szCs w:val="16"/>
              </w:rPr>
              <w:t xml:space="preserve"> El dictamen técnico de la Comisión deberá contener, al menos, lo siguiente:</w:t>
            </w:r>
          </w:p>
        </w:tc>
        <w:tc>
          <w:tcPr>
            <w:tcW w:w="4788" w:type="dxa"/>
            <w:shd w:val="clear" w:color="auto" w:fill="auto"/>
          </w:tcPr>
          <w:p w14:paraId="5CB4DFE8" w14:textId="73E68EA8"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11.-</w:t>
            </w:r>
            <w:r w:rsidRPr="00081E30">
              <w:rPr>
                <w:rFonts w:ascii="Verdana" w:hAnsi="Verdana" w:cs="Times New Roman"/>
                <w:bCs/>
                <w:sz w:val="16"/>
                <w:szCs w:val="16"/>
                <w:lang w:val="en-US"/>
              </w:rPr>
              <w:t xml:space="preserve"> The technical opinion of the Commission must contain at least the following:</w:t>
            </w:r>
          </w:p>
        </w:tc>
      </w:tr>
      <w:tr w:rsidR="002C5E29" w:rsidRPr="000A5335" w14:paraId="2C3ACA5D" w14:textId="21FEBAD3" w:rsidTr="00081E30">
        <w:tc>
          <w:tcPr>
            <w:tcW w:w="4788" w:type="dxa"/>
            <w:shd w:val="clear" w:color="auto" w:fill="auto"/>
          </w:tcPr>
          <w:p w14:paraId="1A3CDEC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451E793" w14:textId="6EFBB47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303A1B0" w14:textId="152DD1B7" w:rsidTr="00081E30">
        <w:tc>
          <w:tcPr>
            <w:tcW w:w="4788" w:type="dxa"/>
            <w:shd w:val="clear" w:color="auto" w:fill="auto"/>
          </w:tcPr>
          <w:p w14:paraId="66721E5C" w14:textId="39D0985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opinión de la Comisión que incluirá, cuando menos, el análisis sobre el cumplimiento de alguno de los supuestos previstos en el artículo 6 de este Reglamento, y</w:t>
            </w:r>
          </w:p>
        </w:tc>
        <w:tc>
          <w:tcPr>
            <w:tcW w:w="4788" w:type="dxa"/>
            <w:shd w:val="clear" w:color="auto" w:fill="auto"/>
          </w:tcPr>
          <w:p w14:paraId="19D30EC2" w14:textId="70AD9D7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opinion of the Commission that will include, at least, the analysis of compliance with any of the cases provided for in Article 6 of </w:t>
            </w:r>
            <w:r>
              <w:rPr>
                <w:rFonts w:ascii="Verdana" w:hAnsi="Verdana" w:cs="Times New Roman"/>
                <w:bCs/>
                <w:sz w:val="16"/>
                <w:szCs w:val="16"/>
                <w:lang w:val="en-US"/>
              </w:rPr>
              <w:t>this Regulation</w:t>
            </w:r>
            <w:r w:rsidRPr="00081E30">
              <w:rPr>
                <w:rFonts w:ascii="Verdana" w:hAnsi="Verdana" w:cs="Times New Roman"/>
                <w:bCs/>
                <w:sz w:val="16"/>
                <w:szCs w:val="16"/>
                <w:lang w:val="en-US"/>
              </w:rPr>
              <w:t>, and</w:t>
            </w:r>
          </w:p>
        </w:tc>
      </w:tr>
      <w:tr w:rsidR="002C5E29" w:rsidRPr="000A5335" w14:paraId="3599A1D6" w14:textId="50E9E192" w:rsidTr="00081E30">
        <w:tc>
          <w:tcPr>
            <w:tcW w:w="4788" w:type="dxa"/>
            <w:shd w:val="clear" w:color="auto" w:fill="auto"/>
          </w:tcPr>
          <w:p w14:paraId="7D5EB6D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7F879D" w14:textId="523E665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526758F" w14:textId="32826941" w:rsidTr="00081E30">
        <w:tc>
          <w:tcPr>
            <w:tcW w:w="4788" w:type="dxa"/>
            <w:shd w:val="clear" w:color="auto" w:fill="auto"/>
          </w:tcPr>
          <w:p w14:paraId="61E26415" w14:textId="5DDE78B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En su caso, el ajuste a la propuesta de Área de Asignación enviada por la Secretaría.</w:t>
            </w:r>
          </w:p>
        </w:tc>
        <w:tc>
          <w:tcPr>
            <w:tcW w:w="4788" w:type="dxa"/>
            <w:shd w:val="clear" w:color="auto" w:fill="auto"/>
          </w:tcPr>
          <w:p w14:paraId="500CA693" w14:textId="027072E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Where appropriate, the adjustment to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proposal submitted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0A39E259" w14:textId="105F2594" w:rsidTr="00081E30">
        <w:tc>
          <w:tcPr>
            <w:tcW w:w="4788" w:type="dxa"/>
            <w:shd w:val="clear" w:color="auto" w:fill="auto"/>
          </w:tcPr>
          <w:p w14:paraId="6F78D96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D315FE1" w14:textId="0805254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3128490" w14:textId="5A380EA8" w:rsidTr="00081E30">
        <w:tc>
          <w:tcPr>
            <w:tcW w:w="4788" w:type="dxa"/>
            <w:shd w:val="clear" w:color="auto" w:fill="auto"/>
          </w:tcPr>
          <w:p w14:paraId="69AD2933"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A3619">
              <w:rPr>
                <w:rFonts w:ascii="Verdana" w:hAnsi="Verdana"/>
                <w:b/>
                <w:sz w:val="16"/>
                <w:szCs w:val="16"/>
              </w:rPr>
              <w:t>Artículo 12.-</w:t>
            </w:r>
            <w:r w:rsidRPr="00081E30">
              <w:rPr>
                <w:rFonts w:ascii="Verdana" w:hAnsi="Verdana"/>
                <w:bCs/>
                <w:sz w:val="16"/>
                <w:szCs w:val="16"/>
              </w:rPr>
              <w:t xml:space="preserve"> </w:t>
            </w:r>
            <w:r w:rsidRPr="00081E30">
              <w:rPr>
                <w:rFonts w:ascii="Verdana" w:hAnsi="Verdana"/>
                <w:bCs/>
                <w:color w:val="000000"/>
                <w:sz w:val="16"/>
                <w:szCs w:val="16"/>
              </w:rPr>
              <w:t>La Secretaría resolverá sobre el otorgamiento de la Asignación dentro de los quince días hábiles siguientes a la recepción del dictamen técnico emitido por la Comisión.</w:t>
            </w:r>
          </w:p>
        </w:tc>
        <w:tc>
          <w:tcPr>
            <w:tcW w:w="4788" w:type="dxa"/>
            <w:shd w:val="clear" w:color="auto" w:fill="auto"/>
          </w:tcPr>
          <w:p w14:paraId="33972DA8" w14:textId="3BEF941F"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decide on the granting of the Assignment within fifteen business days following the receipt of the technical opinion issued by the Commission.</w:t>
            </w:r>
          </w:p>
        </w:tc>
      </w:tr>
      <w:tr w:rsidR="002C5E29" w:rsidRPr="000A5335" w14:paraId="4F9C353E" w14:textId="49BF4BB7" w:rsidTr="00081E30">
        <w:tc>
          <w:tcPr>
            <w:tcW w:w="4788" w:type="dxa"/>
            <w:shd w:val="clear" w:color="auto" w:fill="auto"/>
          </w:tcPr>
          <w:p w14:paraId="6874458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AC88279" w14:textId="2FAB57D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B66F0E8" w14:textId="09423161" w:rsidTr="00081E30">
        <w:tc>
          <w:tcPr>
            <w:tcW w:w="4788" w:type="dxa"/>
            <w:shd w:val="clear" w:color="auto" w:fill="auto"/>
          </w:tcPr>
          <w:p w14:paraId="36B36643" w14:textId="77777777" w:rsidR="002C5E29" w:rsidRPr="00081E30" w:rsidRDefault="002C5E29" w:rsidP="002C5E29">
            <w:pPr>
              <w:pStyle w:val="Texto"/>
              <w:spacing w:after="0" w:line="240" w:lineRule="auto"/>
              <w:ind w:firstLine="0"/>
              <w:rPr>
                <w:rFonts w:ascii="Verdana" w:hAnsi="Verdana"/>
                <w:bCs/>
                <w:sz w:val="16"/>
                <w:szCs w:val="16"/>
              </w:rPr>
            </w:pPr>
            <w:r w:rsidRPr="00BA3619">
              <w:rPr>
                <w:rFonts w:ascii="Verdana" w:hAnsi="Verdana"/>
                <w:b/>
                <w:sz w:val="16"/>
                <w:szCs w:val="16"/>
              </w:rPr>
              <w:t>Artículo 13.-</w:t>
            </w:r>
            <w:r w:rsidRPr="00081E30">
              <w:rPr>
                <w:rFonts w:ascii="Verdana" w:hAnsi="Verdana"/>
                <w:bCs/>
                <w:sz w:val="16"/>
                <w:szCs w:val="16"/>
              </w:rPr>
              <w:t xml:space="preserve"> La Secretaría establecerá en el título de Asignación los siguientes términos y condiciones:</w:t>
            </w:r>
          </w:p>
        </w:tc>
        <w:tc>
          <w:tcPr>
            <w:tcW w:w="4788" w:type="dxa"/>
            <w:shd w:val="clear" w:color="auto" w:fill="auto"/>
          </w:tcPr>
          <w:p w14:paraId="4B6D0C69" w14:textId="35AB77B4"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13.-</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establish in the </w:t>
            </w:r>
            <w:r>
              <w:rPr>
                <w:rFonts w:ascii="Verdana" w:hAnsi="Verdana" w:cs="Times New Roman"/>
                <w:bCs/>
                <w:sz w:val="16"/>
                <w:szCs w:val="16"/>
                <w:lang w:val="en-US"/>
              </w:rPr>
              <w:t>a</w:t>
            </w:r>
            <w:r w:rsidRPr="00081E30">
              <w:rPr>
                <w:rFonts w:ascii="Verdana" w:hAnsi="Verdana" w:cs="Times New Roman"/>
                <w:bCs/>
                <w:sz w:val="16"/>
                <w:szCs w:val="16"/>
                <w:lang w:val="en-US"/>
              </w:rPr>
              <w:t>ssignment title the following terms and conditions:</w:t>
            </w:r>
          </w:p>
        </w:tc>
      </w:tr>
      <w:tr w:rsidR="002C5E29" w:rsidRPr="000A5335" w14:paraId="1E19A0DA" w14:textId="3181FE7F" w:rsidTr="00081E30">
        <w:tc>
          <w:tcPr>
            <w:tcW w:w="4788" w:type="dxa"/>
            <w:shd w:val="clear" w:color="auto" w:fill="auto"/>
          </w:tcPr>
          <w:p w14:paraId="5734C29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30D2C9F" w14:textId="1CAE70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6E23AFB" w14:textId="0B75AB7A" w:rsidTr="00081E30">
        <w:tc>
          <w:tcPr>
            <w:tcW w:w="4788" w:type="dxa"/>
            <w:shd w:val="clear" w:color="auto" w:fill="auto"/>
          </w:tcPr>
          <w:p w14:paraId="583C930D" w14:textId="5D163D8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Descripción de los trabajos de Exploración y sus períodos, en su caso;</w:t>
            </w:r>
          </w:p>
        </w:tc>
        <w:tc>
          <w:tcPr>
            <w:tcW w:w="4788" w:type="dxa"/>
            <w:shd w:val="clear" w:color="auto" w:fill="auto"/>
          </w:tcPr>
          <w:p w14:paraId="3C402762" w14:textId="3BE3C6F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Description of the </w:t>
            </w:r>
            <w:r>
              <w:rPr>
                <w:rFonts w:ascii="Verdana" w:hAnsi="Verdana" w:cs="Times New Roman"/>
                <w:bCs/>
                <w:sz w:val="16"/>
                <w:szCs w:val="16"/>
                <w:lang w:val="en-US"/>
              </w:rPr>
              <w:t>e</w:t>
            </w:r>
            <w:r w:rsidRPr="00081E30">
              <w:rPr>
                <w:rFonts w:ascii="Verdana" w:hAnsi="Verdana" w:cs="Times New Roman"/>
                <w:bCs/>
                <w:sz w:val="16"/>
                <w:szCs w:val="16"/>
                <w:lang w:val="en-US"/>
              </w:rPr>
              <w:t>xploration works and their periods, if applicable;</w:t>
            </w:r>
          </w:p>
        </w:tc>
      </w:tr>
      <w:tr w:rsidR="002C5E29" w:rsidRPr="000A5335" w14:paraId="4B2B4C1D" w14:textId="0433C00F" w:rsidTr="00081E30">
        <w:tc>
          <w:tcPr>
            <w:tcW w:w="4788" w:type="dxa"/>
            <w:shd w:val="clear" w:color="auto" w:fill="auto"/>
          </w:tcPr>
          <w:p w14:paraId="4FFD802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05BB0AD" w14:textId="616952F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BF2A0CB" w14:textId="6895C3A6" w:rsidTr="00081E30">
        <w:tc>
          <w:tcPr>
            <w:tcW w:w="4788" w:type="dxa"/>
            <w:shd w:val="clear" w:color="auto" w:fill="auto"/>
          </w:tcPr>
          <w:p w14:paraId="5713C17C" w14:textId="591D6B9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Descripción de los trabajos de Extracción y sus períodos, en su caso, y</w:t>
            </w:r>
          </w:p>
        </w:tc>
        <w:tc>
          <w:tcPr>
            <w:tcW w:w="4788" w:type="dxa"/>
            <w:shd w:val="clear" w:color="auto" w:fill="auto"/>
          </w:tcPr>
          <w:p w14:paraId="547F993C" w14:textId="66BC4F3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Description of the </w:t>
            </w:r>
            <w:r>
              <w:rPr>
                <w:rFonts w:ascii="Verdana" w:hAnsi="Verdana" w:cs="Times New Roman"/>
                <w:bCs/>
                <w:sz w:val="16"/>
                <w:szCs w:val="16"/>
                <w:lang w:val="en-US"/>
              </w:rPr>
              <w:t>e</w:t>
            </w:r>
            <w:r w:rsidRPr="00081E30">
              <w:rPr>
                <w:rFonts w:ascii="Verdana" w:hAnsi="Verdana" w:cs="Times New Roman"/>
                <w:bCs/>
                <w:sz w:val="16"/>
                <w:szCs w:val="16"/>
                <w:lang w:val="en-US"/>
              </w:rPr>
              <w:t>xtraction works and their periods, if applicable, and</w:t>
            </w:r>
          </w:p>
        </w:tc>
      </w:tr>
      <w:tr w:rsidR="002C5E29" w:rsidRPr="000A5335" w14:paraId="64A56099" w14:textId="3E267C26" w:rsidTr="00081E30">
        <w:tc>
          <w:tcPr>
            <w:tcW w:w="4788" w:type="dxa"/>
            <w:shd w:val="clear" w:color="auto" w:fill="auto"/>
          </w:tcPr>
          <w:p w14:paraId="160F51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575801D" w14:textId="6B6F8DF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6CB8FFA" w14:textId="67C0CF38" w:rsidTr="00081E30">
        <w:tc>
          <w:tcPr>
            <w:tcW w:w="4788" w:type="dxa"/>
            <w:shd w:val="clear" w:color="auto" w:fill="auto"/>
          </w:tcPr>
          <w:p w14:paraId="3777B79B" w14:textId="374BFEB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Los demás que establezca la Secretaría.</w:t>
            </w:r>
          </w:p>
        </w:tc>
        <w:tc>
          <w:tcPr>
            <w:tcW w:w="4788" w:type="dxa"/>
            <w:shd w:val="clear" w:color="auto" w:fill="auto"/>
          </w:tcPr>
          <w:p w14:paraId="6ADA8CC1" w14:textId="22060E0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others established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3CB78C82" w14:textId="5D56BA27" w:rsidTr="00081E30">
        <w:tc>
          <w:tcPr>
            <w:tcW w:w="4788" w:type="dxa"/>
            <w:shd w:val="clear" w:color="auto" w:fill="auto"/>
          </w:tcPr>
          <w:p w14:paraId="4A5F150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33055B0" w14:textId="636DDFE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3C5B7C7" w14:textId="505433E0" w:rsidTr="00081E30">
        <w:tc>
          <w:tcPr>
            <w:tcW w:w="4788" w:type="dxa"/>
            <w:shd w:val="clear" w:color="auto" w:fill="auto"/>
          </w:tcPr>
          <w:p w14:paraId="68962992" w14:textId="77777777" w:rsidR="002C5E29" w:rsidRPr="00081E30" w:rsidRDefault="002C5E29" w:rsidP="002C5E29">
            <w:pPr>
              <w:pStyle w:val="Texto"/>
              <w:spacing w:after="0" w:line="240" w:lineRule="auto"/>
              <w:ind w:firstLine="0"/>
              <w:rPr>
                <w:rFonts w:ascii="Verdana" w:hAnsi="Verdana"/>
                <w:bCs/>
                <w:sz w:val="16"/>
                <w:szCs w:val="16"/>
              </w:rPr>
            </w:pPr>
            <w:r w:rsidRPr="00BA3619">
              <w:rPr>
                <w:rFonts w:ascii="Verdana" w:hAnsi="Verdana"/>
                <w:b/>
                <w:sz w:val="16"/>
                <w:szCs w:val="16"/>
              </w:rPr>
              <w:t>Artículo 14.-</w:t>
            </w:r>
            <w:r w:rsidRPr="00081E30">
              <w:rPr>
                <w:rFonts w:ascii="Verdana" w:hAnsi="Verdana"/>
                <w:bCs/>
                <w:sz w:val="16"/>
                <w:szCs w:val="16"/>
              </w:rPr>
              <w:t xml:space="preserve"> La Secretaría deberá incluir en el título de Asignación el porcentaje mínimo de contenido nacional que establezca, con la opinión de la Secretaría de Economía, la cual deberá emitirse en un plazo de diez días hábiles.  Para la determinación del porcentaje mínimo de contenido nacional, la Secretaría deberá considerar que dicho porcentaje no genere ventajas indebidas que pudieran afectar la posición competitiva de Asignatarios o Contratistas.</w:t>
            </w:r>
          </w:p>
        </w:tc>
        <w:tc>
          <w:tcPr>
            <w:tcW w:w="4788" w:type="dxa"/>
            <w:shd w:val="clear" w:color="auto" w:fill="auto"/>
          </w:tcPr>
          <w:p w14:paraId="49570AA4" w14:textId="4BA9A2C9"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14.-</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include in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title the minimum percentage of national content that it establishes, with the opinion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which must be issued within ten working days. For the determination of the minimum percentage of national content,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consider that said percentage does not generate undue advantages that could affect the competitive position of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ontractors.</w:t>
            </w:r>
          </w:p>
        </w:tc>
      </w:tr>
      <w:tr w:rsidR="002C5E29" w:rsidRPr="000A5335" w14:paraId="2AA524A8" w14:textId="2B400F7E" w:rsidTr="00081E30">
        <w:tc>
          <w:tcPr>
            <w:tcW w:w="4788" w:type="dxa"/>
            <w:shd w:val="clear" w:color="auto" w:fill="auto"/>
          </w:tcPr>
          <w:p w14:paraId="3328432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39F2D6A" w14:textId="1FA7322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0BBB19" w14:textId="1C9E10C7" w:rsidTr="00081E30">
        <w:tc>
          <w:tcPr>
            <w:tcW w:w="4788" w:type="dxa"/>
            <w:shd w:val="clear" w:color="auto" w:fill="auto"/>
          </w:tcPr>
          <w:p w14:paraId="1C7C13AE"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A3619">
              <w:rPr>
                <w:rFonts w:ascii="Verdana" w:hAnsi="Verdana"/>
                <w:b/>
                <w:sz w:val="16"/>
                <w:szCs w:val="16"/>
              </w:rPr>
              <w:t>Artículo 15.-</w:t>
            </w:r>
            <w:r w:rsidRPr="00081E30">
              <w:rPr>
                <w:rFonts w:ascii="Verdana" w:hAnsi="Verdana"/>
                <w:bCs/>
                <w:sz w:val="16"/>
                <w:szCs w:val="16"/>
              </w:rPr>
              <w:t xml:space="preserve"> </w:t>
            </w:r>
            <w:r w:rsidRPr="00081E30">
              <w:rPr>
                <w:rFonts w:ascii="Verdana" w:hAnsi="Verdana"/>
                <w:bCs/>
                <w:color w:val="000000"/>
                <w:sz w:val="16"/>
                <w:szCs w:val="16"/>
              </w:rPr>
              <w:t>La Secretaría suscribirá el título de Asignación por triplicado y remitirá un tanto a la Comisión y otro a la empresa productiva del Estado de que se trate, así como una copia certificada del mismo a la Secretaría de Hacienda y Crédito Público. Asimismo, notificará al Fondo Mexicano del Petróleo la suscripción del título de Asignación, el día hábil siguiente a dicha suscripción.</w:t>
            </w:r>
          </w:p>
        </w:tc>
        <w:tc>
          <w:tcPr>
            <w:tcW w:w="4788" w:type="dxa"/>
            <w:shd w:val="clear" w:color="auto" w:fill="auto"/>
          </w:tcPr>
          <w:p w14:paraId="76F670E4" w14:textId="632E64E6"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subscribe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title in triplicate and will send both to the Commission and another to the productive company of the State in question, as well as a certified copy thereof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Likewise, it will notify the Mexican Petroleum Fund of the subscription of the </w:t>
            </w:r>
            <w:r>
              <w:rPr>
                <w:rFonts w:ascii="Verdana" w:hAnsi="Verdana" w:cs="Times New Roman"/>
                <w:bCs/>
                <w:sz w:val="16"/>
                <w:szCs w:val="16"/>
                <w:lang w:val="en-US"/>
              </w:rPr>
              <w:t>a</w:t>
            </w:r>
            <w:r w:rsidRPr="00081E30">
              <w:rPr>
                <w:rFonts w:ascii="Verdana" w:hAnsi="Verdana" w:cs="Times New Roman"/>
                <w:bCs/>
                <w:sz w:val="16"/>
                <w:szCs w:val="16"/>
                <w:lang w:val="en-US"/>
              </w:rPr>
              <w:t>ssignment title, on the business day following said subscription.</w:t>
            </w:r>
          </w:p>
        </w:tc>
      </w:tr>
      <w:tr w:rsidR="002C5E29" w:rsidRPr="000A5335" w14:paraId="36C6E67E" w14:textId="6755C96C" w:rsidTr="00081E30">
        <w:tc>
          <w:tcPr>
            <w:tcW w:w="4788" w:type="dxa"/>
            <w:shd w:val="clear" w:color="auto" w:fill="auto"/>
          </w:tcPr>
          <w:p w14:paraId="6015937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11D11F8" w14:textId="776A5E2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1C358270" w14:textId="334739DA" w:rsidTr="00081E30">
        <w:tc>
          <w:tcPr>
            <w:tcW w:w="4788" w:type="dxa"/>
            <w:shd w:val="clear" w:color="auto" w:fill="auto"/>
          </w:tcPr>
          <w:p w14:paraId="07853456" w14:textId="77777777" w:rsidR="002C5E29" w:rsidRPr="00BA3619" w:rsidRDefault="002C5E29" w:rsidP="002C5E29">
            <w:pPr>
              <w:pStyle w:val="ANOTACION"/>
              <w:spacing w:before="0" w:after="0" w:line="240" w:lineRule="auto"/>
              <w:rPr>
                <w:rFonts w:ascii="Verdana" w:hAnsi="Verdana" w:cs="Arial"/>
                <w:sz w:val="16"/>
                <w:szCs w:val="16"/>
              </w:rPr>
            </w:pPr>
            <w:r w:rsidRPr="00BA3619">
              <w:rPr>
                <w:rFonts w:ascii="Verdana" w:hAnsi="Verdana" w:cs="Arial"/>
                <w:sz w:val="16"/>
                <w:szCs w:val="16"/>
              </w:rPr>
              <w:t>Sección Segunda</w:t>
            </w:r>
          </w:p>
        </w:tc>
        <w:tc>
          <w:tcPr>
            <w:tcW w:w="4788" w:type="dxa"/>
            <w:shd w:val="clear" w:color="auto" w:fill="auto"/>
          </w:tcPr>
          <w:p w14:paraId="4E83231B" w14:textId="46A9E564" w:rsidR="002C5E29" w:rsidRPr="00BA3619" w:rsidRDefault="002C5E29" w:rsidP="002C5E29">
            <w:pPr>
              <w:pStyle w:val="ANOTACION"/>
              <w:spacing w:before="0" w:after="0" w:line="240" w:lineRule="auto"/>
              <w:rPr>
                <w:rFonts w:ascii="Verdana" w:hAnsi="Verdana" w:cs="Arial"/>
                <w:sz w:val="16"/>
                <w:szCs w:val="16"/>
                <w:lang w:val="en-US"/>
              </w:rPr>
            </w:pPr>
            <w:r w:rsidRPr="00BA3619">
              <w:rPr>
                <w:rFonts w:ascii="Verdana" w:hAnsi="Verdana"/>
                <w:sz w:val="16"/>
                <w:szCs w:val="16"/>
                <w:lang w:val="en-US"/>
              </w:rPr>
              <w:t>Second Section</w:t>
            </w:r>
          </w:p>
        </w:tc>
      </w:tr>
      <w:tr w:rsidR="002C5E29" w:rsidRPr="003C1F6B" w14:paraId="7D085A14" w14:textId="17E6A485" w:rsidTr="00081E30">
        <w:tc>
          <w:tcPr>
            <w:tcW w:w="4788" w:type="dxa"/>
            <w:shd w:val="clear" w:color="auto" w:fill="auto"/>
          </w:tcPr>
          <w:p w14:paraId="4BD9C932" w14:textId="77777777" w:rsidR="002C5E29" w:rsidRPr="00BA3619" w:rsidRDefault="002C5E29" w:rsidP="002C5E29">
            <w:pPr>
              <w:pStyle w:val="ANOTACION"/>
              <w:spacing w:before="0" w:after="0" w:line="240" w:lineRule="auto"/>
              <w:rPr>
                <w:rFonts w:ascii="Verdana" w:hAnsi="Verdana" w:cs="Arial"/>
                <w:sz w:val="16"/>
                <w:szCs w:val="16"/>
              </w:rPr>
            </w:pPr>
            <w:r w:rsidRPr="00BA3619">
              <w:rPr>
                <w:rFonts w:ascii="Verdana" w:hAnsi="Verdana" w:cs="Arial"/>
                <w:sz w:val="16"/>
                <w:szCs w:val="16"/>
              </w:rPr>
              <w:t>De la Modificación</w:t>
            </w:r>
          </w:p>
        </w:tc>
        <w:tc>
          <w:tcPr>
            <w:tcW w:w="4788" w:type="dxa"/>
            <w:shd w:val="clear" w:color="auto" w:fill="auto"/>
          </w:tcPr>
          <w:p w14:paraId="06423067" w14:textId="48835871" w:rsidR="002C5E29" w:rsidRPr="00BA3619" w:rsidRDefault="002C5E29" w:rsidP="002C5E29">
            <w:pPr>
              <w:pStyle w:val="ANOTACION"/>
              <w:spacing w:before="0" w:after="0" w:line="240" w:lineRule="auto"/>
              <w:rPr>
                <w:rFonts w:ascii="Verdana" w:hAnsi="Verdana" w:cs="Arial"/>
                <w:sz w:val="16"/>
                <w:szCs w:val="16"/>
                <w:lang w:val="en-US"/>
              </w:rPr>
            </w:pPr>
            <w:r w:rsidRPr="00BA3619">
              <w:rPr>
                <w:rFonts w:ascii="Verdana" w:hAnsi="Verdana"/>
                <w:sz w:val="16"/>
                <w:szCs w:val="16"/>
                <w:lang w:val="en-US"/>
              </w:rPr>
              <w:t>The Modification</w:t>
            </w:r>
          </w:p>
        </w:tc>
      </w:tr>
      <w:tr w:rsidR="002C5E29" w:rsidRPr="003C1F6B" w14:paraId="4A142DFF" w14:textId="344787BB" w:rsidTr="00081E30">
        <w:tc>
          <w:tcPr>
            <w:tcW w:w="4788" w:type="dxa"/>
            <w:shd w:val="clear" w:color="auto" w:fill="auto"/>
          </w:tcPr>
          <w:p w14:paraId="4474A614"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372EE022" w14:textId="58532659"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5F93E04" w14:textId="1C5951F8" w:rsidTr="00081E30">
        <w:tc>
          <w:tcPr>
            <w:tcW w:w="4788" w:type="dxa"/>
            <w:shd w:val="clear" w:color="auto" w:fill="auto"/>
          </w:tcPr>
          <w:p w14:paraId="03357C96" w14:textId="77777777" w:rsidR="002C5E29" w:rsidRPr="00081E30" w:rsidRDefault="002C5E29" w:rsidP="002C5E29">
            <w:pPr>
              <w:pStyle w:val="Texto"/>
              <w:spacing w:after="0" w:line="240" w:lineRule="auto"/>
              <w:ind w:firstLine="0"/>
              <w:rPr>
                <w:rFonts w:ascii="Verdana" w:hAnsi="Verdana"/>
                <w:bCs/>
                <w:color w:val="000000"/>
                <w:spacing w:val="-2"/>
                <w:sz w:val="16"/>
                <w:szCs w:val="16"/>
              </w:rPr>
            </w:pPr>
            <w:r w:rsidRPr="00BA3619">
              <w:rPr>
                <w:rFonts w:ascii="Verdana" w:hAnsi="Verdana"/>
                <w:b/>
                <w:sz w:val="16"/>
                <w:szCs w:val="16"/>
              </w:rPr>
              <w:t>Artículo 16.-</w:t>
            </w:r>
            <w:r w:rsidRPr="00081E30">
              <w:rPr>
                <w:rFonts w:ascii="Verdana" w:hAnsi="Verdana"/>
                <w:bCs/>
                <w:sz w:val="16"/>
                <w:szCs w:val="16"/>
              </w:rPr>
              <w:t xml:space="preserve"> </w:t>
            </w:r>
            <w:r w:rsidRPr="00081E30">
              <w:rPr>
                <w:rFonts w:ascii="Verdana" w:hAnsi="Verdana"/>
                <w:bCs/>
                <w:color w:val="000000"/>
                <w:spacing w:val="-2"/>
                <w:sz w:val="16"/>
                <w:szCs w:val="16"/>
              </w:rPr>
              <w:t>La Secretaría podrá modificar el título de Asignación y sus anexos, en los supuestos siguientes:</w:t>
            </w:r>
          </w:p>
        </w:tc>
        <w:tc>
          <w:tcPr>
            <w:tcW w:w="4788" w:type="dxa"/>
            <w:shd w:val="clear" w:color="auto" w:fill="auto"/>
          </w:tcPr>
          <w:p w14:paraId="29AA53DD" w14:textId="402FEFBB"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16.-</w:t>
            </w:r>
            <w:r w:rsidRPr="00081E30">
              <w:rPr>
                <w:rFonts w:ascii="Verdana" w:hAnsi="Verdana" w:cs="Times New Roman"/>
                <w:bCs/>
                <w:sz w:val="16"/>
                <w:szCs w:val="16"/>
                <w:lang w:val="en-US"/>
              </w:rPr>
              <w:t xml:space="preserve"> </w:t>
            </w:r>
            <w:r w:rsidRPr="00081E30">
              <w:rPr>
                <w:rFonts w:ascii="Verdana" w:hAnsi="Verdana" w:cs="Times New Roman"/>
                <w:bCs/>
                <w:spacing w:val="-2"/>
                <w:sz w:val="16"/>
                <w:szCs w:val="16"/>
                <w:lang w:val="en-US"/>
              </w:rPr>
              <w:t xml:space="preserve">The </w:t>
            </w:r>
            <w:r>
              <w:rPr>
                <w:rFonts w:ascii="Verdana" w:hAnsi="Verdana" w:cs="Times New Roman"/>
                <w:bCs/>
                <w:spacing w:val="-2"/>
                <w:sz w:val="16"/>
                <w:szCs w:val="16"/>
                <w:lang w:val="en-US"/>
              </w:rPr>
              <w:t>Secretary</w:t>
            </w:r>
            <w:r w:rsidRPr="00081E30">
              <w:rPr>
                <w:rFonts w:ascii="Verdana" w:hAnsi="Verdana" w:cs="Times New Roman"/>
                <w:bCs/>
                <w:spacing w:val="-2"/>
                <w:sz w:val="16"/>
                <w:szCs w:val="16"/>
                <w:lang w:val="en-US"/>
              </w:rPr>
              <w:t xml:space="preserve"> may modify the Assignment title and its annexes, in the following cases:</w:t>
            </w:r>
          </w:p>
        </w:tc>
      </w:tr>
      <w:tr w:rsidR="002C5E29" w:rsidRPr="000A5335" w14:paraId="113195B2" w14:textId="066004AE" w:rsidTr="00081E30">
        <w:tc>
          <w:tcPr>
            <w:tcW w:w="4788" w:type="dxa"/>
            <w:shd w:val="clear" w:color="auto" w:fill="auto"/>
          </w:tcPr>
          <w:p w14:paraId="35CCE9C9" w14:textId="77777777" w:rsidR="002C5E29" w:rsidRPr="00081E30" w:rsidRDefault="002C5E29" w:rsidP="002C5E29">
            <w:pPr>
              <w:pStyle w:val="Texto"/>
              <w:spacing w:after="0" w:line="240" w:lineRule="auto"/>
              <w:ind w:firstLine="0"/>
              <w:rPr>
                <w:rFonts w:ascii="Verdana" w:hAnsi="Verdana"/>
                <w:bCs/>
                <w:spacing w:val="-2"/>
                <w:sz w:val="16"/>
                <w:szCs w:val="16"/>
                <w:lang w:val="en-US"/>
              </w:rPr>
            </w:pPr>
          </w:p>
        </w:tc>
        <w:tc>
          <w:tcPr>
            <w:tcW w:w="4788" w:type="dxa"/>
            <w:shd w:val="clear" w:color="auto" w:fill="auto"/>
          </w:tcPr>
          <w:p w14:paraId="2CA02DF3" w14:textId="6CDFB1B9" w:rsidR="002C5E29" w:rsidRPr="00081E30" w:rsidRDefault="002C5E29" w:rsidP="002C5E29">
            <w:pPr>
              <w:pStyle w:val="Texto"/>
              <w:spacing w:after="0" w:line="240" w:lineRule="auto"/>
              <w:ind w:firstLine="0"/>
              <w:rPr>
                <w:rFonts w:ascii="Verdana" w:hAnsi="Verdana"/>
                <w:bCs/>
                <w:spacing w:val="-2"/>
                <w:sz w:val="16"/>
                <w:szCs w:val="16"/>
                <w:lang w:val="en-US"/>
              </w:rPr>
            </w:pPr>
            <w:r w:rsidRPr="00081E30">
              <w:rPr>
                <w:rFonts w:ascii="Verdana" w:hAnsi="Verdana" w:cs="Times New Roman"/>
                <w:bCs/>
                <w:spacing w:val="-2"/>
                <w:sz w:val="16"/>
                <w:szCs w:val="16"/>
                <w:lang w:val="en-US"/>
              </w:rPr>
              <w:t> </w:t>
            </w:r>
          </w:p>
        </w:tc>
      </w:tr>
      <w:tr w:rsidR="002C5E29" w:rsidRPr="000A5335" w14:paraId="167DD487" w14:textId="180F9999" w:rsidTr="00081E30">
        <w:tc>
          <w:tcPr>
            <w:tcW w:w="4788" w:type="dxa"/>
            <w:shd w:val="clear" w:color="auto" w:fill="auto"/>
          </w:tcPr>
          <w:p w14:paraId="364880B1" w14:textId="396657E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Cambio en los términos y condiciones, previa </w:t>
            </w:r>
            <w:r w:rsidRPr="00081E30">
              <w:rPr>
                <w:rFonts w:ascii="Verdana" w:hAnsi="Verdana"/>
                <w:bCs/>
                <w:color w:val="000000"/>
                <w:sz w:val="16"/>
                <w:szCs w:val="16"/>
              </w:rPr>
              <w:t>opinión que emita la Comisión en un plazo de treinta días hábiles</w:t>
            </w:r>
            <w:r w:rsidRPr="00081E30">
              <w:rPr>
                <w:rFonts w:ascii="Verdana" w:hAnsi="Verdana"/>
                <w:bCs/>
                <w:sz w:val="16"/>
                <w:szCs w:val="16"/>
              </w:rPr>
              <w:t>;</w:t>
            </w:r>
          </w:p>
        </w:tc>
        <w:tc>
          <w:tcPr>
            <w:tcW w:w="4788" w:type="dxa"/>
            <w:shd w:val="clear" w:color="auto" w:fill="auto"/>
          </w:tcPr>
          <w:p w14:paraId="29843FA6" w14:textId="6AE90BEA"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I.</w:t>
            </w:r>
            <w:r w:rsidRPr="00081E30">
              <w:rPr>
                <w:rFonts w:ascii="Verdana" w:hAnsi="Verdana" w:cs="Times New Roman"/>
                <w:bCs/>
                <w:sz w:val="16"/>
                <w:szCs w:val="16"/>
                <w:lang w:val="en-US"/>
              </w:rPr>
              <w:t xml:space="preserve"> Change in terms and conditions, prior opinion issued by the Commission within thirty business days;</w:t>
            </w:r>
          </w:p>
        </w:tc>
      </w:tr>
      <w:tr w:rsidR="002C5E29" w:rsidRPr="000A5335" w14:paraId="175E0017" w14:textId="518A9E91" w:rsidTr="00081E30">
        <w:tc>
          <w:tcPr>
            <w:tcW w:w="4788" w:type="dxa"/>
            <w:shd w:val="clear" w:color="auto" w:fill="auto"/>
          </w:tcPr>
          <w:p w14:paraId="744F0AC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DF203A8" w14:textId="32FD8F4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156A21A3" w14:textId="58831BD9" w:rsidTr="00081E30">
        <w:tc>
          <w:tcPr>
            <w:tcW w:w="4788" w:type="dxa"/>
            <w:shd w:val="clear" w:color="auto" w:fill="auto"/>
          </w:tcPr>
          <w:p w14:paraId="0C362D07" w14:textId="28E0435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Cambio en la vigencia;</w:t>
            </w:r>
          </w:p>
        </w:tc>
        <w:tc>
          <w:tcPr>
            <w:tcW w:w="4788" w:type="dxa"/>
            <w:shd w:val="clear" w:color="auto" w:fill="auto"/>
          </w:tcPr>
          <w:p w14:paraId="38D0292D" w14:textId="70D41078"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II.</w:t>
            </w:r>
            <w:r w:rsidRPr="00081E30">
              <w:rPr>
                <w:rFonts w:ascii="Verdana" w:hAnsi="Verdana" w:cs="Times New Roman"/>
                <w:bCs/>
                <w:sz w:val="16"/>
                <w:szCs w:val="16"/>
                <w:lang w:val="en-US"/>
              </w:rPr>
              <w:t xml:space="preserve"> Change in validity;</w:t>
            </w:r>
          </w:p>
        </w:tc>
      </w:tr>
      <w:tr w:rsidR="002C5E29" w:rsidRPr="003C1F6B" w14:paraId="47F7743A" w14:textId="24C878EB" w:rsidTr="00081E30">
        <w:tc>
          <w:tcPr>
            <w:tcW w:w="4788" w:type="dxa"/>
            <w:shd w:val="clear" w:color="auto" w:fill="auto"/>
          </w:tcPr>
          <w:p w14:paraId="2399379E" w14:textId="77777777" w:rsidR="002C5E29" w:rsidRPr="00081E30" w:rsidRDefault="002C5E29" w:rsidP="002C5E29">
            <w:pPr>
              <w:pStyle w:val="Texto"/>
              <w:spacing w:after="0" w:line="240" w:lineRule="auto"/>
              <w:ind w:firstLine="0"/>
              <w:rPr>
                <w:rFonts w:ascii="Verdana" w:hAnsi="Verdana"/>
                <w:bCs/>
                <w:sz w:val="16"/>
                <w:szCs w:val="16"/>
              </w:rPr>
            </w:pPr>
          </w:p>
        </w:tc>
        <w:tc>
          <w:tcPr>
            <w:tcW w:w="4788" w:type="dxa"/>
            <w:shd w:val="clear" w:color="auto" w:fill="auto"/>
          </w:tcPr>
          <w:p w14:paraId="39D3937B" w14:textId="6EC3CF2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1647E36" w14:textId="04CDB3CC" w:rsidTr="00081E30">
        <w:tc>
          <w:tcPr>
            <w:tcW w:w="4788" w:type="dxa"/>
            <w:shd w:val="clear" w:color="auto" w:fill="auto"/>
          </w:tcPr>
          <w:p w14:paraId="7B32A803" w14:textId="2C1C064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Cualquier otro caso en el que la Secretaría determine que es conveniente para el interés del Estado </w:t>
            </w:r>
            <w:r w:rsidRPr="00081E30">
              <w:rPr>
                <w:rFonts w:ascii="Verdana" w:hAnsi="Verdana"/>
                <w:bCs/>
                <w:sz w:val="16"/>
                <w:szCs w:val="16"/>
              </w:rPr>
              <w:lastRenderedPageBreak/>
              <w:t>en términos de producción y garantía de abasto de Hidrocarburos y considerando el  retorno económico y social de la Asignación, y</w:t>
            </w:r>
          </w:p>
        </w:tc>
        <w:tc>
          <w:tcPr>
            <w:tcW w:w="4788" w:type="dxa"/>
            <w:shd w:val="clear" w:color="auto" w:fill="auto"/>
          </w:tcPr>
          <w:p w14:paraId="627751FA" w14:textId="4ECE1486"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lastRenderedPageBreak/>
              <w:t>III.</w:t>
            </w:r>
            <w:r w:rsidRPr="00081E30">
              <w:rPr>
                <w:rFonts w:ascii="Verdana" w:hAnsi="Verdana" w:cs="Times New Roman"/>
                <w:bCs/>
                <w:sz w:val="16"/>
                <w:szCs w:val="16"/>
                <w:lang w:val="en-US"/>
              </w:rPr>
              <w:t xml:space="preserve"> Any other case in which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that it is convenient for the State's interest in terms of </w:t>
            </w:r>
            <w:r w:rsidRPr="00081E30">
              <w:rPr>
                <w:rFonts w:ascii="Verdana" w:hAnsi="Verdana" w:cs="Times New Roman"/>
                <w:bCs/>
                <w:sz w:val="16"/>
                <w:szCs w:val="16"/>
                <w:lang w:val="en-US"/>
              </w:rPr>
              <w:lastRenderedPageBreak/>
              <w:t xml:space="preserve">production and guarantee of hydrocarbon supply and considering the economic and social return of the </w:t>
            </w:r>
            <w:r>
              <w:rPr>
                <w:rFonts w:ascii="Verdana" w:hAnsi="Verdana" w:cs="Times New Roman"/>
                <w:bCs/>
                <w:sz w:val="16"/>
                <w:szCs w:val="16"/>
                <w:lang w:val="en-US"/>
              </w:rPr>
              <w:t>a</w:t>
            </w:r>
            <w:r w:rsidRPr="00081E30">
              <w:rPr>
                <w:rFonts w:ascii="Verdana" w:hAnsi="Verdana" w:cs="Times New Roman"/>
                <w:bCs/>
                <w:sz w:val="16"/>
                <w:szCs w:val="16"/>
                <w:lang w:val="en-US"/>
              </w:rPr>
              <w:t>ssignment, and</w:t>
            </w:r>
          </w:p>
        </w:tc>
      </w:tr>
      <w:tr w:rsidR="002C5E29" w:rsidRPr="000A5335" w14:paraId="3D749B3D" w14:textId="1690DEDB" w:rsidTr="00081E30">
        <w:tc>
          <w:tcPr>
            <w:tcW w:w="4788" w:type="dxa"/>
            <w:shd w:val="clear" w:color="auto" w:fill="auto"/>
          </w:tcPr>
          <w:p w14:paraId="674AD90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C234C6" w14:textId="09F4A3C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0F193BA" w14:textId="0B6F7922" w:rsidTr="00081E30">
        <w:tc>
          <w:tcPr>
            <w:tcW w:w="4788" w:type="dxa"/>
            <w:shd w:val="clear" w:color="auto" w:fill="auto"/>
          </w:tcPr>
          <w:p w14:paraId="3D7447C1" w14:textId="5649F88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Los demás que prevea el título de Asignación correspondiente y sus anexos.</w:t>
            </w:r>
          </w:p>
        </w:tc>
        <w:tc>
          <w:tcPr>
            <w:tcW w:w="4788" w:type="dxa"/>
            <w:shd w:val="clear" w:color="auto" w:fill="auto"/>
          </w:tcPr>
          <w:p w14:paraId="4E86C1BA" w14:textId="486D5BF7"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IV.</w:t>
            </w:r>
            <w:r w:rsidRPr="00081E30">
              <w:rPr>
                <w:rFonts w:ascii="Verdana" w:hAnsi="Verdana" w:cs="Times New Roman"/>
                <w:bCs/>
                <w:sz w:val="16"/>
                <w:szCs w:val="16"/>
                <w:lang w:val="en-US"/>
              </w:rPr>
              <w:t xml:space="preserve"> The others provided by the corresponding </w:t>
            </w:r>
            <w:r>
              <w:rPr>
                <w:rFonts w:ascii="Verdana" w:hAnsi="Verdana" w:cs="Times New Roman"/>
                <w:bCs/>
                <w:sz w:val="16"/>
                <w:szCs w:val="16"/>
                <w:lang w:val="en-US"/>
              </w:rPr>
              <w:t>a</w:t>
            </w:r>
            <w:r w:rsidRPr="00081E30">
              <w:rPr>
                <w:rFonts w:ascii="Verdana" w:hAnsi="Verdana" w:cs="Times New Roman"/>
                <w:bCs/>
                <w:sz w:val="16"/>
                <w:szCs w:val="16"/>
                <w:lang w:val="en-US"/>
              </w:rPr>
              <w:t>ssignment title and its annexes.</w:t>
            </w:r>
          </w:p>
        </w:tc>
      </w:tr>
      <w:tr w:rsidR="002C5E29" w:rsidRPr="000A5335" w14:paraId="75BCCE67" w14:textId="22C2D523" w:rsidTr="00081E30">
        <w:tc>
          <w:tcPr>
            <w:tcW w:w="4788" w:type="dxa"/>
            <w:shd w:val="clear" w:color="auto" w:fill="auto"/>
          </w:tcPr>
          <w:p w14:paraId="3EBD0D8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776E04" w14:textId="46775C7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49CF2A1" w14:textId="2BC4622D" w:rsidTr="00081E30">
        <w:tc>
          <w:tcPr>
            <w:tcW w:w="4788" w:type="dxa"/>
            <w:shd w:val="clear" w:color="auto" w:fill="auto"/>
          </w:tcPr>
          <w:p w14:paraId="674747D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Comisión podrá someter a consideración de la Secretaría en cualquier momento la modificación de los términos y condiciones del título de Asignación. Dicha solicitud surtirá los efectos de la opinión a que se refiere la fracción I de este artículo.</w:t>
            </w:r>
          </w:p>
        </w:tc>
        <w:tc>
          <w:tcPr>
            <w:tcW w:w="4788" w:type="dxa"/>
            <w:shd w:val="clear" w:color="auto" w:fill="auto"/>
          </w:tcPr>
          <w:p w14:paraId="27F72035" w14:textId="61A3940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Commission may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at any time the modification of the terms and conditions of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title. Said request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the effects of the opinion referred to in section I of this article.</w:t>
            </w:r>
          </w:p>
        </w:tc>
      </w:tr>
      <w:tr w:rsidR="002C5E29" w:rsidRPr="000A5335" w14:paraId="303A9FAE" w14:textId="4E9B4C26" w:rsidTr="00081E30">
        <w:tc>
          <w:tcPr>
            <w:tcW w:w="4788" w:type="dxa"/>
            <w:shd w:val="clear" w:color="auto" w:fill="auto"/>
          </w:tcPr>
          <w:p w14:paraId="0414E24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6C51ECE" w14:textId="3DF1932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526DBC5" w14:textId="433B85E0" w:rsidTr="00081E30">
        <w:tc>
          <w:tcPr>
            <w:tcW w:w="4788" w:type="dxa"/>
            <w:shd w:val="clear" w:color="auto" w:fill="auto"/>
          </w:tcPr>
          <w:p w14:paraId="540CABC7" w14:textId="77777777" w:rsidR="002C5E29" w:rsidRPr="000C4C0F" w:rsidRDefault="002C5E29" w:rsidP="002C5E29">
            <w:pPr>
              <w:pStyle w:val="Texto"/>
              <w:spacing w:after="0" w:line="240" w:lineRule="auto"/>
              <w:ind w:firstLine="0"/>
              <w:rPr>
                <w:rFonts w:ascii="Verdana" w:hAnsi="Verdana"/>
                <w:bCs/>
                <w:color w:val="000000"/>
                <w:sz w:val="16"/>
                <w:szCs w:val="16"/>
              </w:rPr>
            </w:pPr>
            <w:r w:rsidRPr="000C4C0F">
              <w:rPr>
                <w:rFonts w:ascii="Verdana" w:hAnsi="Verdana"/>
                <w:bCs/>
                <w:color w:val="000000"/>
                <w:sz w:val="16"/>
                <w:szCs w:val="16"/>
              </w:rPr>
              <w:t>Para efectos de este artículo, la Secretaría notificará al Asignatario el inicio del procedimiento de modificación, conforme a la Ley Federal de Procedimiento Administrativo, a efecto de que, en un plazo de diez días hábiles manifieste lo que a su derecho convenga, así como para que entregue la documentación soporte y demás elementos que considere convenientes.</w:t>
            </w:r>
          </w:p>
        </w:tc>
        <w:tc>
          <w:tcPr>
            <w:tcW w:w="4788" w:type="dxa"/>
            <w:shd w:val="clear" w:color="auto" w:fill="auto"/>
          </w:tcPr>
          <w:p w14:paraId="5D8BAF53" w14:textId="44421223" w:rsidR="002C5E29" w:rsidRPr="000C4C0F" w:rsidRDefault="002C5E29" w:rsidP="002C5E29">
            <w:pPr>
              <w:pStyle w:val="Texto"/>
              <w:spacing w:after="0" w:line="240" w:lineRule="auto"/>
              <w:ind w:firstLine="0"/>
              <w:rPr>
                <w:rFonts w:ascii="Verdana" w:hAnsi="Verdana"/>
                <w:bCs/>
                <w:color w:val="000000"/>
                <w:sz w:val="16"/>
                <w:szCs w:val="16"/>
                <w:lang w:val="en-US"/>
              </w:rPr>
            </w:pPr>
            <w:r w:rsidRPr="000C4C0F">
              <w:rPr>
                <w:rFonts w:ascii="Verdana" w:hAnsi="Verdana" w:cs="Times New Roman"/>
                <w:bCs/>
                <w:sz w:val="16"/>
                <w:szCs w:val="16"/>
                <w:lang w:val="en-US"/>
              </w:rPr>
              <w:t>For the purposes of this article, the Secretary will notify the assignee of the beginning of the modification procedure, in accordance with the Federal Law of Administrative Procedure, so that, within a period of ten working days, it may state what is in its right, as well as to that delivers the supporting documentation and other elements that it considers convenient.</w:t>
            </w:r>
          </w:p>
        </w:tc>
      </w:tr>
      <w:tr w:rsidR="002C5E29" w:rsidRPr="000A5335" w14:paraId="5EAFF84B" w14:textId="52D1F1E5" w:rsidTr="00081E30">
        <w:tc>
          <w:tcPr>
            <w:tcW w:w="4788" w:type="dxa"/>
            <w:shd w:val="clear" w:color="auto" w:fill="auto"/>
          </w:tcPr>
          <w:p w14:paraId="3EC9CC50"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5B39C9DD" w14:textId="79D78F1E"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5575975F" w14:textId="5301FDCC" w:rsidTr="00081E30">
        <w:tc>
          <w:tcPr>
            <w:tcW w:w="4788" w:type="dxa"/>
            <w:shd w:val="clear" w:color="auto" w:fill="auto"/>
          </w:tcPr>
          <w:p w14:paraId="1FD55048"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A3619">
              <w:rPr>
                <w:rFonts w:ascii="Verdana" w:hAnsi="Verdana"/>
                <w:b/>
                <w:sz w:val="16"/>
                <w:szCs w:val="16"/>
              </w:rPr>
              <w:t>Artículo 17.-</w:t>
            </w:r>
            <w:r w:rsidRPr="00081E30">
              <w:rPr>
                <w:rFonts w:ascii="Verdana" w:hAnsi="Verdana"/>
                <w:bCs/>
                <w:sz w:val="16"/>
                <w:szCs w:val="16"/>
              </w:rPr>
              <w:t xml:space="preserve"> </w:t>
            </w:r>
            <w:r w:rsidRPr="00081E30">
              <w:rPr>
                <w:rFonts w:ascii="Verdana" w:hAnsi="Verdana"/>
                <w:bCs/>
                <w:color w:val="000000"/>
                <w:sz w:val="16"/>
                <w:szCs w:val="16"/>
              </w:rPr>
              <w:t>En caso de que a consideración de la Comisión la modificación del título de Asignación impacte el plan de Exploración o el plan de desarrollo para la Extracción, el Asignatario deberá presentar para su aprobación el plan modificado correspondiente, en los términos y conforme al procedimiento que establezca dicha autoridad en la regulación que emita.</w:t>
            </w:r>
          </w:p>
        </w:tc>
        <w:tc>
          <w:tcPr>
            <w:tcW w:w="4788" w:type="dxa"/>
            <w:shd w:val="clear" w:color="auto" w:fill="auto"/>
          </w:tcPr>
          <w:p w14:paraId="0E726523" w14:textId="47FCA661" w:rsidR="002C5E29" w:rsidRPr="00081E30" w:rsidRDefault="002C5E29" w:rsidP="002C5E29">
            <w:pPr>
              <w:pStyle w:val="Texto"/>
              <w:spacing w:after="0" w:line="240" w:lineRule="auto"/>
              <w:ind w:firstLine="0"/>
              <w:rPr>
                <w:rFonts w:ascii="Verdana" w:hAnsi="Verdana"/>
                <w:bCs/>
                <w:sz w:val="16"/>
                <w:szCs w:val="16"/>
                <w:lang w:val="en-US"/>
              </w:rPr>
            </w:pPr>
            <w:r w:rsidRPr="00BA3619">
              <w:rPr>
                <w:rFonts w:ascii="Verdana" w:hAnsi="Verdana" w:cs="Times New Roman"/>
                <w:b/>
                <w:sz w:val="16"/>
                <w:szCs w:val="16"/>
                <w:lang w:val="en-US"/>
              </w:rPr>
              <w:t>Article 17.-</w:t>
            </w:r>
            <w:r w:rsidRPr="00081E30">
              <w:rPr>
                <w:rFonts w:ascii="Verdana" w:hAnsi="Verdana" w:cs="Times New Roman"/>
                <w:bCs/>
                <w:sz w:val="16"/>
                <w:szCs w:val="16"/>
                <w:lang w:val="en-US"/>
              </w:rPr>
              <w:t xml:space="preserve"> In the event that the modification of the </w:t>
            </w:r>
            <w:r>
              <w:rPr>
                <w:rFonts w:ascii="Verdana" w:hAnsi="Verdana" w:cs="Times New Roman"/>
                <w:bCs/>
                <w:sz w:val="16"/>
                <w:szCs w:val="16"/>
                <w:lang w:val="en-US"/>
              </w:rPr>
              <w:t>title of a</w:t>
            </w:r>
            <w:r w:rsidRPr="00081E30">
              <w:rPr>
                <w:rFonts w:ascii="Verdana" w:hAnsi="Verdana" w:cs="Times New Roman"/>
                <w:bCs/>
                <w:sz w:val="16"/>
                <w:szCs w:val="16"/>
                <w:lang w:val="en-US"/>
              </w:rPr>
              <w:t xml:space="preserve">ssignment impacts the </w:t>
            </w:r>
            <w:r>
              <w:rPr>
                <w:rFonts w:ascii="Verdana" w:hAnsi="Verdana" w:cs="Times New Roman"/>
                <w:bCs/>
                <w:sz w:val="16"/>
                <w:szCs w:val="16"/>
                <w:lang w:val="en-US"/>
              </w:rPr>
              <w:t>e</w:t>
            </w:r>
            <w:r w:rsidRPr="00081E30">
              <w:rPr>
                <w:rFonts w:ascii="Verdana" w:hAnsi="Verdana" w:cs="Times New Roman"/>
                <w:bCs/>
                <w:sz w:val="16"/>
                <w:szCs w:val="16"/>
                <w:lang w:val="en-US"/>
              </w:rPr>
              <w:t xml:space="preserve">xploration plan or the development plan for the </w:t>
            </w:r>
            <w:r>
              <w:rPr>
                <w:rFonts w:ascii="Verdana" w:hAnsi="Verdana" w:cs="Times New Roman"/>
                <w:bCs/>
                <w:sz w:val="16"/>
                <w:szCs w:val="16"/>
                <w:lang w:val="en-US"/>
              </w:rPr>
              <w:t>e</w:t>
            </w:r>
            <w:r w:rsidRPr="00081E30">
              <w:rPr>
                <w:rFonts w:ascii="Verdana" w:hAnsi="Verdana" w:cs="Times New Roman"/>
                <w:bCs/>
                <w:sz w:val="16"/>
                <w:szCs w:val="16"/>
                <w:lang w:val="en-US"/>
              </w:rPr>
              <w:t xml:space="preserve">xtraction, the </w:t>
            </w:r>
            <w:r>
              <w:rPr>
                <w:rFonts w:ascii="Verdana" w:hAnsi="Verdana" w:cs="Times New Roman"/>
                <w:bCs/>
                <w:sz w:val="16"/>
                <w:szCs w:val="16"/>
                <w:lang w:val="en-US"/>
              </w:rPr>
              <w:t>a</w:t>
            </w:r>
            <w:r w:rsidRPr="00081E30">
              <w:rPr>
                <w:rFonts w:ascii="Verdana" w:hAnsi="Verdana" w:cs="Times New Roman"/>
                <w:bCs/>
                <w:sz w:val="16"/>
                <w:szCs w:val="16"/>
                <w:lang w:val="en-US"/>
              </w:rPr>
              <w:t>ssignee must submit for approval the corresponding modified plan, in the terms and in accordance to the procedure established by said authority in the regulation it issues.</w:t>
            </w:r>
          </w:p>
        </w:tc>
      </w:tr>
      <w:tr w:rsidR="002C5E29" w:rsidRPr="000A5335" w14:paraId="0E5120DC" w14:textId="559EA404" w:rsidTr="00081E30">
        <w:tc>
          <w:tcPr>
            <w:tcW w:w="4788" w:type="dxa"/>
            <w:shd w:val="clear" w:color="auto" w:fill="auto"/>
          </w:tcPr>
          <w:p w14:paraId="1B3D00B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206FF0D" w14:textId="0A5A12B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4367BED" w14:textId="21736825" w:rsidTr="00081E30">
        <w:tc>
          <w:tcPr>
            <w:tcW w:w="4788" w:type="dxa"/>
            <w:shd w:val="clear" w:color="auto" w:fill="auto"/>
          </w:tcPr>
          <w:p w14:paraId="59664A1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deberá notificar a la Comisión, a la Secretaría de Hacienda y Crédito Público y al Fondo Mexicano del Petróleo sobre las modificaciones realizadas a una Asignación, el día hábil siguiente a que se efectúen.</w:t>
            </w:r>
          </w:p>
        </w:tc>
        <w:tc>
          <w:tcPr>
            <w:tcW w:w="4788" w:type="dxa"/>
            <w:shd w:val="clear" w:color="auto" w:fill="auto"/>
          </w:tcPr>
          <w:p w14:paraId="636F25C9" w14:textId="58E5B8B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notify the Commission,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Mexican Petroleum Fund of the modifications made to an Assignment, on the business day after they are made.</w:t>
            </w:r>
          </w:p>
        </w:tc>
      </w:tr>
      <w:tr w:rsidR="002C5E29" w:rsidRPr="000A5335" w14:paraId="35151125" w14:textId="3A0981C3" w:rsidTr="00081E30">
        <w:tc>
          <w:tcPr>
            <w:tcW w:w="4788" w:type="dxa"/>
            <w:shd w:val="clear" w:color="auto" w:fill="auto"/>
          </w:tcPr>
          <w:p w14:paraId="793D05D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9C3E557" w14:textId="766D46B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16FB18E6" w14:textId="0B4209BC" w:rsidTr="00081E30">
        <w:tc>
          <w:tcPr>
            <w:tcW w:w="4788" w:type="dxa"/>
            <w:shd w:val="clear" w:color="auto" w:fill="auto"/>
          </w:tcPr>
          <w:p w14:paraId="043F99C7" w14:textId="77777777" w:rsidR="002C5E29" w:rsidRPr="000C4C0F" w:rsidRDefault="002C5E29" w:rsidP="002C5E29">
            <w:pPr>
              <w:pStyle w:val="ANOTACION"/>
              <w:spacing w:before="0" w:after="0" w:line="240" w:lineRule="auto"/>
              <w:rPr>
                <w:rFonts w:ascii="Verdana" w:hAnsi="Verdana" w:cs="Arial"/>
                <w:sz w:val="16"/>
                <w:szCs w:val="16"/>
              </w:rPr>
            </w:pPr>
            <w:r w:rsidRPr="000C4C0F">
              <w:rPr>
                <w:rFonts w:ascii="Verdana" w:hAnsi="Verdana" w:cs="Arial"/>
                <w:sz w:val="16"/>
                <w:szCs w:val="16"/>
              </w:rPr>
              <w:t>Sección Tercera</w:t>
            </w:r>
          </w:p>
        </w:tc>
        <w:tc>
          <w:tcPr>
            <w:tcW w:w="4788" w:type="dxa"/>
            <w:shd w:val="clear" w:color="auto" w:fill="auto"/>
          </w:tcPr>
          <w:p w14:paraId="7F7C1D93" w14:textId="593E7574" w:rsidR="002C5E29" w:rsidRPr="000C4C0F" w:rsidRDefault="002C5E29" w:rsidP="002C5E29">
            <w:pPr>
              <w:pStyle w:val="ANOTACION"/>
              <w:spacing w:before="0" w:after="0" w:line="240" w:lineRule="auto"/>
              <w:rPr>
                <w:rFonts w:ascii="Verdana" w:hAnsi="Verdana" w:cs="Arial"/>
                <w:sz w:val="16"/>
                <w:szCs w:val="16"/>
                <w:lang w:val="en-US"/>
              </w:rPr>
            </w:pPr>
            <w:r w:rsidRPr="000C4C0F">
              <w:rPr>
                <w:rFonts w:ascii="Verdana" w:hAnsi="Verdana"/>
                <w:sz w:val="16"/>
                <w:szCs w:val="16"/>
                <w:lang w:val="en-US"/>
              </w:rPr>
              <w:t>Third Section</w:t>
            </w:r>
          </w:p>
        </w:tc>
      </w:tr>
      <w:tr w:rsidR="002C5E29" w:rsidRPr="003C1F6B" w14:paraId="50DAAB48" w14:textId="57879E04" w:rsidTr="00081E30">
        <w:tc>
          <w:tcPr>
            <w:tcW w:w="4788" w:type="dxa"/>
            <w:shd w:val="clear" w:color="auto" w:fill="auto"/>
          </w:tcPr>
          <w:p w14:paraId="39F6EC79" w14:textId="77777777" w:rsidR="002C5E29" w:rsidRPr="000C4C0F" w:rsidRDefault="002C5E29" w:rsidP="002C5E29">
            <w:pPr>
              <w:pStyle w:val="ANOTACION"/>
              <w:spacing w:before="0" w:after="0" w:line="240" w:lineRule="auto"/>
              <w:rPr>
                <w:rFonts w:ascii="Verdana" w:hAnsi="Verdana" w:cs="Arial"/>
                <w:sz w:val="16"/>
                <w:szCs w:val="16"/>
              </w:rPr>
            </w:pPr>
            <w:r w:rsidRPr="000C4C0F">
              <w:rPr>
                <w:rFonts w:ascii="Verdana" w:hAnsi="Verdana" w:cs="Arial"/>
                <w:sz w:val="16"/>
                <w:szCs w:val="16"/>
              </w:rPr>
              <w:t>De la Cesión</w:t>
            </w:r>
          </w:p>
        </w:tc>
        <w:tc>
          <w:tcPr>
            <w:tcW w:w="4788" w:type="dxa"/>
            <w:shd w:val="clear" w:color="auto" w:fill="auto"/>
          </w:tcPr>
          <w:p w14:paraId="08C5E4FC" w14:textId="57B9625B" w:rsidR="002C5E29" w:rsidRPr="000C4C0F" w:rsidRDefault="002C5E29" w:rsidP="002C5E29">
            <w:pPr>
              <w:pStyle w:val="ANOTACION"/>
              <w:spacing w:before="0" w:after="0" w:line="240" w:lineRule="auto"/>
              <w:rPr>
                <w:rFonts w:ascii="Verdana" w:hAnsi="Verdana" w:cs="Arial"/>
                <w:sz w:val="16"/>
                <w:szCs w:val="16"/>
                <w:lang w:val="en-US"/>
              </w:rPr>
            </w:pPr>
            <w:r w:rsidRPr="000C4C0F">
              <w:rPr>
                <w:rFonts w:ascii="Verdana" w:hAnsi="Verdana"/>
                <w:sz w:val="16"/>
                <w:szCs w:val="16"/>
                <w:lang w:val="en-US"/>
              </w:rPr>
              <w:t xml:space="preserve">The Transfer </w:t>
            </w:r>
          </w:p>
        </w:tc>
      </w:tr>
      <w:tr w:rsidR="002C5E29" w:rsidRPr="003C1F6B" w14:paraId="7885644D" w14:textId="2AEE4FBF" w:rsidTr="00081E30">
        <w:tc>
          <w:tcPr>
            <w:tcW w:w="4788" w:type="dxa"/>
            <w:shd w:val="clear" w:color="auto" w:fill="auto"/>
          </w:tcPr>
          <w:p w14:paraId="6FE9D460"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13760EB5" w14:textId="6D99A0FD"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F70B170" w14:textId="331EF1B3" w:rsidTr="00081E30">
        <w:tc>
          <w:tcPr>
            <w:tcW w:w="4788" w:type="dxa"/>
            <w:shd w:val="clear" w:color="auto" w:fill="auto"/>
          </w:tcPr>
          <w:p w14:paraId="3065E0E0"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C4C0F">
              <w:rPr>
                <w:rFonts w:ascii="Verdana" w:hAnsi="Verdana"/>
                <w:b/>
                <w:sz w:val="16"/>
                <w:szCs w:val="16"/>
              </w:rPr>
              <w:t>Artículo 18.-</w:t>
            </w:r>
            <w:r w:rsidRPr="00081E30">
              <w:rPr>
                <w:rFonts w:ascii="Verdana" w:hAnsi="Verdana"/>
                <w:bCs/>
                <w:sz w:val="16"/>
                <w:szCs w:val="16"/>
              </w:rPr>
              <w:t xml:space="preserve"> </w:t>
            </w:r>
            <w:r w:rsidRPr="00081E30">
              <w:rPr>
                <w:rFonts w:ascii="Verdana" w:hAnsi="Verdana"/>
                <w:bCs/>
                <w:color w:val="000000"/>
                <w:sz w:val="16"/>
                <w:szCs w:val="16"/>
              </w:rPr>
              <w:t>La solicitud para obtener la autorización de cesión de una Asignación deberá contener, cuando menos:</w:t>
            </w:r>
          </w:p>
        </w:tc>
        <w:tc>
          <w:tcPr>
            <w:tcW w:w="4788" w:type="dxa"/>
            <w:shd w:val="clear" w:color="auto" w:fill="auto"/>
          </w:tcPr>
          <w:p w14:paraId="452B1F7E" w14:textId="64F0CD58" w:rsidR="002C5E29" w:rsidRPr="00081E30" w:rsidRDefault="002C5E29" w:rsidP="002C5E29">
            <w:pPr>
              <w:pStyle w:val="Texto"/>
              <w:spacing w:after="0" w:line="240" w:lineRule="auto"/>
              <w:ind w:firstLine="0"/>
              <w:rPr>
                <w:rFonts w:ascii="Verdana" w:hAnsi="Verdana"/>
                <w:bCs/>
                <w:sz w:val="16"/>
                <w:szCs w:val="16"/>
                <w:lang w:val="en-US"/>
              </w:rPr>
            </w:pPr>
            <w:r w:rsidRPr="000C4C0F">
              <w:rPr>
                <w:rFonts w:ascii="Verdana" w:hAnsi="Verdana" w:cs="Times New Roman"/>
                <w:b/>
                <w:sz w:val="16"/>
                <w:szCs w:val="16"/>
                <w:lang w:val="en-US"/>
              </w:rPr>
              <w:t>Article 18.-</w:t>
            </w:r>
            <w:r w:rsidRPr="00081E30">
              <w:rPr>
                <w:rFonts w:ascii="Verdana" w:hAnsi="Verdana" w:cs="Times New Roman"/>
                <w:bCs/>
                <w:sz w:val="16"/>
                <w:szCs w:val="16"/>
                <w:lang w:val="en-US"/>
              </w:rPr>
              <w:t xml:space="preserve"> The request to obtain the authorization </w:t>
            </w:r>
            <w:r>
              <w:rPr>
                <w:rFonts w:ascii="Verdana" w:hAnsi="Verdana" w:cs="Times New Roman"/>
                <w:bCs/>
                <w:sz w:val="16"/>
                <w:szCs w:val="16"/>
                <w:lang w:val="en-US"/>
              </w:rPr>
              <w:t xml:space="preserve">for the transfer </w:t>
            </w:r>
            <w:r w:rsidRPr="00081E30">
              <w:rPr>
                <w:rFonts w:ascii="Verdana" w:hAnsi="Verdana" w:cs="Times New Roman"/>
                <w:bCs/>
                <w:sz w:val="16"/>
                <w:szCs w:val="16"/>
                <w:lang w:val="en-US"/>
              </w:rPr>
              <w:t>of an Assignment must contain, at least:</w:t>
            </w:r>
          </w:p>
        </w:tc>
      </w:tr>
      <w:tr w:rsidR="002C5E29" w:rsidRPr="000A5335" w14:paraId="7DD66BAA" w14:textId="2263F8D8" w:rsidTr="00081E30">
        <w:tc>
          <w:tcPr>
            <w:tcW w:w="4788" w:type="dxa"/>
            <w:shd w:val="clear" w:color="auto" w:fill="auto"/>
          </w:tcPr>
          <w:p w14:paraId="3153FB2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04E48AA" w14:textId="6130AD2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F6BF0AB" w14:textId="06468591" w:rsidTr="00081E30">
        <w:tc>
          <w:tcPr>
            <w:tcW w:w="4788" w:type="dxa"/>
            <w:shd w:val="clear" w:color="auto" w:fill="auto"/>
          </w:tcPr>
          <w:p w14:paraId="25ED65ED" w14:textId="2842EAEB"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bCs/>
                <w:color w:val="000000"/>
                <w:sz w:val="16"/>
                <w:szCs w:val="16"/>
              </w:rPr>
              <w:t>I.</w:t>
            </w:r>
            <w:r w:rsidRPr="00081E30">
              <w:rPr>
                <w:rFonts w:ascii="Verdana" w:hAnsi="Verdana"/>
                <w:bCs/>
                <w:color w:val="000000"/>
                <w:sz w:val="16"/>
                <w:szCs w:val="16"/>
              </w:rPr>
              <w:t xml:space="preserve"> La justificación técnica y económica, y</w:t>
            </w:r>
          </w:p>
        </w:tc>
        <w:tc>
          <w:tcPr>
            <w:tcW w:w="4788" w:type="dxa"/>
            <w:shd w:val="clear" w:color="auto" w:fill="auto"/>
          </w:tcPr>
          <w:p w14:paraId="5A7EBD0D" w14:textId="37908DF6" w:rsidR="002C5E29" w:rsidRPr="00081E30" w:rsidRDefault="002C5E29" w:rsidP="002C5E29">
            <w:pPr>
              <w:pStyle w:val="Texto"/>
              <w:spacing w:after="0" w:line="240" w:lineRule="auto"/>
              <w:ind w:firstLine="0"/>
              <w:rPr>
                <w:rFonts w:ascii="Verdana" w:hAnsi="Verdana"/>
                <w:bCs/>
                <w:color w:val="000000"/>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technical and economic justification, and</w:t>
            </w:r>
          </w:p>
        </w:tc>
      </w:tr>
      <w:tr w:rsidR="002C5E29" w:rsidRPr="000A5335" w14:paraId="16A45B7C" w14:textId="4B279076" w:rsidTr="00081E30">
        <w:tc>
          <w:tcPr>
            <w:tcW w:w="4788" w:type="dxa"/>
            <w:shd w:val="clear" w:color="auto" w:fill="auto"/>
          </w:tcPr>
          <w:p w14:paraId="0AFC931C"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47DDD88E" w14:textId="6953EC8D"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21BB2F90" w14:textId="24C9A9B0" w:rsidTr="00081E30">
        <w:tc>
          <w:tcPr>
            <w:tcW w:w="4788" w:type="dxa"/>
            <w:shd w:val="clear" w:color="auto" w:fill="auto"/>
          </w:tcPr>
          <w:p w14:paraId="3A56745F" w14:textId="5C423CBC"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bCs/>
                <w:color w:val="000000"/>
                <w:sz w:val="16"/>
                <w:szCs w:val="16"/>
              </w:rPr>
              <w:t>II.</w:t>
            </w:r>
            <w:r w:rsidRPr="00081E30">
              <w:rPr>
                <w:rFonts w:ascii="Verdana" w:hAnsi="Verdana"/>
                <w:bCs/>
                <w:color w:val="000000"/>
                <w:sz w:val="16"/>
                <w:szCs w:val="16"/>
              </w:rPr>
              <w:t xml:space="preserve"> La aceptación de la empresa productiva del Estado propuesta como cesionaria.</w:t>
            </w:r>
          </w:p>
        </w:tc>
        <w:tc>
          <w:tcPr>
            <w:tcW w:w="4788" w:type="dxa"/>
            <w:shd w:val="clear" w:color="auto" w:fill="auto"/>
          </w:tcPr>
          <w:p w14:paraId="677F8034" w14:textId="2A6F5749" w:rsidR="002C5E29" w:rsidRPr="00081E30" w:rsidRDefault="002C5E29" w:rsidP="002C5E29">
            <w:pPr>
              <w:pStyle w:val="Texto"/>
              <w:spacing w:after="0" w:line="240" w:lineRule="auto"/>
              <w:ind w:firstLine="0"/>
              <w:rPr>
                <w:rFonts w:ascii="Verdana" w:hAnsi="Verdana"/>
                <w:bCs/>
                <w:color w:val="000000"/>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acceptance of the productive company of the State proposed as an assignee.</w:t>
            </w:r>
          </w:p>
        </w:tc>
      </w:tr>
      <w:tr w:rsidR="002C5E29" w:rsidRPr="000A5335" w14:paraId="4F743F48" w14:textId="21663EBB" w:rsidTr="00081E30">
        <w:tc>
          <w:tcPr>
            <w:tcW w:w="4788" w:type="dxa"/>
            <w:shd w:val="clear" w:color="auto" w:fill="auto"/>
          </w:tcPr>
          <w:p w14:paraId="251C72FE"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6A815EBA" w14:textId="434D12FC"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2C70030A" w14:textId="001BFAC3" w:rsidTr="00081E30">
        <w:tc>
          <w:tcPr>
            <w:tcW w:w="4788" w:type="dxa"/>
            <w:shd w:val="clear" w:color="auto" w:fill="auto"/>
          </w:tcPr>
          <w:p w14:paraId="39AC922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Para autorizar la cesión de la Asignación la Secretaría deberá evaluar las capacidades técnicas, financieras y de ejecución para realizar actividades de Exploración y Extracción de Hidrocarburos de forma eficiente y competitiva de la </w:t>
            </w:r>
            <w:r w:rsidRPr="00081E30">
              <w:rPr>
                <w:rFonts w:ascii="Verdana" w:hAnsi="Verdana"/>
                <w:bCs/>
                <w:color w:val="000000"/>
                <w:sz w:val="16"/>
                <w:szCs w:val="16"/>
              </w:rPr>
              <w:t xml:space="preserve">empresa productiva del Estado propuesta como </w:t>
            </w:r>
            <w:r w:rsidRPr="00081E30">
              <w:rPr>
                <w:rFonts w:ascii="Verdana" w:hAnsi="Verdana"/>
                <w:bCs/>
                <w:sz w:val="16"/>
                <w:szCs w:val="16"/>
              </w:rPr>
              <w:t>cesionaria, por lo que dicha dependencia podrá requerir a ésta o al Asignatario la información necesaria para acreditar dichas capacidades.</w:t>
            </w:r>
          </w:p>
        </w:tc>
        <w:tc>
          <w:tcPr>
            <w:tcW w:w="4788" w:type="dxa"/>
            <w:shd w:val="clear" w:color="auto" w:fill="auto"/>
          </w:tcPr>
          <w:p w14:paraId="4C6FC19D" w14:textId="26C65DC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order to authorize the </w:t>
            </w:r>
            <w:r>
              <w:rPr>
                <w:rFonts w:ascii="Verdana" w:hAnsi="Verdana" w:cs="Times New Roman"/>
                <w:bCs/>
                <w:sz w:val="16"/>
                <w:szCs w:val="16"/>
                <w:lang w:val="en-US"/>
              </w:rPr>
              <w:t>transfer</w:t>
            </w:r>
            <w:r w:rsidRPr="00081E30">
              <w:rPr>
                <w:rFonts w:ascii="Verdana" w:hAnsi="Verdana" w:cs="Times New Roman"/>
                <w:bCs/>
                <w:sz w:val="16"/>
                <w:szCs w:val="16"/>
                <w:lang w:val="en-US"/>
              </w:rPr>
              <w:t xml:space="preserve"> of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evaluate the technical, financial and execution capacities to carry out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 in an efficient and competitive manner of the productive State company proposed as an assignee, so that said agency may require</w:t>
            </w:r>
            <w:r>
              <w:rPr>
                <w:rFonts w:ascii="Verdana" w:hAnsi="Verdana" w:cs="Times New Roman"/>
                <w:bCs/>
                <w:sz w:val="16"/>
                <w:szCs w:val="16"/>
                <w:lang w:val="en-US"/>
              </w:rPr>
              <w:t xml:space="preserve"> from</w:t>
            </w:r>
            <w:r w:rsidRPr="00081E30">
              <w:rPr>
                <w:rFonts w:ascii="Verdana" w:hAnsi="Verdana" w:cs="Times New Roman"/>
                <w:bCs/>
                <w:sz w:val="16"/>
                <w:szCs w:val="16"/>
                <w:lang w:val="en-US"/>
              </w:rPr>
              <w:t xml:space="preserve"> </w:t>
            </w:r>
            <w:r>
              <w:rPr>
                <w:rFonts w:ascii="Verdana" w:hAnsi="Verdana" w:cs="Times New Roman"/>
                <w:bCs/>
                <w:sz w:val="16"/>
                <w:szCs w:val="16"/>
                <w:lang w:val="en-US"/>
              </w:rPr>
              <w:t>the latter</w:t>
            </w:r>
            <w:r w:rsidRPr="00081E30">
              <w:rPr>
                <w:rFonts w:ascii="Verdana" w:hAnsi="Verdana" w:cs="Times New Roman"/>
                <w:bCs/>
                <w:sz w:val="16"/>
                <w:szCs w:val="16"/>
                <w:lang w:val="en-US"/>
              </w:rPr>
              <w:t xml:space="preserve"> or the Assignee the information necessary to accredit said capabilities.</w:t>
            </w:r>
          </w:p>
        </w:tc>
      </w:tr>
      <w:tr w:rsidR="002C5E29" w:rsidRPr="000A5335" w14:paraId="639AC4CA" w14:textId="76637568" w:rsidTr="00081E30">
        <w:tc>
          <w:tcPr>
            <w:tcW w:w="4788" w:type="dxa"/>
            <w:shd w:val="clear" w:color="auto" w:fill="auto"/>
          </w:tcPr>
          <w:p w14:paraId="60316FC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09C090C" w14:textId="2D01227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90F2424" w14:textId="5D13EB59" w:rsidTr="00081E30">
        <w:tc>
          <w:tcPr>
            <w:tcW w:w="4788" w:type="dxa"/>
            <w:shd w:val="clear" w:color="auto" w:fill="auto"/>
          </w:tcPr>
          <w:p w14:paraId="437C77D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contará con un plazo de cuarenta días hábiles a partir de la fecha de recepción de la solicitud para resolver sobre la cesión de la Asignación a que se refiere este artículo, así como notificar dicha resolución a las empresas productivas del Estado de las que se trate e informar al respecto a la Comisión.</w:t>
            </w:r>
          </w:p>
        </w:tc>
        <w:tc>
          <w:tcPr>
            <w:tcW w:w="4788" w:type="dxa"/>
            <w:shd w:val="clear" w:color="auto" w:fill="auto"/>
          </w:tcPr>
          <w:p w14:paraId="603894F0" w14:textId="340A982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a period of forty working days from the date of receipt of the request to resolve on the </w:t>
            </w:r>
            <w:r>
              <w:rPr>
                <w:rFonts w:ascii="Verdana" w:hAnsi="Verdana" w:cs="Times New Roman"/>
                <w:bCs/>
                <w:sz w:val="16"/>
                <w:szCs w:val="16"/>
                <w:lang w:val="en-US"/>
              </w:rPr>
              <w:t>transfer</w:t>
            </w:r>
            <w:r w:rsidRPr="00081E30">
              <w:rPr>
                <w:rFonts w:ascii="Verdana" w:hAnsi="Verdana" w:cs="Times New Roman"/>
                <w:bCs/>
                <w:sz w:val="16"/>
                <w:szCs w:val="16"/>
                <w:lang w:val="en-US"/>
              </w:rPr>
              <w:t xml:space="preserve"> of the </w:t>
            </w:r>
            <w:r>
              <w:rPr>
                <w:rFonts w:ascii="Verdana" w:hAnsi="Verdana" w:cs="Times New Roman"/>
                <w:bCs/>
                <w:sz w:val="16"/>
                <w:szCs w:val="16"/>
                <w:lang w:val="en-US"/>
              </w:rPr>
              <w:t>a</w:t>
            </w:r>
            <w:r w:rsidRPr="00081E30">
              <w:rPr>
                <w:rFonts w:ascii="Verdana" w:hAnsi="Verdana" w:cs="Times New Roman"/>
                <w:bCs/>
                <w:sz w:val="16"/>
                <w:szCs w:val="16"/>
                <w:lang w:val="en-US"/>
              </w:rPr>
              <w:t>ssignment referred to in this article, as well as notify</w:t>
            </w:r>
            <w:r>
              <w:rPr>
                <w:rFonts w:ascii="Verdana" w:hAnsi="Verdana" w:cs="Times New Roman"/>
                <w:bCs/>
                <w:sz w:val="16"/>
                <w:szCs w:val="16"/>
                <w:lang w:val="en-US"/>
              </w:rPr>
              <w:t>ing</w:t>
            </w:r>
            <w:r w:rsidRPr="00081E30">
              <w:rPr>
                <w:rFonts w:ascii="Verdana" w:hAnsi="Verdana" w:cs="Times New Roman"/>
                <w:bCs/>
                <w:sz w:val="16"/>
                <w:szCs w:val="16"/>
                <w:lang w:val="en-US"/>
              </w:rPr>
              <w:t xml:space="preserve"> said resolution to the productive companies of the State of </w:t>
            </w:r>
            <w:r>
              <w:rPr>
                <w:rFonts w:ascii="Verdana" w:hAnsi="Verdana" w:cs="Times New Roman"/>
                <w:bCs/>
                <w:sz w:val="16"/>
                <w:szCs w:val="16"/>
                <w:lang w:val="en-US"/>
              </w:rPr>
              <w:t>those in question</w:t>
            </w:r>
            <w:r w:rsidRPr="00081E30">
              <w:rPr>
                <w:rFonts w:ascii="Verdana" w:hAnsi="Verdana" w:cs="Times New Roman"/>
                <w:bCs/>
                <w:sz w:val="16"/>
                <w:szCs w:val="16"/>
                <w:lang w:val="en-US"/>
              </w:rPr>
              <w:t xml:space="preserve"> and inform the Commission about it.</w:t>
            </w:r>
          </w:p>
        </w:tc>
      </w:tr>
      <w:tr w:rsidR="002C5E29" w:rsidRPr="000A5335" w14:paraId="595F96DD" w14:textId="75B6B2B2" w:rsidTr="00081E30">
        <w:tc>
          <w:tcPr>
            <w:tcW w:w="4788" w:type="dxa"/>
            <w:shd w:val="clear" w:color="auto" w:fill="auto"/>
          </w:tcPr>
          <w:p w14:paraId="74EA3E2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CF24C00" w14:textId="162861C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9A989E4" w14:textId="765A8738" w:rsidTr="00081E30">
        <w:tc>
          <w:tcPr>
            <w:tcW w:w="4788" w:type="dxa"/>
            <w:shd w:val="clear" w:color="auto" w:fill="auto"/>
          </w:tcPr>
          <w:p w14:paraId="432B92B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En caso de aprobar la solicitud de cesión, la Secretaría deberá notificar a la Secretaría de Hacienda y Crédito </w:t>
            </w:r>
            <w:r w:rsidRPr="00081E30">
              <w:rPr>
                <w:rFonts w:ascii="Verdana" w:hAnsi="Verdana"/>
                <w:bCs/>
                <w:sz w:val="16"/>
                <w:szCs w:val="16"/>
              </w:rPr>
              <w:lastRenderedPageBreak/>
              <w:t>Público y al Fondo Mexicano del Petróleo sobre la cesión de una Asignación, el día hábil siguiente a que ésta se haga efectiva.</w:t>
            </w:r>
          </w:p>
        </w:tc>
        <w:tc>
          <w:tcPr>
            <w:tcW w:w="4788" w:type="dxa"/>
            <w:shd w:val="clear" w:color="auto" w:fill="auto"/>
          </w:tcPr>
          <w:p w14:paraId="0A026CDA" w14:textId="12444E1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lastRenderedPageBreak/>
              <w:t xml:space="preserve">In case of approving the </w:t>
            </w:r>
            <w:r>
              <w:rPr>
                <w:rFonts w:ascii="Verdana" w:hAnsi="Verdana" w:cs="Times New Roman"/>
                <w:bCs/>
                <w:sz w:val="16"/>
                <w:szCs w:val="16"/>
                <w:lang w:val="en-US"/>
              </w:rPr>
              <w:t>transfer</w:t>
            </w:r>
            <w:r w:rsidRPr="00081E30">
              <w:rPr>
                <w:rFonts w:ascii="Verdana" w:hAnsi="Verdana" w:cs="Times New Roman"/>
                <w:bCs/>
                <w:sz w:val="16"/>
                <w:szCs w:val="16"/>
                <w:lang w:val="en-US"/>
              </w:rPr>
              <w:t xml:space="preserve"> request,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w:t>
            </w:r>
            <w:r w:rsidRPr="00081E30">
              <w:rPr>
                <w:rFonts w:ascii="Verdana" w:hAnsi="Verdana" w:cs="Times New Roman"/>
                <w:bCs/>
                <w:sz w:val="16"/>
                <w:szCs w:val="16"/>
                <w:lang w:val="en-US"/>
              </w:rPr>
              <w:lastRenderedPageBreak/>
              <w:t xml:space="preserve">and the Mexican Petroleum Fund of the </w:t>
            </w:r>
            <w:r>
              <w:rPr>
                <w:rFonts w:ascii="Verdana" w:hAnsi="Verdana" w:cs="Times New Roman"/>
                <w:bCs/>
                <w:sz w:val="16"/>
                <w:szCs w:val="16"/>
                <w:lang w:val="en-US"/>
              </w:rPr>
              <w:t>transfer</w:t>
            </w:r>
            <w:r w:rsidRPr="00081E30">
              <w:rPr>
                <w:rFonts w:ascii="Verdana" w:hAnsi="Verdana" w:cs="Times New Roman"/>
                <w:bCs/>
                <w:sz w:val="16"/>
                <w:szCs w:val="16"/>
                <w:lang w:val="en-US"/>
              </w:rPr>
              <w:t xml:space="preserve"> of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on the business day following its </w:t>
            </w:r>
            <w:proofErr w:type="spellStart"/>
            <w:r>
              <w:rPr>
                <w:rFonts w:ascii="Verdana" w:hAnsi="Verdana" w:cs="Times New Roman"/>
                <w:bCs/>
                <w:sz w:val="16"/>
                <w:szCs w:val="16"/>
                <w:lang w:val="en-US"/>
              </w:rPr>
              <w:t>tranfer</w:t>
            </w:r>
            <w:proofErr w:type="spellEnd"/>
            <w:r>
              <w:rPr>
                <w:rFonts w:ascii="Verdana" w:hAnsi="Verdana" w:cs="Times New Roman"/>
                <w:bCs/>
                <w:sz w:val="16"/>
                <w:szCs w:val="16"/>
                <w:lang w:val="en-US"/>
              </w:rPr>
              <w:t>.</w:t>
            </w:r>
          </w:p>
        </w:tc>
      </w:tr>
      <w:tr w:rsidR="002C5E29" w:rsidRPr="000A5335" w14:paraId="628F37C1" w14:textId="1A16A444" w:rsidTr="00081E30">
        <w:tc>
          <w:tcPr>
            <w:tcW w:w="4788" w:type="dxa"/>
            <w:shd w:val="clear" w:color="auto" w:fill="auto"/>
          </w:tcPr>
          <w:p w14:paraId="781BEE3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1A8799A" w14:textId="3B781B2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F8F0A6" w14:textId="674DEBEC" w:rsidTr="00081E30">
        <w:tc>
          <w:tcPr>
            <w:tcW w:w="4788" w:type="dxa"/>
            <w:shd w:val="clear" w:color="auto" w:fill="auto"/>
          </w:tcPr>
          <w:p w14:paraId="2B5ADDB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Asignatarios, cesionario y cedente deberán realizar todas las actividades necesarias para mantener la continuidad operativa del Área de Asignación y realizar la cesión de forma ordenada, segura y eficiente.</w:t>
            </w:r>
          </w:p>
        </w:tc>
        <w:tc>
          <w:tcPr>
            <w:tcW w:w="4788" w:type="dxa"/>
            <w:shd w:val="clear" w:color="auto" w:fill="auto"/>
          </w:tcPr>
          <w:p w14:paraId="3360BAFD" w14:textId="1E7B4AA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w:t>
            </w:r>
            <w:r>
              <w:rPr>
                <w:rFonts w:ascii="Verdana" w:hAnsi="Verdana" w:cs="Times New Roman"/>
                <w:bCs/>
                <w:sz w:val="16"/>
                <w:szCs w:val="16"/>
                <w:lang w:val="en-US"/>
              </w:rPr>
              <w:t>transferee</w:t>
            </w:r>
            <w:r w:rsidRPr="00081E30">
              <w:rPr>
                <w:rFonts w:ascii="Verdana" w:hAnsi="Verdana" w:cs="Times New Roman"/>
                <w:bCs/>
                <w:sz w:val="16"/>
                <w:szCs w:val="16"/>
                <w:lang w:val="en-US"/>
              </w:rPr>
              <w:t xml:space="preserve"> and </w:t>
            </w:r>
            <w:proofErr w:type="spellStart"/>
            <w:r>
              <w:rPr>
                <w:rFonts w:ascii="Verdana" w:hAnsi="Verdana" w:cs="Times New Roman"/>
                <w:bCs/>
                <w:sz w:val="16"/>
                <w:szCs w:val="16"/>
                <w:lang w:val="en-US"/>
              </w:rPr>
              <w:t>transferer</w:t>
            </w:r>
            <w:proofErr w:type="spellEnd"/>
            <w:r w:rsidRPr="00081E30">
              <w:rPr>
                <w:rFonts w:ascii="Verdana" w:hAnsi="Verdana" w:cs="Times New Roman"/>
                <w:bCs/>
                <w:sz w:val="16"/>
                <w:szCs w:val="16"/>
                <w:lang w:val="en-US"/>
              </w:rPr>
              <w:t xml:space="preserve"> must carry out all the activities necessary to maintain the operational continuity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and make the </w:t>
            </w:r>
            <w:r>
              <w:rPr>
                <w:rFonts w:ascii="Verdana" w:hAnsi="Verdana" w:cs="Times New Roman"/>
                <w:bCs/>
                <w:sz w:val="16"/>
                <w:szCs w:val="16"/>
                <w:lang w:val="en-US"/>
              </w:rPr>
              <w:t>transfer</w:t>
            </w:r>
            <w:r w:rsidRPr="00081E30">
              <w:rPr>
                <w:rFonts w:ascii="Verdana" w:hAnsi="Verdana" w:cs="Times New Roman"/>
                <w:bCs/>
                <w:sz w:val="16"/>
                <w:szCs w:val="16"/>
                <w:lang w:val="en-US"/>
              </w:rPr>
              <w:t xml:space="preserve"> in an orderly, safe and efficient manner.</w:t>
            </w:r>
          </w:p>
        </w:tc>
      </w:tr>
      <w:tr w:rsidR="002C5E29" w:rsidRPr="000A5335" w14:paraId="0145EE3B" w14:textId="20F25839" w:rsidTr="00081E30">
        <w:tc>
          <w:tcPr>
            <w:tcW w:w="4788" w:type="dxa"/>
            <w:shd w:val="clear" w:color="auto" w:fill="auto"/>
          </w:tcPr>
          <w:p w14:paraId="0435067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C2F5428" w14:textId="4BDEA7D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95022F8" w14:textId="0EBC4705" w:rsidTr="00081E30">
        <w:tc>
          <w:tcPr>
            <w:tcW w:w="4788" w:type="dxa"/>
            <w:shd w:val="clear" w:color="auto" w:fill="auto"/>
          </w:tcPr>
          <w:p w14:paraId="72D10F98" w14:textId="77777777" w:rsidR="002C5E29" w:rsidRPr="00081E30" w:rsidRDefault="002C5E29" w:rsidP="002C5E29">
            <w:pPr>
              <w:pStyle w:val="Texto"/>
              <w:spacing w:after="0" w:line="240" w:lineRule="auto"/>
              <w:ind w:firstLine="0"/>
              <w:rPr>
                <w:rFonts w:ascii="Verdana" w:hAnsi="Verdana"/>
                <w:bCs/>
                <w:sz w:val="16"/>
                <w:szCs w:val="16"/>
              </w:rPr>
            </w:pPr>
            <w:r w:rsidRPr="004C593F">
              <w:rPr>
                <w:rFonts w:ascii="Verdana" w:hAnsi="Verdana"/>
                <w:b/>
                <w:sz w:val="16"/>
                <w:szCs w:val="16"/>
              </w:rPr>
              <w:t>Artículo 19.-</w:t>
            </w:r>
            <w:r w:rsidRPr="00081E30">
              <w:rPr>
                <w:rFonts w:ascii="Verdana" w:hAnsi="Verdana"/>
                <w:bCs/>
                <w:sz w:val="16"/>
                <w:szCs w:val="16"/>
              </w:rPr>
              <w:t xml:space="preserve"> La empresa productiva del Estado cesionaria estará obligada a cumplir con lo previsto en el título de Asignación y sus anexos desde el momento en el que surta efectos la notificación de la resolución a que se refiere el artículo anterior.</w:t>
            </w:r>
          </w:p>
        </w:tc>
        <w:tc>
          <w:tcPr>
            <w:tcW w:w="4788" w:type="dxa"/>
            <w:shd w:val="clear" w:color="auto" w:fill="auto"/>
          </w:tcPr>
          <w:p w14:paraId="67FD3F0A" w14:textId="68E49C64" w:rsidR="002C5E29" w:rsidRPr="00081E30" w:rsidRDefault="002C5E29" w:rsidP="002C5E29">
            <w:pPr>
              <w:pStyle w:val="Texto"/>
              <w:spacing w:after="0" w:line="240" w:lineRule="auto"/>
              <w:ind w:firstLine="0"/>
              <w:rPr>
                <w:rFonts w:ascii="Verdana" w:hAnsi="Verdana"/>
                <w:bCs/>
                <w:sz w:val="16"/>
                <w:szCs w:val="16"/>
                <w:lang w:val="en-US"/>
              </w:rPr>
            </w:pPr>
            <w:r w:rsidRPr="004C593F">
              <w:rPr>
                <w:rFonts w:ascii="Verdana" w:hAnsi="Verdana" w:cs="Times New Roman"/>
                <w:b/>
                <w:sz w:val="16"/>
                <w:szCs w:val="16"/>
                <w:lang w:val="en-US"/>
              </w:rPr>
              <w:t>Article 19.-</w:t>
            </w:r>
            <w:r w:rsidRPr="00081E30">
              <w:rPr>
                <w:rFonts w:ascii="Verdana" w:hAnsi="Verdana" w:cs="Times New Roman"/>
                <w:bCs/>
                <w:sz w:val="16"/>
                <w:szCs w:val="16"/>
                <w:lang w:val="en-US"/>
              </w:rPr>
              <w:t xml:space="preserve"> The productive company of the assignee State will be </w:t>
            </w:r>
            <w:r>
              <w:rPr>
                <w:rFonts w:ascii="Verdana" w:hAnsi="Verdana" w:cs="Times New Roman"/>
                <w:bCs/>
                <w:sz w:val="16"/>
                <w:szCs w:val="16"/>
                <w:lang w:val="en-US"/>
              </w:rPr>
              <w:t>obligated</w:t>
            </w:r>
            <w:r w:rsidRPr="00081E30">
              <w:rPr>
                <w:rFonts w:ascii="Verdana" w:hAnsi="Verdana" w:cs="Times New Roman"/>
                <w:bCs/>
                <w:sz w:val="16"/>
                <w:szCs w:val="16"/>
                <w:lang w:val="en-US"/>
              </w:rPr>
              <w:t xml:space="preserve"> to comply with the provisions of the </w:t>
            </w:r>
            <w:r>
              <w:rPr>
                <w:rFonts w:ascii="Verdana" w:hAnsi="Verdana" w:cs="Times New Roman"/>
                <w:bCs/>
                <w:sz w:val="16"/>
                <w:szCs w:val="16"/>
                <w:lang w:val="en-US"/>
              </w:rPr>
              <w:t>title of assignment</w:t>
            </w:r>
            <w:r w:rsidRPr="00081E30">
              <w:rPr>
                <w:rFonts w:ascii="Verdana" w:hAnsi="Verdana" w:cs="Times New Roman"/>
                <w:bCs/>
                <w:sz w:val="16"/>
                <w:szCs w:val="16"/>
                <w:lang w:val="en-US"/>
              </w:rPr>
              <w:t xml:space="preserve"> and its annexes from the moment in which the notification of the resolution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takes effect.</w:t>
            </w:r>
          </w:p>
        </w:tc>
      </w:tr>
      <w:tr w:rsidR="002C5E29" w:rsidRPr="000A5335" w14:paraId="112B5BFB" w14:textId="7968539F" w:rsidTr="00081E30">
        <w:tc>
          <w:tcPr>
            <w:tcW w:w="4788" w:type="dxa"/>
            <w:shd w:val="clear" w:color="auto" w:fill="auto"/>
          </w:tcPr>
          <w:p w14:paraId="725A66E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25CF7AB" w14:textId="1BDDDC5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71C2157" w14:textId="33962D2B" w:rsidTr="00081E30">
        <w:tc>
          <w:tcPr>
            <w:tcW w:w="4788" w:type="dxa"/>
            <w:shd w:val="clear" w:color="auto" w:fill="auto"/>
          </w:tcPr>
          <w:p w14:paraId="4774638E" w14:textId="77777777" w:rsidR="002C5E29" w:rsidRPr="004C593F" w:rsidRDefault="002C5E29" w:rsidP="002C5E29">
            <w:pPr>
              <w:pStyle w:val="ANOTACION"/>
              <w:spacing w:before="0" w:after="0" w:line="240" w:lineRule="auto"/>
              <w:rPr>
                <w:rFonts w:ascii="Verdana" w:hAnsi="Verdana" w:cs="Arial"/>
                <w:sz w:val="16"/>
                <w:szCs w:val="16"/>
              </w:rPr>
            </w:pPr>
            <w:r w:rsidRPr="004C593F">
              <w:rPr>
                <w:rFonts w:ascii="Verdana" w:hAnsi="Verdana" w:cs="Arial"/>
                <w:sz w:val="16"/>
                <w:szCs w:val="16"/>
              </w:rPr>
              <w:t>Sección Cuarta</w:t>
            </w:r>
          </w:p>
        </w:tc>
        <w:tc>
          <w:tcPr>
            <w:tcW w:w="4788" w:type="dxa"/>
            <w:shd w:val="clear" w:color="auto" w:fill="auto"/>
          </w:tcPr>
          <w:p w14:paraId="234FA07E" w14:textId="295BC702" w:rsidR="002C5E29" w:rsidRPr="004C593F" w:rsidRDefault="002C5E29" w:rsidP="002C5E29">
            <w:pPr>
              <w:pStyle w:val="ANOTACION"/>
              <w:spacing w:before="0" w:after="0" w:line="240" w:lineRule="auto"/>
              <w:rPr>
                <w:rFonts w:ascii="Verdana" w:hAnsi="Verdana" w:cs="Arial"/>
                <w:sz w:val="16"/>
                <w:szCs w:val="16"/>
                <w:lang w:val="en-US"/>
              </w:rPr>
            </w:pPr>
            <w:r w:rsidRPr="004C593F">
              <w:rPr>
                <w:rFonts w:ascii="Verdana" w:hAnsi="Verdana"/>
                <w:sz w:val="16"/>
                <w:szCs w:val="16"/>
                <w:lang w:val="en-US"/>
              </w:rPr>
              <w:t>Fourth Section</w:t>
            </w:r>
          </w:p>
        </w:tc>
      </w:tr>
      <w:tr w:rsidR="002C5E29" w:rsidRPr="003C1F6B" w14:paraId="15FA6C73" w14:textId="40CCBB65" w:rsidTr="00081E30">
        <w:tc>
          <w:tcPr>
            <w:tcW w:w="4788" w:type="dxa"/>
            <w:shd w:val="clear" w:color="auto" w:fill="auto"/>
          </w:tcPr>
          <w:p w14:paraId="6D37EFE1" w14:textId="77777777" w:rsidR="002C5E29" w:rsidRPr="004C593F" w:rsidRDefault="002C5E29" w:rsidP="002C5E29">
            <w:pPr>
              <w:pStyle w:val="ANOTACION"/>
              <w:spacing w:before="0" w:after="0" w:line="240" w:lineRule="auto"/>
              <w:rPr>
                <w:rFonts w:ascii="Verdana" w:hAnsi="Verdana" w:cs="Arial"/>
                <w:sz w:val="16"/>
                <w:szCs w:val="16"/>
              </w:rPr>
            </w:pPr>
            <w:r w:rsidRPr="004C593F">
              <w:rPr>
                <w:rFonts w:ascii="Verdana" w:hAnsi="Verdana" w:cs="Arial"/>
                <w:sz w:val="16"/>
                <w:szCs w:val="16"/>
              </w:rPr>
              <w:t>De la Renuncia</w:t>
            </w:r>
          </w:p>
        </w:tc>
        <w:tc>
          <w:tcPr>
            <w:tcW w:w="4788" w:type="dxa"/>
            <w:shd w:val="clear" w:color="auto" w:fill="auto"/>
          </w:tcPr>
          <w:p w14:paraId="093DDF52" w14:textId="1F039659" w:rsidR="002C5E29" w:rsidRPr="004C593F"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Waiver</w:t>
            </w:r>
          </w:p>
        </w:tc>
      </w:tr>
      <w:tr w:rsidR="002C5E29" w:rsidRPr="003C1F6B" w14:paraId="1CFC3799" w14:textId="25AD0729" w:rsidTr="00081E30">
        <w:tc>
          <w:tcPr>
            <w:tcW w:w="4788" w:type="dxa"/>
            <w:shd w:val="clear" w:color="auto" w:fill="auto"/>
          </w:tcPr>
          <w:p w14:paraId="431F25DC"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79F87679" w14:textId="161D3E23"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4B04D45" w14:textId="4BE60434" w:rsidTr="00081E30">
        <w:tc>
          <w:tcPr>
            <w:tcW w:w="4788" w:type="dxa"/>
            <w:shd w:val="clear" w:color="auto" w:fill="auto"/>
          </w:tcPr>
          <w:p w14:paraId="12EDB7C9" w14:textId="77777777" w:rsidR="002C5E29" w:rsidRPr="00081E30" w:rsidRDefault="002C5E29" w:rsidP="002C5E29">
            <w:pPr>
              <w:pStyle w:val="Texto"/>
              <w:spacing w:after="0" w:line="240" w:lineRule="auto"/>
              <w:ind w:firstLine="0"/>
              <w:rPr>
                <w:rFonts w:ascii="Verdana" w:hAnsi="Verdana"/>
                <w:bCs/>
                <w:color w:val="000000"/>
                <w:sz w:val="16"/>
                <w:szCs w:val="16"/>
              </w:rPr>
            </w:pPr>
            <w:r w:rsidRPr="004C593F">
              <w:rPr>
                <w:rFonts w:ascii="Verdana" w:hAnsi="Verdana"/>
                <w:b/>
                <w:sz w:val="16"/>
                <w:szCs w:val="16"/>
              </w:rPr>
              <w:t>Artículo 20.-</w:t>
            </w:r>
            <w:r w:rsidRPr="00081E30">
              <w:rPr>
                <w:rFonts w:ascii="Verdana" w:hAnsi="Verdana"/>
                <w:bCs/>
                <w:sz w:val="16"/>
                <w:szCs w:val="16"/>
              </w:rPr>
              <w:t xml:space="preserve"> </w:t>
            </w:r>
            <w:r w:rsidRPr="00081E30">
              <w:rPr>
                <w:rFonts w:ascii="Verdana" w:hAnsi="Verdana"/>
                <w:bCs/>
                <w:color w:val="000000"/>
                <w:sz w:val="16"/>
                <w:szCs w:val="16"/>
              </w:rPr>
              <w:t>La solicitud para aprobar la renuncia de una Asignación deberá presentarse a la Secretaría y contener cuando menos lo siguiente:</w:t>
            </w:r>
          </w:p>
        </w:tc>
        <w:tc>
          <w:tcPr>
            <w:tcW w:w="4788" w:type="dxa"/>
            <w:shd w:val="clear" w:color="auto" w:fill="auto"/>
          </w:tcPr>
          <w:p w14:paraId="523C2FA8" w14:textId="58385DF9" w:rsidR="002C5E29" w:rsidRPr="00081E30" w:rsidRDefault="002C5E29" w:rsidP="002C5E29">
            <w:pPr>
              <w:pStyle w:val="Texto"/>
              <w:spacing w:after="0" w:line="240" w:lineRule="auto"/>
              <w:ind w:firstLine="0"/>
              <w:rPr>
                <w:rFonts w:ascii="Verdana" w:hAnsi="Verdana"/>
                <w:bCs/>
                <w:sz w:val="16"/>
                <w:szCs w:val="16"/>
                <w:lang w:val="en-US"/>
              </w:rPr>
            </w:pPr>
            <w:r w:rsidRPr="004C593F">
              <w:rPr>
                <w:rFonts w:ascii="Verdana" w:hAnsi="Verdana" w:cs="Times New Roman"/>
                <w:b/>
                <w:sz w:val="16"/>
                <w:szCs w:val="16"/>
                <w:lang w:val="en-US"/>
              </w:rPr>
              <w:t>Article 20.-</w:t>
            </w:r>
            <w:r w:rsidRPr="00081E30">
              <w:rPr>
                <w:rFonts w:ascii="Verdana" w:hAnsi="Verdana" w:cs="Times New Roman"/>
                <w:bCs/>
                <w:sz w:val="16"/>
                <w:szCs w:val="16"/>
                <w:lang w:val="en-US"/>
              </w:rPr>
              <w:t xml:space="preserve"> The request to approve the </w:t>
            </w:r>
            <w:r>
              <w:rPr>
                <w:rFonts w:ascii="Verdana" w:hAnsi="Verdana" w:cs="Times New Roman"/>
                <w:bCs/>
                <w:sz w:val="16"/>
                <w:szCs w:val="16"/>
                <w:lang w:val="en-US"/>
              </w:rPr>
              <w:t>waiver</w:t>
            </w:r>
            <w:r w:rsidRPr="00081E30">
              <w:rPr>
                <w:rFonts w:ascii="Verdana" w:hAnsi="Verdana" w:cs="Times New Roman"/>
                <w:bCs/>
                <w:sz w:val="16"/>
                <w:szCs w:val="16"/>
                <w:lang w:val="en-US"/>
              </w:rPr>
              <w:t xml:space="preserve"> of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must be submitted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contain at least the following: </w:t>
            </w:r>
          </w:p>
        </w:tc>
      </w:tr>
      <w:tr w:rsidR="002C5E29" w:rsidRPr="000A5335" w14:paraId="6F65EAEA" w14:textId="69FD2808" w:rsidTr="00081E30">
        <w:tc>
          <w:tcPr>
            <w:tcW w:w="4788" w:type="dxa"/>
            <w:shd w:val="clear" w:color="auto" w:fill="auto"/>
          </w:tcPr>
          <w:p w14:paraId="3A91333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FF5993E" w14:textId="500A23E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6EF2659" w14:textId="7C04AD4C" w:rsidTr="00081E30">
        <w:tc>
          <w:tcPr>
            <w:tcW w:w="4788" w:type="dxa"/>
            <w:shd w:val="clear" w:color="auto" w:fill="auto"/>
          </w:tcPr>
          <w:p w14:paraId="33F20679" w14:textId="13D0937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información técnica y económica del Área de Asignación;</w:t>
            </w:r>
          </w:p>
        </w:tc>
        <w:tc>
          <w:tcPr>
            <w:tcW w:w="4788" w:type="dxa"/>
            <w:shd w:val="clear" w:color="auto" w:fill="auto"/>
          </w:tcPr>
          <w:p w14:paraId="5A792B47" w14:textId="669176B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technical and economic information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w:t>
            </w:r>
          </w:p>
        </w:tc>
      </w:tr>
      <w:tr w:rsidR="002C5E29" w:rsidRPr="000A5335" w14:paraId="1404F314" w14:textId="757E2792" w:rsidTr="00081E30">
        <w:tc>
          <w:tcPr>
            <w:tcW w:w="4788" w:type="dxa"/>
            <w:shd w:val="clear" w:color="auto" w:fill="auto"/>
          </w:tcPr>
          <w:p w14:paraId="7F9F0EB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3C0F1A5" w14:textId="204AC89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202AF24" w14:textId="1C03061C" w:rsidTr="00081E30">
        <w:tc>
          <w:tcPr>
            <w:tcW w:w="4788" w:type="dxa"/>
            <w:shd w:val="clear" w:color="auto" w:fill="auto"/>
          </w:tcPr>
          <w:p w14:paraId="1CEE0356" w14:textId="6502F2E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motivación de la renuncia, y</w:t>
            </w:r>
          </w:p>
        </w:tc>
        <w:tc>
          <w:tcPr>
            <w:tcW w:w="4788" w:type="dxa"/>
            <w:shd w:val="clear" w:color="auto" w:fill="auto"/>
          </w:tcPr>
          <w:p w14:paraId="3B0E185E" w14:textId="48BA553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motivation for </w:t>
            </w:r>
            <w:r>
              <w:rPr>
                <w:rFonts w:ascii="Verdana" w:hAnsi="Verdana" w:cs="Times New Roman"/>
                <w:bCs/>
                <w:sz w:val="16"/>
                <w:szCs w:val="16"/>
                <w:lang w:val="en-US"/>
              </w:rPr>
              <w:t>waiver</w:t>
            </w:r>
            <w:r w:rsidRPr="00081E30">
              <w:rPr>
                <w:rFonts w:ascii="Verdana" w:hAnsi="Verdana" w:cs="Times New Roman"/>
                <w:bCs/>
                <w:sz w:val="16"/>
                <w:szCs w:val="16"/>
                <w:lang w:val="en-US"/>
              </w:rPr>
              <w:t>, and</w:t>
            </w:r>
          </w:p>
        </w:tc>
      </w:tr>
      <w:tr w:rsidR="002C5E29" w:rsidRPr="000A5335" w14:paraId="37B1A657" w14:textId="26C9B0D5" w:rsidTr="00081E30">
        <w:tc>
          <w:tcPr>
            <w:tcW w:w="4788" w:type="dxa"/>
            <w:shd w:val="clear" w:color="auto" w:fill="auto"/>
          </w:tcPr>
          <w:p w14:paraId="6C05DB0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2919753" w14:textId="6E138F5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7A26FB1" w14:textId="46670A9E" w:rsidTr="00081E30">
        <w:tc>
          <w:tcPr>
            <w:tcW w:w="4788" w:type="dxa"/>
            <w:shd w:val="clear" w:color="auto" w:fill="auto"/>
          </w:tcPr>
          <w:p w14:paraId="354733FE" w14:textId="1DFFCD34"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bCs/>
                <w:sz w:val="16"/>
                <w:szCs w:val="16"/>
              </w:rPr>
              <w:t>III.</w:t>
            </w:r>
            <w:r w:rsidRPr="00081E30">
              <w:rPr>
                <w:rFonts w:ascii="Verdana" w:hAnsi="Verdana"/>
                <w:bCs/>
                <w:sz w:val="16"/>
                <w:szCs w:val="16"/>
              </w:rPr>
              <w:t xml:space="preserve"> </w:t>
            </w:r>
            <w:r w:rsidRPr="00081E30">
              <w:rPr>
                <w:rFonts w:ascii="Verdana" w:hAnsi="Verdana"/>
                <w:bCs/>
                <w:color w:val="000000"/>
                <w:sz w:val="16"/>
                <w:szCs w:val="16"/>
              </w:rPr>
              <w:t>Un plan que garantice la continuidad operativa y la transición ordenada, segura y eficiente del Área de Asignación en términos de las disposiciones que para tal efecto emitan la Comisión y la Agencia en sus respectivos ámbitos de competencia.</w:t>
            </w:r>
          </w:p>
        </w:tc>
        <w:tc>
          <w:tcPr>
            <w:tcW w:w="4788" w:type="dxa"/>
            <w:shd w:val="clear" w:color="auto" w:fill="auto"/>
          </w:tcPr>
          <w:p w14:paraId="7A0F2377" w14:textId="5B551E3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A plan that guarantees the operational continuity and the orderly, safe and efficient transition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in terms of the provisions issued for this purpose by the Commission and the Agency in their respective fields of </w:t>
            </w:r>
            <w:r>
              <w:rPr>
                <w:rFonts w:ascii="Verdana" w:hAnsi="Verdana" w:cs="Times New Roman"/>
                <w:bCs/>
                <w:sz w:val="16"/>
                <w:szCs w:val="16"/>
                <w:lang w:val="en-US"/>
              </w:rPr>
              <w:t>authority</w:t>
            </w:r>
            <w:r w:rsidRPr="00081E30">
              <w:rPr>
                <w:rFonts w:ascii="Verdana" w:hAnsi="Verdana" w:cs="Times New Roman"/>
                <w:bCs/>
                <w:sz w:val="16"/>
                <w:szCs w:val="16"/>
                <w:lang w:val="en-US"/>
              </w:rPr>
              <w:t xml:space="preserve">. </w:t>
            </w:r>
          </w:p>
        </w:tc>
      </w:tr>
      <w:tr w:rsidR="002C5E29" w:rsidRPr="000A5335" w14:paraId="084AE9B9" w14:textId="31D084CB" w:rsidTr="00081E30">
        <w:tc>
          <w:tcPr>
            <w:tcW w:w="4788" w:type="dxa"/>
            <w:shd w:val="clear" w:color="auto" w:fill="auto"/>
          </w:tcPr>
          <w:p w14:paraId="7DA399A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831D44" w14:textId="669695D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AB161B" w14:textId="6C06720C" w:rsidTr="00081E30">
        <w:tc>
          <w:tcPr>
            <w:tcW w:w="4788" w:type="dxa"/>
            <w:shd w:val="clear" w:color="auto" w:fill="auto"/>
          </w:tcPr>
          <w:p w14:paraId="3CF5257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Asignatario deberá dar aviso a la Comisión y a la Agencia de la solicitud de renuncia en un plazo de cinco días hábiles siguientes al de su presentación y deberá cumplir con las determinaciones que para tal efecto establezcan en sus respectivos ámbitos de competencia.</w:t>
            </w:r>
          </w:p>
        </w:tc>
        <w:tc>
          <w:tcPr>
            <w:tcW w:w="4788" w:type="dxa"/>
            <w:shd w:val="clear" w:color="auto" w:fill="auto"/>
          </w:tcPr>
          <w:p w14:paraId="4E5226FA" w14:textId="3559D20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must notify the Commission and the Agency of the request for </w:t>
            </w:r>
            <w:r>
              <w:rPr>
                <w:rFonts w:ascii="Verdana" w:hAnsi="Verdana" w:cs="Times New Roman"/>
                <w:bCs/>
                <w:sz w:val="16"/>
                <w:szCs w:val="16"/>
                <w:lang w:val="en-US"/>
              </w:rPr>
              <w:t>the waiver</w:t>
            </w:r>
            <w:r w:rsidRPr="00081E30">
              <w:rPr>
                <w:rFonts w:ascii="Verdana" w:hAnsi="Verdana" w:cs="Times New Roman"/>
                <w:bCs/>
                <w:sz w:val="16"/>
                <w:szCs w:val="16"/>
                <w:lang w:val="en-US"/>
              </w:rPr>
              <w:t xml:space="preserve"> within five business days following its presentation and must comply with the determinations established for that purpose in their respective fields of competence.</w:t>
            </w:r>
          </w:p>
        </w:tc>
      </w:tr>
      <w:tr w:rsidR="002C5E29" w:rsidRPr="000A5335" w14:paraId="2AB7018D" w14:textId="40AE1EF6" w:rsidTr="00081E30">
        <w:tc>
          <w:tcPr>
            <w:tcW w:w="4788" w:type="dxa"/>
            <w:shd w:val="clear" w:color="auto" w:fill="auto"/>
          </w:tcPr>
          <w:p w14:paraId="757BD56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2E68A8C" w14:textId="376AE64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2A0D751" w14:textId="115E0C22" w:rsidTr="00081E30">
        <w:tc>
          <w:tcPr>
            <w:tcW w:w="4788" w:type="dxa"/>
            <w:shd w:val="clear" w:color="auto" w:fill="auto"/>
          </w:tcPr>
          <w:p w14:paraId="49C340FC" w14:textId="77777777" w:rsidR="002C5E29" w:rsidRPr="00081E30" w:rsidRDefault="002C5E29" w:rsidP="002C5E29">
            <w:pPr>
              <w:pStyle w:val="Texto"/>
              <w:spacing w:after="0" w:line="240" w:lineRule="auto"/>
              <w:ind w:firstLine="0"/>
              <w:rPr>
                <w:rFonts w:ascii="Verdana" w:hAnsi="Verdana"/>
                <w:bCs/>
                <w:sz w:val="16"/>
                <w:szCs w:val="16"/>
              </w:rPr>
            </w:pPr>
            <w:r w:rsidRPr="004C593F">
              <w:rPr>
                <w:rFonts w:ascii="Verdana" w:hAnsi="Verdana"/>
                <w:b/>
                <w:sz w:val="16"/>
                <w:szCs w:val="16"/>
              </w:rPr>
              <w:t>Artículo 21.-</w:t>
            </w:r>
            <w:r w:rsidRPr="00081E30">
              <w:rPr>
                <w:rFonts w:ascii="Verdana" w:hAnsi="Verdana"/>
                <w:bCs/>
                <w:sz w:val="16"/>
                <w:szCs w:val="16"/>
              </w:rPr>
              <w:t xml:space="preserve"> La Secretaría aprobará la renuncia a la Asignación siempre que:</w:t>
            </w:r>
          </w:p>
        </w:tc>
        <w:tc>
          <w:tcPr>
            <w:tcW w:w="4788" w:type="dxa"/>
            <w:shd w:val="clear" w:color="auto" w:fill="auto"/>
          </w:tcPr>
          <w:p w14:paraId="60041DC9" w14:textId="5B4ADC05" w:rsidR="002C5E29" w:rsidRPr="00081E30" w:rsidRDefault="002C5E29" w:rsidP="002C5E29">
            <w:pPr>
              <w:pStyle w:val="Texto"/>
              <w:spacing w:after="0" w:line="240" w:lineRule="auto"/>
              <w:ind w:firstLine="0"/>
              <w:rPr>
                <w:rFonts w:ascii="Verdana" w:hAnsi="Verdana"/>
                <w:bCs/>
                <w:sz w:val="16"/>
                <w:szCs w:val="16"/>
                <w:lang w:val="en-US"/>
              </w:rPr>
            </w:pPr>
            <w:r w:rsidRPr="004C593F">
              <w:rPr>
                <w:rFonts w:ascii="Verdana" w:hAnsi="Verdana" w:cs="Times New Roman"/>
                <w:b/>
                <w:sz w:val="16"/>
                <w:szCs w:val="16"/>
                <w:lang w:val="en-US"/>
              </w:rPr>
              <w:t>Article 21.-</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approve the resignation of the Assignment provided that:</w:t>
            </w:r>
          </w:p>
        </w:tc>
      </w:tr>
      <w:tr w:rsidR="002C5E29" w:rsidRPr="000A5335" w14:paraId="4129F576" w14:textId="18F79305" w:rsidTr="00081E30">
        <w:tc>
          <w:tcPr>
            <w:tcW w:w="4788" w:type="dxa"/>
            <w:shd w:val="clear" w:color="auto" w:fill="auto"/>
          </w:tcPr>
          <w:p w14:paraId="4F711B1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CCFE8FA" w14:textId="5476F07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BB7BCA2" w14:textId="7F29A791" w:rsidTr="00081E30">
        <w:tc>
          <w:tcPr>
            <w:tcW w:w="4788" w:type="dxa"/>
            <w:shd w:val="clear" w:color="auto" w:fill="auto"/>
          </w:tcPr>
          <w:p w14:paraId="01BA861D" w14:textId="2394536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No se afecte la garantía de abasto de Hidrocarburos;</w:t>
            </w:r>
          </w:p>
        </w:tc>
        <w:tc>
          <w:tcPr>
            <w:tcW w:w="4788" w:type="dxa"/>
            <w:shd w:val="clear" w:color="auto" w:fill="auto"/>
          </w:tcPr>
          <w:p w14:paraId="7C0E637A" w14:textId="1A3F303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guarantee of hydrocarbon supply is not affected;</w:t>
            </w:r>
          </w:p>
        </w:tc>
      </w:tr>
      <w:tr w:rsidR="002C5E29" w:rsidRPr="000A5335" w14:paraId="78476167" w14:textId="4F0B3E9F" w:rsidTr="00081E30">
        <w:tc>
          <w:tcPr>
            <w:tcW w:w="4788" w:type="dxa"/>
            <w:shd w:val="clear" w:color="auto" w:fill="auto"/>
          </w:tcPr>
          <w:p w14:paraId="02CC723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D6E4AFA" w14:textId="2088649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D78E593" w14:textId="0B3F4445" w:rsidTr="00081E30">
        <w:tc>
          <w:tcPr>
            <w:tcW w:w="4788" w:type="dxa"/>
            <w:shd w:val="clear" w:color="auto" w:fill="auto"/>
          </w:tcPr>
          <w:p w14:paraId="6570A50E" w14:textId="2E1EC30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No se contravenga la política pública en materia energética, y</w:t>
            </w:r>
          </w:p>
        </w:tc>
        <w:tc>
          <w:tcPr>
            <w:tcW w:w="4788" w:type="dxa"/>
            <w:shd w:val="clear" w:color="auto" w:fill="auto"/>
          </w:tcPr>
          <w:p w14:paraId="152AD0D4" w14:textId="3CED3F2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Public policy on energy matters is not contravened, and</w:t>
            </w:r>
          </w:p>
        </w:tc>
      </w:tr>
      <w:tr w:rsidR="002C5E29" w:rsidRPr="000A5335" w14:paraId="72E5948C" w14:textId="269A0C9D" w:rsidTr="00081E30">
        <w:tc>
          <w:tcPr>
            <w:tcW w:w="4788" w:type="dxa"/>
            <w:shd w:val="clear" w:color="auto" w:fill="auto"/>
          </w:tcPr>
          <w:p w14:paraId="120C09E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E2B454" w14:textId="3BBA0B8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1AD4075" w14:textId="5A2CFDCA" w:rsidTr="00081E30">
        <w:tc>
          <w:tcPr>
            <w:tcW w:w="4788" w:type="dxa"/>
            <w:shd w:val="clear" w:color="auto" w:fill="auto"/>
          </w:tcPr>
          <w:p w14:paraId="6C80BBB0" w14:textId="3ABE12E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empresa productiva del Estado haya cumplido con sus obligaciones y requerimientos, en términos de las disposiciones jurídicas aplicables.</w:t>
            </w:r>
          </w:p>
        </w:tc>
        <w:tc>
          <w:tcPr>
            <w:tcW w:w="4788" w:type="dxa"/>
            <w:shd w:val="clear" w:color="auto" w:fill="auto"/>
          </w:tcPr>
          <w:p w14:paraId="0B111137" w14:textId="6D2A010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State productive company has complied with its obligations and requirements, in terms of the applicable legal provisions.</w:t>
            </w:r>
          </w:p>
        </w:tc>
      </w:tr>
      <w:tr w:rsidR="002C5E29" w:rsidRPr="000A5335" w14:paraId="0C4B1172" w14:textId="28CE34DD" w:rsidTr="00081E30">
        <w:tc>
          <w:tcPr>
            <w:tcW w:w="4788" w:type="dxa"/>
            <w:shd w:val="clear" w:color="auto" w:fill="auto"/>
          </w:tcPr>
          <w:p w14:paraId="0E8E832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9CEB983" w14:textId="7EE7E13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050D2F8" w14:textId="5AAF850B" w:rsidTr="00081E30">
        <w:tc>
          <w:tcPr>
            <w:tcW w:w="4788" w:type="dxa"/>
            <w:shd w:val="clear" w:color="auto" w:fill="auto"/>
          </w:tcPr>
          <w:p w14:paraId="36E8E974"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contará con un plazo de cuarenta días hábiles a partir de la fecha de recepción de la solicitud, para resolver al respecto.</w:t>
            </w:r>
          </w:p>
        </w:tc>
        <w:tc>
          <w:tcPr>
            <w:tcW w:w="4788" w:type="dxa"/>
            <w:shd w:val="clear" w:color="auto" w:fill="auto"/>
          </w:tcPr>
          <w:p w14:paraId="1A8FE884" w14:textId="78DB67D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a period of forty business days from the date of receipt of the request, to resolve in this regard.</w:t>
            </w:r>
          </w:p>
        </w:tc>
      </w:tr>
      <w:tr w:rsidR="002C5E29" w:rsidRPr="000A5335" w14:paraId="20442765" w14:textId="1DD7CA8D" w:rsidTr="00081E30">
        <w:tc>
          <w:tcPr>
            <w:tcW w:w="4788" w:type="dxa"/>
            <w:shd w:val="clear" w:color="auto" w:fill="auto"/>
          </w:tcPr>
          <w:p w14:paraId="57BA470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A823858" w14:textId="77C0216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A43A69D" w14:textId="70B87FDA" w:rsidTr="00081E30">
        <w:tc>
          <w:tcPr>
            <w:tcW w:w="4788" w:type="dxa"/>
            <w:shd w:val="clear" w:color="auto" w:fill="auto"/>
          </w:tcPr>
          <w:p w14:paraId="71A82295"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81E30">
              <w:rPr>
                <w:rFonts w:ascii="Verdana" w:hAnsi="Verdana"/>
                <w:bCs/>
                <w:color w:val="000000"/>
                <w:sz w:val="16"/>
                <w:szCs w:val="16"/>
              </w:rPr>
              <w:t>En caso de que la Secretaría decida la continuidad operativa del Área de Asignación, la renuncia no exime al Asignatario renunciante de sus obligaciones y responsabilidades hasta que se otorgue una nueva Asignación o Contrato para la Exploración y Extracción.</w:t>
            </w:r>
          </w:p>
        </w:tc>
        <w:tc>
          <w:tcPr>
            <w:tcW w:w="4788" w:type="dxa"/>
            <w:shd w:val="clear" w:color="auto" w:fill="auto"/>
          </w:tcPr>
          <w:p w14:paraId="710DC002" w14:textId="0958A0F9"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xml:space="preserve">In the event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decides on the operational continuity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the resignation does not exempt the resigning Assignee from its obligations and responsibilities until a new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is granted.</w:t>
            </w:r>
          </w:p>
        </w:tc>
      </w:tr>
      <w:tr w:rsidR="002C5E29" w:rsidRPr="000A5335" w14:paraId="08C393E1" w14:textId="378C09A2" w:rsidTr="00081E30">
        <w:tc>
          <w:tcPr>
            <w:tcW w:w="4788" w:type="dxa"/>
            <w:shd w:val="clear" w:color="auto" w:fill="auto"/>
          </w:tcPr>
          <w:p w14:paraId="705BB1DE"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125A5DE7" w14:textId="3A694673"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4F28EDD4" w14:textId="2FD1166C" w:rsidTr="00081E30">
        <w:tc>
          <w:tcPr>
            <w:tcW w:w="4788" w:type="dxa"/>
            <w:shd w:val="clear" w:color="auto" w:fill="auto"/>
          </w:tcPr>
          <w:p w14:paraId="520CC686"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81E30">
              <w:rPr>
                <w:rFonts w:ascii="Verdana" w:hAnsi="Verdana"/>
                <w:bCs/>
                <w:color w:val="000000"/>
                <w:sz w:val="16"/>
                <w:szCs w:val="16"/>
              </w:rPr>
              <w:t xml:space="preserve">En caso de que la Secretaría determine el abandono del Área de Asignación, el Asignatario deberá realizar a su costa y riesgo el taponamiento de pozos, la limpieza, </w:t>
            </w:r>
            <w:r w:rsidRPr="00081E30">
              <w:rPr>
                <w:rFonts w:ascii="Verdana" w:hAnsi="Verdana"/>
                <w:bCs/>
                <w:color w:val="000000"/>
                <w:sz w:val="16"/>
                <w:szCs w:val="16"/>
              </w:rPr>
              <w:lastRenderedPageBreak/>
              <w:t>restauración y retorno del Área de Asignación a su estado natural en los términos que determine la Agencia, así como el desmantelamiento y retiro de maquinaria y equipo, en términos de este Reglamento, el título de Asignación y demás disposiciones jurídicas aplicables.</w:t>
            </w:r>
          </w:p>
        </w:tc>
        <w:tc>
          <w:tcPr>
            <w:tcW w:w="4788" w:type="dxa"/>
            <w:shd w:val="clear" w:color="auto" w:fill="auto"/>
          </w:tcPr>
          <w:p w14:paraId="03560D39" w14:textId="670EDB1A"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lastRenderedPageBreak/>
              <w:t xml:space="preserve">In the event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the abandonment of </w:t>
            </w:r>
            <w:r>
              <w:rPr>
                <w:rFonts w:ascii="Verdana" w:hAnsi="Verdana" w:cs="Times New Roman"/>
                <w:bCs/>
                <w:sz w:val="16"/>
                <w:szCs w:val="16"/>
                <w:lang w:val="en-US"/>
              </w:rPr>
              <w:t>the area of assignment</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carry out, at </w:t>
            </w:r>
            <w:r>
              <w:rPr>
                <w:rFonts w:ascii="Verdana" w:hAnsi="Verdana" w:cs="Times New Roman"/>
                <w:bCs/>
                <w:sz w:val="16"/>
                <w:szCs w:val="16"/>
                <w:lang w:val="en-US"/>
              </w:rPr>
              <w:t>their</w:t>
            </w:r>
            <w:r w:rsidRPr="00081E30">
              <w:rPr>
                <w:rFonts w:ascii="Verdana" w:hAnsi="Verdana" w:cs="Times New Roman"/>
                <w:bCs/>
                <w:sz w:val="16"/>
                <w:szCs w:val="16"/>
                <w:lang w:val="en-US"/>
              </w:rPr>
              <w:t xml:space="preserve"> expense and risk, the </w:t>
            </w:r>
            <w:r>
              <w:rPr>
                <w:rFonts w:ascii="Verdana" w:hAnsi="Verdana" w:cs="Times New Roman"/>
                <w:bCs/>
                <w:sz w:val="16"/>
                <w:szCs w:val="16"/>
                <w:lang w:val="en-US"/>
              </w:rPr>
              <w:t>sealing</w:t>
            </w:r>
            <w:r w:rsidRPr="00081E30">
              <w:rPr>
                <w:rFonts w:ascii="Verdana" w:hAnsi="Verdana" w:cs="Times New Roman"/>
                <w:bCs/>
                <w:sz w:val="16"/>
                <w:szCs w:val="16"/>
                <w:lang w:val="en-US"/>
              </w:rPr>
              <w:t xml:space="preserve"> of </w:t>
            </w:r>
            <w:r w:rsidRPr="00081E30">
              <w:rPr>
                <w:rFonts w:ascii="Verdana" w:hAnsi="Verdana" w:cs="Times New Roman"/>
                <w:bCs/>
                <w:sz w:val="16"/>
                <w:szCs w:val="16"/>
                <w:lang w:val="en-US"/>
              </w:rPr>
              <w:lastRenderedPageBreak/>
              <w:t xml:space="preserve">wells, cleaning, restoration and return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to its natural state in the terms determined by the Agency, as well as the dismantling and removal of machinery and equipment, in terms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the </w:t>
            </w:r>
            <w:r>
              <w:rPr>
                <w:rFonts w:ascii="Verdana" w:hAnsi="Verdana" w:cs="Times New Roman"/>
                <w:bCs/>
                <w:sz w:val="16"/>
                <w:szCs w:val="16"/>
                <w:lang w:val="en-US"/>
              </w:rPr>
              <w:t>title of assignment</w:t>
            </w:r>
            <w:r w:rsidRPr="00081E30">
              <w:rPr>
                <w:rFonts w:ascii="Verdana" w:hAnsi="Verdana" w:cs="Times New Roman"/>
                <w:bCs/>
                <w:sz w:val="16"/>
                <w:szCs w:val="16"/>
                <w:lang w:val="en-US"/>
              </w:rPr>
              <w:t xml:space="preserve"> and other applicable legal provisions.</w:t>
            </w:r>
          </w:p>
        </w:tc>
      </w:tr>
      <w:tr w:rsidR="002C5E29" w:rsidRPr="000A5335" w14:paraId="497C6F0B" w14:textId="1745EAF9" w:rsidTr="00081E30">
        <w:tc>
          <w:tcPr>
            <w:tcW w:w="4788" w:type="dxa"/>
            <w:shd w:val="clear" w:color="auto" w:fill="auto"/>
          </w:tcPr>
          <w:p w14:paraId="7038AE1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0540CD3" w14:textId="3B04BBE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7AC3084" w14:textId="637CE799" w:rsidTr="00081E30">
        <w:tc>
          <w:tcPr>
            <w:tcW w:w="4788" w:type="dxa"/>
            <w:shd w:val="clear" w:color="auto" w:fill="auto"/>
          </w:tcPr>
          <w:p w14:paraId="45BCD109"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81E30">
              <w:rPr>
                <w:rFonts w:ascii="Verdana" w:hAnsi="Verdana"/>
                <w:bCs/>
                <w:sz w:val="16"/>
                <w:szCs w:val="16"/>
              </w:rPr>
              <w:t xml:space="preserve">La Secretaría contará con el apoyo técnico de la Comisión para la revisión y supervisión </w:t>
            </w:r>
            <w:r w:rsidRPr="00081E30">
              <w:rPr>
                <w:rFonts w:ascii="Verdana" w:hAnsi="Verdana"/>
                <w:bCs/>
                <w:color w:val="000000"/>
                <w:sz w:val="16"/>
                <w:szCs w:val="16"/>
              </w:rPr>
              <w:t>del plan que garantice la continuidad operativa y la transición ordenada, segura y eficiente o el abandono</w:t>
            </w:r>
            <w:r w:rsidRPr="00081E30">
              <w:rPr>
                <w:rFonts w:ascii="Verdana" w:hAnsi="Verdana"/>
                <w:bCs/>
                <w:sz w:val="16"/>
                <w:szCs w:val="16"/>
              </w:rPr>
              <w:t xml:space="preserve"> del Área de Asignación en términos de las disposiciones jurídicas aplicables</w:t>
            </w:r>
            <w:r w:rsidRPr="00081E30">
              <w:rPr>
                <w:rFonts w:ascii="Verdana" w:hAnsi="Verdana"/>
                <w:bCs/>
                <w:color w:val="000000"/>
                <w:sz w:val="16"/>
                <w:szCs w:val="16"/>
              </w:rPr>
              <w:t>.</w:t>
            </w:r>
          </w:p>
        </w:tc>
        <w:tc>
          <w:tcPr>
            <w:tcW w:w="4788" w:type="dxa"/>
            <w:shd w:val="clear" w:color="auto" w:fill="auto"/>
          </w:tcPr>
          <w:p w14:paraId="49CDB69E" w14:textId="068863E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the technical support of the Commission for the revision and supervision of the plan that guarantees operational continuity and orderly, safe and efficient transition or abandonment of the Allocation Area in terms of the applicable legal provisions .</w:t>
            </w:r>
          </w:p>
        </w:tc>
      </w:tr>
      <w:tr w:rsidR="002C5E29" w:rsidRPr="000A5335" w14:paraId="36CF04FD" w14:textId="73E3A3A9" w:rsidTr="00081E30">
        <w:tc>
          <w:tcPr>
            <w:tcW w:w="4788" w:type="dxa"/>
            <w:shd w:val="clear" w:color="auto" w:fill="auto"/>
          </w:tcPr>
          <w:p w14:paraId="23CE278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F0A898B" w14:textId="4E96046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0247142" w14:textId="524BA323" w:rsidTr="00081E30">
        <w:tc>
          <w:tcPr>
            <w:tcW w:w="4788" w:type="dxa"/>
            <w:shd w:val="clear" w:color="auto" w:fill="auto"/>
          </w:tcPr>
          <w:p w14:paraId="3EFF386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deberá notificar a la Secretaría de Hacienda y Crédito Público y al Fondo Mexicano del Petróleo sobre la renuncia a una Asignación, el día hábil siguiente a que ésta se haga efectiva.</w:t>
            </w:r>
          </w:p>
        </w:tc>
        <w:tc>
          <w:tcPr>
            <w:tcW w:w="4788" w:type="dxa"/>
            <w:shd w:val="clear" w:color="auto" w:fill="auto"/>
          </w:tcPr>
          <w:p w14:paraId="3ABE697B" w14:textId="711FD85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Mexican Petroleum Fund of the resignation of an Assignment, on the business day following its assignment.</w:t>
            </w:r>
          </w:p>
        </w:tc>
      </w:tr>
      <w:tr w:rsidR="002C5E29" w:rsidRPr="000A5335" w14:paraId="05A6242E" w14:textId="35E15F83" w:rsidTr="00081E30">
        <w:tc>
          <w:tcPr>
            <w:tcW w:w="4788" w:type="dxa"/>
            <w:shd w:val="clear" w:color="auto" w:fill="auto"/>
          </w:tcPr>
          <w:p w14:paraId="7119CBA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219F78A" w14:textId="43F463B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4CAECBC8" w14:textId="593A1F88" w:rsidTr="00081E30">
        <w:tc>
          <w:tcPr>
            <w:tcW w:w="4788" w:type="dxa"/>
            <w:shd w:val="clear" w:color="auto" w:fill="auto"/>
          </w:tcPr>
          <w:p w14:paraId="51C6A4D8" w14:textId="77777777" w:rsidR="002C5E29" w:rsidRPr="004C593F" w:rsidRDefault="002C5E29" w:rsidP="002C5E29">
            <w:pPr>
              <w:pStyle w:val="ANOTACION"/>
              <w:spacing w:before="0" w:after="0" w:line="240" w:lineRule="auto"/>
              <w:rPr>
                <w:rFonts w:ascii="Verdana" w:hAnsi="Verdana" w:cs="Arial"/>
                <w:sz w:val="16"/>
                <w:szCs w:val="16"/>
              </w:rPr>
            </w:pPr>
            <w:r w:rsidRPr="004C593F">
              <w:rPr>
                <w:rFonts w:ascii="Verdana" w:hAnsi="Verdana" w:cs="Arial"/>
                <w:sz w:val="16"/>
                <w:szCs w:val="16"/>
              </w:rPr>
              <w:t>Sección Quinta</w:t>
            </w:r>
          </w:p>
        </w:tc>
        <w:tc>
          <w:tcPr>
            <w:tcW w:w="4788" w:type="dxa"/>
            <w:shd w:val="clear" w:color="auto" w:fill="auto"/>
          </w:tcPr>
          <w:p w14:paraId="25D8794D" w14:textId="11A1533F" w:rsidR="002C5E29" w:rsidRPr="004C593F" w:rsidRDefault="002C5E29" w:rsidP="002C5E29">
            <w:pPr>
              <w:pStyle w:val="ANOTACION"/>
              <w:spacing w:before="0" w:after="0" w:line="240" w:lineRule="auto"/>
              <w:rPr>
                <w:rFonts w:ascii="Verdana" w:hAnsi="Verdana" w:cs="Arial"/>
                <w:sz w:val="16"/>
                <w:szCs w:val="16"/>
                <w:lang w:val="en-US"/>
              </w:rPr>
            </w:pPr>
            <w:r w:rsidRPr="004C593F">
              <w:rPr>
                <w:rFonts w:ascii="Verdana" w:hAnsi="Verdana"/>
                <w:sz w:val="16"/>
                <w:szCs w:val="16"/>
                <w:lang w:val="en-US"/>
              </w:rPr>
              <w:t>Fifth Section</w:t>
            </w:r>
          </w:p>
        </w:tc>
      </w:tr>
      <w:tr w:rsidR="002C5E29" w:rsidRPr="003C1F6B" w14:paraId="0DED64AB" w14:textId="7CB25117" w:rsidTr="00081E30">
        <w:tc>
          <w:tcPr>
            <w:tcW w:w="4788" w:type="dxa"/>
            <w:shd w:val="clear" w:color="auto" w:fill="auto"/>
          </w:tcPr>
          <w:p w14:paraId="68CCA546" w14:textId="77777777" w:rsidR="002C5E29" w:rsidRPr="004C593F" w:rsidRDefault="002C5E29" w:rsidP="002C5E29">
            <w:pPr>
              <w:pStyle w:val="ANOTACION"/>
              <w:spacing w:before="0" w:after="0" w:line="240" w:lineRule="auto"/>
              <w:rPr>
                <w:rFonts w:ascii="Verdana" w:hAnsi="Verdana" w:cs="Arial"/>
                <w:sz w:val="16"/>
                <w:szCs w:val="16"/>
              </w:rPr>
            </w:pPr>
            <w:r w:rsidRPr="004C593F">
              <w:rPr>
                <w:rFonts w:ascii="Verdana" w:hAnsi="Verdana" w:cs="Arial"/>
                <w:sz w:val="16"/>
                <w:szCs w:val="16"/>
              </w:rPr>
              <w:t>De la Revocación</w:t>
            </w:r>
          </w:p>
        </w:tc>
        <w:tc>
          <w:tcPr>
            <w:tcW w:w="4788" w:type="dxa"/>
            <w:shd w:val="clear" w:color="auto" w:fill="auto"/>
          </w:tcPr>
          <w:p w14:paraId="5FDDE28E" w14:textId="4FCA07C3" w:rsidR="002C5E29" w:rsidRPr="004C593F" w:rsidRDefault="002C5E29" w:rsidP="002C5E29">
            <w:pPr>
              <w:pStyle w:val="ANOTACION"/>
              <w:spacing w:before="0" w:after="0" w:line="240" w:lineRule="auto"/>
              <w:rPr>
                <w:rFonts w:ascii="Verdana" w:hAnsi="Verdana" w:cs="Arial"/>
                <w:sz w:val="16"/>
                <w:szCs w:val="16"/>
                <w:lang w:val="en-US"/>
              </w:rPr>
            </w:pPr>
            <w:r w:rsidRPr="004C593F">
              <w:rPr>
                <w:rFonts w:ascii="Verdana" w:hAnsi="Verdana"/>
                <w:sz w:val="16"/>
                <w:szCs w:val="16"/>
                <w:lang w:val="en-US"/>
              </w:rPr>
              <w:t>Revocation</w:t>
            </w:r>
          </w:p>
        </w:tc>
      </w:tr>
      <w:tr w:rsidR="002C5E29" w:rsidRPr="003C1F6B" w14:paraId="7A37009C" w14:textId="5E493D85" w:rsidTr="00081E30">
        <w:tc>
          <w:tcPr>
            <w:tcW w:w="4788" w:type="dxa"/>
            <w:shd w:val="clear" w:color="auto" w:fill="auto"/>
          </w:tcPr>
          <w:p w14:paraId="673BBFB9"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3ACA12A6" w14:textId="1C6609D4"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A5EEAF4" w14:textId="753A4364" w:rsidTr="00081E30">
        <w:tc>
          <w:tcPr>
            <w:tcW w:w="4788" w:type="dxa"/>
            <w:shd w:val="clear" w:color="auto" w:fill="auto"/>
          </w:tcPr>
          <w:p w14:paraId="2B1F49CC" w14:textId="77777777" w:rsidR="002C5E29" w:rsidRPr="00081E30" w:rsidRDefault="002C5E29" w:rsidP="002C5E29">
            <w:pPr>
              <w:pStyle w:val="Texto"/>
              <w:spacing w:after="0" w:line="240" w:lineRule="auto"/>
              <w:ind w:firstLine="0"/>
              <w:rPr>
                <w:rFonts w:ascii="Verdana" w:hAnsi="Verdana"/>
                <w:bCs/>
                <w:sz w:val="16"/>
                <w:szCs w:val="16"/>
              </w:rPr>
            </w:pPr>
            <w:r w:rsidRPr="004C593F">
              <w:rPr>
                <w:rFonts w:ascii="Verdana" w:hAnsi="Verdana"/>
                <w:b/>
                <w:sz w:val="16"/>
                <w:szCs w:val="16"/>
              </w:rPr>
              <w:t>Artículo 22.-</w:t>
            </w:r>
            <w:r w:rsidRPr="00081E30">
              <w:rPr>
                <w:rFonts w:ascii="Verdana" w:hAnsi="Verdana"/>
                <w:bCs/>
                <w:sz w:val="16"/>
                <w:szCs w:val="16"/>
              </w:rPr>
              <w:t xml:space="preserve"> Las secretarías de Hacienda y Crédito Público y de Economía, el Fondo Mexicano del Petróleo, la Comisión o la Agencia podrán someter a consideración de la Secretaría en cualquier momento la existencia de posibles causales de revocación de los títulos de Asignación.</w:t>
            </w:r>
          </w:p>
        </w:tc>
        <w:tc>
          <w:tcPr>
            <w:tcW w:w="4788" w:type="dxa"/>
            <w:shd w:val="clear" w:color="auto" w:fill="auto"/>
          </w:tcPr>
          <w:p w14:paraId="57385268" w14:textId="16E1FE79" w:rsidR="002C5E29" w:rsidRPr="00081E30" w:rsidRDefault="002C5E29" w:rsidP="002C5E29">
            <w:pPr>
              <w:pStyle w:val="Texto"/>
              <w:spacing w:after="0" w:line="240" w:lineRule="auto"/>
              <w:ind w:firstLine="0"/>
              <w:rPr>
                <w:rFonts w:ascii="Verdana" w:hAnsi="Verdana"/>
                <w:bCs/>
                <w:sz w:val="16"/>
                <w:szCs w:val="16"/>
                <w:lang w:val="en-US"/>
              </w:rPr>
            </w:pPr>
            <w:r w:rsidRPr="004C593F">
              <w:rPr>
                <w:rFonts w:ascii="Verdana" w:hAnsi="Verdana" w:cs="Times New Roman"/>
                <w:b/>
                <w:sz w:val="16"/>
                <w:szCs w:val="16"/>
                <w:lang w:val="en-US"/>
              </w:rPr>
              <w:t>Article 22.-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Secretaries</w:t>
            </w:r>
            <w:r w:rsidRPr="00081E30">
              <w:rPr>
                <w:rFonts w:ascii="Verdana" w:hAnsi="Verdana" w:cs="Times New Roman"/>
                <w:bCs/>
                <w:sz w:val="16"/>
                <w:szCs w:val="16"/>
                <w:lang w:val="en-US"/>
              </w:rPr>
              <w:t xml:space="preserve"> of Finance and Public Credit and of Economy, the Mexican Petroleum Fund, the Commission or the Agency may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at any time the existence of possible grounds for revocation of the</w:t>
            </w:r>
            <w:r>
              <w:rPr>
                <w:rFonts w:ascii="Verdana" w:hAnsi="Verdana" w:cs="Times New Roman"/>
                <w:bCs/>
                <w:sz w:val="16"/>
                <w:szCs w:val="16"/>
                <w:lang w:val="en-US"/>
              </w:rPr>
              <w:t xml:space="preserve"> titles of assignment. </w:t>
            </w:r>
          </w:p>
        </w:tc>
      </w:tr>
      <w:tr w:rsidR="002C5E29" w:rsidRPr="000A5335" w14:paraId="008F0B6B" w14:textId="26BE3C05" w:rsidTr="00081E30">
        <w:tc>
          <w:tcPr>
            <w:tcW w:w="4788" w:type="dxa"/>
            <w:shd w:val="clear" w:color="auto" w:fill="auto"/>
          </w:tcPr>
          <w:p w14:paraId="5668764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B11564B" w14:textId="6CF30FC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8657C90" w14:textId="13286A38" w:rsidTr="00081E30">
        <w:tc>
          <w:tcPr>
            <w:tcW w:w="4788" w:type="dxa"/>
            <w:shd w:val="clear" w:color="auto" w:fill="auto"/>
          </w:tcPr>
          <w:p w14:paraId="0AB5B821" w14:textId="77777777" w:rsidR="002C5E29" w:rsidRPr="0000179E" w:rsidRDefault="002C5E29" w:rsidP="002C5E29">
            <w:pPr>
              <w:pStyle w:val="Texto"/>
              <w:spacing w:after="0" w:line="240" w:lineRule="auto"/>
              <w:ind w:firstLine="0"/>
              <w:rPr>
                <w:rFonts w:ascii="Verdana" w:hAnsi="Verdana"/>
                <w:bCs/>
                <w:sz w:val="16"/>
                <w:szCs w:val="16"/>
              </w:rPr>
            </w:pPr>
            <w:r w:rsidRPr="0000179E">
              <w:rPr>
                <w:rFonts w:ascii="Verdana" w:hAnsi="Verdana"/>
                <w:b/>
                <w:sz w:val="16"/>
                <w:szCs w:val="16"/>
              </w:rPr>
              <w:t>Artículo 23.-</w:t>
            </w:r>
            <w:r w:rsidRPr="0000179E">
              <w:rPr>
                <w:rFonts w:ascii="Verdana" w:hAnsi="Verdana"/>
                <w:bCs/>
                <w:sz w:val="16"/>
                <w:szCs w:val="16"/>
              </w:rPr>
              <w:t xml:space="preserve"> En caso de que la Secretaría determine revocar una Asignación lo notificará al Asignatario e informará de lo anterior a la Comisión y a la Agencia.</w:t>
            </w:r>
          </w:p>
        </w:tc>
        <w:tc>
          <w:tcPr>
            <w:tcW w:w="4788" w:type="dxa"/>
            <w:shd w:val="clear" w:color="auto" w:fill="auto"/>
          </w:tcPr>
          <w:p w14:paraId="107F9A46" w14:textId="5CF314CA" w:rsidR="002C5E29" w:rsidRPr="0000179E" w:rsidRDefault="002C5E29" w:rsidP="002C5E29">
            <w:pPr>
              <w:pStyle w:val="Texto"/>
              <w:spacing w:after="0" w:line="240" w:lineRule="auto"/>
              <w:ind w:firstLine="0"/>
              <w:rPr>
                <w:rFonts w:ascii="Verdana" w:hAnsi="Verdana"/>
                <w:bCs/>
                <w:sz w:val="16"/>
                <w:szCs w:val="16"/>
                <w:lang w:val="en-US"/>
              </w:rPr>
            </w:pPr>
            <w:r w:rsidRPr="0000179E">
              <w:rPr>
                <w:rFonts w:ascii="Verdana" w:hAnsi="Verdana" w:cs="Times New Roman"/>
                <w:b/>
                <w:sz w:val="16"/>
                <w:szCs w:val="16"/>
                <w:lang w:val="en-US"/>
              </w:rPr>
              <w:t>Article 23.-</w:t>
            </w:r>
            <w:r w:rsidRPr="0000179E">
              <w:rPr>
                <w:rFonts w:ascii="Verdana" w:hAnsi="Verdana" w:cs="Times New Roman"/>
                <w:bCs/>
                <w:sz w:val="16"/>
                <w:szCs w:val="16"/>
                <w:lang w:val="en-US"/>
              </w:rPr>
              <w:t xml:space="preserve"> In the event that the Secretary determines to revoke an assignment, it will notify the assignee and inform the Commission and the Agency of the foregoing.</w:t>
            </w:r>
          </w:p>
        </w:tc>
      </w:tr>
      <w:tr w:rsidR="002C5E29" w:rsidRPr="000A5335" w14:paraId="105A2FCF" w14:textId="0A4E1E30" w:rsidTr="00081E30">
        <w:tc>
          <w:tcPr>
            <w:tcW w:w="4788" w:type="dxa"/>
            <w:shd w:val="clear" w:color="auto" w:fill="auto"/>
          </w:tcPr>
          <w:p w14:paraId="68689CF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1E8D819" w14:textId="742B130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4E5D17D" w14:textId="0CB72DEC" w:rsidTr="00081E30">
        <w:tc>
          <w:tcPr>
            <w:tcW w:w="4788" w:type="dxa"/>
            <w:shd w:val="clear" w:color="auto" w:fill="auto"/>
          </w:tcPr>
          <w:p w14:paraId="6EE8D2A4"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81E30">
              <w:rPr>
                <w:rFonts w:ascii="Verdana" w:hAnsi="Verdana"/>
                <w:bCs/>
                <w:color w:val="000000"/>
                <w:sz w:val="16"/>
                <w:szCs w:val="16"/>
              </w:rPr>
              <w:t>En caso de que la Secretaría determine el abandono del Área de Asignación, el Asignatario deberá realizar a su costa y riesgo el taponamiento de pozos, la limpieza, restauración y retorno del Área de Asignación a su estado natural en los términos que determine la Agencia, así como el desmantelamiento y retiro de maquinaria y equipo, en términos de las disposiciones jurídicas aplicables.</w:t>
            </w:r>
          </w:p>
        </w:tc>
        <w:tc>
          <w:tcPr>
            <w:tcW w:w="4788" w:type="dxa"/>
            <w:shd w:val="clear" w:color="auto" w:fill="auto"/>
          </w:tcPr>
          <w:p w14:paraId="6A696D81" w14:textId="4125A5E6"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xml:space="preserve">In the event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the abandonment of the </w:t>
            </w:r>
            <w:r>
              <w:rPr>
                <w:rFonts w:ascii="Verdana" w:hAnsi="Verdana" w:cs="Times New Roman"/>
                <w:bCs/>
                <w:sz w:val="16"/>
                <w:szCs w:val="16"/>
                <w:lang w:val="en-US"/>
              </w:rPr>
              <w:t>a</w:t>
            </w:r>
            <w:r w:rsidRPr="00081E30">
              <w:rPr>
                <w:rFonts w:ascii="Verdana" w:hAnsi="Verdana" w:cs="Times New Roman"/>
                <w:bCs/>
                <w:sz w:val="16"/>
                <w:szCs w:val="16"/>
                <w:lang w:val="en-US"/>
              </w:rPr>
              <w:t>rea</w:t>
            </w:r>
            <w:r>
              <w:rPr>
                <w:rFonts w:ascii="Verdana" w:hAnsi="Verdana" w:cs="Times New Roman"/>
                <w:bCs/>
                <w:sz w:val="16"/>
                <w:szCs w:val="16"/>
                <w:lang w:val="en-US"/>
              </w:rPr>
              <w:t xml:space="preserve"> of assignment</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w:t>
            </w:r>
            <w:r>
              <w:rPr>
                <w:rFonts w:ascii="Verdana" w:hAnsi="Verdana" w:cs="Times New Roman"/>
                <w:bCs/>
                <w:sz w:val="16"/>
                <w:szCs w:val="16"/>
                <w:lang w:val="en-US"/>
              </w:rPr>
              <w:t>must</w:t>
            </w:r>
            <w:r w:rsidRPr="00081E30">
              <w:rPr>
                <w:rFonts w:ascii="Verdana" w:hAnsi="Verdana" w:cs="Times New Roman"/>
                <w:bCs/>
                <w:sz w:val="16"/>
                <w:szCs w:val="16"/>
                <w:lang w:val="en-US"/>
              </w:rPr>
              <w:t xml:space="preserve"> carry out, at </w:t>
            </w:r>
            <w:r>
              <w:rPr>
                <w:rFonts w:ascii="Verdana" w:hAnsi="Verdana" w:cs="Times New Roman"/>
                <w:bCs/>
                <w:sz w:val="16"/>
                <w:szCs w:val="16"/>
                <w:lang w:val="en-US"/>
              </w:rPr>
              <w:t>their</w:t>
            </w:r>
            <w:r w:rsidRPr="00081E30">
              <w:rPr>
                <w:rFonts w:ascii="Verdana" w:hAnsi="Verdana" w:cs="Times New Roman"/>
                <w:bCs/>
                <w:sz w:val="16"/>
                <w:szCs w:val="16"/>
                <w:lang w:val="en-US"/>
              </w:rPr>
              <w:t xml:space="preserve"> expense and risk, the </w:t>
            </w:r>
            <w:r>
              <w:rPr>
                <w:rFonts w:ascii="Verdana" w:hAnsi="Verdana" w:cs="Times New Roman"/>
                <w:bCs/>
                <w:sz w:val="16"/>
                <w:szCs w:val="16"/>
                <w:lang w:val="en-US"/>
              </w:rPr>
              <w:t>sealing</w:t>
            </w:r>
            <w:r w:rsidRPr="00081E30">
              <w:rPr>
                <w:rFonts w:ascii="Verdana" w:hAnsi="Verdana" w:cs="Times New Roman"/>
                <w:bCs/>
                <w:sz w:val="16"/>
                <w:szCs w:val="16"/>
                <w:lang w:val="en-US"/>
              </w:rPr>
              <w:t xml:space="preserve"> of wells, </w:t>
            </w:r>
            <w:r>
              <w:rPr>
                <w:rFonts w:ascii="Verdana" w:hAnsi="Verdana" w:cs="Times New Roman"/>
                <w:bCs/>
                <w:sz w:val="16"/>
                <w:szCs w:val="16"/>
                <w:lang w:val="en-US"/>
              </w:rPr>
              <w:t xml:space="preserve">the </w:t>
            </w:r>
            <w:r w:rsidRPr="00081E30">
              <w:rPr>
                <w:rFonts w:ascii="Verdana" w:hAnsi="Verdana" w:cs="Times New Roman"/>
                <w:bCs/>
                <w:sz w:val="16"/>
                <w:szCs w:val="16"/>
                <w:lang w:val="en-US"/>
              </w:rPr>
              <w:t xml:space="preserve">cleaning, restoration and return of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to its natural state in the terms determined by the Agency, as well as the dismantling and removal of machinery and equipment, in terms of the applicable legal provisions.</w:t>
            </w:r>
          </w:p>
        </w:tc>
      </w:tr>
      <w:tr w:rsidR="002C5E29" w:rsidRPr="000A5335" w14:paraId="0E2B60C9" w14:textId="699AE599" w:rsidTr="00081E30">
        <w:tc>
          <w:tcPr>
            <w:tcW w:w="4788" w:type="dxa"/>
            <w:shd w:val="clear" w:color="auto" w:fill="auto"/>
          </w:tcPr>
          <w:p w14:paraId="2FA2A89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6670275" w14:textId="115AF18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BC2988F" w14:textId="68D64793" w:rsidTr="00081E30">
        <w:tc>
          <w:tcPr>
            <w:tcW w:w="4788" w:type="dxa"/>
            <w:shd w:val="clear" w:color="auto" w:fill="auto"/>
          </w:tcPr>
          <w:p w14:paraId="312CB904" w14:textId="77777777" w:rsidR="002C5E29" w:rsidRPr="00081E30" w:rsidRDefault="002C5E29" w:rsidP="002C5E29">
            <w:pPr>
              <w:pStyle w:val="Texto"/>
              <w:spacing w:after="0" w:line="240" w:lineRule="auto"/>
              <w:ind w:firstLine="0"/>
              <w:rPr>
                <w:rFonts w:ascii="Verdana" w:hAnsi="Verdana"/>
                <w:bCs/>
                <w:color w:val="000000"/>
                <w:sz w:val="16"/>
                <w:szCs w:val="16"/>
              </w:rPr>
            </w:pPr>
            <w:r w:rsidRPr="00081E30">
              <w:rPr>
                <w:rFonts w:ascii="Verdana" w:hAnsi="Verdana"/>
                <w:bCs/>
                <w:color w:val="000000"/>
                <w:sz w:val="16"/>
                <w:szCs w:val="16"/>
              </w:rPr>
              <w:t>El Asignatario podrá presentar a la Comisión y a la Agencia un plan que garantice la transición ordenada, segura y eficiente de las actividades o sobre el abandono del Área de Asignación respectiva, en un plazo de quince días hábiles.</w:t>
            </w:r>
          </w:p>
        </w:tc>
        <w:tc>
          <w:tcPr>
            <w:tcW w:w="4788" w:type="dxa"/>
            <w:shd w:val="clear" w:color="auto" w:fill="auto"/>
          </w:tcPr>
          <w:p w14:paraId="7F84C304" w14:textId="34AF0EE2"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a</w:t>
            </w:r>
            <w:r w:rsidRPr="00081E30">
              <w:rPr>
                <w:rFonts w:ascii="Verdana" w:hAnsi="Verdana" w:cs="Times New Roman"/>
                <w:bCs/>
                <w:sz w:val="16"/>
                <w:szCs w:val="16"/>
                <w:lang w:val="en-US"/>
              </w:rPr>
              <w:t>ssignee may submit to the Commission and the Agency a plan that guarantees the orderly, safe and efficient transition of activities or</w:t>
            </w:r>
            <w:r>
              <w:rPr>
                <w:rFonts w:ascii="Verdana" w:hAnsi="Verdana" w:cs="Times New Roman"/>
                <w:bCs/>
                <w:sz w:val="16"/>
                <w:szCs w:val="16"/>
                <w:lang w:val="en-US"/>
              </w:rPr>
              <w:t xml:space="preserve"> for</w:t>
            </w:r>
            <w:r w:rsidRPr="00081E30">
              <w:rPr>
                <w:rFonts w:ascii="Verdana" w:hAnsi="Verdana" w:cs="Times New Roman"/>
                <w:bCs/>
                <w:sz w:val="16"/>
                <w:szCs w:val="16"/>
                <w:lang w:val="en-US"/>
              </w:rPr>
              <w:t xml:space="preserve"> the abandonment of the respective </w:t>
            </w:r>
            <w:r>
              <w:rPr>
                <w:rFonts w:ascii="Verdana" w:hAnsi="Verdana" w:cs="Times New Roman"/>
                <w:bCs/>
                <w:sz w:val="16"/>
                <w:szCs w:val="16"/>
                <w:lang w:val="en-US"/>
              </w:rPr>
              <w:t>area of assignment</w:t>
            </w:r>
            <w:r w:rsidRPr="00081E30">
              <w:rPr>
                <w:rFonts w:ascii="Verdana" w:hAnsi="Verdana" w:cs="Times New Roman"/>
                <w:bCs/>
                <w:sz w:val="16"/>
                <w:szCs w:val="16"/>
                <w:lang w:val="en-US"/>
              </w:rPr>
              <w:t>, within a period of fifteen business days.</w:t>
            </w:r>
          </w:p>
        </w:tc>
      </w:tr>
      <w:tr w:rsidR="002C5E29" w:rsidRPr="000A5335" w14:paraId="691C31B8" w14:textId="233A70E2" w:rsidTr="00081E30">
        <w:tc>
          <w:tcPr>
            <w:tcW w:w="4788" w:type="dxa"/>
            <w:shd w:val="clear" w:color="auto" w:fill="auto"/>
          </w:tcPr>
          <w:p w14:paraId="13637214"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14094E78" w14:textId="6EB6785B"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62E53570" w14:textId="44140632" w:rsidTr="00081E30">
        <w:tc>
          <w:tcPr>
            <w:tcW w:w="4788" w:type="dxa"/>
            <w:shd w:val="clear" w:color="auto" w:fill="auto"/>
          </w:tcPr>
          <w:p w14:paraId="79AC527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deberá notificar a la Secretaría de Hacienda y Crédito Público y al Fondo Mexicano del Petróleo sobre la revocación de una Asignación, al día hábil siguiente al que se haya dictado la resolución correspondiente.</w:t>
            </w:r>
          </w:p>
        </w:tc>
        <w:tc>
          <w:tcPr>
            <w:tcW w:w="4788" w:type="dxa"/>
            <w:shd w:val="clear" w:color="auto" w:fill="auto"/>
          </w:tcPr>
          <w:p w14:paraId="4F3E7345" w14:textId="72D1599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Mexican Petroleum Fund of the revocation of an </w:t>
            </w:r>
            <w:r>
              <w:rPr>
                <w:rFonts w:ascii="Verdana" w:hAnsi="Verdana" w:cs="Times New Roman"/>
                <w:bCs/>
                <w:sz w:val="16"/>
                <w:szCs w:val="16"/>
                <w:lang w:val="en-US"/>
              </w:rPr>
              <w:t>a</w:t>
            </w:r>
            <w:r w:rsidRPr="00081E30">
              <w:rPr>
                <w:rFonts w:ascii="Verdana" w:hAnsi="Verdana" w:cs="Times New Roman"/>
                <w:bCs/>
                <w:sz w:val="16"/>
                <w:szCs w:val="16"/>
                <w:lang w:val="en-US"/>
              </w:rPr>
              <w:t>ssignment, on the business day following the date on which the corresponding resolution has been issued.</w:t>
            </w:r>
          </w:p>
        </w:tc>
      </w:tr>
      <w:tr w:rsidR="002C5E29" w:rsidRPr="000A5335" w14:paraId="4686A701" w14:textId="29D9065E" w:rsidTr="00081E30">
        <w:tc>
          <w:tcPr>
            <w:tcW w:w="4788" w:type="dxa"/>
            <w:shd w:val="clear" w:color="auto" w:fill="auto"/>
          </w:tcPr>
          <w:p w14:paraId="0E3FF42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5D617FF" w14:textId="0F2960A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A0B240" w14:textId="01634EEF" w:rsidTr="00081E30">
        <w:tc>
          <w:tcPr>
            <w:tcW w:w="4788" w:type="dxa"/>
            <w:shd w:val="clear" w:color="auto" w:fill="auto"/>
          </w:tcPr>
          <w:p w14:paraId="36C1B099" w14:textId="77777777" w:rsidR="002C5E29" w:rsidRPr="00081E30" w:rsidRDefault="002C5E29" w:rsidP="002C5E29">
            <w:pPr>
              <w:pStyle w:val="Texto"/>
              <w:spacing w:after="0" w:line="240" w:lineRule="auto"/>
              <w:ind w:firstLine="0"/>
              <w:rPr>
                <w:rFonts w:ascii="Verdana" w:hAnsi="Verdana"/>
                <w:bCs/>
                <w:sz w:val="16"/>
                <w:szCs w:val="16"/>
              </w:rPr>
            </w:pPr>
            <w:r w:rsidRPr="002A0B02">
              <w:rPr>
                <w:rFonts w:ascii="Verdana" w:hAnsi="Verdana"/>
                <w:b/>
                <w:sz w:val="16"/>
                <w:szCs w:val="16"/>
              </w:rPr>
              <w:t>Artículo 24.-</w:t>
            </w:r>
            <w:r w:rsidRPr="00081E30">
              <w:rPr>
                <w:rFonts w:ascii="Verdana" w:hAnsi="Verdana"/>
                <w:bCs/>
                <w:sz w:val="16"/>
                <w:szCs w:val="16"/>
              </w:rPr>
              <w:t xml:space="preserve"> El procedimiento de revocación se desarrollará sin menoscabo de las sanciones legales y administrativas a que haya lugar, así como del resarcimiento de los daños y perjuicios causados.</w:t>
            </w:r>
          </w:p>
        </w:tc>
        <w:tc>
          <w:tcPr>
            <w:tcW w:w="4788" w:type="dxa"/>
            <w:shd w:val="clear" w:color="auto" w:fill="auto"/>
          </w:tcPr>
          <w:p w14:paraId="59D7CA44" w14:textId="67D10B9B" w:rsidR="002C5E29" w:rsidRPr="00081E30" w:rsidRDefault="002C5E29" w:rsidP="002C5E29">
            <w:pPr>
              <w:pStyle w:val="Texto"/>
              <w:spacing w:after="0" w:line="240" w:lineRule="auto"/>
              <w:ind w:firstLine="0"/>
              <w:rPr>
                <w:rFonts w:ascii="Verdana" w:hAnsi="Verdana"/>
                <w:bCs/>
                <w:sz w:val="16"/>
                <w:szCs w:val="16"/>
                <w:lang w:val="en-US"/>
              </w:rPr>
            </w:pPr>
            <w:r w:rsidRPr="002A0B02">
              <w:rPr>
                <w:rFonts w:ascii="Verdana" w:hAnsi="Verdana" w:cs="Times New Roman"/>
                <w:b/>
                <w:sz w:val="16"/>
                <w:szCs w:val="16"/>
                <w:lang w:val="en-US"/>
              </w:rPr>
              <w:t>Article 24.-</w:t>
            </w:r>
            <w:r w:rsidRPr="00081E30">
              <w:rPr>
                <w:rFonts w:ascii="Verdana" w:hAnsi="Verdana" w:cs="Times New Roman"/>
                <w:bCs/>
                <w:sz w:val="16"/>
                <w:szCs w:val="16"/>
                <w:lang w:val="en-US"/>
              </w:rPr>
              <w:t xml:space="preserve"> The revocation procedure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carried out without prejudice to the legal and administrative sanctions that may be applicable, as well as to the compensation for the damages caused.</w:t>
            </w:r>
          </w:p>
        </w:tc>
      </w:tr>
      <w:tr w:rsidR="002C5E29" w:rsidRPr="000A5335" w14:paraId="2F08C237" w14:textId="46776952" w:rsidTr="00081E30">
        <w:tc>
          <w:tcPr>
            <w:tcW w:w="4788" w:type="dxa"/>
            <w:shd w:val="clear" w:color="auto" w:fill="auto"/>
          </w:tcPr>
          <w:p w14:paraId="12E324D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E105331" w14:textId="5601B7C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67C7569" w14:textId="035467EE" w:rsidTr="00081E30">
        <w:tc>
          <w:tcPr>
            <w:tcW w:w="4788" w:type="dxa"/>
            <w:shd w:val="clear" w:color="auto" w:fill="auto"/>
          </w:tcPr>
          <w:p w14:paraId="7E0F92B7" w14:textId="77777777" w:rsidR="002C5E29" w:rsidRPr="00081E30" w:rsidRDefault="002C5E29" w:rsidP="002C5E29">
            <w:pPr>
              <w:pStyle w:val="Texto"/>
              <w:spacing w:after="0" w:line="240" w:lineRule="auto"/>
              <w:ind w:firstLine="0"/>
              <w:rPr>
                <w:rFonts w:ascii="Verdana" w:hAnsi="Verdana"/>
                <w:bCs/>
                <w:sz w:val="16"/>
                <w:szCs w:val="16"/>
              </w:rPr>
            </w:pPr>
            <w:r w:rsidRPr="002A0B02">
              <w:rPr>
                <w:rFonts w:ascii="Verdana" w:hAnsi="Verdana"/>
                <w:b/>
                <w:sz w:val="16"/>
                <w:szCs w:val="16"/>
              </w:rPr>
              <w:t>Artículo 25.-</w:t>
            </w:r>
            <w:r w:rsidRPr="00081E30">
              <w:rPr>
                <w:rFonts w:ascii="Verdana" w:hAnsi="Verdana"/>
                <w:bCs/>
                <w:sz w:val="16"/>
                <w:szCs w:val="16"/>
              </w:rPr>
              <w:t xml:space="preserve"> Se consideran causas justificadas para no iniciar o suspender las actividades previstas en el plan de Exploración o de desarrollo para la Extracción en el Área de Asignación, los casos fortuitos o de fuerza mayor y los demás que se establezcan en el título de Asignación.</w:t>
            </w:r>
          </w:p>
        </w:tc>
        <w:tc>
          <w:tcPr>
            <w:tcW w:w="4788" w:type="dxa"/>
            <w:shd w:val="clear" w:color="auto" w:fill="auto"/>
          </w:tcPr>
          <w:p w14:paraId="5823C2F1" w14:textId="036F2B89" w:rsidR="002C5E29" w:rsidRPr="00081E30" w:rsidRDefault="002C5E29" w:rsidP="002C5E29">
            <w:pPr>
              <w:pStyle w:val="Texto"/>
              <w:spacing w:after="0" w:line="240" w:lineRule="auto"/>
              <w:ind w:firstLine="0"/>
              <w:rPr>
                <w:rFonts w:ascii="Verdana" w:hAnsi="Verdana"/>
                <w:bCs/>
                <w:sz w:val="16"/>
                <w:szCs w:val="16"/>
                <w:lang w:val="en-US"/>
              </w:rPr>
            </w:pPr>
            <w:r w:rsidRPr="002A0B02">
              <w:rPr>
                <w:rFonts w:ascii="Verdana" w:hAnsi="Verdana" w:cs="Times New Roman"/>
                <w:b/>
                <w:sz w:val="16"/>
                <w:szCs w:val="16"/>
                <w:lang w:val="en-US"/>
              </w:rPr>
              <w:t>Article 25.-</w:t>
            </w:r>
            <w:r w:rsidRPr="00081E30">
              <w:rPr>
                <w:rFonts w:ascii="Verdana" w:hAnsi="Verdana" w:cs="Times New Roman"/>
                <w:bCs/>
                <w:sz w:val="16"/>
                <w:szCs w:val="16"/>
                <w:lang w:val="en-US"/>
              </w:rPr>
              <w:t xml:space="preserve"> </w:t>
            </w:r>
            <w:r>
              <w:rPr>
                <w:rFonts w:ascii="Verdana" w:hAnsi="Verdana" w:cs="Times New Roman"/>
                <w:bCs/>
                <w:sz w:val="16"/>
                <w:szCs w:val="16"/>
                <w:lang w:val="en-US"/>
              </w:rPr>
              <w:t>The following are considered j</w:t>
            </w:r>
            <w:r w:rsidRPr="00081E30">
              <w:rPr>
                <w:rFonts w:ascii="Verdana" w:hAnsi="Verdana" w:cs="Times New Roman"/>
                <w:bCs/>
                <w:sz w:val="16"/>
                <w:szCs w:val="16"/>
                <w:lang w:val="en-US"/>
              </w:rPr>
              <w:t xml:space="preserve">ustified causes </w:t>
            </w:r>
            <w:r>
              <w:rPr>
                <w:rFonts w:ascii="Verdana" w:hAnsi="Verdana" w:cs="Times New Roman"/>
                <w:bCs/>
                <w:sz w:val="16"/>
                <w:szCs w:val="16"/>
                <w:lang w:val="en-US"/>
              </w:rPr>
              <w:t>for not</w:t>
            </w:r>
            <w:r w:rsidRPr="00081E30">
              <w:rPr>
                <w:rFonts w:ascii="Verdana" w:hAnsi="Verdana" w:cs="Times New Roman"/>
                <w:bCs/>
                <w:sz w:val="16"/>
                <w:szCs w:val="16"/>
                <w:lang w:val="en-US"/>
              </w:rPr>
              <w:t xml:space="preserve"> initiat</w:t>
            </w:r>
            <w:r>
              <w:rPr>
                <w:rFonts w:ascii="Verdana" w:hAnsi="Verdana" w:cs="Times New Roman"/>
                <w:bCs/>
                <w:sz w:val="16"/>
                <w:szCs w:val="16"/>
                <w:lang w:val="en-US"/>
              </w:rPr>
              <w:t>ing</w:t>
            </w:r>
            <w:r w:rsidRPr="00081E30">
              <w:rPr>
                <w:rFonts w:ascii="Verdana" w:hAnsi="Verdana" w:cs="Times New Roman"/>
                <w:bCs/>
                <w:sz w:val="16"/>
                <w:szCs w:val="16"/>
                <w:lang w:val="en-US"/>
              </w:rPr>
              <w:t xml:space="preserve"> or suspend</w:t>
            </w:r>
            <w:r>
              <w:rPr>
                <w:rFonts w:ascii="Verdana" w:hAnsi="Verdana" w:cs="Times New Roman"/>
                <w:bCs/>
                <w:sz w:val="16"/>
                <w:szCs w:val="16"/>
                <w:lang w:val="en-US"/>
              </w:rPr>
              <w:t>ing</w:t>
            </w:r>
            <w:r w:rsidRPr="00081E30">
              <w:rPr>
                <w:rFonts w:ascii="Verdana" w:hAnsi="Verdana" w:cs="Times New Roman"/>
                <w:bCs/>
                <w:sz w:val="16"/>
                <w:szCs w:val="16"/>
                <w:lang w:val="en-US"/>
              </w:rPr>
              <w:t xml:space="preserve"> the activities </w:t>
            </w:r>
            <w:r>
              <w:rPr>
                <w:rFonts w:ascii="Verdana" w:hAnsi="Verdana" w:cs="Times New Roman"/>
                <w:bCs/>
                <w:sz w:val="16"/>
                <w:szCs w:val="16"/>
                <w:lang w:val="en-US"/>
              </w:rPr>
              <w:t>detailed</w:t>
            </w:r>
            <w:r w:rsidRPr="00081E30">
              <w:rPr>
                <w:rFonts w:ascii="Verdana" w:hAnsi="Verdana" w:cs="Times New Roman"/>
                <w:bCs/>
                <w:sz w:val="16"/>
                <w:szCs w:val="16"/>
                <w:lang w:val="en-US"/>
              </w:rPr>
              <w:t xml:space="preserve"> in the </w:t>
            </w:r>
            <w:r>
              <w:rPr>
                <w:rFonts w:ascii="Verdana" w:hAnsi="Verdana" w:cs="Times New Roman"/>
                <w:bCs/>
                <w:sz w:val="16"/>
                <w:szCs w:val="16"/>
                <w:lang w:val="en-US"/>
              </w:rPr>
              <w:t>e</w:t>
            </w:r>
            <w:r w:rsidRPr="00081E30">
              <w:rPr>
                <w:rFonts w:ascii="Verdana" w:hAnsi="Verdana" w:cs="Times New Roman"/>
                <w:bCs/>
                <w:sz w:val="16"/>
                <w:szCs w:val="16"/>
                <w:lang w:val="en-US"/>
              </w:rPr>
              <w:t xml:space="preserve">xploration or development plan for the </w:t>
            </w:r>
            <w:r>
              <w:rPr>
                <w:rFonts w:ascii="Verdana" w:hAnsi="Verdana" w:cs="Times New Roman"/>
                <w:bCs/>
                <w:sz w:val="16"/>
                <w:szCs w:val="16"/>
                <w:lang w:val="en-US"/>
              </w:rPr>
              <w:t>e</w:t>
            </w:r>
            <w:r w:rsidRPr="00081E30">
              <w:rPr>
                <w:rFonts w:ascii="Verdana" w:hAnsi="Verdana" w:cs="Times New Roman"/>
                <w:bCs/>
                <w:sz w:val="16"/>
                <w:szCs w:val="16"/>
                <w:lang w:val="en-US"/>
              </w:rPr>
              <w:t xml:space="preserve">xtraction in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w:t>
            </w:r>
            <w:r>
              <w:rPr>
                <w:rFonts w:ascii="Verdana" w:hAnsi="Verdana" w:cs="Times New Roman"/>
                <w:bCs/>
                <w:sz w:val="16"/>
                <w:szCs w:val="16"/>
                <w:lang w:val="en-US"/>
              </w:rPr>
              <w:t>for cases of chance</w:t>
            </w:r>
            <w:r w:rsidRPr="00081E30">
              <w:rPr>
                <w:rFonts w:ascii="Verdana" w:hAnsi="Verdana" w:cs="Times New Roman"/>
                <w:bCs/>
                <w:sz w:val="16"/>
                <w:szCs w:val="16"/>
                <w:lang w:val="en-US"/>
              </w:rPr>
              <w:t xml:space="preserve"> or </w:t>
            </w:r>
            <w:r w:rsidRPr="002A0B02">
              <w:rPr>
                <w:rFonts w:ascii="Verdana" w:hAnsi="Verdana" w:cs="Times New Roman"/>
                <w:bCs/>
                <w:i/>
                <w:iCs/>
                <w:sz w:val="16"/>
                <w:szCs w:val="16"/>
                <w:lang w:val="en-US"/>
              </w:rPr>
              <w:t xml:space="preserve">force majeure </w:t>
            </w:r>
            <w:r w:rsidRPr="00081E30">
              <w:rPr>
                <w:rFonts w:ascii="Verdana" w:hAnsi="Verdana" w:cs="Times New Roman"/>
                <w:bCs/>
                <w:sz w:val="16"/>
                <w:szCs w:val="16"/>
                <w:lang w:val="en-US"/>
              </w:rPr>
              <w:t xml:space="preserve">and the others established in the title of </w:t>
            </w:r>
            <w:r>
              <w:rPr>
                <w:rFonts w:ascii="Verdana" w:hAnsi="Verdana" w:cs="Times New Roman"/>
                <w:bCs/>
                <w:sz w:val="16"/>
                <w:szCs w:val="16"/>
                <w:lang w:val="en-US"/>
              </w:rPr>
              <w:t>a</w:t>
            </w:r>
            <w:r w:rsidRPr="00081E30">
              <w:rPr>
                <w:rFonts w:ascii="Verdana" w:hAnsi="Verdana" w:cs="Times New Roman"/>
                <w:bCs/>
                <w:sz w:val="16"/>
                <w:szCs w:val="16"/>
                <w:lang w:val="en-US"/>
              </w:rPr>
              <w:t>ssignment.</w:t>
            </w:r>
          </w:p>
        </w:tc>
      </w:tr>
      <w:tr w:rsidR="002C5E29" w:rsidRPr="000A5335" w14:paraId="2616A6E1" w14:textId="6EFA7B35" w:rsidTr="00081E30">
        <w:tc>
          <w:tcPr>
            <w:tcW w:w="4788" w:type="dxa"/>
            <w:shd w:val="clear" w:color="auto" w:fill="auto"/>
          </w:tcPr>
          <w:p w14:paraId="5FB10B9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A558110" w14:textId="0AFF8FD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AFBEFB3" w14:textId="5D45105D" w:rsidTr="00081E30">
        <w:tc>
          <w:tcPr>
            <w:tcW w:w="4788" w:type="dxa"/>
            <w:shd w:val="clear" w:color="auto" w:fill="auto"/>
          </w:tcPr>
          <w:p w14:paraId="4E0CC55A" w14:textId="77777777" w:rsidR="002C5E29" w:rsidRPr="002A0B02" w:rsidRDefault="002C5E29" w:rsidP="002C5E29">
            <w:pPr>
              <w:pStyle w:val="ANOTACION"/>
              <w:spacing w:before="0" w:after="0" w:line="240" w:lineRule="auto"/>
              <w:rPr>
                <w:rFonts w:ascii="Verdana" w:hAnsi="Verdana" w:cs="Arial"/>
                <w:sz w:val="16"/>
                <w:szCs w:val="16"/>
              </w:rPr>
            </w:pPr>
            <w:r w:rsidRPr="002A0B02">
              <w:rPr>
                <w:rFonts w:ascii="Verdana" w:hAnsi="Verdana" w:cs="Arial"/>
                <w:sz w:val="16"/>
                <w:szCs w:val="16"/>
              </w:rPr>
              <w:t>Capítulo III</w:t>
            </w:r>
          </w:p>
        </w:tc>
        <w:tc>
          <w:tcPr>
            <w:tcW w:w="4788" w:type="dxa"/>
            <w:shd w:val="clear" w:color="auto" w:fill="auto"/>
          </w:tcPr>
          <w:p w14:paraId="3D91998D" w14:textId="093EC1B1" w:rsidR="002C5E29" w:rsidRPr="002A0B02" w:rsidRDefault="002C5E29" w:rsidP="002C5E29">
            <w:pPr>
              <w:pStyle w:val="ANOTACION"/>
              <w:spacing w:before="0" w:after="0" w:line="240" w:lineRule="auto"/>
              <w:rPr>
                <w:rFonts w:ascii="Verdana" w:hAnsi="Verdana" w:cs="Arial"/>
                <w:sz w:val="16"/>
                <w:szCs w:val="16"/>
                <w:lang w:val="en-US"/>
              </w:rPr>
            </w:pPr>
            <w:r w:rsidRPr="002A0B02">
              <w:rPr>
                <w:rFonts w:ascii="Verdana" w:hAnsi="Verdana"/>
                <w:sz w:val="16"/>
                <w:szCs w:val="16"/>
                <w:lang w:val="en-US"/>
              </w:rPr>
              <w:t>Chapter III</w:t>
            </w:r>
          </w:p>
        </w:tc>
      </w:tr>
      <w:tr w:rsidR="002C5E29" w:rsidRPr="000A5335" w14:paraId="1FBF9286" w14:textId="15BC80EE" w:rsidTr="00081E30">
        <w:tc>
          <w:tcPr>
            <w:tcW w:w="4788" w:type="dxa"/>
            <w:shd w:val="clear" w:color="auto" w:fill="auto"/>
          </w:tcPr>
          <w:p w14:paraId="0E279659" w14:textId="77777777" w:rsidR="002C5E29" w:rsidRPr="002A0B02" w:rsidRDefault="002C5E29" w:rsidP="002C5E29">
            <w:pPr>
              <w:pStyle w:val="ANOTACION"/>
              <w:spacing w:before="0" w:after="0" w:line="240" w:lineRule="auto"/>
              <w:rPr>
                <w:rFonts w:ascii="Verdana" w:hAnsi="Verdana" w:cs="Arial"/>
                <w:sz w:val="16"/>
                <w:szCs w:val="16"/>
              </w:rPr>
            </w:pPr>
            <w:r w:rsidRPr="002A0B02">
              <w:rPr>
                <w:rFonts w:ascii="Verdana" w:hAnsi="Verdana" w:cs="Arial"/>
                <w:sz w:val="16"/>
                <w:szCs w:val="16"/>
              </w:rPr>
              <w:t>De los Contratos para la Exploración y Extracción</w:t>
            </w:r>
          </w:p>
        </w:tc>
        <w:tc>
          <w:tcPr>
            <w:tcW w:w="4788" w:type="dxa"/>
            <w:shd w:val="clear" w:color="auto" w:fill="auto"/>
          </w:tcPr>
          <w:p w14:paraId="7BAAE19B" w14:textId="22839CDA" w:rsidR="002C5E29" w:rsidRPr="002A0B02"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C</w:t>
            </w:r>
            <w:r w:rsidRPr="002A0B02">
              <w:rPr>
                <w:rFonts w:ascii="Verdana" w:hAnsi="Verdana"/>
                <w:sz w:val="16"/>
                <w:szCs w:val="16"/>
                <w:lang w:val="en-US"/>
              </w:rPr>
              <w:t xml:space="preserve">ontracts for </w:t>
            </w:r>
            <w:r>
              <w:rPr>
                <w:rFonts w:ascii="Verdana" w:hAnsi="Verdana"/>
                <w:sz w:val="16"/>
                <w:szCs w:val="16"/>
                <w:lang w:val="en-US"/>
              </w:rPr>
              <w:t>E</w:t>
            </w:r>
            <w:r w:rsidRPr="002A0B02">
              <w:rPr>
                <w:rFonts w:ascii="Verdana" w:hAnsi="Verdana"/>
                <w:sz w:val="16"/>
                <w:szCs w:val="16"/>
                <w:lang w:val="en-US"/>
              </w:rPr>
              <w:t xml:space="preserve">xploration and </w:t>
            </w:r>
            <w:r>
              <w:rPr>
                <w:rFonts w:ascii="Verdana" w:hAnsi="Verdana"/>
                <w:sz w:val="16"/>
                <w:szCs w:val="16"/>
                <w:lang w:val="en-US"/>
              </w:rPr>
              <w:t>E</w:t>
            </w:r>
            <w:r w:rsidRPr="002A0B02">
              <w:rPr>
                <w:rFonts w:ascii="Verdana" w:hAnsi="Verdana"/>
                <w:sz w:val="16"/>
                <w:szCs w:val="16"/>
                <w:lang w:val="en-US"/>
              </w:rPr>
              <w:t>xtraction</w:t>
            </w:r>
          </w:p>
        </w:tc>
      </w:tr>
      <w:tr w:rsidR="002C5E29" w:rsidRPr="000A5335" w14:paraId="224027C5" w14:textId="659DEB85" w:rsidTr="00081E30">
        <w:tc>
          <w:tcPr>
            <w:tcW w:w="4788" w:type="dxa"/>
            <w:shd w:val="clear" w:color="auto" w:fill="auto"/>
          </w:tcPr>
          <w:p w14:paraId="1364EF61" w14:textId="77777777" w:rsidR="002C5E29" w:rsidRPr="002A0B02" w:rsidRDefault="002C5E29" w:rsidP="002C5E29">
            <w:pPr>
              <w:pStyle w:val="ANOTACION"/>
              <w:spacing w:before="0" w:after="0" w:line="240" w:lineRule="auto"/>
              <w:rPr>
                <w:rFonts w:ascii="Verdana" w:hAnsi="Verdana" w:cs="Arial"/>
                <w:sz w:val="16"/>
                <w:szCs w:val="16"/>
                <w:lang w:val="en-US"/>
              </w:rPr>
            </w:pPr>
          </w:p>
        </w:tc>
        <w:tc>
          <w:tcPr>
            <w:tcW w:w="4788" w:type="dxa"/>
            <w:shd w:val="clear" w:color="auto" w:fill="auto"/>
          </w:tcPr>
          <w:p w14:paraId="76614307" w14:textId="62970B76" w:rsidR="002C5E29" w:rsidRPr="002A0B02" w:rsidRDefault="002C5E29" w:rsidP="002C5E29">
            <w:pPr>
              <w:pStyle w:val="ANOTACION"/>
              <w:spacing w:before="0" w:after="0" w:line="240" w:lineRule="auto"/>
              <w:rPr>
                <w:rFonts w:ascii="Verdana" w:hAnsi="Verdana" w:cs="Arial"/>
                <w:sz w:val="16"/>
                <w:szCs w:val="16"/>
                <w:lang w:val="en-US"/>
              </w:rPr>
            </w:pPr>
            <w:r w:rsidRPr="002A0B02">
              <w:rPr>
                <w:rFonts w:ascii="Verdana" w:hAnsi="Verdana"/>
                <w:sz w:val="16"/>
                <w:szCs w:val="16"/>
                <w:lang w:val="en-US"/>
              </w:rPr>
              <w:t> </w:t>
            </w:r>
          </w:p>
        </w:tc>
      </w:tr>
      <w:tr w:rsidR="002C5E29" w:rsidRPr="003C1F6B" w14:paraId="188EC577" w14:textId="0C554B19" w:rsidTr="00081E30">
        <w:tc>
          <w:tcPr>
            <w:tcW w:w="4788" w:type="dxa"/>
            <w:shd w:val="clear" w:color="auto" w:fill="auto"/>
          </w:tcPr>
          <w:p w14:paraId="124267A4" w14:textId="77777777" w:rsidR="002C5E29" w:rsidRPr="002A0B02" w:rsidRDefault="002C5E29" w:rsidP="002C5E29">
            <w:pPr>
              <w:pStyle w:val="ANOTACION"/>
              <w:spacing w:before="0" w:after="0" w:line="240" w:lineRule="auto"/>
              <w:rPr>
                <w:rFonts w:ascii="Verdana" w:hAnsi="Verdana" w:cs="Arial"/>
                <w:sz w:val="16"/>
                <w:szCs w:val="16"/>
              </w:rPr>
            </w:pPr>
            <w:r w:rsidRPr="002A0B02">
              <w:rPr>
                <w:rFonts w:ascii="Verdana" w:hAnsi="Verdana" w:cs="Arial"/>
                <w:sz w:val="16"/>
                <w:szCs w:val="16"/>
              </w:rPr>
              <w:t>Sección Primera</w:t>
            </w:r>
          </w:p>
        </w:tc>
        <w:tc>
          <w:tcPr>
            <w:tcW w:w="4788" w:type="dxa"/>
            <w:shd w:val="clear" w:color="auto" w:fill="auto"/>
          </w:tcPr>
          <w:p w14:paraId="3F2EB2C2" w14:textId="579F9318" w:rsidR="002C5E29" w:rsidRPr="002A0B02" w:rsidRDefault="002C5E29" w:rsidP="002C5E29">
            <w:pPr>
              <w:pStyle w:val="ANOTACION"/>
              <w:spacing w:before="0" w:after="0" w:line="240" w:lineRule="auto"/>
              <w:rPr>
                <w:rFonts w:ascii="Verdana" w:hAnsi="Verdana" w:cs="Arial"/>
                <w:sz w:val="16"/>
                <w:szCs w:val="16"/>
                <w:lang w:val="en-US"/>
              </w:rPr>
            </w:pPr>
            <w:r w:rsidRPr="002A0B02">
              <w:rPr>
                <w:rFonts w:ascii="Verdana" w:hAnsi="Verdana"/>
                <w:sz w:val="16"/>
                <w:szCs w:val="16"/>
                <w:lang w:val="en-US"/>
              </w:rPr>
              <w:t>First Section</w:t>
            </w:r>
          </w:p>
        </w:tc>
      </w:tr>
      <w:tr w:rsidR="002C5E29" w:rsidRPr="000A5335" w14:paraId="2701D18D" w14:textId="7D8C8A8C" w:rsidTr="00081E30">
        <w:tc>
          <w:tcPr>
            <w:tcW w:w="4788" w:type="dxa"/>
            <w:shd w:val="clear" w:color="auto" w:fill="auto"/>
          </w:tcPr>
          <w:p w14:paraId="383A1343" w14:textId="77777777" w:rsidR="002C5E29" w:rsidRPr="002A0B02" w:rsidRDefault="002C5E29" w:rsidP="002C5E29">
            <w:pPr>
              <w:pStyle w:val="ANOTACION"/>
              <w:spacing w:before="0" w:after="0" w:line="240" w:lineRule="auto"/>
              <w:rPr>
                <w:rFonts w:ascii="Verdana" w:hAnsi="Verdana" w:cs="Arial"/>
                <w:sz w:val="16"/>
                <w:szCs w:val="16"/>
              </w:rPr>
            </w:pPr>
            <w:r w:rsidRPr="002A0B02">
              <w:rPr>
                <w:rFonts w:ascii="Verdana" w:hAnsi="Verdana" w:cs="Arial"/>
                <w:sz w:val="16"/>
                <w:szCs w:val="16"/>
              </w:rPr>
              <w:t>Del Plan Quinquenal</w:t>
            </w:r>
          </w:p>
        </w:tc>
        <w:tc>
          <w:tcPr>
            <w:tcW w:w="4788" w:type="dxa"/>
            <w:shd w:val="clear" w:color="auto" w:fill="auto"/>
          </w:tcPr>
          <w:p w14:paraId="13AC2768" w14:textId="47326070" w:rsidR="002C5E29" w:rsidRPr="002A0B02"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 xml:space="preserve">The </w:t>
            </w:r>
            <w:r w:rsidRPr="002A0B02">
              <w:rPr>
                <w:rFonts w:ascii="Verdana" w:hAnsi="Verdana"/>
                <w:sz w:val="16"/>
                <w:szCs w:val="16"/>
                <w:lang w:val="en-US"/>
              </w:rPr>
              <w:t>Five-Year Plan</w:t>
            </w:r>
          </w:p>
        </w:tc>
      </w:tr>
      <w:tr w:rsidR="002C5E29" w:rsidRPr="000A5335" w14:paraId="63F132B2" w14:textId="4E706EB6" w:rsidTr="00081E30">
        <w:tc>
          <w:tcPr>
            <w:tcW w:w="4788" w:type="dxa"/>
            <w:shd w:val="clear" w:color="auto" w:fill="auto"/>
          </w:tcPr>
          <w:p w14:paraId="0BD0CA65" w14:textId="77777777" w:rsidR="002C5E29" w:rsidRPr="002A0B02" w:rsidRDefault="002C5E29" w:rsidP="002C5E29">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A542338" w14:textId="2C209A5F" w:rsidR="002C5E29" w:rsidRPr="002A0B02" w:rsidRDefault="002C5E29" w:rsidP="002C5E29">
            <w:pPr>
              <w:pStyle w:val="Texto"/>
              <w:spacing w:after="0" w:line="240" w:lineRule="auto"/>
              <w:ind w:firstLine="0"/>
              <w:jc w:val="center"/>
              <w:rPr>
                <w:rFonts w:ascii="Verdana" w:hAnsi="Verdana"/>
                <w:b/>
                <w:sz w:val="16"/>
                <w:szCs w:val="16"/>
                <w:lang w:val="en-US"/>
              </w:rPr>
            </w:pPr>
            <w:r w:rsidRPr="002A0B02">
              <w:rPr>
                <w:rFonts w:ascii="Verdana" w:hAnsi="Verdana" w:cs="Times New Roman"/>
                <w:b/>
                <w:sz w:val="16"/>
                <w:szCs w:val="16"/>
                <w:lang w:val="en-US"/>
              </w:rPr>
              <w:t> </w:t>
            </w:r>
          </w:p>
        </w:tc>
      </w:tr>
      <w:tr w:rsidR="002C5E29" w:rsidRPr="000A5335" w14:paraId="31B2339E" w14:textId="18D7F2CA" w:rsidTr="00081E30">
        <w:tc>
          <w:tcPr>
            <w:tcW w:w="4788" w:type="dxa"/>
            <w:shd w:val="clear" w:color="auto" w:fill="auto"/>
          </w:tcPr>
          <w:p w14:paraId="3732C4BC" w14:textId="77777777" w:rsidR="002C5E29" w:rsidRPr="00081E30" w:rsidRDefault="002C5E29" w:rsidP="002C5E29">
            <w:pPr>
              <w:pStyle w:val="Texto"/>
              <w:spacing w:after="0" w:line="240" w:lineRule="auto"/>
              <w:ind w:firstLine="0"/>
              <w:rPr>
                <w:rFonts w:ascii="Verdana" w:hAnsi="Verdana"/>
                <w:bCs/>
                <w:sz w:val="16"/>
                <w:szCs w:val="16"/>
              </w:rPr>
            </w:pPr>
            <w:r w:rsidRPr="002A0B02">
              <w:rPr>
                <w:rFonts w:ascii="Verdana" w:hAnsi="Verdana"/>
                <w:b/>
                <w:sz w:val="16"/>
                <w:szCs w:val="16"/>
              </w:rPr>
              <w:t>Artículo 26.-</w:t>
            </w:r>
            <w:r w:rsidRPr="00081E30">
              <w:rPr>
                <w:rFonts w:ascii="Verdana" w:hAnsi="Verdana"/>
                <w:bCs/>
                <w:sz w:val="16"/>
                <w:szCs w:val="16"/>
              </w:rPr>
              <w:t xml:space="preserve"> Durante el mes de junio del primer año de cada quinquenio, la Comisión deberá proponer a la Secretaría el Plan Quinquenal. La Secretaría resolverá sobre su aprobación dentro de los sesenta días hábiles siguientes a su recepción y lo publicará en su página electrónica.</w:t>
            </w:r>
          </w:p>
        </w:tc>
        <w:tc>
          <w:tcPr>
            <w:tcW w:w="4788" w:type="dxa"/>
            <w:shd w:val="clear" w:color="auto" w:fill="auto"/>
          </w:tcPr>
          <w:p w14:paraId="2F89E1E3" w14:textId="6FDEE666" w:rsidR="002C5E29" w:rsidRPr="00081E30" w:rsidRDefault="002C5E29" w:rsidP="002C5E29">
            <w:pPr>
              <w:pStyle w:val="Texto"/>
              <w:spacing w:after="0" w:line="240" w:lineRule="auto"/>
              <w:ind w:firstLine="0"/>
              <w:rPr>
                <w:rFonts w:ascii="Verdana" w:hAnsi="Verdana"/>
                <w:bCs/>
                <w:sz w:val="16"/>
                <w:szCs w:val="16"/>
                <w:lang w:val="en-US"/>
              </w:rPr>
            </w:pPr>
            <w:r w:rsidRPr="002A0B02">
              <w:rPr>
                <w:rFonts w:ascii="Verdana" w:hAnsi="Verdana" w:cs="Times New Roman"/>
                <w:b/>
                <w:sz w:val="16"/>
                <w:szCs w:val="16"/>
                <w:lang w:val="en-US"/>
              </w:rPr>
              <w:t>Article 26.-</w:t>
            </w:r>
            <w:r w:rsidRPr="00081E30">
              <w:rPr>
                <w:rFonts w:ascii="Verdana" w:hAnsi="Verdana" w:cs="Times New Roman"/>
                <w:bCs/>
                <w:sz w:val="16"/>
                <w:szCs w:val="16"/>
                <w:lang w:val="en-US"/>
              </w:rPr>
              <w:t xml:space="preserve"> During the month of June of the first year of each five-year period,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propose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Five-Year Plan.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decide on its approval within sixty business days following its receipt and will publish it on its electronic </w:t>
            </w:r>
            <w:r>
              <w:rPr>
                <w:rFonts w:ascii="Verdana" w:hAnsi="Verdana" w:cs="Times New Roman"/>
                <w:bCs/>
                <w:sz w:val="16"/>
                <w:szCs w:val="16"/>
                <w:lang w:val="en-US"/>
              </w:rPr>
              <w:t>web site</w:t>
            </w:r>
            <w:r w:rsidRPr="00081E30">
              <w:rPr>
                <w:rFonts w:ascii="Verdana" w:hAnsi="Verdana" w:cs="Times New Roman"/>
                <w:bCs/>
                <w:sz w:val="16"/>
                <w:szCs w:val="16"/>
                <w:lang w:val="en-US"/>
              </w:rPr>
              <w:t>.</w:t>
            </w:r>
          </w:p>
        </w:tc>
      </w:tr>
      <w:tr w:rsidR="002C5E29" w:rsidRPr="000A5335" w14:paraId="04DF0CDF" w14:textId="57AB8546" w:rsidTr="00081E30">
        <w:tc>
          <w:tcPr>
            <w:tcW w:w="4788" w:type="dxa"/>
            <w:shd w:val="clear" w:color="auto" w:fill="auto"/>
          </w:tcPr>
          <w:p w14:paraId="1C730DA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A24B707" w14:textId="11CBCC8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570A92B" w14:textId="1D8E7743" w:rsidTr="00081E30">
        <w:tc>
          <w:tcPr>
            <w:tcW w:w="4788" w:type="dxa"/>
            <w:shd w:val="clear" w:color="auto" w:fill="auto"/>
          </w:tcPr>
          <w:p w14:paraId="7BFD74A4"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Plan Quinquenal deberá contener, cuando menos, lo siguiente:</w:t>
            </w:r>
          </w:p>
        </w:tc>
        <w:tc>
          <w:tcPr>
            <w:tcW w:w="4788" w:type="dxa"/>
            <w:shd w:val="clear" w:color="auto" w:fill="auto"/>
          </w:tcPr>
          <w:p w14:paraId="7D821882" w14:textId="52733D6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Five-Year Plan must contain, at least, the following:</w:t>
            </w:r>
          </w:p>
        </w:tc>
      </w:tr>
      <w:tr w:rsidR="002C5E29" w:rsidRPr="000A5335" w14:paraId="1998D83A" w14:textId="02F324E6" w:rsidTr="00081E30">
        <w:tc>
          <w:tcPr>
            <w:tcW w:w="4788" w:type="dxa"/>
            <w:shd w:val="clear" w:color="auto" w:fill="auto"/>
          </w:tcPr>
          <w:p w14:paraId="0E16BE8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4DB2DCC" w14:textId="2A08504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BC7C407" w14:textId="2778C554" w:rsidTr="00081E30">
        <w:tc>
          <w:tcPr>
            <w:tcW w:w="4788" w:type="dxa"/>
            <w:shd w:val="clear" w:color="auto" w:fill="auto"/>
          </w:tcPr>
          <w:p w14:paraId="17ABFAF8" w14:textId="101BF73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planeación de las Áreas Contractuales a licitar durante un período de cinco años, y</w:t>
            </w:r>
          </w:p>
        </w:tc>
        <w:tc>
          <w:tcPr>
            <w:tcW w:w="4788" w:type="dxa"/>
            <w:shd w:val="clear" w:color="auto" w:fill="auto"/>
          </w:tcPr>
          <w:p w14:paraId="5F36E64E" w14:textId="69FD661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planning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reas </w:t>
            </w:r>
            <w:r>
              <w:rPr>
                <w:rFonts w:ascii="Verdana" w:hAnsi="Verdana" w:cs="Times New Roman"/>
                <w:bCs/>
                <w:sz w:val="16"/>
                <w:szCs w:val="16"/>
                <w:lang w:val="en-US"/>
              </w:rPr>
              <w:t>for bidding</w:t>
            </w:r>
            <w:r w:rsidRPr="00081E30">
              <w:rPr>
                <w:rFonts w:ascii="Verdana" w:hAnsi="Verdana" w:cs="Times New Roman"/>
                <w:bCs/>
                <w:sz w:val="16"/>
                <w:szCs w:val="16"/>
                <w:lang w:val="en-US"/>
              </w:rPr>
              <w:t xml:space="preserve"> for a period of five years, and</w:t>
            </w:r>
          </w:p>
        </w:tc>
      </w:tr>
      <w:tr w:rsidR="002C5E29" w:rsidRPr="000A5335" w14:paraId="23411CA9" w14:textId="582E206A" w:rsidTr="00081E30">
        <w:tc>
          <w:tcPr>
            <w:tcW w:w="4788" w:type="dxa"/>
            <w:shd w:val="clear" w:color="auto" w:fill="auto"/>
          </w:tcPr>
          <w:p w14:paraId="79B8026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C9E79CA" w14:textId="374196B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2C9CE5F" w14:textId="66B3412D" w:rsidTr="00081E30">
        <w:tc>
          <w:tcPr>
            <w:tcW w:w="4788" w:type="dxa"/>
            <w:shd w:val="clear" w:color="auto" w:fill="auto"/>
          </w:tcPr>
          <w:p w14:paraId="13F540F6" w14:textId="3051D3E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Las características generales de las Áreas Contractuales a licitar.</w:t>
            </w:r>
          </w:p>
        </w:tc>
        <w:tc>
          <w:tcPr>
            <w:tcW w:w="4788" w:type="dxa"/>
            <w:shd w:val="clear" w:color="auto" w:fill="auto"/>
          </w:tcPr>
          <w:p w14:paraId="05D852DD" w14:textId="6021247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general characteristics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reas to be </w:t>
            </w:r>
            <w:r>
              <w:rPr>
                <w:rFonts w:ascii="Verdana" w:hAnsi="Verdana" w:cs="Times New Roman"/>
                <w:bCs/>
                <w:sz w:val="16"/>
                <w:szCs w:val="16"/>
                <w:lang w:val="en-US"/>
              </w:rPr>
              <w:t>placed for bidding.</w:t>
            </w:r>
          </w:p>
        </w:tc>
      </w:tr>
      <w:tr w:rsidR="002C5E29" w:rsidRPr="000A5335" w14:paraId="178D5814" w14:textId="56EF90E5" w:rsidTr="00081E30">
        <w:tc>
          <w:tcPr>
            <w:tcW w:w="4788" w:type="dxa"/>
            <w:shd w:val="clear" w:color="auto" w:fill="auto"/>
          </w:tcPr>
          <w:p w14:paraId="52FEE46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F968C44" w14:textId="403DDEE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662F3DD" w14:textId="0D8FD5D6" w:rsidTr="00081E30">
        <w:tc>
          <w:tcPr>
            <w:tcW w:w="4788" w:type="dxa"/>
            <w:shd w:val="clear" w:color="auto" w:fill="auto"/>
          </w:tcPr>
          <w:p w14:paraId="2478B921" w14:textId="77777777" w:rsidR="002C5E29" w:rsidRPr="00081E30" w:rsidRDefault="002C5E29" w:rsidP="002C5E29">
            <w:pPr>
              <w:pStyle w:val="Texto"/>
              <w:spacing w:after="0" w:line="240" w:lineRule="auto"/>
              <w:ind w:firstLine="0"/>
              <w:rPr>
                <w:rFonts w:ascii="Verdana" w:hAnsi="Verdana"/>
                <w:bCs/>
                <w:sz w:val="16"/>
                <w:szCs w:val="16"/>
              </w:rPr>
            </w:pPr>
            <w:r w:rsidRPr="002A0B02">
              <w:rPr>
                <w:rFonts w:ascii="Verdana" w:hAnsi="Verdana"/>
                <w:b/>
                <w:sz w:val="16"/>
                <w:szCs w:val="16"/>
              </w:rPr>
              <w:t>Artículo 27.-</w:t>
            </w:r>
            <w:r w:rsidRPr="00081E30">
              <w:rPr>
                <w:rFonts w:ascii="Verdana" w:hAnsi="Verdana"/>
                <w:bCs/>
                <w:sz w:val="16"/>
                <w:szCs w:val="16"/>
              </w:rPr>
              <w:t xml:space="preserve"> Durante el tercer trimestre de cada año, la Secretaría evaluará la ejecución del Plan Quinquenal y, en su caso, realizará las adiciones o modificaciones que correspondan, para lo cual contará con la asistencia técnica de la Comisión.</w:t>
            </w:r>
          </w:p>
        </w:tc>
        <w:tc>
          <w:tcPr>
            <w:tcW w:w="4788" w:type="dxa"/>
            <w:shd w:val="clear" w:color="auto" w:fill="auto"/>
          </w:tcPr>
          <w:p w14:paraId="620B3101" w14:textId="64342CC0" w:rsidR="002C5E29" w:rsidRPr="00081E30" w:rsidRDefault="002C5E29" w:rsidP="002C5E29">
            <w:pPr>
              <w:pStyle w:val="Texto"/>
              <w:spacing w:after="0" w:line="240" w:lineRule="auto"/>
              <w:ind w:firstLine="0"/>
              <w:rPr>
                <w:rFonts w:ascii="Verdana" w:hAnsi="Verdana"/>
                <w:bCs/>
                <w:sz w:val="16"/>
                <w:szCs w:val="16"/>
                <w:lang w:val="en-US"/>
              </w:rPr>
            </w:pPr>
            <w:r w:rsidRPr="002A0B02">
              <w:rPr>
                <w:rFonts w:ascii="Verdana" w:hAnsi="Verdana" w:cs="Times New Roman"/>
                <w:b/>
                <w:sz w:val="16"/>
                <w:szCs w:val="16"/>
                <w:lang w:val="en-US"/>
              </w:rPr>
              <w:t>Article 27.-</w:t>
            </w:r>
            <w:r w:rsidRPr="00081E30">
              <w:rPr>
                <w:rFonts w:ascii="Verdana" w:hAnsi="Verdana" w:cs="Times New Roman"/>
                <w:bCs/>
                <w:sz w:val="16"/>
                <w:szCs w:val="16"/>
                <w:lang w:val="en-US"/>
              </w:rPr>
              <w:t xml:space="preserve"> During the third quarter of each year,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evaluate the execution of the Five-Year Plan and, where appropriate, make the corresponding additions or modifications, for which it will have the technical assistance of the Commission.</w:t>
            </w:r>
          </w:p>
        </w:tc>
      </w:tr>
      <w:tr w:rsidR="002C5E29" w:rsidRPr="000A5335" w14:paraId="6DC3283D" w14:textId="6263F164" w:rsidTr="00081E30">
        <w:tc>
          <w:tcPr>
            <w:tcW w:w="4788" w:type="dxa"/>
            <w:shd w:val="clear" w:color="auto" w:fill="auto"/>
          </w:tcPr>
          <w:p w14:paraId="5D324D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F307719" w14:textId="58D8DA5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4BBD03" w14:textId="7155D7E4" w:rsidTr="00081E30">
        <w:tc>
          <w:tcPr>
            <w:tcW w:w="4788" w:type="dxa"/>
            <w:shd w:val="clear" w:color="auto" w:fill="auto"/>
          </w:tcPr>
          <w:p w14:paraId="72EBACA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deberá remitir a la Secretaría de Hacienda y Crédito Público a más tardar el treinta de septiembre de cada año, la información sobre las Áreas Contractuales que se licitarán en el año siguiente, conforme al Plan Quinquenal, incluyendo la información soporte que se determine en los convenios de coordinación respectivos.</w:t>
            </w:r>
          </w:p>
        </w:tc>
        <w:tc>
          <w:tcPr>
            <w:tcW w:w="4788" w:type="dxa"/>
            <w:shd w:val="clear" w:color="auto" w:fill="auto"/>
          </w:tcPr>
          <w:p w14:paraId="05482F8E" w14:textId="66CF763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send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no later than September 30 of each year, the information on the Contract Areas that will be </w:t>
            </w:r>
            <w:r>
              <w:rPr>
                <w:rFonts w:ascii="Verdana" w:hAnsi="Verdana" w:cs="Times New Roman"/>
                <w:bCs/>
                <w:sz w:val="16"/>
                <w:szCs w:val="16"/>
                <w:lang w:val="en-US"/>
              </w:rPr>
              <w:t>called for bidding</w:t>
            </w:r>
            <w:r w:rsidRPr="00081E30">
              <w:rPr>
                <w:rFonts w:ascii="Verdana" w:hAnsi="Verdana" w:cs="Times New Roman"/>
                <w:bCs/>
                <w:sz w:val="16"/>
                <w:szCs w:val="16"/>
                <w:lang w:val="en-US"/>
              </w:rPr>
              <w:t xml:space="preserve"> in the following year, in accordance with the Five-Year Plan, including the support information determined in the respective coordination agreements.</w:t>
            </w:r>
          </w:p>
        </w:tc>
      </w:tr>
      <w:tr w:rsidR="002C5E29" w:rsidRPr="000A5335" w14:paraId="1B91CBFE" w14:textId="3D551974" w:rsidTr="00081E30">
        <w:tc>
          <w:tcPr>
            <w:tcW w:w="4788" w:type="dxa"/>
            <w:shd w:val="clear" w:color="auto" w:fill="auto"/>
          </w:tcPr>
          <w:p w14:paraId="329F126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4BE39D5" w14:textId="574B0AE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3DB064D" w14:textId="10BD46D2" w:rsidTr="00081E30">
        <w:tc>
          <w:tcPr>
            <w:tcW w:w="4788" w:type="dxa"/>
            <w:shd w:val="clear" w:color="auto" w:fill="auto"/>
          </w:tcPr>
          <w:p w14:paraId="434B8931" w14:textId="77777777" w:rsidR="002C5E29" w:rsidRPr="00081E30" w:rsidRDefault="002C5E29" w:rsidP="002C5E29">
            <w:pPr>
              <w:pStyle w:val="Texto"/>
              <w:spacing w:after="0" w:line="240" w:lineRule="auto"/>
              <w:ind w:firstLine="0"/>
              <w:rPr>
                <w:rFonts w:ascii="Verdana" w:hAnsi="Verdana"/>
                <w:bCs/>
                <w:sz w:val="16"/>
                <w:szCs w:val="16"/>
              </w:rPr>
            </w:pPr>
            <w:r w:rsidRPr="002A0B02">
              <w:rPr>
                <w:rFonts w:ascii="Verdana" w:hAnsi="Verdana"/>
                <w:b/>
                <w:sz w:val="16"/>
                <w:szCs w:val="16"/>
              </w:rPr>
              <w:t>Artículo 28.-</w:t>
            </w:r>
            <w:r w:rsidRPr="00081E30">
              <w:rPr>
                <w:rFonts w:ascii="Verdana" w:hAnsi="Verdana"/>
                <w:bCs/>
                <w:sz w:val="16"/>
                <w:szCs w:val="16"/>
              </w:rPr>
              <w:t xml:space="preserve"> En el Plan Quinquenal y en las evaluaciones anuales que se hagan al mismo, la Secretaría podrá considerar las propuestas de Áreas Contractuales que reciba de cualquier persona, sobre las cuales exista interés conforme a lo previsto en la fracción I del artículo 29 de la Ley, siempre que éstas hayan sido presentadas a más tardar en el segundo trimestre de cada año.</w:t>
            </w:r>
          </w:p>
        </w:tc>
        <w:tc>
          <w:tcPr>
            <w:tcW w:w="4788" w:type="dxa"/>
            <w:shd w:val="clear" w:color="auto" w:fill="auto"/>
          </w:tcPr>
          <w:p w14:paraId="4852A0BC" w14:textId="78EF0DC1" w:rsidR="002C5E29" w:rsidRPr="00081E30" w:rsidRDefault="002C5E29" w:rsidP="002C5E29">
            <w:pPr>
              <w:pStyle w:val="Texto"/>
              <w:spacing w:after="0" w:line="240" w:lineRule="auto"/>
              <w:ind w:firstLine="0"/>
              <w:rPr>
                <w:rFonts w:ascii="Verdana" w:hAnsi="Verdana"/>
                <w:bCs/>
                <w:sz w:val="16"/>
                <w:szCs w:val="16"/>
                <w:lang w:val="en-US"/>
              </w:rPr>
            </w:pPr>
            <w:r w:rsidRPr="002A0B02">
              <w:rPr>
                <w:rFonts w:ascii="Verdana" w:hAnsi="Verdana" w:cs="Times New Roman"/>
                <w:b/>
                <w:sz w:val="16"/>
                <w:szCs w:val="16"/>
                <w:lang w:val="en-US"/>
              </w:rPr>
              <w:t>Article 28.-</w:t>
            </w:r>
            <w:r w:rsidRPr="00081E30">
              <w:rPr>
                <w:rFonts w:ascii="Verdana" w:hAnsi="Verdana" w:cs="Times New Roman"/>
                <w:bCs/>
                <w:sz w:val="16"/>
                <w:szCs w:val="16"/>
                <w:lang w:val="en-US"/>
              </w:rPr>
              <w:t xml:space="preserve"> In the Five-Year Plan and in the annual evaluations that are made to it,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may consider the proposals of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reas that it receives from any person, over which there is interest in accordance with the provisions of section I of Article 29 of the Law, provided that the</w:t>
            </w:r>
            <w:r>
              <w:rPr>
                <w:rFonts w:ascii="Verdana" w:hAnsi="Verdana" w:cs="Times New Roman"/>
                <w:bCs/>
                <w:sz w:val="16"/>
                <w:szCs w:val="16"/>
                <w:lang w:val="en-US"/>
              </w:rPr>
              <w:t>y</w:t>
            </w:r>
            <w:r w:rsidRPr="00081E30">
              <w:rPr>
                <w:rFonts w:ascii="Verdana" w:hAnsi="Verdana" w:cs="Times New Roman"/>
                <w:bCs/>
                <w:sz w:val="16"/>
                <w:szCs w:val="16"/>
                <w:lang w:val="en-US"/>
              </w:rPr>
              <w:t xml:space="preserve"> have been submitted no later than the second quarter of each year.</w:t>
            </w:r>
          </w:p>
        </w:tc>
      </w:tr>
      <w:tr w:rsidR="002C5E29" w:rsidRPr="000A5335" w14:paraId="04AFBACB" w14:textId="24ED19DA" w:rsidTr="00081E30">
        <w:tc>
          <w:tcPr>
            <w:tcW w:w="4788" w:type="dxa"/>
            <w:shd w:val="clear" w:color="auto" w:fill="auto"/>
          </w:tcPr>
          <w:p w14:paraId="448D883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057399" w14:textId="67A4FB1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F237AB6" w14:textId="67307F49" w:rsidTr="00081E30">
        <w:tc>
          <w:tcPr>
            <w:tcW w:w="4788" w:type="dxa"/>
            <w:shd w:val="clear" w:color="auto" w:fill="auto"/>
          </w:tcPr>
          <w:p w14:paraId="649DA72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valorará la información que reciba y, en su caso, incluirá en el Plan Quinquenal o en sus modificaciones las Áreas Contractuales que hubiese considerado. Para efectos de no interferir con las condiciones de competencia de las actividades de Exploración y Extracción de Hidrocarburos, el origen de las propuestas de Áreas Contractuales no se hará público.</w:t>
            </w:r>
          </w:p>
        </w:tc>
        <w:tc>
          <w:tcPr>
            <w:tcW w:w="4788" w:type="dxa"/>
            <w:shd w:val="clear" w:color="auto" w:fill="auto"/>
          </w:tcPr>
          <w:p w14:paraId="4A8FF108" w14:textId="426C5B5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assess the information it receives and, where appropriate, include in the Five-Year Plan or in its modifications the Contract Areas it would have considered. In order not to interfere with the conditions of competition of the Hydrocarbons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 the origin of the Contract Areas proposals will not be made public.</w:t>
            </w:r>
          </w:p>
        </w:tc>
      </w:tr>
      <w:tr w:rsidR="002C5E29" w:rsidRPr="000A5335" w14:paraId="03BF3E8C" w14:textId="0F1E8DC3" w:rsidTr="00081E30">
        <w:tc>
          <w:tcPr>
            <w:tcW w:w="4788" w:type="dxa"/>
            <w:shd w:val="clear" w:color="auto" w:fill="auto"/>
          </w:tcPr>
          <w:p w14:paraId="5F275A4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2311AC1" w14:textId="63D184F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9B5DD4F" w14:textId="50DC1855" w:rsidTr="00081E30">
        <w:tc>
          <w:tcPr>
            <w:tcW w:w="4788" w:type="dxa"/>
            <w:shd w:val="clear" w:color="auto" w:fill="auto"/>
          </w:tcPr>
          <w:p w14:paraId="5ACF31C9" w14:textId="77777777" w:rsidR="002C5E29" w:rsidRPr="00BC4182" w:rsidRDefault="002C5E29" w:rsidP="002C5E29">
            <w:pPr>
              <w:pStyle w:val="ANOTACION"/>
              <w:spacing w:before="0" w:after="0" w:line="240" w:lineRule="auto"/>
              <w:rPr>
                <w:rFonts w:ascii="Verdana" w:hAnsi="Verdana" w:cs="Arial"/>
                <w:sz w:val="16"/>
                <w:szCs w:val="16"/>
              </w:rPr>
            </w:pPr>
            <w:r w:rsidRPr="00BC4182">
              <w:rPr>
                <w:rFonts w:ascii="Verdana" w:hAnsi="Verdana" w:cs="Arial"/>
                <w:sz w:val="16"/>
                <w:szCs w:val="16"/>
              </w:rPr>
              <w:t>Sección Segunda</w:t>
            </w:r>
          </w:p>
        </w:tc>
        <w:tc>
          <w:tcPr>
            <w:tcW w:w="4788" w:type="dxa"/>
            <w:shd w:val="clear" w:color="auto" w:fill="auto"/>
          </w:tcPr>
          <w:p w14:paraId="269E53E4" w14:textId="77E755E4" w:rsidR="002C5E29" w:rsidRPr="00BC4182" w:rsidRDefault="002C5E29" w:rsidP="002C5E29">
            <w:pPr>
              <w:pStyle w:val="ANOTACION"/>
              <w:spacing w:before="0" w:after="0" w:line="240" w:lineRule="auto"/>
              <w:rPr>
                <w:rFonts w:ascii="Verdana" w:hAnsi="Verdana" w:cs="Arial"/>
                <w:sz w:val="16"/>
                <w:szCs w:val="16"/>
                <w:lang w:val="en-US"/>
              </w:rPr>
            </w:pPr>
            <w:r w:rsidRPr="00BC4182">
              <w:rPr>
                <w:rFonts w:ascii="Verdana" w:hAnsi="Verdana"/>
                <w:sz w:val="16"/>
                <w:szCs w:val="16"/>
                <w:lang w:val="en-US"/>
              </w:rPr>
              <w:t>Second Section</w:t>
            </w:r>
          </w:p>
        </w:tc>
      </w:tr>
      <w:tr w:rsidR="002C5E29" w:rsidRPr="000A5335" w14:paraId="37DBCA63" w14:textId="23051198" w:rsidTr="00081E30">
        <w:tc>
          <w:tcPr>
            <w:tcW w:w="4788" w:type="dxa"/>
            <w:shd w:val="clear" w:color="auto" w:fill="auto"/>
          </w:tcPr>
          <w:p w14:paraId="30F8121E" w14:textId="77777777" w:rsidR="002C5E29" w:rsidRPr="00BC4182" w:rsidRDefault="002C5E29" w:rsidP="002C5E29">
            <w:pPr>
              <w:pStyle w:val="ANOTACION"/>
              <w:spacing w:before="0" w:after="0" w:line="240" w:lineRule="auto"/>
              <w:rPr>
                <w:rFonts w:ascii="Verdana" w:hAnsi="Verdana" w:cs="Arial"/>
                <w:sz w:val="16"/>
                <w:szCs w:val="16"/>
              </w:rPr>
            </w:pPr>
            <w:r w:rsidRPr="00BC4182">
              <w:rPr>
                <w:rFonts w:ascii="Verdana" w:hAnsi="Verdana" w:cs="Arial"/>
                <w:sz w:val="16"/>
                <w:szCs w:val="16"/>
              </w:rPr>
              <w:t>Del Procedimiento para la Migración de Asignaciones a Contratos para la Exploración y Extracción</w:t>
            </w:r>
          </w:p>
        </w:tc>
        <w:tc>
          <w:tcPr>
            <w:tcW w:w="4788" w:type="dxa"/>
            <w:shd w:val="clear" w:color="auto" w:fill="auto"/>
          </w:tcPr>
          <w:p w14:paraId="1480BDCD" w14:textId="2ABB36CF" w:rsidR="002C5E29" w:rsidRPr="00BC4182" w:rsidRDefault="002C5E29" w:rsidP="002C5E29">
            <w:pPr>
              <w:pStyle w:val="ANOTACION"/>
              <w:spacing w:before="0" w:after="0" w:line="240" w:lineRule="auto"/>
              <w:rPr>
                <w:rFonts w:ascii="Verdana" w:hAnsi="Verdana" w:cs="Arial"/>
                <w:sz w:val="16"/>
                <w:szCs w:val="16"/>
                <w:lang w:val="en-US"/>
              </w:rPr>
            </w:pPr>
            <w:r w:rsidRPr="00BC4182">
              <w:rPr>
                <w:rFonts w:ascii="Verdana" w:hAnsi="Verdana"/>
                <w:sz w:val="16"/>
                <w:szCs w:val="16"/>
                <w:lang w:val="en-US"/>
              </w:rPr>
              <w:t xml:space="preserve">Procedure for the Migration of Contract Assignments for </w:t>
            </w:r>
            <w:r>
              <w:rPr>
                <w:rFonts w:ascii="Verdana" w:hAnsi="Verdana"/>
                <w:sz w:val="16"/>
                <w:szCs w:val="16"/>
                <w:lang w:val="en-US"/>
              </w:rPr>
              <w:t>E</w:t>
            </w:r>
            <w:r w:rsidRPr="00BC4182">
              <w:rPr>
                <w:rFonts w:ascii="Verdana" w:hAnsi="Verdana"/>
                <w:sz w:val="16"/>
                <w:szCs w:val="16"/>
                <w:lang w:val="en-US"/>
              </w:rPr>
              <w:t xml:space="preserve">xploration and </w:t>
            </w:r>
            <w:r>
              <w:rPr>
                <w:rFonts w:ascii="Verdana" w:hAnsi="Verdana"/>
                <w:sz w:val="16"/>
                <w:szCs w:val="16"/>
                <w:lang w:val="en-US"/>
              </w:rPr>
              <w:t>E</w:t>
            </w:r>
            <w:r w:rsidRPr="00BC4182">
              <w:rPr>
                <w:rFonts w:ascii="Verdana" w:hAnsi="Verdana"/>
                <w:sz w:val="16"/>
                <w:szCs w:val="16"/>
                <w:lang w:val="en-US"/>
              </w:rPr>
              <w:t>xtraction</w:t>
            </w:r>
          </w:p>
        </w:tc>
      </w:tr>
      <w:tr w:rsidR="002C5E29" w:rsidRPr="000A5335" w14:paraId="647DADCD" w14:textId="29FE2330" w:rsidTr="00081E30">
        <w:tc>
          <w:tcPr>
            <w:tcW w:w="4788" w:type="dxa"/>
            <w:shd w:val="clear" w:color="auto" w:fill="auto"/>
          </w:tcPr>
          <w:p w14:paraId="05F0085E"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1598A761" w14:textId="52745D6B"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7010B13" w14:textId="1C59FDE5" w:rsidTr="00081E30">
        <w:tc>
          <w:tcPr>
            <w:tcW w:w="4788" w:type="dxa"/>
            <w:shd w:val="clear" w:color="auto" w:fill="auto"/>
          </w:tcPr>
          <w:p w14:paraId="44817F64"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Artículo 29.-</w:t>
            </w:r>
            <w:r w:rsidRPr="00081E30">
              <w:rPr>
                <w:rFonts w:ascii="Verdana" w:hAnsi="Verdana"/>
                <w:bCs/>
                <w:sz w:val="16"/>
                <w:szCs w:val="16"/>
              </w:rPr>
              <w:t xml:space="preserve"> Las empresas productivas del Estado que soliciten la migración de una Asignación a un Contrato para la Exploración y Extracción a que se refiere el artículo 12 de la Ley, deberán presentar a la Secretaría una solicitud que incluya cuando menos lo siguiente:</w:t>
            </w:r>
          </w:p>
        </w:tc>
        <w:tc>
          <w:tcPr>
            <w:tcW w:w="4788" w:type="dxa"/>
            <w:shd w:val="clear" w:color="auto" w:fill="auto"/>
          </w:tcPr>
          <w:p w14:paraId="436E02DF" w14:textId="2C6D6A62"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Article 29.-</w:t>
            </w:r>
            <w:r w:rsidRPr="00081E30">
              <w:rPr>
                <w:rFonts w:ascii="Verdana" w:hAnsi="Verdana" w:cs="Times New Roman"/>
                <w:bCs/>
                <w:sz w:val="16"/>
                <w:szCs w:val="16"/>
                <w:lang w:val="en-US"/>
              </w:rPr>
              <w:t xml:space="preserve"> The productive companies of the State that request the migration of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to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referred to in article 12 of the Law, must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 request that includes at least the following:</w:t>
            </w:r>
          </w:p>
        </w:tc>
      </w:tr>
      <w:tr w:rsidR="002C5E29" w:rsidRPr="000A5335" w14:paraId="6F5ECA80" w14:textId="6E710631" w:rsidTr="00081E30">
        <w:tc>
          <w:tcPr>
            <w:tcW w:w="4788" w:type="dxa"/>
            <w:shd w:val="clear" w:color="auto" w:fill="auto"/>
          </w:tcPr>
          <w:p w14:paraId="3E12B96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1077633" w14:textId="46E4E60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691911" w14:textId="164E2153" w:rsidTr="00081E30">
        <w:tc>
          <w:tcPr>
            <w:tcW w:w="4788" w:type="dxa"/>
            <w:shd w:val="clear" w:color="auto" w:fill="auto"/>
          </w:tcPr>
          <w:p w14:paraId="228B91E7" w14:textId="3B36B63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lastRenderedPageBreak/>
              <w:t>I.</w:t>
            </w:r>
            <w:r w:rsidRPr="00081E30">
              <w:rPr>
                <w:rFonts w:ascii="Verdana" w:hAnsi="Verdana"/>
                <w:bCs/>
                <w:sz w:val="16"/>
                <w:szCs w:val="16"/>
              </w:rPr>
              <w:t xml:space="preserve"> La identificación de la Asignación a migrar;</w:t>
            </w:r>
          </w:p>
        </w:tc>
        <w:tc>
          <w:tcPr>
            <w:tcW w:w="4788" w:type="dxa"/>
            <w:shd w:val="clear" w:color="auto" w:fill="auto"/>
          </w:tcPr>
          <w:p w14:paraId="4E6139BB" w14:textId="4537F26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identification of the </w:t>
            </w:r>
            <w:r>
              <w:rPr>
                <w:rFonts w:ascii="Verdana" w:hAnsi="Verdana" w:cs="Times New Roman"/>
                <w:bCs/>
                <w:sz w:val="16"/>
                <w:szCs w:val="16"/>
                <w:lang w:val="en-US"/>
              </w:rPr>
              <w:t>a</w:t>
            </w:r>
            <w:r w:rsidRPr="00081E30">
              <w:rPr>
                <w:rFonts w:ascii="Verdana" w:hAnsi="Verdana" w:cs="Times New Roman"/>
                <w:bCs/>
                <w:sz w:val="16"/>
                <w:szCs w:val="16"/>
                <w:lang w:val="en-US"/>
              </w:rPr>
              <w:t>ssignment to migrate;</w:t>
            </w:r>
          </w:p>
        </w:tc>
      </w:tr>
      <w:tr w:rsidR="002C5E29" w:rsidRPr="000A5335" w14:paraId="635B1C40" w14:textId="02F09257" w:rsidTr="00081E30">
        <w:tc>
          <w:tcPr>
            <w:tcW w:w="4788" w:type="dxa"/>
            <w:shd w:val="clear" w:color="auto" w:fill="auto"/>
          </w:tcPr>
          <w:p w14:paraId="5DF38C5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22AD5D7" w14:textId="1DB8F98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2322184" w14:textId="205A88D4" w:rsidTr="00081E30">
        <w:tc>
          <w:tcPr>
            <w:tcW w:w="4788" w:type="dxa"/>
            <w:shd w:val="clear" w:color="auto" w:fill="auto"/>
          </w:tcPr>
          <w:p w14:paraId="3957A3C2" w14:textId="47E32D0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justificación de la conveniencia de la migración para la Nación en términos de:</w:t>
            </w:r>
          </w:p>
        </w:tc>
        <w:tc>
          <w:tcPr>
            <w:tcW w:w="4788" w:type="dxa"/>
            <w:shd w:val="clear" w:color="auto" w:fill="auto"/>
          </w:tcPr>
          <w:p w14:paraId="4C3FF0D3" w14:textId="34F2F43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justification of the convenience of migration for the Nation in terms of:</w:t>
            </w:r>
          </w:p>
        </w:tc>
      </w:tr>
      <w:tr w:rsidR="002C5E29" w:rsidRPr="000A5335" w14:paraId="1B1A273F" w14:textId="4C06B740" w:rsidTr="00081E30">
        <w:tc>
          <w:tcPr>
            <w:tcW w:w="4788" w:type="dxa"/>
            <w:shd w:val="clear" w:color="auto" w:fill="auto"/>
          </w:tcPr>
          <w:p w14:paraId="083CAF3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8B101F8" w14:textId="27C3B7A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915DC0" w14:textId="79A55A43" w:rsidTr="00081E30">
        <w:tc>
          <w:tcPr>
            <w:tcW w:w="4788" w:type="dxa"/>
            <w:shd w:val="clear" w:color="auto" w:fill="auto"/>
          </w:tcPr>
          <w:p w14:paraId="55606F0E"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a)</w:t>
            </w:r>
            <w:r w:rsidRPr="00081E30">
              <w:rPr>
                <w:rFonts w:ascii="Verdana" w:hAnsi="Verdana"/>
                <w:bCs/>
                <w:sz w:val="16"/>
                <w:szCs w:val="16"/>
              </w:rPr>
              <w:t xml:space="preserve"> La producción base e incremental de Hidrocarburos, desglosada en Petróleo, Gas Natural Asociado, Gas Natural no Asociado y condensados;</w:t>
            </w:r>
          </w:p>
        </w:tc>
        <w:tc>
          <w:tcPr>
            <w:tcW w:w="4788" w:type="dxa"/>
            <w:shd w:val="clear" w:color="auto" w:fill="auto"/>
          </w:tcPr>
          <w:p w14:paraId="5784AE01" w14:textId="227419B5"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a)</w:t>
            </w:r>
            <w:r w:rsidRPr="00081E30">
              <w:rPr>
                <w:rFonts w:ascii="Verdana" w:hAnsi="Verdana" w:cs="Times New Roman"/>
                <w:bCs/>
                <w:sz w:val="16"/>
                <w:szCs w:val="16"/>
                <w:lang w:val="en-US"/>
              </w:rPr>
              <w:t xml:space="preserve"> The base and incremental production of </w:t>
            </w:r>
            <w:r>
              <w:rPr>
                <w:rFonts w:ascii="Verdana" w:hAnsi="Verdana" w:cs="Times New Roman"/>
                <w:bCs/>
                <w:sz w:val="16"/>
                <w:szCs w:val="16"/>
                <w:lang w:val="en-US"/>
              </w:rPr>
              <w:t>h</w:t>
            </w:r>
            <w:r w:rsidRPr="00081E30">
              <w:rPr>
                <w:rFonts w:ascii="Verdana" w:hAnsi="Verdana" w:cs="Times New Roman"/>
                <w:bCs/>
                <w:sz w:val="16"/>
                <w:szCs w:val="16"/>
                <w:lang w:val="en-US"/>
              </w:rPr>
              <w:t>ydrocarbons, broken down into petroleum, associated natural gas, non associated natural gas and condensates;</w:t>
            </w:r>
          </w:p>
        </w:tc>
      </w:tr>
      <w:tr w:rsidR="002C5E29" w:rsidRPr="000A5335" w14:paraId="77CEF62F" w14:textId="18144B56" w:rsidTr="00081E30">
        <w:tc>
          <w:tcPr>
            <w:tcW w:w="4788" w:type="dxa"/>
            <w:shd w:val="clear" w:color="auto" w:fill="auto"/>
          </w:tcPr>
          <w:p w14:paraId="36C67DA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D9AD617" w14:textId="6B8BAE3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0FC47AD" w14:textId="181424DF" w:rsidTr="00081E30">
        <w:tc>
          <w:tcPr>
            <w:tcW w:w="4788" w:type="dxa"/>
            <w:shd w:val="clear" w:color="auto" w:fill="auto"/>
          </w:tcPr>
          <w:p w14:paraId="59C761B5"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b)</w:t>
            </w:r>
            <w:r w:rsidRPr="00081E30">
              <w:rPr>
                <w:rFonts w:ascii="Verdana" w:hAnsi="Verdana"/>
                <w:bCs/>
                <w:sz w:val="16"/>
                <w:szCs w:val="16"/>
              </w:rPr>
              <w:t xml:space="preserve"> La incorporación de Reservas adicionales, y</w:t>
            </w:r>
          </w:p>
        </w:tc>
        <w:tc>
          <w:tcPr>
            <w:tcW w:w="4788" w:type="dxa"/>
            <w:shd w:val="clear" w:color="auto" w:fill="auto"/>
          </w:tcPr>
          <w:p w14:paraId="57D743CB" w14:textId="5089A26B"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b)</w:t>
            </w:r>
            <w:r w:rsidRPr="00081E30">
              <w:rPr>
                <w:rFonts w:ascii="Verdana" w:hAnsi="Verdana" w:cs="Times New Roman"/>
                <w:bCs/>
                <w:sz w:val="16"/>
                <w:szCs w:val="16"/>
                <w:lang w:val="en-US"/>
              </w:rPr>
              <w:t xml:space="preserve"> The incorporation of additional </w:t>
            </w:r>
            <w:r>
              <w:rPr>
                <w:rFonts w:ascii="Verdana" w:hAnsi="Verdana" w:cs="Times New Roman"/>
                <w:bCs/>
                <w:sz w:val="16"/>
                <w:szCs w:val="16"/>
                <w:lang w:val="en-US"/>
              </w:rPr>
              <w:t>r</w:t>
            </w:r>
            <w:r w:rsidRPr="00081E30">
              <w:rPr>
                <w:rFonts w:ascii="Verdana" w:hAnsi="Verdana" w:cs="Times New Roman"/>
                <w:bCs/>
                <w:sz w:val="16"/>
                <w:szCs w:val="16"/>
                <w:lang w:val="en-US"/>
              </w:rPr>
              <w:t>eserves, and</w:t>
            </w:r>
          </w:p>
        </w:tc>
      </w:tr>
      <w:tr w:rsidR="002C5E29" w:rsidRPr="000A5335" w14:paraId="0A47F14B" w14:textId="7850B934" w:rsidTr="00081E30">
        <w:tc>
          <w:tcPr>
            <w:tcW w:w="4788" w:type="dxa"/>
            <w:shd w:val="clear" w:color="auto" w:fill="auto"/>
          </w:tcPr>
          <w:p w14:paraId="7956996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BDE06C3" w14:textId="5BC769E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E76B8CA" w14:textId="1FB63EE2" w:rsidTr="00081E30">
        <w:tc>
          <w:tcPr>
            <w:tcW w:w="4788" w:type="dxa"/>
            <w:shd w:val="clear" w:color="auto" w:fill="auto"/>
          </w:tcPr>
          <w:p w14:paraId="05007AE1"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c)</w:t>
            </w:r>
            <w:r w:rsidRPr="00081E30">
              <w:rPr>
                <w:rFonts w:ascii="Verdana" w:hAnsi="Verdana"/>
                <w:bCs/>
                <w:sz w:val="16"/>
                <w:szCs w:val="16"/>
              </w:rPr>
              <w:t xml:space="preserve"> El escenario de gastos, costos e inversiones necesarios para un desarrollo eficiente desde un punto de vista técnico, que incluya un programa adicional de trabajo con respecto al original;</w:t>
            </w:r>
          </w:p>
        </w:tc>
        <w:tc>
          <w:tcPr>
            <w:tcW w:w="4788" w:type="dxa"/>
            <w:shd w:val="clear" w:color="auto" w:fill="auto"/>
          </w:tcPr>
          <w:p w14:paraId="2D9727FD" w14:textId="0C3679EB"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c)</w:t>
            </w:r>
            <w:r w:rsidRPr="00081E30">
              <w:rPr>
                <w:rFonts w:ascii="Verdana" w:hAnsi="Verdana" w:cs="Times New Roman"/>
                <w:bCs/>
                <w:sz w:val="16"/>
                <w:szCs w:val="16"/>
                <w:lang w:val="en-US"/>
              </w:rPr>
              <w:t xml:space="preserve"> The scenario of expenses, costs and investments necessary for efficient development from a technical point of view, which includes an additional work program with respect to the original;</w:t>
            </w:r>
          </w:p>
        </w:tc>
      </w:tr>
      <w:tr w:rsidR="002C5E29" w:rsidRPr="000A5335" w14:paraId="1F8F5096" w14:textId="1AE5DE1E" w:rsidTr="00081E30">
        <w:tc>
          <w:tcPr>
            <w:tcW w:w="4788" w:type="dxa"/>
            <w:shd w:val="clear" w:color="auto" w:fill="auto"/>
          </w:tcPr>
          <w:p w14:paraId="2B9C204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F86EA21" w14:textId="20EFEC4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6FAB0B8" w14:textId="75D0EDE5" w:rsidTr="00081E30">
        <w:tc>
          <w:tcPr>
            <w:tcW w:w="4788" w:type="dxa"/>
            <w:shd w:val="clear" w:color="auto" w:fill="auto"/>
          </w:tcPr>
          <w:p w14:paraId="58134995" w14:textId="52D6390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Los escenarios de precios utilizados;</w:t>
            </w:r>
          </w:p>
        </w:tc>
        <w:tc>
          <w:tcPr>
            <w:tcW w:w="4788" w:type="dxa"/>
            <w:shd w:val="clear" w:color="auto" w:fill="auto"/>
          </w:tcPr>
          <w:p w14:paraId="6B435869" w14:textId="45B6F8F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price scenarios used;</w:t>
            </w:r>
          </w:p>
        </w:tc>
      </w:tr>
      <w:tr w:rsidR="002C5E29" w:rsidRPr="000A5335" w14:paraId="4993C0DF" w14:textId="11A3957B" w:rsidTr="00081E30">
        <w:tc>
          <w:tcPr>
            <w:tcW w:w="4788" w:type="dxa"/>
            <w:shd w:val="clear" w:color="auto" w:fill="auto"/>
          </w:tcPr>
          <w:p w14:paraId="0A5A69A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BAA415C" w14:textId="0BFE2D1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528F618" w14:textId="5D9A50AB" w:rsidTr="00081E30">
        <w:tc>
          <w:tcPr>
            <w:tcW w:w="4788" w:type="dxa"/>
            <w:shd w:val="clear" w:color="auto" w:fill="auto"/>
          </w:tcPr>
          <w:p w14:paraId="445B145C" w14:textId="32902CF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Las características geológicas del área;</w:t>
            </w:r>
          </w:p>
        </w:tc>
        <w:tc>
          <w:tcPr>
            <w:tcW w:w="4788" w:type="dxa"/>
            <w:shd w:val="clear" w:color="auto" w:fill="auto"/>
          </w:tcPr>
          <w:p w14:paraId="04159FB1" w14:textId="7A389D1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geological characteristics of the area;</w:t>
            </w:r>
          </w:p>
        </w:tc>
      </w:tr>
      <w:tr w:rsidR="002C5E29" w:rsidRPr="000A5335" w14:paraId="2A217DD5" w14:textId="4C9C0E89" w:rsidTr="00081E30">
        <w:tc>
          <w:tcPr>
            <w:tcW w:w="4788" w:type="dxa"/>
            <w:shd w:val="clear" w:color="auto" w:fill="auto"/>
          </w:tcPr>
          <w:p w14:paraId="3F75ED6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9E67151" w14:textId="1326051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E0BA476" w14:textId="3895F835" w:rsidTr="00081E30">
        <w:tc>
          <w:tcPr>
            <w:tcW w:w="4788" w:type="dxa"/>
            <w:shd w:val="clear" w:color="auto" w:fill="auto"/>
          </w:tcPr>
          <w:p w14:paraId="61E5200E" w14:textId="33DD041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La calidad, el contenido de azufre y grados API de los Hidrocarburos, según corresponda, desglosada en Petróleo, Gas Natural Asociado, Gas Natural no Asociado y condensados;</w:t>
            </w:r>
          </w:p>
        </w:tc>
        <w:tc>
          <w:tcPr>
            <w:tcW w:w="4788" w:type="dxa"/>
            <w:shd w:val="clear" w:color="auto" w:fill="auto"/>
          </w:tcPr>
          <w:p w14:paraId="6C5FE38A" w14:textId="144EA0D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The quality, sulfur content and API grades of Hydrocarbons, as appropriate, broken down into petroleum, associated natural gas, non associated natural gas and condensates;</w:t>
            </w:r>
          </w:p>
        </w:tc>
      </w:tr>
      <w:tr w:rsidR="002C5E29" w:rsidRPr="000A5335" w14:paraId="1493AC60" w14:textId="35A9209E" w:rsidTr="00081E30">
        <w:tc>
          <w:tcPr>
            <w:tcW w:w="4788" w:type="dxa"/>
            <w:shd w:val="clear" w:color="auto" w:fill="auto"/>
          </w:tcPr>
          <w:p w14:paraId="0FB1018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4550E10" w14:textId="5051CE1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B097987" w14:textId="3E094C49" w:rsidTr="00081E30">
        <w:tc>
          <w:tcPr>
            <w:tcW w:w="4788" w:type="dxa"/>
            <w:shd w:val="clear" w:color="auto" w:fill="auto"/>
          </w:tcPr>
          <w:p w14:paraId="004891AE" w14:textId="3027A93F"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V</w:t>
            </w:r>
            <w:r w:rsidRPr="00030FCB">
              <w:rPr>
                <w:rFonts w:ascii="Verdana" w:hAnsi="Verdana"/>
                <w:b/>
                <w:bCs/>
                <w:sz w:val="16"/>
                <w:szCs w:val="16"/>
              </w:rPr>
              <w:t>I.</w:t>
            </w:r>
            <w:r w:rsidRPr="00081E30">
              <w:rPr>
                <w:rFonts w:ascii="Verdana" w:hAnsi="Verdana"/>
                <w:bCs/>
                <w:sz w:val="16"/>
                <w:szCs w:val="16"/>
              </w:rPr>
              <w:t xml:space="preserve"> La descripción de la infraestructura existente dentro y alrededor del Área de Asignación;</w:t>
            </w:r>
          </w:p>
        </w:tc>
        <w:tc>
          <w:tcPr>
            <w:tcW w:w="4788" w:type="dxa"/>
            <w:shd w:val="clear" w:color="auto" w:fill="auto"/>
          </w:tcPr>
          <w:p w14:paraId="05C06982" w14:textId="191A487D"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description of the existing infrastructure in and around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w:t>
            </w:r>
          </w:p>
        </w:tc>
      </w:tr>
      <w:tr w:rsidR="002C5E29" w:rsidRPr="000A5335" w14:paraId="446DA3EB" w14:textId="419C63AA" w:rsidTr="00081E30">
        <w:tc>
          <w:tcPr>
            <w:tcW w:w="4788" w:type="dxa"/>
            <w:shd w:val="clear" w:color="auto" w:fill="auto"/>
          </w:tcPr>
          <w:p w14:paraId="35882E8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A83685" w14:textId="6F73A65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689B2C" w14:textId="7B4043E9" w:rsidTr="00081E30">
        <w:tc>
          <w:tcPr>
            <w:tcW w:w="4788" w:type="dxa"/>
            <w:shd w:val="clear" w:color="auto" w:fill="auto"/>
          </w:tcPr>
          <w:p w14:paraId="3D365506" w14:textId="25168CC5"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VII.</w:t>
            </w:r>
            <w:r w:rsidRPr="00081E30">
              <w:rPr>
                <w:rFonts w:ascii="Verdana" w:hAnsi="Verdana"/>
                <w:bCs/>
                <w:sz w:val="16"/>
                <w:szCs w:val="16"/>
              </w:rPr>
              <w:t xml:space="preserve"> En su caso, la manifestación del interés de celebrar una alianza o asociación con Personas Morales y la documentación que describa los elementos técnicos, financieros, de ejecución y de experiencia que debieran reunir las Personas Morales para participar en el procedimiento de licitación a que se refiere el artículo 13 de la Ley, incluyendo las propuestas de los términos bajo los cuales desea asociarse o aliarse y del acuerdo de operación conjunta.</w:t>
            </w:r>
          </w:p>
        </w:tc>
        <w:tc>
          <w:tcPr>
            <w:tcW w:w="4788" w:type="dxa"/>
            <w:shd w:val="clear" w:color="auto" w:fill="auto"/>
          </w:tcPr>
          <w:p w14:paraId="6B7A394D" w14:textId="331D1BC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VII.</w:t>
            </w:r>
            <w:r w:rsidRPr="00081E30">
              <w:rPr>
                <w:rFonts w:ascii="Verdana" w:hAnsi="Verdana" w:cs="Times New Roman"/>
                <w:bCs/>
                <w:sz w:val="16"/>
                <w:szCs w:val="16"/>
                <w:lang w:val="en-US"/>
              </w:rPr>
              <w:t xml:space="preserve"> Where appropriate, the expression of interest in entering into an alliance or association with </w:t>
            </w:r>
            <w:r>
              <w:rPr>
                <w:rFonts w:ascii="Verdana" w:hAnsi="Verdana" w:cs="Times New Roman"/>
                <w:bCs/>
                <w:sz w:val="16"/>
                <w:szCs w:val="16"/>
                <w:lang w:val="en-US"/>
              </w:rPr>
              <w:t>companies</w:t>
            </w:r>
            <w:r w:rsidRPr="00081E30">
              <w:rPr>
                <w:rFonts w:ascii="Verdana" w:hAnsi="Verdana" w:cs="Times New Roman"/>
                <w:bCs/>
                <w:sz w:val="16"/>
                <w:szCs w:val="16"/>
                <w:lang w:val="en-US"/>
              </w:rPr>
              <w:t xml:space="preserve"> and the documentation describing the technical, financial, execution and experience elements that </w:t>
            </w:r>
            <w:r>
              <w:rPr>
                <w:rFonts w:ascii="Verdana" w:hAnsi="Verdana" w:cs="Times New Roman"/>
                <w:bCs/>
                <w:sz w:val="16"/>
                <w:szCs w:val="16"/>
                <w:lang w:val="en-US"/>
              </w:rPr>
              <w:t>companies</w:t>
            </w:r>
            <w:r w:rsidRPr="00081E30">
              <w:rPr>
                <w:rFonts w:ascii="Verdana" w:hAnsi="Verdana" w:cs="Times New Roman"/>
                <w:bCs/>
                <w:sz w:val="16"/>
                <w:szCs w:val="16"/>
                <w:lang w:val="en-US"/>
              </w:rPr>
              <w:t xml:space="preserve"> should gather to participate in the </w:t>
            </w:r>
            <w:r>
              <w:rPr>
                <w:rFonts w:ascii="Verdana" w:hAnsi="Verdana" w:cs="Times New Roman"/>
                <w:bCs/>
                <w:sz w:val="16"/>
                <w:szCs w:val="16"/>
                <w:lang w:val="en-US"/>
              </w:rPr>
              <w:t>bidding procedure</w:t>
            </w:r>
            <w:r w:rsidRPr="00081E30">
              <w:rPr>
                <w:rFonts w:ascii="Verdana" w:hAnsi="Verdana" w:cs="Times New Roman"/>
                <w:bCs/>
                <w:sz w:val="16"/>
                <w:szCs w:val="16"/>
                <w:lang w:val="en-US"/>
              </w:rPr>
              <w:t xml:space="preserve"> referred to Article 13 of the Law, including proposals for the terms under which you wish to associate or ally and the joint operation agreement.</w:t>
            </w:r>
          </w:p>
        </w:tc>
      </w:tr>
      <w:tr w:rsidR="002C5E29" w:rsidRPr="000A5335" w14:paraId="31226754" w14:textId="4AF54252" w:rsidTr="00081E30">
        <w:tc>
          <w:tcPr>
            <w:tcW w:w="4788" w:type="dxa"/>
            <w:shd w:val="clear" w:color="auto" w:fill="auto"/>
          </w:tcPr>
          <w:p w14:paraId="1015D89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DFE2DAA" w14:textId="03A7ACC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CA72800" w14:textId="5B2A9F7C" w:rsidTr="00081E30">
        <w:tc>
          <w:tcPr>
            <w:tcW w:w="4788" w:type="dxa"/>
            <w:shd w:val="clear" w:color="auto" w:fill="auto"/>
          </w:tcPr>
          <w:p w14:paraId="0FE2D8E3"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Artículo 30.-</w:t>
            </w:r>
            <w:r w:rsidRPr="00081E30">
              <w:rPr>
                <w:rFonts w:ascii="Verdana" w:hAnsi="Verdana"/>
                <w:bCs/>
                <w:sz w:val="16"/>
                <w:szCs w:val="16"/>
              </w:rPr>
              <w:t xml:space="preserve"> La Secretaría resolverá sobre la procedencia de la solicitud de migración de una Asignación a un Contrato para la Exploración y Extracción de conformidad con el procedimiento siguiente:</w:t>
            </w:r>
          </w:p>
        </w:tc>
        <w:tc>
          <w:tcPr>
            <w:tcW w:w="4788" w:type="dxa"/>
            <w:shd w:val="clear" w:color="auto" w:fill="auto"/>
          </w:tcPr>
          <w:p w14:paraId="0D3531E4" w14:textId="5FFF41AE"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Article 30.-</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decide on </w:t>
            </w:r>
            <w:r>
              <w:rPr>
                <w:rFonts w:ascii="Verdana" w:hAnsi="Verdana" w:cs="Times New Roman"/>
                <w:bCs/>
                <w:sz w:val="16"/>
                <w:szCs w:val="16"/>
                <w:lang w:val="en-US"/>
              </w:rPr>
              <w:t>whether</w:t>
            </w:r>
            <w:r w:rsidRPr="00081E30">
              <w:rPr>
                <w:rFonts w:ascii="Verdana" w:hAnsi="Verdana" w:cs="Times New Roman"/>
                <w:bCs/>
                <w:sz w:val="16"/>
                <w:szCs w:val="16"/>
                <w:lang w:val="en-US"/>
              </w:rPr>
              <w:t xml:space="preserve"> the request for migration of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to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 will proceed</w:t>
            </w:r>
            <w:r w:rsidRPr="00081E30">
              <w:rPr>
                <w:rFonts w:ascii="Verdana" w:hAnsi="Verdana" w:cs="Times New Roman"/>
                <w:bCs/>
                <w:sz w:val="16"/>
                <w:szCs w:val="16"/>
                <w:lang w:val="en-US"/>
              </w:rPr>
              <w:t xml:space="preserve"> in accordance with the following procedure:</w:t>
            </w:r>
          </w:p>
        </w:tc>
      </w:tr>
      <w:tr w:rsidR="002C5E29" w:rsidRPr="000A5335" w14:paraId="042545B1" w14:textId="4CC7A323" w:rsidTr="00081E30">
        <w:tc>
          <w:tcPr>
            <w:tcW w:w="4788" w:type="dxa"/>
            <w:shd w:val="clear" w:color="auto" w:fill="auto"/>
          </w:tcPr>
          <w:p w14:paraId="03B64FE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CA4F1B" w14:textId="753F73E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9233C58" w14:textId="69498D08" w:rsidTr="00081E30">
        <w:tc>
          <w:tcPr>
            <w:tcW w:w="4788" w:type="dxa"/>
            <w:shd w:val="clear" w:color="auto" w:fill="auto"/>
          </w:tcPr>
          <w:p w14:paraId="24EF3DD1" w14:textId="45BAC72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En un plazo de cinco días hábiles contado a partir de la recepción de la solicitud, remitirá ésta a la Comisión para la emisión de su opinión técnica sobre la procedencia de dicha migración;</w:t>
            </w:r>
          </w:p>
        </w:tc>
        <w:tc>
          <w:tcPr>
            <w:tcW w:w="4788" w:type="dxa"/>
            <w:shd w:val="clear" w:color="auto" w:fill="auto"/>
          </w:tcPr>
          <w:p w14:paraId="45B45E06" w14:textId="57F7035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Within five working days from the receipt of the request, it will send it to the Commission for the issuance of its technical opinion on the origin of said migration;</w:t>
            </w:r>
          </w:p>
        </w:tc>
      </w:tr>
      <w:tr w:rsidR="002C5E29" w:rsidRPr="000A5335" w14:paraId="3CB7F669" w14:textId="3387D828" w:rsidTr="00081E30">
        <w:tc>
          <w:tcPr>
            <w:tcW w:w="4788" w:type="dxa"/>
            <w:shd w:val="clear" w:color="auto" w:fill="auto"/>
          </w:tcPr>
          <w:p w14:paraId="27CE9F0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D7C5769" w14:textId="3FACD20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6F51C6C" w14:textId="26325207" w:rsidTr="00081E30">
        <w:tc>
          <w:tcPr>
            <w:tcW w:w="4788" w:type="dxa"/>
            <w:shd w:val="clear" w:color="auto" w:fill="auto"/>
          </w:tcPr>
          <w:p w14:paraId="7874E153" w14:textId="5E24AFB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Comisión contará con quince días hábiles para remitir a la Secretaría la opinión técnica a que se refiere la fracción anterior, contados a partir de la recepción de la misma, y</w:t>
            </w:r>
          </w:p>
        </w:tc>
        <w:tc>
          <w:tcPr>
            <w:tcW w:w="4788" w:type="dxa"/>
            <w:shd w:val="clear" w:color="auto" w:fill="auto"/>
          </w:tcPr>
          <w:p w14:paraId="7381AC2F" w14:textId="2AF52F4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Commission will have fifteen business days to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technical opinion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section, as of the receipt thereof, and</w:t>
            </w:r>
          </w:p>
        </w:tc>
      </w:tr>
      <w:tr w:rsidR="002C5E29" w:rsidRPr="000A5335" w14:paraId="428FBCE7" w14:textId="50B77884" w:rsidTr="00081E30">
        <w:tc>
          <w:tcPr>
            <w:tcW w:w="4788" w:type="dxa"/>
            <w:shd w:val="clear" w:color="auto" w:fill="auto"/>
          </w:tcPr>
          <w:p w14:paraId="74502B0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9973A18" w14:textId="57DB215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DEC21CD" w14:textId="299C71E7" w:rsidTr="00081E30">
        <w:tc>
          <w:tcPr>
            <w:tcW w:w="4788" w:type="dxa"/>
            <w:shd w:val="clear" w:color="auto" w:fill="auto"/>
          </w:tcPr>
          <w:p w14:paraId="1F4ED272" w14:textId="38CF61C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Secretaría notificará al Asignatario la resolución sobre la procedencia de la migración dentro de un plazo de cinco días hábiles contado a partir de la recepción de la opinión técnica que emita la Comisión y, en caso de ser favorable, sobre el inicio del proceso para definir el Modelo de Contratación, los Términos y Condiciones Técnicos y las condiciones económicas relativas a los términos fiscales, de conformidad con el artículo siguiente.</w:t>
            </w:r>
          </w:p>
        </w:tc>
        <w:tc>
          <w:tcPr>
            <w:tcW w:w="4788" w:type="dxa"/>
            <w:shd w:val="clear" w:color="auto" w:fill="auto"/>
          </w:tcPr>
          <w:p w14:paraId="71CA73D2" w14:textId="3916A89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notify the </w:t>
            </w:r>
            <w:r>
              <w:rPr>
                <w:rFonts w:ascii="Verdana" w:hAnsi="Verdana" w:cs="Times New Roman"/>
                <w:bCs/>
                <w:sz w:val="16"/>
                <w:szCs w:val="16"/>
                <w:lang w:val="en-US"/>
              </w:rPr>
              <w:t>a</w:t>
            </w:r>
            <w:r w:rsidRPr="00081E30">
              <w:rPr>
                <w:rFonts w:ascii="Verdana" w:hAnsi="Verdana" w:cs="Times New Roman"/>
                <w:bCs/>
                <w:sz w:val="16"/>
                <w:szCs w:val="16"/>
                <w:lang w:val="en-US"/>
              </w:rPr>
              <w:t>ssignee of the resolution on the origin of the migration within a period of five working days from the receipt of the technical opinion issued by the Commission and, if favorable, on the start of the process to define the contracting model, the technical terms and conditions and the economic conditions relating to the fiscal terms, in accordance with the following article.</w:t>
            </w:r>
          </w:p>
        </w:tc>
      </w:tr>
      <w:tr w:rsidR="002C5E29" w:rsidRPr="000A5335" w14:paraId="72FA0621" w14:textId="7ECA355F" w:rsidTr="00081E30">
        <w:tc>
          <w:tcPr>
            <w:tcW w:w="4788" w:type="dxa"/>
            <w:shd w:val="clear" w:color="auto" w:fill="auto"/>
          </w:tcPr>
          <w:p w14:paraId="56D98CC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E6E87E8" w14:textId="5EC3E5A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30E157" w14:textId="616095A3" w:rsidTr="00081E30">
        <w:tc>
          <w:tcPr>
            <w:tcW w:w="4788" w:type="dxa"/>
            <w:shd w:val="clear" w:color="auto" w:fill="auto"/>
          </w:tcPr>
          <w:p w14:paraId="7CCA1267"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lastRenderedPageBreak/>
              <w:t>Artículo 31.-</w:t>
            </w:r>
            <w:r w:rsidRPr="00081E30">
              <w:rPr>
                <w:rFonts w:ascii="Verdana" w:hAnsi="Verdana"/>
                <w:bCs/>
                <w:sz w:val="16"/>
                <w:szCs w:val="16"/>
              </w:rPr>
              <w:t xml:space="preserve"> En caso de ser procedente la migración a que se refiere el artículo anterior, la Secretaría remitirá a la Secretaría de Hacienda y Crédito Público y a la Comisión, en un plazo de diez días hábiles contado a partir de la emisión de la resolución correspondiente, la solicitud de migración completa, la resolución de la procedencia de la migración, la propuesta de Modelo de Contratación que corresponderá al Área Contractual y la información soporte que se determine en los convenios de coordinación que para tal efecto suscriban dichas dependencias.</w:t>
            </w:r>
          </w:p>
        </w:tc>
        <w:tc>
          <w:tcPr>
            <w:tcW w:w="4788" w:type="dxa"/>
            <w:shd w:val="clear" w:color="auto" w:fill="auto"/>
          </w:tcPr>
          <w:p w14:paraId="51597D8F" w14:textId="6221D2B5"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Article 31.-</w:t>
            </w:r>
            <w:r w:rsidRPr="00081E30">
              <w:rPr>
                <w:rFonts w:ascii="Verdana" w:hAnsi="Verdana" w:cs="Times New Roman"/>
                <w:bCs/>
                <w:sz w:val="16"/>
                <w:szCs w:val="16"/>
                <w:lang w:val="en-US"/>
              </w:rPr>
              <w:t xml:space="preserve"> If the migration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is </w:t>
            </w:r>
            <w:r>
              <w:rPr>
                <w:rFonts w:ascii="Verdana" w:hAnsi="Verdana" w:cs="Times New Roman"/>
                <w:bCs/>
                <w:sz w:val="16"/>
                <w:szCs w:val="16"/>
                <w:lang w:val="en-US"/>
              </w:rPr>
              <w:t>to proceed</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remit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to the Commission, within ten working days from the issuance of the corresponding resolution, the complete migration request, the resolution of the origin of the migration,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roposal of the contracting model that will correspond to the contract area and the support information that is determined in the coordination agreements signed for such effect by said </w:t>
            </w:r>
            <w:r>
              <w:rPr>
                <w:rFonts w:ascii="Verdana" w:hAnsi="Verdana" w:cs="Times New Roman"/>
                <w:bCs/>
                <w:sz w:val="16"/>
                <w:szCs w:val="16"/>
                <w:lang w:val="en-US"/>
              </w:rPr>
              <w:t>departments</w:t>
            </w:r>
            <w:r w:rsidRPr="00081E30">
              <w:rPr>
                <w:rFonts w:ascii="Verdana" w:hAnsi="Verdana" w:cs="Times New Roman"/>
                <w:bCs/>
                <w:sz w:val="16"/>
                <w:szCs w:val="16"/>
                <w:lang w:val="en-US"/>
              </w:rPr>
              <w:t>.</w:t>
            </w:r>
            <w:r>
              <w:rPr>
                <w:rFonts w:ascii="Verdana" w:hAnsi="Verdana" w:cs="Times New Roman"/>
                <w:bCs/>
                <w:sz w:val="16"/>
                <w:szCs w:val="16"/>
                <w:lang w:val="en-US"/>
              </w:rPr>
              <w:t xml:space="preserve"> </w:t>
            </w:r>
          </w:p>
        </w:tc>
      </w:tr>
      <w:tr w:rsidR="002C5E29" w:rsidRPr="000A5335" w14:paraId="1318C916" w14:textId="7132ADA3" w:rsidTr="00081E30">
        <w:tc>
          <w:tcPr>
            <w:tcW w:w="4788" w:type="dxa"/>
            <w:shd w:val="clear" w:color="auto" w:fill="auto"/>
          </w:tcPr>
          <w:p w14:paraId="4141C46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03C4C7D" w14:textId="7085872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521390C" w14:textId="644F1E11" w:rsidTr="00081E30">
        <w:tc>
          <w:tcPr>
            <w:tcW w:w="4788" w:type="dxa"/>
            <w:shd w:val="clear" w:color="auto" w:fill="auto"/>
          </w:tcPr>
          <w:p w14:paraId="38E71BC5"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 Hacienda y Crédito Público y la Comisión emitirán su opinión sobre la propuesta de Modelo de Contratación, en un plazo de cinco días hábiles contado a partir de la fecha de recepción de la información a que se refiere el párrafo anterior.</w:t>
            </w:r>
          </w:p>
        </w:tc>
        <w:tc>
          <w:tcPr>
            <w:tcW w:w="4788" w:type="dxa"/>
            <w:shd w:val="clear" w:color="auto" w:fill="auto"/>
          </w:tcPr>
          <w:p w14:paraId="4A415707" w14:textId="3DC75CE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will issue their opinion 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rocurement </w:t>
            </w:r>
            <w:r>
              <w:rPr>
                <w:rFonts w:ascii="Verdana" w:hAnsi="Verdana" w:cs="Times New Roman"/>
                <w:bCs/>
                <w:sz w:val="16"/>
                <w:szCs w:val="16"/>
                <w:lang w:val="en-US"/>
              </w:rPr>
              <w:t>m</w:t>
            </w:r>
            <w:r w:rsidRPr="00081E30">
              <w:rPr>
                <w:rFonts w:ascii="Verdana" w:hAnsi="Verdana" w:cs="Times New Roman"/>
                <w:bCs/>
                <w:sz w:val="16"/>
                <w:szCs w:val="16"/>
                <w:lang w:val="en-US"/>
              </w:rPr>
              <w:t>odel proposal, within a period of five business days from the date of receipt of the information referred to in the preceding paragraph.</w:t>
            </w:r>
          </w:p>
        </w:tc>
      </w:tr>
      <w:tr w:rsidR="002C5E29" w:rsidRPr="000A5335" w14:paraId="3ECB8101" w14:textId="47B4941D" w:rsidTr="00081E30">
        <w:tc>
          <w:tcPr>
            <w:tcW w:w="4788" w:type="dxa"/>
            <w:shd w:val="clear" w:color="auto" w:fill="auto"/>
          </w:tcPr>
          <w:p w14:paraId="36964B1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5A2FDF0" w14:textId="04A267C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84E8001" w14:textId="08F4E57D" w:rsidTr="00081E30">
        <w:tc>
          <w:tcPr>
            <w:tcW w:w="4788" w:type="dxa"/>
            <w:shd w:val="clear" w:color="auto" w:fill="auto"/>
          </w:tcPr>
          <w:p w14:paraId="2020E06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Una vez definido el Modelo de Contratación, se estará a lo siguiente:</w:t>
            </w:r>
          </w:p>
        </w:tc>
        <w:tc>
          <w:tcPr>
            <w:tcW w:w="4788" w:type="dxa"/>
            <w:shd w:val="clear" w:color="auto" w:fill="auto"/>
          </w:tcPr>
          <w:p w14:paraId="3614A548" w14:textId="7415D3E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Once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m</w:t>
            </w:r>
            <w:r w:rsidRPr="00081E30">
              <w:rPr>
                <w:rFonts w:ascii="Verdana" w:hAnsi="Verdana" w:cs="Times New Roman"/>
                <w:bCs/>
                <w:sz w:val="16"/>
                <w:szCs w:val="16"/>
                <w:lang w:val="en-US"/>
              </w:rPr>
              <w:t>odel is defined, the following will be followed:</w:t>
            </w:r>
          </w:p>
        </w:tc>
      </w:tr>
      <w:tr w:rsidR="002C5E29" w:rsidRPr="000A5335" w14:paraId="734FA655" w14:textId="51158FD3" w:rsidTr="00081E30">
        <w:tc>
          <w:tcPr>
            <w:tcW w:w="4788" w:type="dxa"/>
            <w:shd w:val="clear" w:color="auto" w:fill="auto"/>
          </w:tcPr>
          <w:p w14:paraId="6691680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33B753B" w14:textId="554ECA6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4C02B45" w14:textId="5B0D41A2" w:rsidTr="00081E30">
        <w:tc>
          <w:tcPr>
            <w:tcW w:w="4788" w:type="dxa"/>
            <w:shd w:val="clear" w:color="auto" w:fill="auto"/>
          </w:tcPr>
          <w:p w14:paraId="51ACFF04" w14:textId="4405F86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Secretaría contará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w:t>
            </w:r>
          </w:p>
        </w:tc>
        <w:tc>
          <w:tcPr>
            <w:tcW w:w="4788" w:type="dxa"/>
            <w:shd w:val="clear" w:color="auto" w:fill="auto"/>
          </w:tcPr>
          <w:p w14:paraId="269BBE97" w14:textId="54C0D4E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a period of twenty working days to determine the technical terms and conditions and request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to establish the economic conditions relating to the fiscal terms in accordance with the </w:t>
            </w:r>
            <w:r>
              <w:rPr>
                <w:rFonts w:ascii="Verdana" w:hAnsi="Verdana" w:cs="Times New Roman"/>
                <w:bCs/>
                <w:sz w:val="16"/>
                <w:szCs w:val="16"/>
                <w:lang w:val="en-US"/>
              </w:rPr>
              <w:t xml:space="preserve">Law of Income from Hydrocarbons and its Regulation; </w:t>
            </w:r>
          </w:p>
        </w:tc>
      </w:tr>
      <w:tr w:rsidR="002C5E29" w:rsidRPr="000A5335" w14:paraId="07143E4D" w14:textId="3FEB7F6C" w:rsidTr="00081E30">
        <w:tc>
          <w:tcPr>
            <w:tcW w:w="4788" w:type="dxa"/>
            <w:shd w:val="clear" w:color="auto" w:fill="auto"/>
          </w:tcPr>
          <w:p w14:paraId="0B48E8B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8842089" w14:textId="1400F30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D771207" w14:textId="0FE0FA7E" w:rsidTr="00081E30">
        <w:tc>
          <w:tcPr>
            <w:tcW w:w="4788" w:type="dxa"/>
            <w:shd w:val="clear" w:color="auto" w:fill="auto"/>
          </w:tcPr>
          <w:p w14:paraId="2EA6BB95" w14:textId="747F5EA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Secretaría enviará a la empresa productiva del Estado los Términos y Condiciones Técnicos que al efecto se hayan establecido para que manifieste la aceptación o rechazo de los mismos, en un plazo de diez días hábiles.</w:t>
            </w:r>
          </w:p>
        </w:tc>
        <w:tc>
          <w:tcPr>
            <w:tcW w:w="4788" w:type="dxa"/>
            <w:shd w:val="clear" w:color="auto" w:fill="auto"/>
          </w:tcPr>
          <w:p w14:paraId="44F67BA1" w14:textId="0E18A79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send to the State productive company the technical terms and conditions that have been established for this purpose to express their acceptance or rejection, within a period of ten business days.</w:t>
            </w:r>
          </w:p>
        </w:tc>
      </w:tr>
      <w:tr w:rsidR="002C5E29" w:rsidRPr="000A5335" w14:paraId="299CFF8F" w14:textId="3EF1B0BF" w:rsidTr="00081E30">
        <w:tc>
          <w:tcPr>
            <w:tcW w:w="4788" w:type="dxa"/>
            <w:shd w:val="clear" w:color="auto" w:fill="auto"/>
          </w:tcPr>
          <w:p w14:paraId="6BFB7AA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9166062" w14:textId="5236236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E82C92A" w14:textId="4A7C7701" w:rsidTr="00081E30">
        <w:tc>
          <w:tcPr>
            <w:tcW w:w="4788" w:type="dxa"/>
            <w:shd w:val="clear" w:color="auto" w:fill="auto"/>
          </w:tcPr>
          <w:p w14:paraId="0704CEE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caso de rechazo, la empresa productiva del Estado mantendrá la Asignación en sus términos originales.</w:t>
            </w:r>
          </w:p>
        </w:tc>
        <w:tc>
          <w:tcPr>
            <w:tcW w:w="4788" w:type="dxa"/>
            <w:shd w:val="clear" w:color="auto" w:fill="auto"/>
          </w:tcPr>
          <w:p w14:paraId="23EE2E51" w14:textId="01FA14F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In case of rejection, the State productive company will keep the Assignment in its original terms.</w:t>
            </w:r>
          </w:p>
        </w:tc>
      </w:tr>
      <w:tr w:rsidR="002C5E29" w:rsidRPr="000A5335" w14:paraId="024D161F" w14:textId="0373A1CF" w:rsidTr="00081E30">
        <w:tc>
          <w:tcPr>
            <w:tcW w:w="4788" w:type="dxa"/>
            <w:shd w:val="clear" w:color="auto" w:fill="auto"/>
          </w:tcPr>
          <w:p w14:paraId="5A6C282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6134783" w14:textId="7203380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40870D2" w14:textId="2CAB20BE" w:rsidTr="00081E30">
        <w:tc>
          <w:tcPr>
            <w:tcW w:w="4788" w:type="dxa"/>
            <w:shd w:val="clear" w:color="auto" w:fill="auto"/>
          </w:tcPr>
          <w:p w14:paraId="62564E58"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caso de que la empresa productiva del Estado manifieste su aceptación, la Secretaría enviará a la Comisión la información necesaria para la suscripción del Contrato para la Exploración y Extracción, en un plazo de diez días hábiles, y</w:t>
            </w:r>
          </w:p>
        </w:tc>
        <w:tc>
          <w:tcPr>
            <w:tcW w:w="4788" w:type="dxa"/>
            <w:shd w:val="clear" w:color="auto" w:fill="auto"/>
          </w:tcPr>
          <w:p w14:paraId="3C13DCAF" w14:textId="3D118D9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the event that the State productive company expresses its acceptance,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send the Commission the necessary information for the subscription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within a period of ten business days, and</w:t>
            </w:r>
          </w:p>
        </w:tc>
      </w:tr>
      <w:tr w:rsidR="002C5E29" w:rsidRPr="000A5335" w14:paraId="2176F6E2" w14:textId="6106003C" w:rsidTr="00081E30">
        <w:tc>
          <w:tcPr>
            <w:tcW w:w="4788" w:type="dxa"/>
            <w:shd w:val="clear" w:color="auto" w:fill="auto"/>
          </w:tcPr>
          <w:p w14:paraId="72DCF38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E43F5C2" w14:textId="4A84E0C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3CD694" w14:textId="5037E5E6" w:rsidTr="00081E30">
        <w:tc>
          <w:tcPr>
            <w:tcW w:w="4788" w:type="dxa"/>
            <w:shd w:val="clear" w:color="auto" w:fill="auto"/>
          </w:tcPr>
          <w:p w14:paraId="6BE9ED2D" w14:textId="76A27A7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En caso de que la empresa productiva del Estado haya manifestado interés por celebrar una alianza o asociación, el Contrato para la Exploración y Extracción se formalizará conforme a lo dispuesto en el artículo 13 de la Ley y los artículos aplicables de la Sección Tercera de este Capítulo.</w:t>
            </w:r>
          </w:p>
        </w:tc>
        <w:tc>
          <w:tcPr>
            <w:tcW w:w="4788" w:type="dxa"/>
            <w:shd w:val="clear" w:color="auto" w:fill="auto"/>
          </w:tcPr>
          <w:p w14:paraId="0B7B7AE8" w14:textId="38BD0CE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In the event that the State productive company has expressed interest in entering into an alliance or association,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ontract will be formalized in accordance with the provisions of article 13 of the Law and the applicable articles of the Third Section of this Chapter.</w:t>
            </w:r>
          </w:p>
        </w:tc>
      </w:tr>
      <w:tr w:rsidR="002C5E29" w:rsidRPr="000A5335" w14:paraId="326242BF" w14:textId="1B26BB4C" w:rsidTr="00081E30">
        <w:tc>
          <w:tcPr>
            <w:tcW w:w="4788" w:type="dxa"/>
            <w:shd w:val="clear" w:color="auto" w:fill="auto"/>
          </w:tcPr>
          <w:p w14:paraId="2100AFB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EC221C" w14:textId="13D8496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547B46B" w14:textId="78E55B4B" w:rsidTr="00081E30">
        <w:tc>
          <w:tcPr>
            <w:tcW w:w="4788" w:type="dxa"/>
            <w:shd w:val="clear" w:color="auto" w:fill="auto"/>
          </w:tcPr>
          <w:p w14:paraId="7EA75A7F" w14:textId="77777777" w:rsidR="002C5E29" w:rsidRPr="00081E30" w:rsidRDefault="002C5E29" w:rsidP="002C5E29">
            <w:pPr>
              <w:pStyle w:val="Texto"/>
              <w:spacing w:after="0" w:line="240" w:lineRule="auto"/>
              <w:ind w:firstLine="0"/>
              <w:rPr>
                <w:rFonts w:ascii="Verdana" w:hAnsi="Verdana"/>
                <w:bCs/>
                <w:sz w:val="16"/>
                <w:szCs w:val="16"/>
              </w:rPr>
            </w:pPr>
            <w:r w:rsidRPr="00BC4182">
              <w:rPr>
                <w:rFonts w:ascii="Verdana" w:hAnsi="Verdana"/>
                <w:b/>
                <w:sz w:val="16"/>
                <w:szCs w:val="16"/>
              </w:rPr>
              <w:t>Artículo 32.-</w:t>
            </w:r>
            <w:r w:rsidRPr="00081E30">
              <w:rPr>
                <w:rFonts w:ascii="Verdana" w:hAnsi="Verdana"/>
                <w:bCs/>
                <w:sz w:val="16"/>
                <w:szCs w:val="16"/>
              </w:rPr>
              <w:t xml:space="preserve"> Cuando una empresa productiva del Estado manifieste su interés por celebrar una alianza o una asociación con una Persona Moral en un momento posterior a que se haya formalizado un Contrato para la Exploración y Extracción proveniente de una migración y en el que dicha empresa productiva del Estado y el Estado Mexicano, a través de la Comisión, sean las únicas partes del Contrato para la Exploración y Extracción respectivo, la selección de la Persona Moral que formará parte de la alianza o asociación respectiva, también se sujetará a lo dispuesto en el artículo 13 de la Ley y a los artículos aplicables de la Sección Tercera de este Capítulo.</w:t>
            </w:r>
          </w:p>
        </w:tc>
        <w:tc>
          <w:tcPr>
            <w:tcW w:w="4788" w:type="dxa"/>
            <w:shd w:val="clear" w:color="auto" w:fill="auto"/>
          </w:tcPr>
          <w:p w14:paraId="11EC4542" w14:textId="531B5974" w:rsidR="002C5E29" w:rsidRPr="00081E30" w:rsidRDefault="002C5E29" w:rsidP="002C5E29">
            <w:pPr>
              <w:pStyle w:val="Texto"/>
              <w:spacing w:after="0" w:line="240" w:lineRule="auto"/>
              <w:ind w:firstLine="0"/>
              <w:rPr>
                <w:rFonts w:ascii="Verdana" w:hAnsi="Verdana"/>
                <w:bCs/>
                <w:sz w:val="16"/>
                <w:szCs w:val="16"/>
                <w:lang w:val="en-US"/>
              </w:rPr>
            </w:pPr>
            <w:r w:rsidRPr="00BC4182">
              <w:rPr>
                <w:rFonts w:ascii="Verdana" w:hAnsi="Verdana" w:cs="Times New Roman"/>
                <w:b/>
                <w:sz w:val="16"/>
                <w:szCs w:val="16"/>
                <w:lang w:val="en-US"/>
              </w:rPr>
              <w:t>Article 32.-</w:t>
            </w:r>
            <w:r w:rsidRPr="00081E30">
              <w:rPr>
                <w:rFonts w:ascii="Verdana" w:hAnsi="Verdana" w:cs="Times New Roman"/>
                <w:bCs/>
                <w:sz w:val="16"/>
                <w:szCs w:val="16"/>
                <w:lang w:val="en-US"/>
              </w:rPr>
              <w:t xml:space="preserve"> When a productive company of the State expresses its interest in entering into an alliance or association with a </w:t>
            </w:r>
            <w:r>
              <w:rPr>
                <w:rFonts w:ascii="Verdana" w:hAnsi="Verdana" w:cs="Times New Roman"/>
                <w:bCs/>
                <w:sz w:val="16"/>
                <w:szCs w:val="16"/>
                <w:lang w:val="en-US"/>
              </w:rPr>
              <w:t>company</w:t>
            </w:r>
            <w:r w:rsidRPr="00081E30">
              <w:rPr>
                <w:rFonts w:ascii="Verdana" w:hAnsi="Verdana" w:cs="Times New Roman"/>
                <w:bCs/>
                <w:sz w:val="16"/>
                <w:szCs w:val="16"/>
                <w:lang w:val="en-US"/>
              </w:rPr>
              <w:t xml:space="preserve"> at a time after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from a migration has been formalized and in which said company productive of the State and the Mexican State, through the Commission, are the only parts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the respective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the selection of the </w:t>
            </w:r>
            <w:r>
              <w:rPr>
                <w:rFonts w:ascii="Verdana" w:hAnsi="Verdana" w:cs="Times New Roman"/>
                <w:bCs/>
                <w:sz w:val="16"/>
                <w:szCs w:val="16"/>
                <w:lang w:val="en-US"/>
              </w:rPr>
              <w:t>company</w:t>
            </w:r>
            <w:r w:rsidRPr="00081E30">
              <w:rPr>
                <w:rFonts w:ascii="Verdana" w:hAnsi="Verdana" w:cs="Times New Roman"/>
                <w:bCs/>
                <w:sz w:val="16"/>
                <w:szCs w:val="16"/>
                <w:lang w:val="en-US"/>
              </w:rPr>
              <w:t xml:space="preserve"> that will be part of the respective alliance or association, will also be subject to the provisions in Article 13 of the Law and the applicable articles of the Third Section of this Chapter.</w:t>
            </w:r>
          </w:p>
        </w:tc>
      </w:tr>
      <w:tr w:rsidR="002C5E29" w:rsidRPr="000A5335" w14:paraId="11E668E6" w14:textId="3029B5F1" w:rsidTr="00081E30">
        <w:tc>
          <w:tcPr>
            <w:tcW w:w="4788" w:type="dxa"/>
            <w:shd w:val="clear" w:color="auto" w:fill="auto"/>
          </w:tcPr>
          <w:p w14:paraId="5AE1577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B35A489" w14:textId="402B84C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CE06477" w14:textId="63F5E845" w:rsidTr="00081E30">
        <w:tc>
          <w:tcPr>
            <w:tcW w:w="4788" w:type="dxa"/>
            <w:shd w:val="clear" w:color="auto" w:fill="auto"/>
          </w:tcPr>
          <w:p w14:paraId="4F52F727" w14:textId="77777777" w:rsidR="002C5E29" w:rsidRPr="008772DD" w:rsidRDefault="002C5E29" w:rsidP="002C5E29">
            <w:pPr>
              <w:pStyle w:val="ANOTACION"/>
              <w:spacing w:before="0" w:after="0" w:line="240" w:lineRule="auto"/>
              <w:rPr>
                <w:rFonts w:ascii="Verdana" w:hAnsi="Verdana" w:cs="Arial"/>
                <w:sz w:val="16"/>
                <w:szCs w:val="16"/>
              </w:rPr>
            </w:pPr>
            <w:r w:rsidRPr="008772DD">
              <w:rPr>
                <w:rFonts w:ascii="Verdana" w:hAnsi="Verdana" w:cs="Arial"/>
                <w:sz w:val="16"/>
                <w:szCs w:val="16"/>
              </w:rPr>
              <w:t>Sección Tercera</w:t>
            </w:r>
          </w:p>
        </w:tc>
        <w:tc>
          <w:tcPr>
            <w:tcW w:w="4788" w:type="dxa"/>
            <w:shd w:val="clear" w:color="auto" w:fill="auto"/>
          </w:tcPr>
          <w:p w14:paraId="6BDC8A5D" w14:textId="60910FAB" w:rsidR="002C5E29" w:rsidRPr="008772DD" w:rsidRDefault="002C5E29" w:rsidP="002C5E29">
            <w:pPr>
              <w:pStyle w:val="ANOTACION"/>
              <w:spacing w:before="0" w:after="0" w:line="240" w:lineRule="auto"/>
              <w:rPr>
                <w:rFonts w:ascii="Verdana" w:hAnsi="Verdana" w:cs="Arial"/>
                <w:sz w:val="16"/>
                <w:szCs w:val="16"/>
                <w:lang w:val="en-US"/>
              </w:rPr>
            </w:pPr>
            <w:r w:rsidRPr="008772DD">
              <w:rPr>
                <w:rFonts w:ascii="Verdana" w:hAnsi="Verdana"/>
                <w:sz w:val="16"/>
                <w:szCs w:val="16"/>
                <w:lang w:val="en-US"/>
              </w:rPr>
              <w:t>Third Section</w:t>
            </w:r>
          </w:p>
        </w:tc>
      </w:tr>
      <w:tr w:rsidR="002C5E29" w:rsidRPr="000A5335" w14:paraId="15A775E9" w14:textId="06B4EFD3" w:rsidTr="00081E30">
        <w:tc>
          <w:tcPr>
            <w:tcW w:w="4788" w:type="dxa"/>
            <w:shd w:val="clear" w:color="auto" w:fill="auto"/>
          </w:tcPr>
          <w:p w14:paraId="077B0625" w14:textId="77777777" w:rsidR="002C5E29" w:rsidRPr="008772DD" w:rsidRDefault="002C5E29" w:rsidP="002C5E29">
            <w:pPr>
              <w:pStyle w:val="ANOTACION"/>
              <w:spacing w:before="0" w:after="0" w:line="240" w:lineRule="auto"/>
              <w:rPr>
                <w:rFonts w:ascii="Verdana" w:hAnsi="Verdana" w:cs="Arial"/>
                <w:sz w:val="16"/>
                <w:szCs w:val="16"/>
              </w:rPr>
            </w:pPr>
            <w:r w:rsidRPr="008772DD">
              <w:rPr>
                <w:rFonts w:ascii="Verdana" w:hAnsi="Verdana" w:cs="Arial"/>
                <w:sz w:val="16"/>
                <w:szCs w:val="16"/>
              </w:rPr>
              <w:lastRenderedPageBreak/>
              <w:t>Del Proceso de Licitación de los Contratos para la Exploración y Extracción</w:t>
            </w:r>
          </w:p>
        </w:tc>
        <w:tc>
          <w:tcPr>
            <w:tcW w:w="4788" w:type="dxa"/>
            <w:shd w:val="clear" w:color="auto" w:fill="auto"/>
          </w:tcPr>
          <w:p w14:paraId="666123A1" w14:textId="0DF7280B" w:rsidR="002C5E29" w:rsidRPr="008772DD"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8772DD">
              <w:rPr>
                <w:rFonts w:ascii="Verdana" w:hAnsi="Verdana"/>
                <w:sz w:val="16"/>
                <w:szCs w:val="16"/>
                <w:lang w:val="en-US"/>
              </w:rPr>
              <w:t xml:space="preserve"> Bidding Process for </w:t>
            </w:r>
            <w:r>
              <w:rPr>
                <w:rFonts w:ascii="Verdana" w:hAnsi="Verdana"/>
                <w:sz w:val="16"/>
                <w:szCs w:val="16"/>
                <w:lang w:val="en-US"/>
              </w:rPr>
              <w:t>C</w:t>
            </w:r>
            <w:r w:rsidRPr="008772DD">
              <w:rPr>
                <w:rFonts w:ascii="Verdana" w:hAnsi="Verdana"/>
                <w:sz w:val="16"/>
                <w:szCs w:val="16"/>
                <w:lang w:val="en-US"/>
              </w:rPr>
              <w:t xml:space="preserve">ontracts for </w:t>
            </w:r>
            <w:r>
              <w:rPr>
                <w:rFonts w:ascii="Verdana" w:hAnsi="Verdana"/>
                <w:sz w:val="16"/>
                <w:szCs w:val="16"/>
                <w:lang w:val="en-US"/>
              </w:rPr>
              <w:t>E</w:t>
            </w:r>
            <w:r w:rsidRPr="008772DD">
              <w:rPr>
                <w:rFonts w:ascii="Verdana" w:hAnsi="Verdana"/>
                <w:sz w:val="16"/>
                <w:szCs w:val="16"/>
                <w:lang w:val="en-US"/>
              </w:rPr>
              <w:t xml:space="preserve">xploration and </w:t>
            </w:r>
            <w:r>
              <w:rPr>
                <w:rFonts w:ascii="Verdana" w:hAnsi="Verdana"/>
                <w:sz w:val="16"/>
                <w:szCs w:val="16"/>
                <w:lang w:val="en-US"/>
              </w:rPr>
              <w:t>E</w:t>
            </w:r>
            <w:r w:rsidRPr="008772DD">
              <w:rPr>
                <w:rFonts w:ascii="Verdana" w:hAnsi="Verdana"/>
                <w:sz w:val="16"/>
                <w:szCs w:val="16"/>
                <w:lang w:val="en-US"/>
              </w:rPr>
              <w:t>xtraction</w:t>
            </w:r>
          </w:p>
        </w:tc>
      </w:tr>
      <w:tr w:rsidR="002C5E29" w:rsidRPr="000A5335" w14:paraId="7D093343" w14:textId="37A0B73F" w:rsidTr="00081E30">
        <w:tc>
          <w:tcPr>
            <w:tcW w:w="4788" w:type="dxa"/>
            <w:shd w:val="clear" w:color="auto" w:fill="auto"/>
          </w:tcPr>
          <w:p w14:paraId="54633586"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2BA2CAF9" w14:textId="4C74E45F"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11BBBD5" w14:textId="1F517931" w:rsidTr="00081E30">
        <w:tc>
          <w:tcPr>
            <w:tcW w:w="4788" w:type="dxa"/>
            <w:shd w:val="clear" w:color="auto" w:fill="auto"/>
          </w:tcPr>
          <w:p w14:paraId="65008C85"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33.-</w:t>
            </w:r>
            <w:r w:rsidRPr="00081E30">
              <w:rPr>
                <w:rFonts w:ascii="Verdana" w:hAnsi="Verdana"/>
                <w:bCs/>
                <w:sz w:val="16"/>
                <w:szCs w:val="16"/>
              </w:rPr>
              <w:t xml:space="preserve"> La Secretaría, tomando en consideración el contenido del Plan Quinquenal, notificará a la Secretaría de Hacienda y Crédito Público y a la Comisión, la intención de convocar a un proceso de licitación para adjudicar un Área Contractual.</w:t>
            </w:r>
          </w:p>
        </w:tc>
        <w:tc>
          <w:tcPr>
            <w:tcW w:w="4788" w:type="dxa"/>
            <w:shd w:val="clear" w:color="auto" w:fill="auto"/>
          </w:tcPr>
          <w:p w14:paraId="13A31243" w14:textId="53754B55"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33.-</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taking into account the contents of the Five-Year Plan,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of the intention to call a bidding process to award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w:t>
            </w:r>
          </w:p>
        </w:tc>
      </w:tr>
      <w:tr w:rsidR="002C5E29" w:rsidRPr="000A5335" w14:paraId="5D7CADBA" w14:textId="7200566D" w:rsidTr="00081E30">
        <w:tc>
          <w:tcPr>
            <w:tcW w:w="4788" w:type="dxa"/>
            <w:shd w:val="clear" w:color="auto" w:fill="auto"/>
          </w:tcPr>
          <w:p w14:paraId="0001BB5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2007562" w14:textId="688FB90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E7B51D2" w14:textId="36A3E5BA" w:rsidTr="00081E30">
        <w:tc>
          <w:tcPr>
            <w:tcW w:w="4788" w:type="dxa"/>
            <w:shd w:val="clear" w:color="auto" w:fill="auto"/>
          </w:tcPr>
          <w:p w14:paraId="1321B076"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34.-</w:t>
            </w:r>
            <w:r w:rsidRPr="00081E30">
              <w:rPr>
                <w:rFonts w:ascii="Verdana" w:hAnsi="Verdana"/>
                <w:bCs/>
                <w:sz w:val="16"/>
                <w:szCs w:val="16"/>
              </w:rPr>
              <w:t xml:space="preserve"> Los eventos de promoción y difusión de las rondas de licitación a que se refiere el artículo 29, fracción VI de la Ley, serán públicos.</w:t>
            </w:r>
          </w:p>
        </w:tc>
        <w:tc>
          <w:tcPr>
            <w:tcW w:w="4788" w:type="dxa"/>
            <w:shd w:val="clear" w:color="auto" w:fill="auto"/>
          </w:tcPr>
          <w:p w14:paraId="48B0E218" w14:textId="1F130DA7"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34.-</w:t>
            </w:r>
            <w:r w:rsidRPr="00081E30">
              <w:rPr>
                <w:rFonts w:ascii="Verdana" w:hAnsi="Verdana" w:cs="Times New Roman"/>
                <w:bCs/>
                <w:sz w:val="16"/>
                <w:szCs w:val="16"/>
                <w:lang w:val="en-US"/>
              </w:rPr>
              <w:t xml:space="preserve"> The events of promotion and dissemination of the bidding rounds referred to in article 29, section VI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public.</w:t>
            </w:r>
          </w:p>
        </w:tc>
      </w:tr>
      <w:tr w:rsidR="002C5E29" w:rsidRPr="000A5335" w14:paraId="642E46BB" w14:textId="44DE7E2C" w:rsidTr="00081E30">
        <w:tc>
          <w:tcPr>
            <w:tcW w:w="4788" w:type="dxa"/>
            <w:shd w:val="clear" w:color="auto" w:fill="auto"/>
          </w:tcPr>
          <w:p w14:paraId="2BFEAC8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69B3474" w14:textId="418A21C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9BE0CF6" w14:textId="2B381125" w:rsidTr="00081E30">
        <w:tc>
          <w:tcPr>
            <w:tcW w:w="4788" w:type="dxa"/>
            <w:shd w:val="clear" w:color="auto" w:fill="auto"/>
          </w:tcPr>
          <w:p w14:paraId="5E5C65E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Como parte de la promoción y difusión de dichos eventos, la Secretaría publicará información sobre las áreas a licitar e instrumentará todo tipo de mecanismos que permitan la retroalimentación de los interesados.</w:t>
            </w:r>
          </w:p>
        </w:tc>
        <w:tc>
          <w:tcPr>
            <w:tcW w:w="4788" w:type="dxa"/>
            <w:shd w:val="clear" w:color="auto" w:fill="auto"/>
          </w:tcPr>
          <w:p w14:paraId="20F68B77" w14:textId="6E93B2F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As part of the promotion and dissemination of these events,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publish information on the areas to be tendered and will implement all kinds of mechanisms that allow feedback from interested parties.</w:t>
            </w:r>
          </w:p>
        </w:tc>
      </w:tr>
      <w:tr w:rsidR="002C5E29" w:rsidRPr="000A5335" w14:paraId="52EC51C2" w14:textId="2D511199" w:rsidTr="00081E30">
        <w:tc>
          <w:tcPr>
            <w:tcW w:w="4788" w:type="dxa"/>
            <w:shd w:val="clear" w:color="auto" w:fill="auto"/>
          </w:tcPr>
          <w:p w14:paraId="2B03FC2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A1CEB5B" w14:textId="56EF5F7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521852F" w14:textId="627DD48E" w:rsidTr="00081E30">
        <w:tc>
          <w:tcPr>
            <w:tcW w:w="4788" w:type="dxa"/>
            <w:shd w:val="clear" w:color="auto" w:fill="auto"/>
          </w:tcPr>
          <w:p w14:paraId="4F095C2A"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35.-</w:t>
            </w:r>
            <w:r w:rsidRPr="00081E30">
              <w:rPr>
                <w:rFonts w:ascii="Verdana" w:hAnsi="Verdana"/>
                <w:bCs/>
                <w:sz w:val="16"/>
                <w:szCs w:val="16"/>
              </w:rPr>
              <w:t xml:space="preserve"> La Secretaría proporcionará a la Comisión para la emisión de la convocatoria de cada proceso de licitación, lo siguiente:</w:t>
            </w:r>
          </w:p>
        </w:tc>
        <w:tc>
          <w:tcPr>
            <w:tcW w:w="4788" w:type="dxa"/>
            <w:shd w:val="clear" w:color="auto" w:fill="auto"/>
          </w:tcPr>
          <w:p w14:paraId="105024E7" w14:textId="3F8BAF17"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provide to the Commission for the issuance of the call for each bidding process, the following:</w:t>
            </w:r>
          </w:p>
        </w:tc>
      </w:tr>
      <w:tr w:rsidR="002C5E29" w:rsidRPr="000A5335" w14:paraId="163A29E4" w14:textId="6DA4792C" w:rsidTr="00081E30">
        <w:tc>
          <w:tcPr>
            <w:tcW w:w="4788" w:type="dxa"/>
            <w:shd w:val="clear" w:color="auto" w:fill="auto"/>
          </w:tcPr>
          <w:p w14:paraId="61FF325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9C98338" w14:textId="5E243B2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BD70F6F" w14:textId="22BBED76" w:rsidTr="00081E30">
        <w:tc>
          <w:tcPr>
            <w:tcW w:w="4788" w:type="dxa"/>
            <w:shd w:val="clear" w:color="auto" w:fill="auto"/>
          </w:tcPr>
          <w:p w14:paraId="5065C8D9" w14:textId="4E76A82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identificación del Área Contractual a ser licitada;</w:t>
            </w:r>
          </w:p>
        </w:tc>
        <w:tc>
          <w:tcPr>
            <w:tcW w:w="4788" w:type="dxa"/>
            <w:shd w:val="clear" w:color="auto" w:fill="auto"/>
          </w:tcPr>
          <w:p w14:paraId="1E9193D9" w14:textId="19DCA35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identification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 to be tendered;</w:t>
            </w:r>
          </w:p>
        </w:tc>
      </w:tr>
      <w:tr w:rsidR="002C5E29" w:rsidRPr="000A5335" w14:paraId="7E182B33" w14:textId="51E1A65A" w:rsidTr="00081E30">
        <w:tc>
          <w:tcPr>
            <w:tcW w:w="4788" w:type="dxa"/>
            <w:shd w:val="clear" w:color="auto" w:fill="auto"/>
          </w:tcPr>
          <w:p w14:paraId="3478170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8B79F37" w14:textId="5938F1A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D8CD55" w14:textId="1763D6A0" w:rsidTr="00081E30">
        <w:tc>
          <w:tcPr>
            <w:tcW w:w="4788" w:type="dxa"/>
            <w:shd w:val="clear" w:color="auto" w:fill="auto"/>
          </w:tcPr>
          <w:p w14:paraId="003E448F" w14:textId="10AC722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Los Términos y Condiciones Técnicos;</w:t>
            </w:r>
          </w:p>
        </w:tc>
        <w:tc>
          <w:tcPr>
            <w:tcW w:w="4788" w:type="dxa"/>
            <w:shd w:val="clear" w:color="auto" w:fill="auto"/>
          </w:tcPr>
          <w:p w14:paraId="6C2D8333" w14:textId="53B3C41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t</w:t>
            </w:r>
            <w:r w:rsidRPr="00081E30">
              <w:rPr>
                <w:rFonts w:ascii="Verdana" w:hAnsi="Verdana" w:cs="Times New Roman"/>
                <w:bCs/>
                <w:sz w:val="16"/>
                <w:szCs w:val="16"/>
                <w:lang w:val="en-US"/>
              </w:rPr>
              <w:t xml:space="preserve">erms and </w:t>
            </w:r>
            <w:r>
              <w:rPr>
                <w:rFonts w:ascii="Verdana" w:hAnsi="Verdana" w:cs="Times New Roman"/>
                <w:bCs/>
                <w:sz w:val="16"/>
                <w:szCs w:val="16"/>
                <w:lang w:val="en-US"/>
              </w:rPr>
              <w:t>c</w:t>
            </w:r>
            <w:r w:rsidRPr="00081E30">
              <w:rPr>
                <w:rFonts w:ascii="Verdana" w:hAnsi="Verdana" w:cs="Times New Roman"/>
                <w:bCs/>
                <w:sz w:val="16"/>
                <w:szCs w:val="16"/>
                <w:lang w:val="en-US"/>
              </w:rPr>
              <w:t>onditions;</w:t>
            </w:r>
          </w:p>
        </w:tc>
      </w:tr>
      <w:tr w:rsidR="002C5E29" w:rsidRPr="000A5335" w14:paraId="1443FAA7" w14:textId="290F3BE2" w:rsidTr="00081E30">
        <w:tc>
          <w:tcPr>
            <w:tcW w:w="4788" w:type="dxa"/>
            <w:shd w:val="clear" w:color="auto" w:fill="auto"/>
          </w:tcPr>
          <w:p w14:paraId="6B4A163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879066C" w14:textId="1F2F650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350D6B7" w14:textId="65F83559" w:rsidTr="00081E30">
        <w:tc>
          <w:tcPr>
            <w:tcW w:w="4788" w:type="dxa"/>
            <w:shd w:val="clear" w:color="auto" w:fill="auto"/>
          </w:tcPr>
          <w:p w14:paraId="0EF3A014" w14:textId="5BDDFD9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Los Lineamientos Técnicos;</w:t>
            </w:r>
          </w:p>
        </w:tc>
        <w:tc>
          <w:tcPr>
            <w:tcW w:w="4788" w:type="dxa"/>
            <w:shd w:val="clear" w:color="auto" w:fill="auto"/>
          </w:tcPr>
          <w:p w14:paraId="7E23888C" w14:textId="6D81FC2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g</w:t>
            </w:r>
            <w:r w:rsidRPr="00081E30">
              <w:rPr>
                <w:rFonts w:ascii="Verdana" w:hAnsi="Verdana" w:cs="Times New Roman"/>
                <w:bCs/>
                <w:sz w:val="16"/>
                <w:szCs w:val="16"/>
                <w:lang w:val="en-US"/>
              </w:rPr>
              <w:t>uidelines;</w:t>
            </w:r>
          </w:p>
        </w:tc>
      </w:tr>
      <w:tr w:rsidR="002C5E29" w:rsidRPr="003C1F6B" w14:paraId="12363643" w14:textId="343A4E4F" w:rsidTr="00081E30">
        <w:tc>
          <w:tcPr>
            <w:tcW w:w="4788" w:type="dxa"/>
            <w:shd w:val="clear" w:color="auto" w:fill="auto"/>
          </w:tcPr>
          <w:p w14:paraId="3F49EDD7" w14:textId="77777777" w:rsidR="002C5E29" w:rsidRPr="00081E30" w:rsidRDefault="002C5E29" w:rsidP="002C5E29">
            <w:pPr>
              <w:pStyle w:val="Texto"/>
              <w:spacing w:after="0" w:line="240" w:lineRule="auto"/>
              <w:ind w:firstLine="0"/>
              <w:rPr>
                <w:rFonts w:ascii="Verdana" w:hAnsi="Verdana"/>
                <w:bCs/>
                <w:sz w:val="16"/>
                <w:szCs w:val="16"/>
              </w:rPr>
            </w:pPr>
          </w:p>
        </w:tc>
        <w:tc>
          <w:tcPr>
            <w:tcW w:w="4788" w:type="dxa"/>
            <w:shd w:val="clear" w:color="auto" w:fill="auto"/>
          </w:tcPr>
          <w:p w14:paraId="3BDAF275" w14:textId="50140A5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027645F" w14:textId="59945076" w:rsidTr="00081E30">
        <w:tc>
          <w:tcPr>
            <w:tcW w:w="4788" w:type="dxa"/>
            <w:shd w:val="clear" w:color="auto" w:fill="auto"/>
          </w:tcPr>
          <w:p w14:paraId="44CC640F" w14:textId="0F85F82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Las condiciones económicas relativas a los términos fiscales de los Contratos para la Exploración y Extracción, así como aquéllas que deberán observarse en el proceso de licitación, que establezca la Secretaría de Hacienda y Crédito Público conforme a la Ley de Ingresos sobre Hidrocarburos y su Reglamento, y</w:t>
            </w:r>
          </w:p>
        </w:tc>
        <w:tc>
          <w:tcPr>
            <w:tcW w:w="4788" w:type="dxa"/>
            <w:shd w:val="clear" w:color="auto" w:fill="auto"/>
          </w:tcPr>
          <w:p w14:paraId="29DFB688" w14:textId="5D9194D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economic conditions related to the fiscal terms of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ontracts, as well as those that must be observed in the bidding process, established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in accordance with the </w:t>
            </w:r>
            <w:r>
              <w:rPr>
                <w:rFonts w:ascii="Verdana" w:hAnsi="Verdana" w:cs="Times New Roman"/>
                <w:bCs/>
                <w:sz w:val="16"/>
                <w:szCs w:val="16"/>
                <w:lang w:val="en-US"/>
              </w:rPr>
              <w:t xml:space="preserve">Law of Income from Hydrocarbons and its Regulation, and </w:t>
            </w:r>
          </w:p>
        </w:tc>
      </w:tr>
      <w:tr w:rsidR="002C5E29" w:rsidRPr="000A5335" w14:paraId="39F3C510" w14:textId="066A35F5" w:rsidTr="00081E30">
        <w:tc>
          <w:tcPr>
            <w:tcW w:w="4788" w:type="dxa"/>
            <w:shd w:val="clear" w:color="auto" w:fill="auto"/>
          </w:tcPr>
          <w:p w14:paraId="324270F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A4B479" w14:textId="456FF81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53F9B18" w14:textId="50AC4FD6" w:rsidTr="00081E30">
        <w:tc>
          <w:tcPr>
            <w:tcW w:w="4788" w:type="dxa"/>
            <w:shd w:val="clear" w:color="auto" w:fill="auto"/>
          </w:tcPr>
          <w:p w14:paraId="57DBC5C9" w14:textId="67808ED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La opinión que emita la Comisión Federal de Competencia Económica en términos de la fracción III del artículo 24 de la Ley.</w:t>
            </w:r>
          </w:p>
        </w:tc>
        <w:tc>
          <w:tcPr>
            <w:tcW w:w="4788" w:type="dxa"/>
            <w:shd w:val="clear" w:color="auto" w:fill="auto"/>
          </w:tcPr>
          <w:p w14:paraId="7D7FA253" w14:textId="7719178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The opinion issued by the Federal Economic Competition Commission in terms of section III of article 24 of the Law.</w:t>
            </w:r>
          </w:p>
        </w:tc>
      </w:tr>
      <w:tr w:rsidR="002C5E29" w:rsidRPr="000A5335" w14:paraId="37E65976" w14:textId="24834556" w:rsidTr="00081E30">
        <w:tc>
          <w:tcPr>
            <w:tcW w:w="4788" w:type="dxa"/>
            <w:shd w:val="clear" w:color="auto" w:fill="auto"/>
          </w:tcPr>
          <w:p w14:paraId="142DB0D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B07BF65" w14:textId="761AA87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ACDE2D" w14:textId="534666A6" w:rsidTr="00081E30">
        <w:tc>
          <w:tcPr>
            <w:tcW w:w="4788" w:type="dxa"/>
            <w:shd w:val="clear" w:color="auto" w:fill="auto"/>
          </w:tcPr>
          <w:p w14:paraId="1B02DB89"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36.-</w:t>
            </w:r>
            <w:r w:rsidRPr="00081E30">
              <w:rPr>
                <w:rFonts w:ascii="Verdana" w:hAnsi="Verdana"/>
                <w:bCs/>
                <w:sz w:val="16"/>
                <w:szCs w:val="16"/>
              </w:rPr>
              <w:t xml:space="preserve"> Para cumplir con lo dispuesto en el artículo anterior, se estará al siguiente procedimiento:</w:t>
            </w:r>
          </w:p>
        </w:tc>
        <w:tc>
          <w:tcPr>
            <w:tcW w:w="4788" w:type="dxa"/>
            <w:shd w:val="clear" w:color="auto" w:fill="auto"/>
          </w:tcPr>
          <w:p w14:paraId="4EDCC9CB" w14:textId="24CE8CF9"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36.-</w:t>
            </w:r>
            <w:r w:rsidRPr="00081E30">
              <w:rPr>
                <w:rFonts w:ascii="Verdana" w:hAnsi="Verdana" w:cs="Times New Roman"/>
                <w:bCs/>
                <w:sz w:val="16"/>
                <w:szCs w:val="16"/>
                <w:lang w:val="en-US"/>
              </w:rPr>
              <w:t xml:space="preserve"> To comply with the provisions of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the following procedure will be followed:</w:t>
            </w:r>
          </w:p>
        </w:tc>
      </w:tr>
      <w:tr w:rsidR="002C5E29" w:rsidRPr="000A5335" w14:paraId="72FAE241" w14:textId="07364246" w:rsidTr="00081E30">
        <w:tc>
          <w:tcPr>
            <w:tcW w:w="4788" w:type="dxa"/>
            <w:shd w:val="clear" w:color="auto" w:fill="auto"/>
          </w:tcPr>
          <w:p w14:paraId="1DD4422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7991C85" w14:textId="2532E3B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C448D6F" w14:textId="57E7F0C8" w:rsidTr="00081E30">
        <w:tc>
          <w:tcPr>
            <w:tcW w:w="4788" w:type="dxa"/>
            <w:shd w:val="clear" w:color="auto" w:fill="auto"/>
          </w:tcPr>
          <w:p w14:paraId="1DC6BCC5" w14:textId="20D16EA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Secretaría remitirá a la Secretaría de Hacienda y Crédito Público y a la Comisión la propuesta de Modelo de Contratación que corresponderá al Área Contractual y la información soporte que se determine en los convenios de coordinación que para tal efecto suscriban dichas dependencias;</w:t>
            </w:r>
          </w:p>
        </w:tc>
        <w:tc>
          <w:tcPr>
            <w:tcW w:w="4788" w:type="dxa"/>
            <w:shd w:val="clear" w:color="auto" w:fill="auto"/>
          </w:tcPr>
          <w:p w14:paraId="780D1A05" w14:textId="1484A93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to the Commission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roposal for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ontracting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that will correspond to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 and the supporting information determined in the coordination agreements signed for such effect by said </w:t>
            </w:r>
            <w:r>
              <w:rPr>
                <w:rFonts w:ascii="Verdana" w:hAnsi="Verdana" w:cs="Times New Roman"/>
                <w:bCs/>
                <w:sz w:val="16"/>
                <w:szCs w:val="16"/>
                <w:lang w:val="en-US"/>
              </w:rPr>
              <w:t>departments</w:t>
            </w:r>
            <w:r w:rsidRPr="00081E30">
              <w:rPr>
                <w:rFonts w:ascii="Verdana" w:hAnsi="Verdana" w:cs="Times New Roman"/>
                <w:bCs/>
                <w:sz w:val="16"/>
                <w:szCs w:val="16"/>
                <w:lang w:val="en-US"/>
              </w:rPr>
              <w:t>;</w:t>
            </w:r>
          </w:p>
        </w:tc>
      </w:tr>
      <w:tr w:rsidR="002C5E29" w:rsidRPr="000A5335" w14:paraId="26DD756B" w14:textId="29AC2B34" w:rsidTr="00081E30">
        <w:tc>
          <w:tcPr>
            <w:tcW w:w="4788" w:type="dxa"/>
            <w:shd w:val="clear" w:color="auto" w:fill="auto"/>
          </w:tcPr>
          <w:p w14:paraId="1CF2BA3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D022742" w14:textId="0C77B9E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79766CA" w14:textId="66A8DFBF" w:rsidTr="00081E30">
        <w:tc>
          <w:tcPr>
            <w:tcW w:w="4788" w:type="dxa"/>
            <w:shd w:val="clear" w:color="auto" w:fill="auto"/>
          </w:tcPr>
          <w:p w14:paraId="18EE4345" w14:textId="180707E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Secretaría de Hacienda y Crédito Público y la Comisión emitirán su opinión sobre la propuesta de Modelo de Contratación, en un plazo de cinco días hábiles contado a partir de la fecha de recepción de la propuesta e información a que se refiere la fracción anterior;</w:t>
            </w:r>
          </w:p>
        </w:tc>
        <w:tc>
          <w:tcPr>
            <w:tcW w:w="4788" w:type="dxa"/>
            <w:shd w:val="clear" w:color="auto" w:fill="auto"/>
          </w:tcPr>
          <w:p w14:paraId="779C9B3E" w14:textId="4DD3BD6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will issue their opinion 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rocurement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proposal, within five business days from the date of receipt of the proposal and information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section;</w:t>
            </w:r>
          </w:p>
        </w:tc>
      </w:tr>
      <w:tr w:rsidR="002C5E29" w:rsidRPr="000A5335" w14:paraId="33A9B65C" w14:textId="4DFC9933" w:rsidTr="00081E30">
        <w:tc>
          <w:tcPr>
            <w:tcW w:w="4788" w:type="dxa"/>
            <w:shd w:val="clear" w:color="auto" w:fill="auto"/>
          </w:tcPr>
          <w:p w14:paraId="564F1A1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E8E2725" w14:textId="27B0861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A04C203" w14:textId="5E80ACAD" w:rsidTr="00081E30">
        <w:tc>
          <w:tcPr>
            <w:tcW w:w="4788" w:type="dxa"/>
            <w:shd w:val="clear" w:color="auto" w:fill="auto"/>
          </w:tcPr>
          <w:p w14:paraId="10C5A983" w14:textId="048015A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Determinado el Modelo de Contratación, la Secretaría contará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w:t>
            </w:r>
          </w:p>
        </w:tc>
        <w:tc>
          <w:tcPr>
            <w:tcW w:w="4788" w:type="dxa"/>
            <w:shd w:val="clear" w:color="auto" w:fill="auto"/>
          </w:tcPr>
          <w:p w14:paraId="096D5AF8" w14:textId="4A166A0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Once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has been determined,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a period of twenty working days to determine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t</w:t>
            </w:r>
            <w:r w:rsidRPr="00081E30">
              <w:rPr>
                <w:rFonts w:ascii="Verdana" w:hAnsi="Verdana" w:cs="Times New Roman"/>
                <w:bCs/>
                <w:sz w:val="16"/>
                <w:szCs w:val="16"/>
                <w:lang w:val="en-US"/>
              </w:rPr>
              <w:t xml:space="preserve">erms and </w:t>
            </w:r>
            <w:r>
              <w:rPr>
                <w:rFonts w:ascii="Verdana" w:hAnsi="Verdana" w:cs="Times New Roman"/>
                <w:bCs/>
                <w:sz w:val="16"/>
                <w:szCs w:val="16"/>
                <w:lang w:val="en-US"/>
              </w:rPr>
              <w:t>c</w:t>
            </w:r>
            <w:r w:rsidRPr="00081E30">
              <w:rPr>
                <w:rFonts w:ascii="Verdana" w:hAnsi="Verdana" w:cs="Times New Roman"/>
                <w:bCs/>
                <w:sz w:val="16"/>
                <w:szCs w:val="16"/>
                <w:lang w:val="en-US"/>
              </w:rPr>
              <w:t xml:space="preserve">onditions and request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to establish the economic conditions related to the fiscal terms in accordance with the</w:t>
            </w:r>
            <w:r>
              <w:rPr>
                <w:rFonts w:ascii="Verdana" w:hAnsi="Verdana" w:cs="Times New Roman"/>
                <w:bCs/>
                <w:sz w:val="16"/>
                <w:szCs w:val="16"/>
                <w:lang w:val="en-US"/>
              </w:rPr>
              <w:t xml:space="preserve"> Law of Income from Hydrocarbons and its Regulation;</w:t>
            </w:r>
          </w:p>
        </w:tc>
      </w:tr>
      <w:tr w:rsidR="002C5E29" w:rsidRPr="000A5335" w14:paraId="01C009A3" w14:textId="434781B5" w:rsidTr="00081E30">
        <w:tc>
          <w:tcPr>
            <w:tcW w:w="4788" w:type="dxa"/>
            <w:shd w:val="clear" w:color="auto" w:fill="auto"/>
          </w:tcPr>
          <w:p w14:paraId="7393A22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947DDA3" w14:textId="51B822D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491A90" w14:textId="450E8ABC" w:rsidTr="00081E30">
        <w:tc>
          <w:tcPr>
            <w:tcW w:w="4788" w:type="dxa"/>
            <w:shd w:val="clear" w:color="auto" w:fill="auto"/>
          </w:tcPr>
          <w:p w14:paraId="3F3E5B80" w14:textId="17A9D46D" w:rsidR="002C5E29" w:rsidRPr="00081E30" w:rsidRDefault="002C5E29" w:rsidP="002C5E29">
            <w:pPr>
              <w:pStyle w:val="Texto"/>
              <w:spacing w:after="0" w:line="240" w:lineRule="auto"/>
              <w:ind w:firstLine="0"/>
              <w:rPr>
                <w:rFonts w:ascii="Verdana" w:hAnsi="Verdana"/>
                <w:bCs/>
                <w:color w:val="000000"/>
                <w:sz w:val="16"/>
                <w:szCs w:val="16"/>
              </w:rPr>
            </w:pPr>
            <w:r w:rsidRPr="00030FCB">
              <w:rPr>
                <w:rFonts w:ascii="Verdana" w:hAnsi="Verdana"/>
                <w:b/>
                <w:bCs/>
                <w:sz w:val="16"/>
                <w:szCs w:val="16"/>
              </w:rPr>
              <w:lastRenderedPageBreak/>
              <w:t>IV.</w:t>
            </w:r>
            <w:r w:rsidRPr="00081E30">
              <w:rPr>
                <w:rFonts w:ascii="Verdana" w:hAnsi="Verdana"/>
                <w:bCs/>
                <w:sz w:val="16"/>
                <w:szCs w:val="16"/>
              </w:rPr>
              <w:t xml:space="preserve"> La Secretaría de Economía, a solicitud de la Secretaría, emitirá su opinión sobre el porcentaje mínimo de contenido nacional establecido en cada Contrato para la Exploración y Extracción, en un plazo de diez días hábiles. </w:t>
            </w:r>
            <w:r w:rsidRPr="00081E30">
              <w:rPr>
                <w:rFonts w:ascii="Verdana" w:hAnsi="Verdana"/>
                <w:bCs/>
                <w:color w:val="000000"/>
                <w:sz w:val="16"/>
                <w:szCs w:val="16"/>
              </w:rPr>
              <w:t>La Secretaría deberá observar que dichos porcentajes no generen ventajas indebidas que pudieran afectar la posición competitiva de Asignatarios o Contratistas;</w:t>
            </w:r>
          </w:p>
        </w:tc>
        <w:tc>
          <w:tcPr>
            <w:tcW w:w="4788" w:type="dxa"/>
            <w:shd w:val="clear" w:color="auto" w:fill="auto"/>
          </w:tcPr>
          <w:p w14:paraId="59ED23F0" w14:textId="2850BF3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at the request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issue its opinion on the minimum percentage of national content established in each Contract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within a period of ten business days.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observe that these percentages do not generate undue advantages that could affect the competitive position of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ontractors;</w:t>
            </w:r>
          </w:p>
        </w:tc>
      </w:tr>
      <w:tr w:rsidR="002C5E29" w:rsidRPr="000A5335" w14:paraId="31A25CC7" w14:textId="79889FA0" w:rsidTr="00081E30">
        <w:tc>
          <w:tcPr>
            <w:tcW w:w="4788" w:type="dxa"/>
            <w:shd w:val="clear" w:color="auto" w:fill="auto"/>
          </w:tcPr>
          <w:p w14:paraId="4D8CE7B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960BD7B" w14:textId="50E0ACF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A4CB8D7" w14:textId="5F51D101" w:rsidTr="00081E30">
        <w:tc>
          <w:tcPr>
            <w:tcW w:w="4788" w:type="dxa"/>
            <w:shd w:val="clear" w:color="auto" w:fill="auto"/>
          </w:tcPr>
          <w:p w14:paraId="3CCE1D74" w14:textId="08CBD42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Recibidas las condiciones económicas relativas a los términos fiscales de los Contratos para la Exploración y Extracción, así como aquéllas que deberán observarse en el proceso de licitación, que establezca la Secretaría de Hacienda y Crédito Público conforme a la Ley de Ingresos sobre Hidrocarburos y su Reglamento, la Secretaría en un plazo de veinte días hábiles elaborará los Lineamientos Técnicos que se observarán en el proceso de licitación;</w:t>
            </w:r>
          </w:p>
        </w:tc>
        <w:tc>
          <w:tcPr>
            <w:tcW w:w="4788" w:type="dxa"/>
            <w:shd w:val="clear" w:color="auto" w:fill="auto"/>
          </w:tcPr>
          <w:p w14:paraId="60CBEB7A" w14:textId="42CB869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Received the economic conditions related to the fiscal terms of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ontracts, as well as those that must be observed in the bidding process, established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in accordance with </w:t>
            </w:r>
            <w:r>
              <w:rPr>
                <w:rFonts w:ascii="Verdana" w:hAnsi="Verdana"/>
                <w:bCs/>
                <w:sz w:val="16"/>
                <w:szCs w:val="16"/>
                <w:lang w:val="en-US"/>
              </w:rPr>
              <w:t>the Law of Income from Hydrocarbons and its Regulation,</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within twenty working days will prepare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g</w:t>
            </w:r>
            <w:r w:rsidRPr="00081E30">
              <w:rPr>
                <w:rFonts w:ascii="Verdana" w:hAnsi="Verdana" w:cs="Times New Roman"/>
                <w:bCs/>
                <w:sz w:val="16"/>
                <w:szCs w:val="16"/>
                <w:lang w:val="en-US"/>
              </w:rPr>
              <w:t>uidelines that will be observed in the bidding process;</w:t>
            </w:r>
          </w:p>
        </w:tc>
      </w:tr>
      <w:tr w:rsidR="002C5E29" w:rsidRPr="000A5335" w14:paraId="6F3E82A8" w14:textId="0A15988A" w:rsidTr="00081E30">
        <w:tc>
          <w:tcPr>
            <w:tcW w:w="4788" w:type="dxa"/>
            <w:shd w:val="clear" w:color="auto" w:fill="auto"/>
          </w:tcPr>
          <w:p w14:paraId="7C5BF7C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989AB37" w14:textId="074E360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F5CB2C9" w14:textId="317A48F4" w:rsidTr="00081E30">
        <w:tc>
          <w:tcPr>
            <w:tcW w:w="4788" w:type="dxa"/>
            <w:shd w:val="clear" w:color="auto" w:fill="auto"/>
          </w:tcPr>
          <w:p w14:paraId="4C276BBB" w14:textId="38FDD9D9"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V</w:t>
            </w:r>
            <w:r w:rsidRPr="00030FCB">
              <w:rPr>
                <w:rFonts w:ascii="Verdana" w:hAnsi="Verdana"/>
                <w:b/>
                <w:bCs/>
                <w:sz w:val="16"/>
                <w:szCs w:val="16"/>
              </w:rPr>
              <w:t>I.</w:t>
            </w:r>
            <w:r w:rsidRPr="00081E30">
              <w:rPr>
                <w:rFonts w:ascii="Verdana" w:hAnsi="Verdana"/>
                <w:bCs/>
                <w:sz w:val="16"/>
                <w:szCs w:val="16"/>
              </w:rPr>
              <w:t xml:space="preserve"> La Secretaría solicitará a la Comisión Federal de Competencia Económica la opinión a que se refiere la fracción III del artículo 24 de la Ley. Para efectos de esta opinión, la Secretaría, con base en la información remitida por la Secretaría de Hacienda y Crédito Público deberá proporcionar a la Comisión Federal de Competencia Económica los elementos que justifiquen que los criterios de precalificación y el mecanismo de adjudicación propuestos se apegan a las mejores prácticas de la industria así como a los principios generales en materia de libre concurrencia y competencia económica.</w:t>
            </w:r>
          </w:p>
        </w:tc>
        <w:tc>
          <w:tcPr>
            <w:tcW w:w="4788" w:type="dxa"/>
            <w:shd w:val="clear" w:color="auto" w:fill="auto"/>
          </w:tcPr>
          <w:p w14:paraId="3B4D88BD" w14:textId="4345BFBF"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request from the Federal Economic Competition Commission the opinion referred to in section III of Article 24 of the Law. For the purposes of this opinion,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based on the information submitted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provide the Federal Economic Competition Commission with the elements that justify that the proposed prequalification criteria and the award mechanism adhere to the best practices of the industry as well as to the general principles regarding free competition and economic competition.</w:t>
            </w:r>
          </w:p>
        </w:tc>
      </w:tr>
      <w:tr w:rsidR="002C5E29" w:rsidRPr="000A5335" w14:paraId="363655D4" w14:textId="28839B2B" w:rsidTr="00081E30">
        <w:tc>
          <w:tcPr>
            <w:tcW w:w="4788" w:type="dxa"/>
            <w:shd w:val="clear" w:color="auto" w:fill="auto"/>
          </w:tcPr>
          <w:p w14:paraId="4243984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BE498A9" w14:textId="5960BA1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3071D4F" w14:textId="6BC175A4" w:rsidTr="00081E30">
        <w:tc>
          <w:tcPr>
            <w:tcW w:w="4788" w:type="dxa"/>
            <w:shd w:val="clear" w:color="auto" w:fill="auto"/>
          </w:tcPr>
          <w:p w14:paraId="5D87850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Comisión Federal de Competencia Económica, en el ámbito de las atribuciones que le confiere la Ley, podrá en cualquier momento y sin perjuicio del plazo establecido en la fracción III del artículo 24 de la Ley, requerir cualquier información adicional que estime pertinente en términos de la Ley Federal de Competencia Económica, y</w:t>
            </w:r>
          </w:p>
        </w:tc>
        <w:tc>
          <w:tcPr>
            <w:tcW w:w="4788" w:type="dxa"/>
            <w:shd w:val="clear" w:color="auto" w:fill="auto"/>
          </w:tcPr>
          <w:p w14:paraId="77CB0425" w14:textId="6ED11F7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Federal Economic Competition Commission, in the scope of the powers conferred by the Law, may at any time and without prejudice to the period established in section III of Article 24 of the Law, require any additional information it deems relevant in terms of the Federal Economic Competition Law, and</w:t>
            </w:r>
          </w:p>
        </w:tc>
      </w:tr>
      <w:tr w:rsidR="002C5E29" w:rsidRPr="000A5335" w14:paraId="0EC870DF" w14:textId="426AEB1D" w:rsidTr="00081E30">
        <w:tc>
          <w:tcPr>
            <w:tcW w:w="4788" w:type="dxa"/>
            <w:shd w:val="clear" w:color="auto" w:fill="auto"/>
          </w:tcPr>
          <w:p w14:paraId="32FC294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ACA9220" w14:textId="67B1CB4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B1C2F4B" w14:textId="6854A040" w:rsidTr="00081E30">
        <w:tc>
          <w:tcPr>
            <w:tcW w:w="4788" w:type="dxa"/>
            <w:shd w:val="clear" w:color="auto" w:fill="auto"/>
          </w:tcPr>
          <w:p w14:paraId="3A9ED9F4" w14:textId="5E6E961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VII.</w:t>
            </w:r>
            <w:r w:rsidRPr="00081E30">
              <w:rPr>
                <w:rFonts w:ascii="Verdana" w:hAnsi="Verdana"/>
                <w:bCs/>
                <w:sz w:val="16"/>
                <w:szCs w:val="16"/>
              </w:rPr>
              <w:t xml:space="preserve"> Concluido lo anterior, la Secretaría elaborará los documentos finales que enviará a la Comisión conforme al artículo anterior.</w:t>
            </w:r>
          </w:p>
        </w:tc>
        <w:tc>
          <w:tcPr>
            <w:tcW w:w="4788" w:type="dxa"/>
            <w:shd w:val="clear" w:color="auto" w:fill="auto"/>
          </w:tcPr>
          <w:p w14:paraId="1194B429" w14:textId="7C03693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VII.</w:t>
            </w:r>
            <w:r w:rsidRPr="00081E30">
              <w:rPr>
                <w:rFonts w:ascii="Verdana" w:hAnsi="Verdana" w:cs="Times New Roman"/>
                <w:bCs/>
                <w:sz w:val="16"/>
                <w:szCs w:val="16"/>
                <w:lang w:val="en-US"/>
              </w:rPr>
              <w:t xml:space="preserve"> Once the above is concluded,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prepare the final documents that it will send to the Commission in accordance with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w:t>
            </w:r>
          </w:p>
        </w:tc>
      </w:tr>
      <w:tr w:rsidR="002C5E29" w:rsidRPr="000A5335" w14:paraId="123BDB38" w14:textId="10D03482" w:rsidTr="00081E30">
        <w:tc>
          <w:tcPr>
            <w:tcW w:w="4788" w:type="dxa"/>
            <w:shd w:val="clear" w:color="auto" w:fill="auto"/>
          </w:tcPr>
          <w:p w14:paraId="034F3F4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E7B07C4" w14:textId="1F4EC7C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9A5D232" w14:textId="70E5A7F1" w:rsidTr="00081E30">
        <w:tc>
          <w:tcPr>
            <w:tcW w:w="4788" w:type="dxa"/>
            <w:shd w:val="clear" w:color="auto" w:fill="auto"/>
          </w:tcPr>
          <w:p w14:paraId="1D55A4F3"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37.-</w:t>
            </w:r>
            <w:r w:rsidRPr="00081E30">
              <w:rPr>
                <w:rFonts w:ascii="Verdana" w:hAnsi="Verdana"/>
                <w:bCs/>
                <w:sz w:val="16"/>
                <w:szCs w:val="16"/>
              </w:rPr>
              <w:t xml:space="preserve"> Los Lineamientos Técnicos contendrán por lo menos lo siguiente:</w:t>
            </w:r>
          </w:p>
        </w:tc>
        <w:tc>
          <w:tcPr>
            <w:tcW w:w="4788" w:type="dxa"/>
            <w:shd w:val="clear" w:color="auto" w:fill="auto"/>
          </w:tcPr>
          <w:p w14:paraId="3568BC2B" w14:textId="06E9E716"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37.-</w:t>
            </w:r>
            <w:r w:rsidRPr="00081E30">
              <w:rPr>
                <w:rFonts w:ascii="Verdana" w:hAnsi="Verdana" w:cs="Times New Roman"/>
                <w:bCs/>
                <w:sz w:val="16"/>
                <w:szCs w:val="16"/>
                <w:lang w:val="en-US"/>
              </w:rPr>
              <w:t xml:space="preserve"> The Technical Guidelines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contain at least the following:</w:t>
            </w:r>
          </w:p>
        </w:tc>
      </w:tr>
      <w:tr w:rsidR="002C5E29" w:rsidRPr="000A5335" w14:paraId="1640B525" w14:textId="0E077B97" w:rsidTr="00081E30">
        <w:tc>
          <w:tcPr>
            <w:tcW w:w="4788" w:type="dxa"/>
            <w:shd w:val="clear" w:color="auto" w:fill="auto"/>
          </w:tcPr>
          <w:p w14:paraId="697DB2C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01D0BA6" w14:textId="0A6EB08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011C4ED" w14:textId="0554B733" w:rsidTr="00081E30">
        <w:tc>
          <w:tcPr>
            <w:tcW w:w="4788" w:type="dxa"/>
            <w:shd w:val="clear" w:color="auto" w:fill="auto"/>
          </w:tcPr>
          <w:p w14:paraId="4B72040A" w14:textId="0A42359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El objeto de la licitación;</w:t>
            </w:r>
          </w:p>
        </w:tc>
        <w:tc>
          <w:tcPr>
            <w:tcW w:w="4788" w:type="dxa"/>
            <w:shd w:val="clear" w:color="auto" w:fill="auto"/>
          </w:tcPr>
          <w:p w14:paraId="1E04D57A" w14:textId="3F5B991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purpose of the tender;</w:t>
            </w:r>
          </w:p>
        </w:tc>
      </w:tr>
      <w:tr w:rsidR="002C5E29" w:rsidRPr="000A5335" w14:paraId="076D0E59" w14:textId="3A7E7AC5" w:rsidTr="00081E30">
        <w:tc>
          <w:tcPr>
            <w:tcW w:w="4788" w:type="dxa"/>
            <w:shd w:val="clear" w:color="auto" w:fill="auto"/>
          </w:tcPr>
          <w:p w14:paraId="74BCBB5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389C0E" w14:textId="08EBD19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88BB54A" w14:textId="13C77950" w:rsidTr="00081E30">
        <w:tc>
          <w:tcPr>
            <w:tcW w:w="4788" w:type="dxa"/>
            <w:shd w:val="clear" w:color="auto" w:fill="auto"/>
          </w:tcPr>
          <w:p w14:paraId="7DCC0FEB" w14:textId="0AF8CA9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Los requisitos para acreditar los criterios de precalificación establecidos en el artículo 23 de la Ley. Dichos requisitos podrán acreditarse mediante empresas relacionadas o por conducto de algún socio o integrante de un consorcio.</w:t>
            </w:r>
          </w:p>
        </w:tc>
        <w:tc>
          <w:tcPr>
            <w:tcW w:w="4788" w:type="dxa"/>
            <w:shd w:val="clear" w:color="auto" w:fill="auto"/>
          </w:tcPr>
          <w:p w14:paraId="6685BCB0" w14:textId="1F8A4DC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requirements to accredit the prequalification criteria established in article 23 of the Law. These requirements may be accredited by related companies or through a partner or member of a consortium.</w:t>
            </w:r>
          </w:p>
        </w:tc>
      </w:tr>
      <w:tr w:rsidR="002C5E29" w:rsidRPr="000A5335" w14:paraId="7473E765" w14:textId="33A4A8D8" w:rsidTr="00081E30">
        <w:tc>
          <w:tcPr>
            <w:tcW w:w="4788" w:type="dxa"/>
            <w:shd w:val="clear" w:color="auto" w:fill="auto"/>
          </w:tcPr>
          <w:p w14:paraId="42B6A8B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EE3871" w14:textId="40F1D37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A4CA3F4" w14:textId="23F815F4" w:rsidTr="00081E30">
        <w:tc>
          <w:tcPr>
            <w:tcW w:w="4788" w:type="dxa"/>
            <w:shd w:val="clear" w:color="auto" w:fill="auto"/>
          </w:tcPr>
          <w:p w14:paraId="1D810940" w14:textId="3120CDD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En su caso, las características y términos de la participación del Estado mexicano a través de alguna empresa productiva del Estado o de un vehículo financiero especializado, de conformidad con el artículo 16 de la Ley;</w:t>
            </w:r>
          </w:p>
        </w:tc>
        <w:tc>
          <w:tcPr>
            <w:tcW w:w="4788" w:type="dxa"/>
            <w:shd w:val="clear" w:color="auto" w:fill="auto"/>
          </w:tcPr>
          <w:p w14:paraId="7F6EEF61" w14:textId="564485F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Where appropriate, the characteristics and terms of the participation of the Mexican State through a productive company of the State or a specialized financial vehicle, in accordance with Article 16 of the Law;</w:t>
            </w:r>
          </w:p>
        </w:tc>
      </w:tr>
      <w:tr w:rsidR="002C5E29" w:rsidRPr="000A5335" w14:paraId="0E176665" w14:textId="5DE24FDA" w:rsidTr="00081E30">
        <w:tc>
          <w:tcPr>
            <w:tcW w:w="4788" w:type="dxa"/>
            <w:shd w:val="clear" w:color="auto" w:fill="auto"/>
          </w:tcPr>
          <w:p w14:paraId="693AC15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1E4286" w14:textId="24DE2FF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8CA12F" w14:textId="79EAF0D5" w:rsidTr="00081E30">
        <w:tc>
          <w:tcPr>
            <w:tcW w:w="4788" w:type="dxa"/>
            <w:shd w:val="clear" w:color="auto" w:fill="auto"/>
          </w:tcPr>
          <w:p w14:paraId="32BFF0FB" w14:textId="7BE4C63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Las garantías de seriedad de las propuestas;</w:t>
            </w:r>
          </w:p>
        </w:tc>
        <w:tc>
          <w:tcPr>
            <w:tcW w:w="4788" w:type="dxa"/>
            <w:shd w:val="clear" w:color="auto" w:fill="auto"/>
          </w:tcPr>
          <w:p w14:paraId="452619A2" w14:textId="6008E6C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guarantees of seriousness of the proposals;</w:t>
            </w:r>
          </w:p>
        </w:tc>
      </w:tr>
      <w:tr w:rsidR="002C5E29" w:rsidRPr="000A5335" w14:paraId="0598DB1E" w14:textId="61B2383D" w:rsidTr="00081E30">
        <w:tc>
          <w:tcPr>
            <w:tcW w:w="4788" w:type="dxa"/>
            <w:shd w:val="clear" w:color="auto" w:fill="auto"/>
          </w:tcPr>
          <w:p w14:paraId="16102CF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D245494" w14:textId="7DE9794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11A75D1" w14:textId="45CD7221" w:rsidTr="00081E30">
        <w:tc>
          <w:tcPr>
            <w:tcW w:w="4788" w:type="dxa"/>
            <w:shd w:val="clear" w:color="auto" w:fill="auto"/>
          </w:tcPr>
          <w:p w14:paraId="541ABEE7" w14:textId="469356A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Las causales para no considerar o  desechar propuestas, y</w:t>
            </w:r>
          </w:p>
        </w:tc>
        <w:tc>
          <w:tcPr>
            <w:tcW w:w="4788" w:type="dxa"/>
            <w:shd w:val="clear" w:color="auto" w:fill="auto"/>
          </w:tcPr>
          <w:p w14:paraId="75A036F3" w14:textId="100AB0F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The reasons for not considering or rejecting proposals, and</w:t>
            </w:r>
          </w:p>
        </w:tc>
      </w:tr>
      <w:tr w:rsidR="002C5E29" w:rsidRPr="000A5335" w14:paraId="570FABC8" w14:textId="1E68F5C0" w:rsidTr="00081E30">
        <w:tc>
          <w:tcPr>
            <w:tcW w:w="4788" w:type="dxa"/>
            <w:shd w:val="clear" w:color="auto" w:fill="auto"/>
          </w:tcPr>
          <w:p w14:paraId="0F269AD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BA888C3" w14:textId="0966682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A34DAF7" w14:textId="4B937BA7" w:rsidTr="00081E30">
        <w:tc>
          <w:tcPr>
            <w:tcW w:w="4788" w:type="dxa"/>
            <w:shd w:val="clear" w:color="auto" w:fill="auto"/>
          </w:tcPr>
          <w:p w14:paraId="0F3E0AE6" w14:textId="26A85A4E"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lastRenderedPageBreak/>
              <w:t>V</w:t>
            </w:r>
            <w:r w:rsidRPr="00030FCB">
              <w:rPr>
                <w:rFonts w:ascii="Verdana" w:hAnsi="Verdana"/>
                <w:b/>
                <w:bCs/>
                <w:sz w:val="16"/>
                <w:szCs w:val="16"/>
              </w:rPr>
              <w:t>I.</w:t>
            </w:r>
            <w:r w:rsidRPr="00081E30">
              <w:rPr>
                <w:rFonts w:ascii="Verdana" w:hAnsi="Verdana"/>
                <w:bCs/>
                <w:sz w:val="16"/>
                <w:szCs w:val="16"/>
              </w:rPr>
              <w:t xml:space="preserve"> Las causales para no celebrar Contratos para la Exploración y Extracción.</w:t>
            </w:r>
          </w:p>
        </w:tc>
        <w:tc>
          <w:tcPr>
            <w:tcW w:w="4788" w:type="dxa"/>
            <w:shd w:val="clear" w:color="auto" w:fill="auto"/>
          </w:tcPr>
          <w:p w14:paraId="73FB9533" w14:textId="5D6BB1F2"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reasons for not entering into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w:t>
            </w:r>
          </w:p>
        </w:tc>
      </w:tr>
      <w:tr w:rsidR="002C5E29" w:rsidRPr="000A5335" w14:paraId="64C95FD1" w14:textId="1597B613" w:rsidTr="00081E30">
        <w:tc>
          <w:tcPr>
            <w:tcW w:w="4788" w:type="dxa"/>
            <w:shd w:val="clear" w:color="auto" w:fill="auto"/>
          </w:tcPr>
          <w:p w14:paraId="38C1258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830A3C8" w14:textId="48ECB8F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9CA64DD" w14:textId="7D08284A" w:rsidTr="00081E30">
        <w:tc>
          <w:tcPr>
            <w:tcW w:w="4788" w:type="dxa"/>
            <w:shd w:val="clear" w:color="auto" w:fill="auto"/>
          </w:tcPr>
          <w:p w14:paraId="1C6DC279"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38.-</w:t>
            </w:r>
            <w:r w:rsidRPr="00081E30">
              <w:rPr>
                <w:rFonts w:ascii="Verdana" w:hAnsi="Verdana"/>
                <w:bCs/>
                <w:sz w:val="16"/>
                <w:szCs w:val="16"/>
              </w:rPr>
              <w:t xml:space="preserve"> Las bases de licitación para la adjudicación de Contratos para la Exploración y Extracción que la Comisión emita, además de incluir lo previsto en los artículos 24 de la Ley y 35 del presente Reglamento, deberán prever lo siguiente:</w:t>
            </w:r>
          </w:p>
        </w:tc>
        <w:tc>
          <w:tcPr>
            <w:tcW w:w="4788" w:type="dxa"/>
            <w:shd w:val="clear" w:color="auto" w:fill="auto"/>
          </w:tcPr>
          <w:p w14:paraId="3CFE89CE" w14:textId="4B9BFD78"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38.-</w:t>
            </w:r>
            <w:r w:rsidRPr="00081E30">
              <w:rPr>
                <w:rFonts w:ascii="Verdana" w:hAnsi="Verdana" w:cs="Times New Roman"/>
                <w:bCs/>
                <w:sz w:val="16"/>
                <w:szCs w:val="16"/>
                <w:lang w:val="en-US"/>
              </w:rPr>
              <w:t xml:space="preserve"> The bidding c</w:t>
            </w:r>
            <w:r>
              <w:rPr>
                <w:rFonts w:ascii="Verdana" w:hAnsi="Verdana" w:cs="Times New Roman"/>
                <w:bCs/>
                <w:sz w:val="16"/>
                <w:szCs w:val="16"/>
                <w:lang w:val="en-US"/>
              </w:rPr>
              <w:t>riteria</w:t>
            </w:r>
            <w:r w:rsidRPr="00081E30">
              <w:rPr>
                <w:rFonts w:ascii="Verdana" w:hAnsi="Verdana" w:cs="Times New Roman"/>
                <w:bCs/>
                <w:sz w:val="16"/>
                <w:szCs w:val="16"/>
                <w:lang w:val="en-US"/>
              </w:rPr>
              <w:t xml:space="preserve"> for the award of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 xml:space="preserve"> that the Commission issues, in addition to including the provisions of articles 24 of the Law and 35 of this Regulation,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provide the following:</w:t>
            </w:r>
          </w:p>
        </w:tc>
      </w:tr>
      <w:tr w:rsidR="002C5E29" w:rsidRPr="000A5335" w14:paraId="33CD2AC2" w14:textId="0BF98579" w:rsidTr="00081E30">
        <w:tc>
          <w:tcPr>
            <w:tcW w:w="4788" w:type="dxa"/>
            <w:shd w:val="clear" w:color="auto" w:fill="auto"/>
          </w:tcPr>
          <w:p w14:paraId="248C420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821A11" w14:textId="61DC9E2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29856CDA" w14:textId="602EF755" w:rsidTr="00081E30">
        <w:tc>
          <w:tcPr>
            <w:tcW w:w="4788" w:type="dxa"/>
            <w:shd w:val="clear" w:color="auto" w:fill="auto"/>
          </w:tcPr>
          <w:p w14:paraId="60EE1AC2" w14:textId="350AEBE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El proceso de precalificación;</w:t>
            </w:r>
          </w:p>
        </w:tc>
        <w:tc>
          <w:tcPr>
            <w:tcW w:w="4788" w:type="dxa"/>
            <w:shd w:val="clear" w:color="auto" w:fill="auto"/>
          </w:tcPr>
          <w:p w14:paraId="04D36D25" w14:textId="3320BAA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prequalification process;</w:t>
            </w:r>
          </w:p>
        </w:tc>
      </w:tr>
      <w:tr w:rsidR="002C5E29" w:rsidRPr="003C1F6B" w14:paraId="6AF8A642" w14:textId="3E0EE22F" w:rsidTr="00081E30">
        <w:tc>
          <w:tcPr>
            <w:tcW w:w="4788" w:type="dxa"/>
            <w:shd w:val="clear" w:color="auto" w:fill="auto"/>
          </w:tcPr>
          <w:p w14:paraId="7EADC201" w14:textId="77777777" w:rsidR="002C5E29" w:rsidRPr="00081E30" w:rsidRDefault="002C5E29" w:rsidP="002C5E29">
            <w:pPr>
              <w:pStyle w:val="Texto"/>
              <w:spacing w:after="0" w:line="240" w:lineRule="auto"/>
              <w:ind w:firstLine="0"/>
              <w:rPr>
                <w:rFonts w:ascii="Verdana" w:hAnsi="Verdana"/>
                <w:bCs/>
                <w:sz w:val="16"/>
                <w:szCs w:val="16"/>
              </w:rPr>
            </w:pPr>
          </w:p>
        </w:tc>
        <w:tc>
          <w:tcPr>
            <w:tcW w:w="4788" w:type="dxa"/>
            <w:shd w:val="clear" w:color="auto" w:fill="auto"/>
          </w:tcPr>
          <w:p w14:paraId="5C07F253" w14:textId="6876DE2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AEFB5C" w14:textId="37E83E68" w:rsidTr="00081E30">
        <w:tc>
          <w:tcPr>
            <w:tcW w:w="4788" w:type="dxa"/>
            <w:shd w:val="clear" w:color="auto" w:fill="auto"/>
          </w:tcPr>
          <w:p w14:paraId="600F2298" w14:textId="1C78D55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emisión del fallo por parte de la Comisión;</w:t>
            </w:r>
          </w:p>
        </w:tc>
        <w:tc>
          <w:tcPr>
            <w:tcW w:w="4788" w:type="dxa"/>
            <w:shd w:val="clear" w:color="auto" w:fill="auto"/>
          </w:tcPr>
          <w:p w14:paraId="63AEF6F8" w14:textId="31E8067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issuance of the ruling by the Commission;</w:t>
            </w:r>
          </w:p>
        </w:tc>
      </w:tr>
      <w:tr w:rsidR="002C5E29" w:rsidRPr="000A5335" w14:paraId="59DC6636" w14:textId="4A45641B" w:rsidTr="00081E30">
        <w:tc>
          <w:tcPr>
            <w:tcW w:w="4788" w:type="dxa"/>
            <w:shd w:val="clear" w:color="auto" w:fill="auto"/>
          </w:tcPr>
          <w:p w14:paraId="36EDBF9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31E3BBE" w14:textId="1BEC2B0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115AC6B" w14:textId="19E6E35C" w:rsidTr="00081E30">
        <w:tc>
          <w:tcPr>
            <w:tcW w:w="4788" w:type="dxa"/>
            <w:shd w:val="clear" w:color="auto" w:fill="auto"/>
          </w:tcPr>
          <w:p w14:paraId="774A1BB3" w14:textId="1507FEB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Otros actos y etapas establecidos conforme a las disposiciones que para tal efecto emita la Comisión, y</w:t>
            </w:r>
          </w:p>
        </w:tc>
        <w:tc>
          <w:tcPr>
            <w:tcW w:w="4788" w:type="dxa"/>
            <w:shd w:val="clear" w:color="auto" w:fill="auto"/>
          </w:tcPr>
          <w:p w14:paraId="49ACF326" w14:textId="59FA305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Other acts and stages established in accordance with the provisions issued for this purpose by the Commission, and</w:t>
            </w:r>
          </w:p>
        </w:tc>
      </w:tr>
      <w:tr w:rsidR="002C5E29" w:rsidRPr="000A5335" w14:paraId="5F069D46" w14:textId="0AF8D186" w:rsidTr="00081E30">
        <w:tc>
          <w:tcPr>
            <w:tcW w:w="4788" w:type="dxa"/>
            <w:shd w:val="clear" w:color="auto" w:fill="auto"/>
          </w:tcPr>
          <w:p w14:paraId="6784719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68AB78F" w14:textId="664C011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B28A225" w14:textId="12B08D11" w:rsidTr="00081E30">
        <w:tc>
          <w:tcPr>
            <w:tcW w:w="4788" w:type="dxa"/>
            <w:shd w:val="clear" w:color="auto" w:fill="auto"/>
          </w:tcPr>
          <w:p w14:paraId="1BCC6418" w14:textId="013EDF1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 meta de contenido nacional establecida conforme a los párrafos primero y segundo del artículo 46 de la Ley, según corresponda.</w:t>
            </w:r>
          </w:p>
        </w:tc>
        <w:tc>
          <w:tcPr>
            <w:tcW w:w="4788" w:type="dxa"/>
            <w:shd w:val="clear" w:color="auto" w:fill="auto"/>
          </w:tcPr>
          <w:p w14:paraId="1A208DC9" w14:textId="403CFE4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national content goal established in accordance with the first and second paragraphs of article 46 of the Law, as appropriate.</w:t>
            </w:r>
          </w:p>
        </w:tc>
      </w:tr>
      <w:tr w:rsidR="002C5E29" w:rsidRPr="000A5335" w14:paraId="4973FF4A" w14:textId="6DEC0BDE" w:rsidTr="00081E30">
        <w:tc>
          <w:tcPr>
            <w:tcW w:w="4788" w:type="dxa"/>
            <w:shd w:val="clear" w:color="auto" w:fill="auto"/>
          </w:tcPr>
          <w:p w14:paraId="30E12C7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390382A" w14:textId="2B2787F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089151E" w14:textId="1EC7681F" w:rsidTr="00081E30">
        <w:tc>
          <w:tcPr>
            <w:tcW w:w="4788" w:type="dxa"/>
            <w:shd w:val="clear" w:color="auto" w:fill="auto"/>
          </w:tcPr>
          <w:p w14:paraId="021591D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Las bases de licitación podrán prever, entre otros supuestos y según lo determinen las dependencias competentes, la adjudicación de uno o varios Contratos para la Exploración y Extracción; abarcar una o varias Áreas Contractuales; la posibilidad de participar en la licitación por una o varias de dichas Áreas Contractuales, así como cualquier otro mecanismo o regla que se considere adecuada para la mejor realización de los procesos de licitación.</w:t>
            </w:r>
          </w:p>
        </w:tc>
        <w:tc>
          <w:tcPr>
            <w:tcW w:w="4788" w:type="dxa"/>
            <w:shd w:val="clear" w:color="auto" w:fill="auto"/>
          </w:tcPr>
          <w:p w14:paraId="62F21DF7" w14:textId="53716FF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bidding conditions may provide, among other cases and as determined by the competent agencies, the award of one or more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 xml:space="preserve">; cover one or several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reas; the possibility of participating in the tender for one or more of said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reas, as well as any other mechanism or rule deemed appropriate for the best performance of the bidding processes.</w:t>
            </w:r>
          </w:p>
        </w:tc>
      </w:tr>
      <w:tr w:rsidR="002C5E29" w:rsidRPr="000A5335" w14:paraId="5708E825" w14:textId="7D74691D" w:rsidTr="00081E30">
        <w:tc>
          <w:tcPr>
            <w:tcW w:w="4788" w:type="dxa"/>
            <w:shd w:val="clear" w:color="auto" w:fill="auto"/>
          </w:tcPr>
          <w:p w14:paraId="75FBC6D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5F17C50" w14:textId="008D17D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109C6CA" w14:textId="4C3AEFCA" w:rsidTr="00081E30">
        <w:tc>
          <w:tcPr>
            <w:tcW w:w="4788" w:type="dxa"/>
            <w:shd w:val="clear" w:color="auto" w:fill="auto"/>
          </w:tcPr>
          <w:p w14:paraId="0BBEC7F5"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39.-</w:t>
            </w:r>
            <w:r w:rsidRPr="00081E30">
              <w:rPr>
                <w:rFonts w:ascii="Verdana" w:hAnsi="Verdana"/>
                <w:bCs/>
                <w:sz w:val="16"/>
                <w:szCs w:val="16"/>
              </w:rPr>
              <w:t xml:space="preserve"> En los casos en que una empresa productiva del Estado haya solicitado la alianza o asociación, en los supuestos a que se refieren los artículos 29, fracción VII; 31, párrafo tercero, fracción III y 32 de este Reglamento, la Secretaría de Hacienda y Crédito Público y la Comisión, cumplirán con lo previsto en las fracciones I, II y III del artículo 36 del presente ordenamiento. La Secretaría de Hacienda y Crédito Público emitirá su opinión sobre las propuestas de los términos de asociación o alianza y del acuerdo de operación conjunta a que se refiere el artículo 29, fracción VII de este Reglamento en un plazo de diez días hábiles.</w:t>
            </w:r>
          </w:p>
        </w:tc>
        <w:tc>
          <w:tcPr>
            <w:tcW w:w="4788" w:type="dxa"/>
            <w:shd w:val="clear" w:color="auto" w:fill="auto"/>
          </w:tcPr>
          <w:p w14:paraId="0C0DF36D" w14:textId="1CEEFFB0"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39.-</w:t>
            </w:r>
            <w:r w:rsidRPr="00081E30">
              <w:rPr>
                <w:rFonts w:ascii="Verdana" w:hAnsi="Verdana" w:cs="Times New Roman"/>
                <w:bCs/>
                <w:sz w:val="16"/>
                <w:szCs w:val="16"/>
                <w:lang w:val="en-US"/>
              </w:rPr>
              <w:t xml:space="preserve"> In the cases in which a productive company of the State has requested the alliance or association, in the cases referred to in articles 29, section VII; 31, third paragraph, section III and 32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comply with the provisions of sections I, II and III of article 36 of this regulation.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will issue its opinion on the proposals of the terms of association or alliance and the joint operation agreement referred to in article 29, section VII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within a period of ten business days.</w:t>
            </w:r>
          </w:p>
        </w:tc>
      </w:tr>
      <w:tr w:rsidR="002C5E29" w:rsidRPr="000A5335" w14:paraId="50BE6631" w14:textId="0E404450" w:rsidTr="00081E30">
        <w:tc>
          <w:tcPr>
            <w:tcW w:w="4788" w:type="dxa"/>
            <w:shd w:val="clear" w:color="auto" w:fill="auto"/>
          </w:tcPr>
          <w:p w14:paraId="5F1C037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2896EE1" w14:textId="148F682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1484B5C" w14:textId="7D6F81F4" w:rsidTr="00081E30">
        <w:tc>
          <w:tcPr>
            <w:tcW w:w="4788" w:type="dxa"/>
            <w:shd w:val="clear" w:color="auto" w:fill="auto"/>
          </w:tcPr>
          <w:p w14:paraId="33633DD8"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Asimismo, la Secretaría podrá realizar adecuaciones a los términos de asociación y al acuerdo de operación conjunta.</w:t>
            </w:r>
          </w:p>
        </w:tc>
        <w:tc>
          <w:tcPr>
            <w:tcW w:w="4788" w:type="dxa"/>
            <w:shd w:val="clear" w:color="auto" w:fill="auto"/>
          </w:tcPr>
          <w:p w14:paraId="39D97423" w14:textId="3DFA254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addition,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may make adjustments to the terms of association and the joint operation agreement.</w:t>
            </w:r>
          </w:p>
        </w:tc>
      </w:tr>
      <w:tr w:rsidR="002C5E29" w:rsidRPr="000A5335" w14:paraId="35DA14F0" w14:textId="66493E5A" w:rsidTr="00081E30">
        <w:tc>
          <w:tcPr>
            <w:tcW w:w="4788" w:type="dxa"/>
            <w:shd w:val="clear" w:color="auto" w:fill="auto"/>
          </w:tcPr>
          <w:p w14:paraId="4D7FAB4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2E9E228" w14:textId="611255B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093D64A" w14:textId="0195DBBF" w:rsidTr="00081E30">
        <w:tc>
          <w:tcPr>
            <w:tcW w:w="4788" w:type="dxa"/>
            <w:shd w:val="clear" w:color="auto" w:fill="auto"/>
          </w:tcPr>
          <w:p w14:paraId="0A621A33" w14:textId="77777777" w:rsidR="002C5E29" w:rsidRPr="00081E30" w:rsidRDefault="002C5E29" w:rsidP="002C5E29">
            <w:pPr>
              <w:pStyle w:val="Texto"/>
              <w:spacing w:after="0" w:line="240" w:lineRule="auto"/>
              <w:ind w:firstLine="0"/>
              <w:rPr>
                <w:rFonts w:ascii="Verdana" w:hAnsi="Verdana"/>
                <w:bCs/>
                <w:sz w:val="16"/>
                <w:szCs w:val="16"/>
              </w:rPr>
            </w:pPr>
            <w:r w:rsidRPr="008772DD">
              <w:rPr>
                <w:rFonts w:ascii="Verdana" w:hAnsi="Verdana"/>
                <w:b/>
                <w:sz w:val="16"/>
                <w:szCs w:val="16"/>
              </w:rPr>
              <w:t>Artículo 40</w:t>
            </w:r>
            <w:r w:rsidRPr="00081E30">
              <w:rPr>
                <w:rFonts w:ascii="Verdana" w:hAnsi="Verdana"/>
                <w:bCs/>
                <w:sz w:val="16"/>
                <w:szCs w:val="16"/>
              </w:rPr>
              <w:t>.- Una vez cumplido con lo dispuesto en el artículo anterior, la Secretaría solicitará a la empresa productiva del Estado opinión favorable respecto de los elementos técnicos, financieros, de ejecución y de experiencia incluyendo en su caso la modificación a que se refiere el último párrafo del artículo 39 del presente Reglamento, que se deberán reunir para participar en la licitación, conforme al párrafo tercero del artículo 13 de la Ley.</w:t>
            </w:r>
          </w:p>
        </w:tc>
        <w:tc>
          <w:tcPr>
            <w:tcW w:w="4788" w:type="dxa"/>
            <w:shd w:val="clear" w:color="auto" w:fill="auto"/>
          </w:tcPr>
          <w:p w14:paraId="6D1BDF3D" w14:textId="4C13DEF1" w:rsidR="002C5E29" w:rsidRPr="00081E30" w:rsidRDefault="002C5E29" w:rsidP="002C5E29">
            <w:pPr>
              <w:pStyle w:val="Texto"/>
              <w:spacing w:after="0" w:line="240" w:lineRule="auto"/>
              <w:ind w:firstLine="0"/>
              <w:rPr>
                <w:rFonts w:ascii="Verdana" w:hAnsi="Verdana"/>
                <w:bCs/>
                <w:sz w:val="16"/>
                <w:szCs w:val="16"/>
                <w:lang w:val="en-US"/>
              </w:rPr>
            </w:pPr>
            <w:r w:rsidRPr="008772DD">
              <w:rPr>
                <w:rFonts w:ascii="Verdana" w:hAnsi="Verdana" w:cs="Times New Roman"/>
                <w:b/>
                <w:sz w:val="16"/>
                <w:szCs w:val="16"/>
                <w:lang w:val="en-US"/>
              </w:rPr>
              <w:t>Article 40.-</w:t>
            </w:r>
            <w:r w:rsidRPr="00081E30">
              <w:rPr>
                <w:rFonts w:ascii="Verdana" w:hAnsi="Verdana" w:cs="Times New Roman"/>
                <w:bCs/>
                <w:sz w:val="16"/>
                <w:szCs w:val="16"/>
                <w:lang w:val="en-US"/>
              </w:rPr>
              <w:t xml:space="preserve"> Once the provisions of the preceding article have been complied with,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request the productive company of the State with a favorable opinion regarding the technical, financial, execution and experience elements, including the modification referred to in the case. Last paragraph of article 39 of this Regulation, which must meet to participate in the tender, in accordance with the third paragraph of article 13 of the Law.</w:t>
            </w:r>
          </w:p>
        </w:tc>
      </w:tr>
      <w:tr w:rsidR="002C5E29" w:rsidRPr="000A5335" w14:paraId="36DBBAE1" w14:textId="6150117C" w:rsidTr="00081E30">
        <w:tc>
          <w:tcPr>
            <w:tcW w:w="4788" w:type="dxa"/>
            <w:shd w:val="clear" w:color="auto" w:fill="auto"/>
          </w:tcPr>
          <w:p w14:paraId="7290C4D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7BB9DD5" w14:textId="2CB4E02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37C4CAE" w14:textId="53A2E1C6" w:rsidTr="00081E30">
        <w:tc>
          <w:tcPr>
            <w:tcW w:w="4788" w:type="dxa"/>
            <w:shd w:val="clear" w:color="auto" w:fill="auto"/>
          </w:tcPr>
          <w:p w14:paraId="269D16B1"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Dicha empresa productiva del Estado contará con un plazo de diez días hábiles para emitir la opinión referida, mediante la cual no podrá:</w:t>
            </w:r>
          </w:p>
        </w:tc>
        <w:tc>
          <w:tcPr>
            <w:tcW w:w="4788" w:type="dxa"/>
            <w:shd w:val="clear" w:color="auto" w:fill="auto"/>
          </w:tcPr>
          <w:p w14:paraId="2ABC4A43" w14:textId="3207E5A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Said productive company of the State will have a period of ten working days to issue the aforementioned opinion, through which it may not:</w:t>
            </w:r>
          </w:p>
        </w:tc>
      </w:tr>
      <w:tr w:rsidR="002C5E29" w:rsidRPr="000A5335" w14:paraId="66C0AAB0" w14:textId="1479C44F" w:rsidTr="00081E30">
        <w:tc>
          <w:tcPr>
            <w:tcW w:w="4788" w:type="dxa"/>
            <w:shd w:val="clear" w:color="auto" w:fill="auto"/>
          </w:tcPr>
          <w:p w14:paraId="02969AE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E6CC79E" w14:textId="7401F4F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F202202" w14:textId="4E32C5B9" w:rsidTr="00081E30">
        <w:tc>
          <w:tcPr>
            <w:tcW w:w="4788" w:type="dxa"/>
            <w:shd w:val="clear" w:color="auto" w:fill="auto"/>
          </w:tcPr>
          <w:p w14:paraId="086112EF" w14:textId="48E8F2F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Proponer requisitos discriminatorios o que de cualquier otra forma pudieran tener el efecto de excluir injustificadamente a potenciales participantes y que no </w:t>
            </w:r>
            <w:r w:rsidRPr="00081E30">
              <w:rPr>
                <w:rFonts w:ascii="Verdana" w:hAnsi="Verdana"/>
                <w:bCs/>
                <w:sz w:val="16"/>
                <w:szCs w:val="16"/>
              </w:rPr>
              <w:lastRenderedPageBreak/>
              <w:t>estén estrictamente asociados a los elementos técnicos, financieros, de ejecución y de experiencia a que se refiere el artículo 23 de la Ley;</w:t>
            </w:r>
          </w:p>
        </w:tc>
        <w:tc>
          <w:tcPr>
            <w:tcW w:w="4788" w:type="dxa"/>
            <w:shd w:val="clear" w:color="auto" w:fill="auto"/>
          </w:tcPr>
          <w:p w14:paraId="0CD8356F" w14:textId="3DC5E11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lastRenderedPageBreak/>
              <w:t>I.</w:t>
            </w:r>
            <w:r w:rsidRPr="00081E30">
              <w:rPr>
                <w:rFonts w:ascii="Verdana" w:hAnsi="Verdana" w:cs="Times New Roman"/>
                <w:bCs/>
                <w:sz w:val="16"/>
                <w:szCs w:val="16"/>
                <w:lang w:val="en-US"/>
              </w:rPr>
              <w:t xml:space="preserve"> Propose discriminatory requirements or that in any other way could have the effect of unreasonably excluding potential participants and that are not strictly </w:t>
            </w:r>
            <w:r w:rsidRPr="00081E30">
              <w:rPr>
                <w:rFonts w:ascii="Verdana" w:hAnsi="Verdana" w:cs="Times New Roman"/>
                <w:bCs/>
                <w:sz w:val="16"/>
                <w:szCs w:val="16"/>
                <w:lang w:val="en-US"/>
              </w:rPr>
              <w:lastRenderedPageBreak/>
              <w:t>associated with the technical, financial, execution and experience elements referred to in article 23 of the Law;</w:t>
            </w:r>
          </w:p>
        </w:tc>
      </w:tr>
      <w:tr w:rsidR="002C5E29" w:rsidRPr="000A5335" w14:paraId="57586993" w14:textId="5D869407" w:rsidTr="00081E30">
        <w:tc>
          <w:tcPr>
            <w:tcW w:w="4788" w:type="dxa"/>
            <w:shd w:val="clear" w:color="auto" w:fill="auto"/>
          </w:tcPr>
          <w:p w14:paraId="5EC56FA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EE9ACEF" w14:textId="6D93ADA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9E389B" w14:textId="359BFEE1" w:rsidTr="00081E30">
        <w:tc>
          <w:tcPr>
            <w:tcW w:w="4788" w:type="dxa"/>
            <w:shd w:val="clear" w:color="auto" w:fill="auto"/>
          </w:tcPr>
          <w:p w14:paraId="75D7106E" w14:textId="3ECB029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Proponer restricciones que no sean proporcionales a las características y necesidades de cada proyecto, y</w:t>
            </w:r>
          </w:p>
        </w:tc>
        <w:tc>
          <w:tcPr>
            <w:tcW w:w="4788" w:type="dxa"/>
            <w:shd w:val="clear" w:color="auto" w:fill="auto"/>
          </w:tcPr>
          <w:p w14:paraId="3C8DBE1A" w14:textId="75F4765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Propose restrictions that are not proportional to the characteristics and needs of each project, and</w:t>
            </w:r>
          </w:p>
        </w:tc>
      </w:tr>
      <w:tr w:rsidR="002C5E29" w:rsidRPr="000A5335" w14:paraId="6DEB2620" w14:textId="24C2C669" w:rsidTr="00081E30">
        <w:tc>
          <w:tcPr>
            <w:tcW w:w="4788" w:type="dxa"/>
            <w:shd w:val="clear" w:color="auto" w:fill="auto"/>
          </w:tcPr>
          <w:p w14:paraId="0EEE7AD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F427140" w14:textId="5D35CA2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127029" w14:textId="12FF8C8E" w:rsidTr="00081E30">
        <w:tc>
          <w:tcPr>
            <w:tcW w:w="4788" w:type="dxa"/>
            <w:shd w:val="clear" w:color="auto" w:fill="auto"/>
          </w:tcPr>
          <w:p w14:paraId="71229747" w14:textId="1A10EFB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Proponer restricciones que no tengan claridad en su definición y alcance.</w:t>
            </w:r>
          </w:p>
        </w:tc>
        <w:tc>
          <w:tcPr>
            <w:tcW w:w="4788" w:type="dxa"/>
            <w:shd w:val="clear" w:color="auto" w:fill="auto"/>
          </w:tcPr>
          <w:p w14:paraId="70BFD111" w14:textId="4C08763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Propose restrictions that are not clear in their definition and scope.</w:t>
            </w:r>
          </w:p>
        </w:tc>
      </w:tr>
      <w:tr w:rsidR="002C5E29" w:rsidRPr="000A5335" w14:paraId="4BEA7F9C" w14:textId="09C45CD6" w:rsidTr="00081E30">
        <w:tc>
          <w:tcPr>
            <w:tcW w:w="4788" w:type="dxa"/>
            <w:shd w:val="clear" w:color="auto" w:fill="auto"/>
          </w:tcPr>
          <w:p w14:paraId="7965A7F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D2A2155" w14:textId="37893A7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CC5306" w14:textId="644D9E6E" w:rsidTr="00081E30">
        <w:tc>
          <w:tcPr>
            <w:tcW w:w="4788" w:type="dxa"/>
            <w:shd w:val="clear" w:color="auto" w:fill="auto"/>
          </w:tcPr>
          <w:p w14:paraId="7E2E5052"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Concluido con lo anterior, se estará a lo previsto en las fracciones IV, V y VII del artículo 36 del presente Reglamento.</w:t>
            </w:r>
          </w:p>
        </w:tc>
        <w:tc>
          <w:tcPr>
            <w:tcW w:w="4788" w:type="dxa"/>
            <w:shd w:val="clear" w:color="auto" w:fill="auto"/>
          </w:tcPr>
          <w:p w14:paraId="10C3D906" w14:textId="2694A25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Concluded with the foregoing, the provisions of sections IV, V and VII of Article 36 of this Regulation will be followed.</w:t>
            </w:r>
          </w:p>
        </w:tc>
      </w:tr>
      <w:tr w:rsidR="002C5E29" w:rsidRPr="000A5335" w14:paraId="78AB0336" w14:textId="446986B5" w:rsidTr="00081E30">
        <w:tc>
          <w:tcPr>
            <w:tcW w:w="4788" w:type="dxa"/>
            <w:shd w:val="clear" w:color="auto" w:fill="auto"/>
          </w:tcPr>
          <w:p w14:paraId="2699E32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F61AB31" w14:textId="2F25163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D495C3A" w14:textId="00F13DB0" w:rsidTr="00081E30">
        <w:tc>
          <w:tcPr>
            <w:tcW w:w="4788" w:type="dxa"/>
            <w:shd w:val="clear" w:color="auto" w:fill="auto"/>
          </w:tcPr>
          <w:p w14:paraId="53A71E7C"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41.-</w:t>
            </w:r>
            <w:r w:rsidRPr="00081E30">
              <w:rPr>
                <w:rFonts w:ascii="Verdana" w:hAnsi="Verdana"/>
                <w:bCs/>
                <w:sz w:val="16"/>
                <w:szCs w:val="16"/>
              </w:rPr>
              <w:t xml:space="preserve"> Durante el proceso de licitación, la Comisión solicitará a la empresa productiva del Estado de que se trate la opinión a que se refiere el artículo 13, párrafo quinto de la Ley. Dicha empresa productiva del Estado contará con un plazo de diez días hábiles para emitir la opinión referida.</w:t>
            </w:r>
          </w:p>
        </w:tc>
        <w:tc>
          <w:tcPr>
            <w:tcW w:w="4788" w:type="dxa"/>
            <w:shd w:val="clear" w:color="auto" w:fill="auto"/>
          </w:tcPr>
          <w:p w14:paraId="41D835F8" w14:textId="46C90649"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41</w:t>
            </w:r>
            <w:r w:rsidRPr="00081E30">
              <w:rPr>
                <w:rFonts w:ascii="Verdana" w:hAnsi="Verdana" w:cs="Times New Roman"/>
                <w:bCs/>
                <w:sz w:val="16"/>
                <w:szCs w:val="16"/>
                <w:lang w:val="en-US"/>
              </w:rPr>
              <w:t xml:space="preserve">.- During the bidding process,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request the productive company of the State in question the opinion referred to in article 13, fifth paragraph of the Law. Said productive State enterprise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a term of ten business days to issue the </w:t>
            </w:r>
            <w:r>
              <w:rPr>
                <w:rFonts w:ascii="Verdana" w:hAnsi="Verdana" w:cs="Times New Roman"/>
                <w:bCs/>
                <w:sz w:val="16"/>
                <w:szCs w:val="16"/>
                <w:lang w:val="en-US"/>
              </w:rPr>
              <w:t>referred to</w:t>
            </w:r>
            <w:r w:rsidRPr="00081E30">
              <w:rPr>
                <w:rFonts w:ascii="Verdana" w:hAnsi="Verdana" w:cs="Times New Roman"/>
                <w:bCs/>
                <w:sz w:val="16"/>
                <w:szCs w:val="16"/>
                <w:lang w:val="en-US"/>
              </w:rPr>
              <w:t xml:space="preserve"> opinion.</w:t>
            </w:r>
          </w:p>
        </w:tc>
      </w:tr>
      <w:tr w:rsidR="002C5E29" w:rsidRPr="000A5335" w14:paraId="23655364" w14:textId="1E9B4B4E" w:rsidTr="00081E30">
        <w:tc>
          <w:tcPr>
            <w:tcW w:w="4788" w:type="dxa"/>
            <w:shd w:val="clear" w:color="auto" w:fill="auto"/>
          </w:tcPr>
          <w:p w14:paraId="12640D7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6A4B6F8" w14:textId="2903068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r>
              <w:rPr>
                <w:rFonts w:ascii="Verdana" w:hAnsi="Verdana" w:cs="Times New Roman"/>
                <w:bCs/>
                <w:sz w:val="16"/>
                <w:szCs w:val="16"/>
                <w:lang w:val="en-US"/>
              </w:rPr>
              <w:t xml:space="preserve"> </w:t>
            </w:r>
          </w:p>
        </w:tc>
      </w:tr>
      <w:tr w:rsidR="002C5E29" w:rsidRPr="000A5335" w14:paraId="19CC6330" w14:textId="380C1472" w:rsidTr="00081E30">
        <w:tc>
          <w:tcPr>
            <w:tcW w:w="4788" w:type="dxa"/>
            <w:shd w:val="clear" w:color="auto" w:fill="auto"/>
          </w:tcPr>
          <w:p w14:paraId="013CEFE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Una vez suscrito el Contrato para la Exploración y Extracción, cualquier modificación a los términos de asociación o alianza y al acuerdo de operación conjunta deberá ser autorizada por la Secretaría, previa opinión de la Secretaría de Hacienda y Crédito Público.</w:t>
            </w:r>
          </w:p>
        </w:tc>
        <w:tc>
          <w:tcPr>
            <w:tcW w:w="4788" w:type="dxa"/>
            <w:shd w:val="clear" w:color="auto" w:fill="auto"/>
          </w:tcPr>
          <w:p w14:paraId="427936C6" w14:textId="3D25A67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Once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has been signed, any modification to the terms of association or alliance and the joint operation agreement must be authorized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with the prior opinion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w:t>
            </w:r>
          </w:p>
        </w:tc>
      </w:tr>
      <w:tr w:rsidR="002C5E29" w:rsidRPr="000A5335" w14:paraId="68D55D0D" w14:textId="3F373035" w:rsidTr="00081E30">
        <w:tc>
          <w:tcPr>
            <w:tcW w:w="4788" w:type="dxa"/>
            <w:shd w:val="clear" w:color="auto" w:fill="auto"/>
          </w:tcPr>
          <w:p w14:paraId="5105DBF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34138C5" w14:textId="2B50C31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B7D9586" w14:textId="382BBD67" w:rsidTr="00081E30">
        <w:tc>
          <w:tcPr>
            <w:tcW w:w="4788" w:type="dxa"/>
            <w:shd w:val="clear" w:color="auto" w:fill="auto"/>
          </w:tcPr>
          <w:p w14:paraId="5C5F9FAD"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42.-</w:t>
            </w:r>
            <w:r w:rsidRPr="00081E30">
              <w:rPr>
                <w:rFonts w:ascii="Verdana" w:hAnsi="Verdana"/>
                <w:bCs/>
                <w:sz w:val="16"/>
                <w:szCs w:val="16"/>
              </w:rPr>
              <w:t xml:space="preserve"> Durante los procedimientos de licitación, la Comisión podrá solicitar el apoyo de la Secretaría y de la Secretaría de Hacienda y Crédito Público, en el ámbito de sus atribuciones cuando existan aclaraciones a las bases de los procedimientos de licitación y adjudicación de Contratos para la Exploración y Extracción, y en su caso, requerir las modificaciones correspondientes.</w:t>
            </w:r>
          </w:p>
        </w:tc>
        <w:tc>
          <w:tcPr>
            <w:tcW w:w="4788" w:type="dxa"/>
            <w:shd w:val="clear" w:color="auto" w:fill="auto"/>
          </w:tcPr>
          <w:p w14:paraId="010DD81C" w14:textId="3F4E36F8"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42.-</w:t>
            </w:r>
            <w:r w:rsidRPr="00081E30">
              <w:rPr>
                <w:rFonts w:ascii="Verdana" w:hAnsi="Verdana" w:cs="Times New Roman"/>
                <w:bCs/>
                <w:sz w:val="16"/>
                <w:szCs w:val="16"/>
                <w:lang w:val="en-US"/>
              </w:rPr>
              <w:t xml:space="preserve"> During the bidding procedures, the Commission may request the support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within the scope of its </w:t>
            </w:r>
            <w:r>
              <w:rPr>
                <w:rFonts w:ascii="Verdana" w:hAnsi="Verdana" w:cs="Times New Roman"/>
                <w:bCs/>
                <w:sz w:val="16"/>
                <w:szCs w:val="16"/>
                <w:lang w:val="en-US"/>
              </w:rPr>
              <w:t>powers</w:t>
            </w:r>
            <w:r w:rsidRPr="00081E30">
              <w:rPr>
                <w:rFonts w:ascii="Verdana" w:hAnsi="Verdana" w:cs="Times New Roman"/>
                <w:bCs/>
                <w:sz w:val="16"/>
                <w:szCs w:val="16"/>
                <w:lang w:val="en-US"/>
              </w:rPr>
              <w:t xml:space="preserve"> when there are clarifications to the </w:t>
            </w:r>
            <w:r>
              <w:rPr>
                <w:rFonts w:ascii="Verdana" w:hAnsi="Verdana" w:cs="Times New Roman"/>
                <w:bCs/>
                <w:sz w:val="16"/>
                <w:szCs w:val="16"/>
                <w:lang w:val="en-US"/>
              </w:rPr>
              <w:t>criteria</w:t>
            </w:r>
            <w:r w:rsidRPr="00081E30">
              <w:rPr>
                <w:rFonts w:ascii="Verdana" w:hAnsi="Verdana" w:cs="Times New Roman"/>
                <w:bCs/>
                <w:sz w:val="16"/>
                <w:szCs w:val="16"/>
                <w:lang w:val="en-US"/>
              </w:rPr>
              <w:t xml:space="preserve"> of the bidding procedures and award of </w:t>
            </w:r>
            <w:r>
              <w:rPr>
                <w:rFonts w:ascii="Verdana" w:hAnsi="Verdana" w:cs="Times New Roman"/>
                <w:bCs/>
                <w:sz w:val="16"/>
                <w:szCs w:val="16"/>
                <w:lang w:val="en-US"/>
              </w:rPr>
              <w:t>contracts for exploration and extraction</w:t>
            </w:r>
            <w:r w:rsidRPr="00081E30">
              <w:rPr>
                <w:rFonts w:ascii="Verdana" w:hAnsi="Verdana" w:cs="Times New Roman"/>
                <w:bCs/>
                <w:sz w:val="16"/>
                <w:szCs w:val="16"/>
                <w:lang w:val="en-US"/>
              </w:rPr>
              <w:t>, and where appropriate, require the corresponding modifications.</w:t>
            </w:r>
          </w:p>
        </w:tc>
      </w:tr>
      <w:tr w:rsidR="002C5E29" w:rsidRPr="000A5335" w14:paraId="13D1F2CA" w14:textId="0B286CC9" w:rsidTr="00081E30">
        <w:tc>
          <w:tcPr>
            <w:tcW w:w="4788" w:type="dxa"/>
            <w:shd w:val="clear" w:color="auto" w:fill="auto"/>
          </w:tcPr>
          <w:p w14:paraId="7BDE222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8E220DB" w14:textId="0DE4094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97F538E" w14:textId="06133BA1" w:rsidTr="00081E30">
        <w:tc>
          <w:tcPr>
            <w:tcW w:w="4788" w:type="dxa"/>
            <w:shd w:val="clear" w:color="auto" w:fill="auto"/>
          </w:tcPr>
          <w:p w14:paraId="785BEC26"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43.</w:t>
            </w:r>
            <w:r w:rsidRPr="00081E30">
              <w:rPr>
                <w:rFonts w:ascii="Verdana" w:hAnsi="Verdana"/>
                <w:bCs/>
                <w:sz w:val="16"/>
                <w:szCs w:val="16"/>
              </w:rPr>
              <w:t xml:space="preserve"> Para verificar la autenticidad y veracidad de la información proporcionada por los interesados o licitantes, la Comisión podrá establecer mecanismos de coordinación interinstitucional de carácter nacional o internacional.</w:t>
            </w:r>
          </w:p>
        </w:tc>
        <w:tc>
          <w:tcPr>
            <w:tcW w:w="4788" w:type="dxa"/>
            <w:shd w:val="clear" w:color="auto" w:fill="auto"/>
          </w:tcPr>
          <w:p w14:paraId="2AE344F4" w14:textId="0045A7D8"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43.</w:t>
            </w:r>
            <w:r w:rsidRPr="00081E30">
              <w:rPr>
                <w:rFonts w:ascii="Verdana" w:hAnsi="Verdana" w:cs="Times New Roman"/>
                <w:bCs/>
                <w:sz w:val="16"/>
                <w:szCs w:val="16"/>
                <w:lang w:val="en-US"/>
              </w:rPr>
              <w:t xml:space="preserve"> In order to verify the authenticity and veracity of the information provided by the interested parties or bidders, the Commission may establish national or international inter-institutional coordination mechanisms.</w:t>
            </w:r>
          </w:p>
        </w:tc>
      </w:tr>
      <w:tr w:rsidR="002C5E29" w:rsidRPr="000A5335" w14:paraId="5D8522DB" w14:textId="6BD8FBF9" w:rsidTr="00081E30">
        <w:tc>
          <w:tcPr>
            <w:tcW w:w="4788" w:type="dxa"/>
            <w:shd w:val="clear" w:color="auto" w:fill="auto"/>
          </w:tcPr>
          <w:p w14:paraId="24B5623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4771E8" w14:textId="0B44A6E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8F5FD5F" w14:textId="15E9CFD7" w:rsidTr="00081E30">
        <w:tc>
          <w:tcPr>
            <w:tcW w:w="4788" w:type="dxa"/>
            <w:shd w:val="clear" w:color="auto" w:fill="auto"/>
          </w:tcPr>
          <w:p w14:paraId="57970DB7"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44.-</w:t>
            </w:r>
            <w:r w:rsidRPr="00081E30">
              <w:rPr>
                <w:rFonts w:ascii="Verdana" w:hAnsi="Verdana"/>
                <w:bCs/>
                <w:sz w:val="16"/>
                <w:szCs w:val="16"/>
              </w:rPr>
              <w:t xml:space="preserve"> La Comisión emitirá disposiciones de carácter general para habilitar los medios electrónicos a que se refiere el párrafo quinto del artículo 23 de la Ley.</w:t>
            </w:r>
          </w:p>
        </w:tc>
        <w:tc>
          <w:tcPr>
            <w:tcW w:w="4788" w:type="dxa"/>
            <w:shd w:val="clear" w:color="auto" w:fill="auto"/>
          </w:tcPr>
          <w:p w14:paraId="45D716A4" w14:textId="5EA7B7DD"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44.-</w:t>
            </w:r>
            <w:r w:rsidRPr="00081E30">
              <w:rPr>
                <w:rFonts w:ascii="Verdana" w:hAnsi="Verdana" w:cs="Times New Roman"/>
                <w:bCs/>
                <w:sz w:val="16"/>
                <w:szCs w:val="16"/>
                <w:lang w:val="en-US"/>
              </w:rPr>
              <w:t xml:space="preserve">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issue general provisions to enable the electronic means referred to in the fifth paragraph of article 23 of the Law.</w:t>
            </w:r>
          </w:p>
        </w:tc>
      </w:tr>
      <w:tr w:rsidR="002C5E29" w:rsidRPr="000A5335" w14:paraId="3180CD1A" w14:textId="678C5982" w:rsidTr="00081E30">
        <w:tc>
          <w:tcPr>
            <w:tcW w:w="4788" w:type="dxa"/>
            <w:shd w:val="clear" w:color="auto" w:fill="auto"/>
          </w:tcPr>
          <w:p w14:paraId="700601D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E52B875" w14:textId="7BFC036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D0BEEB" w14:textId="167B0705" w:rsidTr="00081E30">
        <w:tc>
          <w:tcPr>
            <w:tcW w:w="4788" w:type="dxa"/>
            <w:shd w:val="clear" w:color="auto" w:fill="auto"/>
          </w:tcPr>
          <w:p w14:paraId="35492301"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45.-</w:t>
            </w:r>
            <w:r w:rsidRPr="00081E30">
              <w:rPr>
                <w:rFonts w:ascii="Verdana" w:hAnsi="Verdana"/>
                <w:bCs/>
                <w:sz w:val="16"/>
                <w:szCs w:val="16"/>
              </w:rPr>
              <w:t xml:space="preserve"> La Secretaría, la Secretaría de Hacienda y Crédito Público y la Comisión deberán adoptar los mecanismos y procedimientos de seguridad necesarios para el resguardo de la información relacionada con los Términos y Condiciones Técnicos, las condiciones económicas relativas a los términos fiscales y los Lineamientos Técnicos que deberán observarse en los procesos de licitación. Los servidores públicos que tengan acceso a la información a que se refiere este artículo deberán ser autorizados por escrito.</w:t>
            </w:r>
          </w:p>
        </w:tc>
        <w:tc>
          <w:tcPr>
            <w:tcW w:w="4788" w:type="dxa"/>
            <w:shd w:val="clear" w:color="auto" w:fill="auto"/>
          </w:tcPr>
          <w:p w14:paraId="08C90C3C" w14:textId="392564B0"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adopt the necessary security mechanisms and procedures for the protection of information related to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t</w:t>
            </w:r>
            <w:r w:rsidRPr="00081E30">
              <w:rPr>
                <w:rFonts w:ascii="Verdana" w:hAnsi="Verdana" w:cs="Times New Roman"/>
                <w:bCs/>
                <w:sz w:val="16"/>
                <w:szCs w:val="16"/>
                <w:lang w:val="en-US"/>
              </w:rPr>
              <w:t xml:space="preserve">erms and </w:t>
            </w:r>
            <w:r>
              <w:rPr>
                <w:rFonts w:ascii="Verdana" w:hAnsi="Verdana" w:cs="Times New Roman"/>
                <w:bCs/>
                <w:sz w:val="16"/>
                <w:szCs w:val="16"/>
                <w:lang w:val="en-US"/>
              </w:rPr>
              <w:t>c</w:t>
            </w:r>
            <w:r w:rsidRPr="00081E30">
              <w:rPr>
                <w:rFonts w:ascii="Verdana" w:hAnsi="Verdana" w:cs="Times New Roman"/>
                <w:bCs/>
                <w:sz w:val="16"/>
                <w:szCs w:val="16"/>
                <w:lang w:val="en-US"/>
              </w:rPr>
              <w:t xml:space="preserve">onditions, the economic conditions relating to the fiscal terms and the </w:t>
            </w:r>
            <w:r>
              <w:rPr>
                <w:rFonts w:ascii="Verdana" w:hAnsi="Verdana" w:cs="Times New Roman"/>
                <w:bCs/>
                <w:sz w:val="16"/>
                <w:szCs w:val="16"/>
                <w:lang w:val="en-US"/>
              </w:rPr>
              <w:t>t</w:t>
            </w:r>
            <w:r w:rsidRPr="00081E30">
              <w:rPr>
                <w:rFonts w:ascii="Verdana" w:hAnsi="Verdana" w:cs="Times New Roman"/>
                <w:bCs/>
                <w:sz w:val="16"/>
                <w:szCs w:val="16"/>
                <w:lang w:val="en-US"/>
              </w:rPr>
              <w:t xml:space="preserve">echnical </w:t>
            </w:r>
            <w:r>
              <w:rPr>
                <w:rFonts w:ascii="Verdana" w:hAnsi="Verdana" w:cs="Times New Roman"/>
                <w:bCs/>
                <w:sz w:val="16"/>
                <w:szCs w:val="16"/>
                <w:lang w:val="en-US"/>
              </w:rPr>
              <w:t>g</w:t>
            </w:r>
            <w:r w:rsidRPr="00081E30">
              <w:rPr>
                <w:rFonts w:ascii="Verdana" w:hAnsi="Verdana" w:cs="Times New Roman"/>
                <w:bCs/>
                <w:sz w:val="16"/>
                <w:szCs w:val="16"/>
                <w:lang w:val="en-US"/>
              </w:rPr>
              <w:t>uidelines to be observed in the bidding processes. Public servants who have access to the information referred to in this article must be authorized in writing.</w:t>
            </w:r>
          </w:p>
        </w:tc>
      </w:tr>
      <w:tr w:rsidR="002C5E29" w:rsidRPr="000A5335" w14:paraId="3C166371" w14:textId="23E6FCDE" w:rsidTr="00081E30">
        <w:tc>
          <w:tcPr>
            <w:tcW w:w="4788" w:type="dxa"/>
            <w:shd w:val="clear" w:color="auto" w:fill="auto"/>
          </w:tcPr>
          <w:p w14:paraId="50392A3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7F846C" w14:textId="4D0621C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70A67328" w14:textId="0A0810C8" w:rsidTr="00081E30">
        <w:tc>
          <w:tcPr>
            <w:tcW w:w="4788" w:type="dxa"/>
            <w:shd w:val="clear" w:color="auto" w:fill="auto"/>
          </w:tcPr>
          <w:p w14:paraId="41F1B480" w14:textId="77777777" w:rsidR="002C5E29" w:rsidRPr="00CF42BD" w:rsidRDefault="002C5E29" w:rsidP="002C5E29">
            <w:pPr>
              <w:pStyle w:val="ANOTACION"/>
              <w:spacing w:before="0" w:after="0" w:line="240" w:lineRule="auto"/>
              <w:rPr>
                <w:rFonts w:ascii="Verdana" w:hAnsi="Verdana" w:cs="Arial"/>
                <w:sz w:val="16"/>
                <w:szCs w:val="16"/>
              </w:rPr>
            </w:pPr>
            <w:r w:rsidRPr="00CF42BD">
              <w:rPr>
                <w:rFonts w:ascii="Verdana" w:hAnsi="Verdana" w:cs="Arial"/>
                <w:sz w:val="16"/>
                <w:szCs w:val="16"/>
              </w:rPr>
              <w:t>Sección Cuarta</w:t>
            </w:r>
          </w:p>
        </w:tc>
        <w:tc>
          <w:tcPr>
            <w:tcW w:w="4788" w:type="dxa"/>
            <w:shd w:val="clear" w:color="auto" w:fill="auto"/>
          </w:tcPr>
          <w:p w14:paraId="727891B5" w14:textId="7F49B77C" w:rsidR="002C5E29" w:rsidRPr="00CF42BD" w:rsidRDefault="002C5E29" w:rsidP="002C5E29">
            <w:pPr>
              <w:pStyle w:val="ANOTACION"/>
              <w:spacing w:before="0" w:after="0" w:line="240" w:lineRule="auto"/>
              <w:rPr>
                <w:rFonts w:ascii="Verdana" w:hAnsi="Verdana" w:cs="Arial"/>
                <w:sz w:val="16"/>
                <w:szCs w:val="16"/>
                <w:lang w:val="en-US"/>
              </w:rPr>
            </w:pPr>
            <w:r w:rsidRPr="00CF42BD">
              <w:rPr>
                <w:rFonts w:ascii="Verdana" w:hAnsi="Verdana"/>
                <w:sz w:val="16"/>
                <w:szCs w:val="16"/>
                <w:lang w:val="en-US"/>
              </w:rPr>
              <w:t>Fourth Section</w:t>
            </w:r>
          </w:p>
        </w:tc>
      </w:tr>
      <w:tr w:rsidR="002C5E29" w:rsidRPr="000A5335" w14:paraId="616C7C4E" w14:textId="167AD0C8" w:rsidTr="00081E30">
        <w:tc>
          <w:tcPr>
            <w:tcW w:w="4788" w:type="dxa"/>
            <w:shd w:val="clear" w:color="auto" w:fill="auto"/>
          </w:tcPr>
          <w:p w14:paraId="3C9CAB82" w14:textId="77777777" w:rsidR="002C5E29" w:rsidRPr="00CF42BD" w:rsidRDefault="002C5E29" w:rsidP="002C5E29">
            <w:pPr>
              <w:pStyle w:val="ANOTACION"/>
              <w:spacing w:before="0" w:after="0" w:line="240" w:lineRule="auto"/>
              <w:rPr>
                <w:rFonts w:ascii="Verdana" w:hAnsi="Verdana" w:cs="Arial"/>
                <w:sz w:val="16"/>
                <w:szCs w:val="16"/>
              </w:rPr>
            </w:pPr>
            <w:r w:rsidRPr="00CF42BD">
              <w:rPr>
                <w:rFonts w:ascii="Verdana" w:hAnsi="Verdana" w:cs="Arial"/>
                <w:sz w:val="16"/>
                <w:szCs w:val="16"/>
              </w:rPr>
              <w:t>De la Rescisión Administrativa de los Contratos para la Exploración y Extracción</w:t>
            </w:r>
          </w:p>
        </w:tc>
        <w:tc>
          <w:tcPr>
            <w:tcW w:w="4788" w:type="dxa"/>
            <w:shd w:val="clear" w:color="auto" w:fill="auto"/>
          </w:tcPr>
          <w:p w14:paraId="00A83E3C" w14:textId="75CFF10E" w:rsidR="002C5E29" w:rsidRPr="00CF42BD" w:rsidRDefault="002C5E29" w:rsidP="002C5E29">
            <w:pPr>
              <w:pStyle w:val="ANOTACION"/>
              <w:spacing w:before="0" w:after="0" w:line="240" w:lineRule="auto"/>
              <w:rPr>
                <w:rFonts w:ascii="Verdana" w:hAnsi="Verdana" w:cs="Arial"/>
                <w:sz w:val="16"/>
                <w:szCs w:val="16"/>
                <w:lang w:val="en-US"/>
              </w:rPr>
            </w:pPr>
            <w:r w:rsidRPr="00CF42BD">
              <w:rPr>
                <w:rFonts w:ascii="Verdana" w:hAnsi="Verdana"/>
                <w:sz w:val="16"/>
                <w:szCs w:val="16"/>
                <w:lang w:val="en-US"/>
              </w:rPr>
              <w:t xml:space="preserve">Administrative </w:t>
            </w:r>
            <w:r>
              <w:rPr>
                <w:rFonts w:ascii="Verdana" w:hAnsi="Verdana"/>
                <w:sz w:val="16"/>
                <w:szCs w:val="16"/>
                <w:lang w:val="en-US"/>
              </w:rPr>
              <w:t>Rescission</w:t>
            </w:r>
            <w:r w:rsidRPr="00CF42BD">
              <w:rPr>
                <w:rFonts w:ascii="Verdana" w:hAnsi="Verdana"/>
                <w:sz w:val="16"/>
                <w:szCs w:val="16"/>
                <w:lang w:val="en-US"/>
              </w:rPr>
              <w:t xml:space="preserve"> of </w:t>
            </w:r>
            <w:r>
              <w:rPr>
                <w:rFonts w:ascii="Verdana" w:hAnsi="Verdana"/>
                <w:sz w:val="16"/>
                <w:szCs w:val="16"/>
                <w:lang w:val="en-US"/>
              </w:rPr>
              <w:t>C</w:t>
            </w:r>
            <w:r w:rsidRPr="00CF42BD">
              <w:rPr>
                <w:rFonts w:ascii="Verdana" w:hAnsi="Verdana"/>
                <w:sz w:val="16"/>
                <w:szCs w:val="16"/>
                <w:lang w:val="en-US"/>
              </w:rPr>
              <w:t xml:space="preserve">ontracts for </w:t>
            </w:r>
            <w:r>
              <w:rPr>
                <w:rFonts w:ascii="Verdana" w:hAnsi="Verdana"/>
                <w:sz w:val="16"/>
                <w:szCs w:val="16"/>
                <w:lang w:val="en-US"/>
              </w:rPr>
              <w:t>E</w:t>
            </w:r>
            <w:r w:rsidRPr="00CF42BD">
              <w:rPr>
                <w:rFonts w:ascii="Verdana" w:hAnsi="Verdana"/>
                <w:sz w:val="16"/>
                <w:szCs w:val="16"/>
                <w:lang w:val="en-US"/>
              </w:rPr>
              <w:t xml:space="preserve">xploration and </w:t>
            </w:r>
            <w:r>
              <w:rPr>
                <w:rFonts w:ascii="Verdana" w:hAnsi="Verdana"/>
                <w:sz w:val="16"/>
                <w:szCs w:val="16"/>
                <w:lang w:val="en-US"/>
              </w:rPr>
              <w:t>E</w:t>
            </w:r>
            <w:r w:rsidRPr="00CF42BD">
              <w:rPr>
                <w:rFonts w:ascii="Verdana" w:hAnsi="Verdana"/>
                <w:sz w:val="16"/>
                <w:szCs w:val="16"/>
                <w:lang w:val="en-US"/>
              </w:rPr>
              <w:t>xtraction</w:t>
            </w:r>
          </w:p>
        </w:tc>
      </w:tr>
      <w:tr w:rsidR="002C5E29" w:rsidRPr="000A5335" w14:paraId="359CBB32" w14:textId="51683267" w:rsidTr="00081E30">
        <w:tc>
          <w:tcPr>
            <w:tcW w:w="4788" w:type="dxa"/>
            <w:shd w:val="clear" w:color="auto" w:fill="auto"/>
          </w:tcPr>
          <w:p w14:paraId="19E9B3A0"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25627283" w14:textId="0BA37942"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84E722B" w14:textId="4CCFC968" w:rsidTr="00081E30">
        <w:tc>
          <w:tcPr>
            <w:tcW w:w="4788" w:type="dxa"/>
            <w:shd w:val="clear" w:color="auto" w:fill="auto"/>
          </w:tcPr>
          <w:p w14:paraId="58C63E3C"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46.-</w:t>
            </w:r>
            <w:r w:rsidRPr="00081E30">
              <w:rPr>
                <w:rFonts w:ascii="Verdana" w:hAnsi="Verdana"/>
                <w:bCs/>
                <w:sz w:val="16"/>
                <w:szCs w:val="16"/>
              </w:rPr>
              <w:t xml:space="preserve"> La declaración de rescisión administrativa a que se refiere el artículo 20 de la Ley deberá ser aprobada por el órgano de gobierno de la Comisión, siempre y cuando no se haya solventado la causal de </w:t>
            </w:r>
            <w:r w:rsidRPr="00081E30">
              <w:rPr>
                <w:rFonts w:ascii="Verdana" w:hAnsi="Verdana"/>
                <w:bCs/>
                <w:sz w:val="16"/>
                <w:szCs w:val="16"/>
              </w:rPr>
              <w:lastRenderedPageBreak/>
              <w:t>rescisión administrativa, conforme al párrafo quinto de dicho artículo.</w:t>
            </w:r>
          </w:p>
        </w:tc>
        <w:tc>
          <w:tcPr>
            <w:tcW w:w="4788" w:type="dxa"/>
            <w:shd w:val="clear" w:color="auto" w:fill="auto"/>
          </w:tcPr>
          <w:p w14:paraId="5A6E6F00" w14:textId="196F9B37"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lastRenderedPageBreak/>
              <w:t>Article 46.-</w:t>
            </w:r>
            <w:r w:rsidRPr="00081E30">
              <w:rPr>
                <w:rFonts w:ascii="Verdana" w:hAnsi="Verdana" w:cs="Times New Roman"/>
                <w:bCs/>
                <w:sz w:val="16"/>
                <w:szCs w:val="16"/>
                <w:lang w:val="en-US"/>
              </w:rPr>
              <w:t xml:space="preserve"> The declaration of administrative rescission referred to in article 20 of the Law must be approved by the governing body of the Commission, provided that the grounds for administrative rescission </w:t>
            </w:r>
            <w:r w:rsidRPr="00081E30">
              <w:rPr>
                <w:rFonts w:ascii="Verdana" w:hAnsi="Verdana" w:cs="Times New Roman"/>
                <w:bCs/>
                <w:sz w:val="16"/>
                <w:szCs w:val="16"/>
                <w:lang w:val="en-US"/>
              </w:rPr>
              <w:lastRenderedPageBreak/>
              <w:t>have not been resolved, in accordance with the fifth paragraph of said Article.</w:t>
            </w:r>
          </w:p>
        </w:tc>
      </w:tr>
      <w:tr w:rsidR="002C5E29" w:rsidRPr="000A5335" w14:paraId="0977BEE6" w14:textId="59A53322" w:rsidTr="00081E30">
        <w:tc>
          <w:tcPr>
            <w:tcW w:w="4788" w:type="dxa"/>
            <w:shd w:val="clear" w:color="auto" w:fill="auto"/>
          </w:tcPr>
          <w:p w14:paraId="047EA47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1A77AEA" w14:textId="69A2565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601D8E1" w14:textId="01233B81" w:rsidTr="00081E30">
        <w:tc>
          <w:tcPr>
            <w:tcW w:w="4788" w:type="dxa"/>
            <w:shd w:val="clear" w:color="auto" w:fill="auto"/>
          </w:tcPr>
          <w:p w14:paraId="51E33F57"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47.-</w:t>
            </w:r>
            <w:r w:rsidRPr="00081E30">
              <w:rPr>
                <w:rFonts w:ascii="Verdana" w:hAnsi="Verdana"/>
                <w:bCs/>
                <w:sz w:val="16"/>
                <w:szCs w:val="16"/>
              </w:rPr>
              <w:t xml:space="preserve"> La Comisión notificará al Contratista las causales que originaron el inicio del procedimiento de rescisión. Una vez notificadas las causales, el procedimiento continuará de acuerdo con lo previsto en el artículo 20 de la Ley.</w:t>
            </w:r>
          </w:p>
        </w:tc>
        <w:tc>
          <w:tcPr>
            <w:tcW w:w="4788" w:type="dxa"/>
            <w:shd w:val="clear" w:color="auto" w:fill="auto"/>
          </w:tcPr>
          <w:p w14:paraId="3FAE64D5" w14:textId="22248897"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47.-</w:t>
            </w:r>
            <w:r w:rsidRPr="00081E30">
              <w:rPr>
                <w:rFonts w:ascii="Verdana" w:hAnsi="Verdana" w:cs="Times New Roman"/>
                <w:bCs/>
                <w:sz w:val="16"/>
                <w:szCs w:val="16"/>
                <w:lang w:val="en-US"/>
              </w:rPr>
              <w:t xml:space="preserve">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notify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of the causes that led to the initiation of the </w:t>
            </w:r>
            <w:r>
              <w:rPr>
                <w:rFonts w:ascii="Verdana" w:hAnsi="Verdana" w:cs="Times New Roman"/>
                <w:bCs/>
                <w:sz w:val="16"/>
                <w:szCs w:val="16"/>
                <w:lang w:val="en-US"/>
              </w:rPr>
              <w:t>rescission</w:t>
            </w:r>
            <w:r w:rsidRPr="00081E30">
              <w:rPr>
                <w:rFonts w:ascii="Verdana" w:hAnsi="Verdana" w:cs="Times New Roman"/>
                <w:bCs/>
                <w:sz w:val="16"/>
                <w:szCs w:val="16"/>
                <w:lang w:val="en-US"/>
              </w:rPr>
              <w:t xml:space="preserve"> procedure. Once the causes have been notified, the procedure will continue in accordance with the provisions of article 20 of the Law.</w:t>
            </w:r>
          </w:p>
        </w:tc>
      </w:tr>
      <w:tr w:rsidR="002C5E29" w:rsidRPr="000A5335" w14:paraId="2D73477C" w14:textId="205F1639" w:rsidTr="00081E30">
        <w:tc>
          <w:tcPr>
            <w:tcW w:w="4788" w:type="dxa"/>
            <w:shd w:val="clear" w:color="auto" w:fill="auto"/>
          </w:tcPr>
          <w:p w14:paraId="5FE9F54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AE45BA6" w14:textId="386B51D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46E248A" w14:textId="259CF26E" w:rsidTr="00081E30">
        <w:tc>
          <w:tcPr>
            <w:tcW w:w="4788" w:type="dxa"/>
            <w:shd w:val="clear" w:color="auto" w:fill="auto"/>
          </w:tcPr>
          <w:p w14:paraId="3A8A3DB5"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Comisión deberá notificar a la Secretaría, a la Secretaría de Hacienda y Crédito Público y al Fondo Mexicano del Petróleo sobre la declaración de rescisión administrativa de un Contrato para la Exploración y Extracción, el día hábil siguiente a que ésta se haya emitido.</w:t>
            </w:r>
          </w:p>
        </w:tc>
        <w:tc>
          <w:tcPr>
            <w:tcW w:w="4788" w:type="dxa"/>
            <w:shd w:val="clear" w:color="auto" w:fill="auto"/>
          </w:tcPr>
          <w:p w14:paraId="110D3B02" w14:textId="4226D39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Mexican Petroleum Fund of the declaration of </w:t>
            </w:r>
            <w:r>
              <w:rPr>
                <w:rFonts w:ascii="Verdana" w:hAnsi="Verdana" w:cs="Times New Roman"/>
                <w:bCs/>
                <w:sz w:val="16"/>
                <w:szCs w:val="16"/>
                <w:lang w:val="en-US"/>
              </w:rPr>
              <w:t>administrative rescission</w:t>
            </w:r>
            <w:r w:rsidRPr="00081E30">
              <w:rPr>
                <w:rFonts w:ascii="Verdana" w:hAnsi="Verdana" w:cs="Times New Roman"/>
                <w:bCs/>
                <w:sz w:val="16"/>
                <w:szCs w:val="16"/>
                <w:lang w:val="en-US"/>
              </w:rPr>
              <w:t xml:space="preserve"> of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on the business day following that it has been issued.</w:t>
            </w:r>
          </w:p>
        </w:tc>
      </w:tr>
      <w:tr w:rsidR="002C5E29" w:rsidRPr="000A5335" w14:paraId="7A66AF5F" w14:textId="439D756C" w:rsidTr="00081E30">
        <w:tc>
          <w:tcPr>
            <w:tcW w:w="4788" w:type="dxa"/>
            <w:shd w:val="clear" w:color="auto" w:fill="auto"/>
          </w:tcPr>
          <w:p w14:paraId="707CAF8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AE84D5" w14:textId="764FA8F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9827454" w14:textId="642A95A0" w:rsidTr="00081E30">
        <w:tc>
          <w:tcPr>
            <w:tcW w:w="4788" w:type="dxa"/>
            <w:shd w:val="clear" w:color="auto" w:fill="auto"/>
          </w:tcPr>
          <w:p w14:paraId="5062CDEA"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48.-</w:t>
            </w:r>
            <w:r w:rsidRPr="00081E30">
              <w:rPr>
                <w:rFonts w:ascii="Verdana" w:hAnsi="Verdana"/>
                <w:bCs/>
                <w:sz w:val="16"/>
                <w:szCs w:val="16"/>
              </w:rPr>
              <w:t xml:space="preserve"> El procedimiento de rescisión administrativa se desarrollará sin menoscabo de las sanciones legales y administrativas a que haya lugar; del resarcimiento de los daños y perjuicios derivados del incumplimiento, así como de la entrega ordenada, segura y eficiente del Área Contractual.</w:t>
            </w:r>
          </w:p>
        </w:tc>
        <w:tc>
          <w:tcPr>
            <w:tcW w:w="4788" w:type="dxa"/>
            <w:shd w:val="clear" w:color="auto" w:fill="auto"/>
          </w:tcPr>
          <w:p w14:paraId="50BB0872" w14:textId="72225E91"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48.-</w:t>
            </w:r>
            <w:r w:rsidRPr="00081E30">
              <w:rPr>
                <w:rFonts w:ascii="Verdana" w:hAnsi="Verdana" w:cs="Times New Roman"/>
                <w:bCs/>
                <w:sz w:val="16"/>
                <w:szCs w:val="16"/>
                <w:lang w:val="en-US"/>
              </w:rPr>
              <w:t xml:space="preserve"> The administrative rescission procedure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carried out without prejudice to the legal and administrative sanctions that may be applicable; of the compensation</w:t>
            </w:r>
            <w:r>
              <w:rPr>
                <w:rFonts w:ascii="Verdana" w:hAnsi="Verdana" w:cs="Times New Roman"/>
                <w:bCs/>
                <w:sz w:val="16"/>
                <w:szCs w:val="16"/>
                <w:lang w:val="en-US"/>
              </w:rPr>
              <w:t xml:space="preserve"> for</w:t>
            </w:r>
            <w:r w:rsidRPr="00081E30">
              <w:rPr>
                <w:rFonts w:ascii="Verdana" w:hAnsi="Verdana" w:cs="Times New Roman"/>
                <w:bCs/>
                <w:sz w:val="16"/>
                <w:szCs w:val="16"/>
                <w:lang w:val="en-US"/>
              </w:rPr>
              <w:t xml:space="preserve"> the damages and losses derived from the </w:t>
            </w:r>
            <w:r>
              <w:rPr>
                <w:rFonts w:ascii="Verdana" w:hAnsi="Verdana" w:cs="Times New Roman"/>
                <w:bCs/>
                <w:sz w:val="16"/>
                <w:szCs w:val="16"/>
                <w:lang w:val="en-US"/>
              </w:rPr>
              <w:t>noncompliance,</w:t>
            </w:r>
            <w:r w:rsidRPr="00081E30">
              <w:rPr>
                <w:rFonts w:ascii="Verdana" w:hAnsi="Verdana" w:cs="Times New Roman"/>
                <w:bCs/>
                <w:sz w:val="16"/>
                <w:szCs w:val="16"/>
                <w:lang w:val="en-US"/>
              </w:rPr>
              <w:t xml:space="preserve"> as well as the orderly, safe and efficient delivery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w:t>
            </w:r>
          </w:p>
        </w:tc>
      </w:tr>
      <w:tr w:rsidR="002C5E29" w:rsidRPr="000A5335" w14:paraId="0156275A" w14:textId="323FD7C7" w:rsidTr="00081E30">
        <w:tc>
          <w:tcPr>
            <w:tcW w:w="4788" w:type="dxa"/>
            <w:shd w:val="clear" w:color="auto" w:fill="auto"/>
          </w:tcPr>
          <w:p w14:paraId="1CB5B10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645C961" w14:textId="6D7E90E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85A0AD2" w14:textId="4E4B7125" w:rsidTr="00081E30">
        <w:tc>
          <w:tcPr>
            <w:tcW w:w="4788" w:type="dxa"/>
            <w:shd w:val="clear" w:color="auto" w:fill="auto"/>
          </w:tcPr>
          <w:p w14:paraId="61306330"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49.-</w:t>
            </w:r>
            <w:r w:rsidRPr="00081E30">
              <w:rPr>
                <w:rFonts w:ascii="Verdana" w:hAnsi="Verdana"/>
                <w:bCs/>
                <w:sz w:val="16"/>
                <w:szCs w:val="16"/>
              </w:rPr>
              <w:t xml:space="preserve"> Para efectos de la fracción I del artículo 20 de la Ley, se consideran causas justificadas para no iniciar o suspender las actividades previstas en el plan de Exploración o de desarrollo para la Extracción en el Área Contractual, los casos fortuitos o de fuerza mayor y los demás que se establezcan en el Contrato para la Exploración y Extracción.</w:t>
            </w:r>
          </w:p>
        </w:tc>
        <w:tc>
          <w:tcPr>
            <w:tcW w:w="4788" w:type="dxa"/>
            <w:shd w:val="clear" w:color="auto" w:fill="auto"/>
          </w:tcPr>
          <w:p w14:paraId="3F40694A" w14:textId="090A8B60"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49.-</w:t>
            </w:r>
            <w:r w:rsidRPr="00081E30">
              <w:rPr>
                <w:rFonts w:ascii="Verdana" w:hAnsi="Verdana" w:cs="Times New Roman"/>
                <w:bCs/>
                <w:sz w:val="16"/>
                <w:szCs w:val="16"/>
                <w:lang w:val="en-US"/>
              </w:rPr>
              <w:t xml:space="preserve"> For the purposes of section I of article 20 of the Law, </w:t>
            </w:r>
            <w:r>
              <w:rPr>
                <w:rFonts w:ascii="Verdana" w:hAnsi="Verdana" w:cs="Times New Roman"/>
                <w:bCs/>
                <w:sz w:val="16"/>
                <w:szCs w:val="16"/>
                <w:lang w:val="en-US"/>
              </w:rPr>
              <w:t xml:space="preserve">the following are considered as </w:t>
            </w:r>
            <w:r w:rsidRPr="00081E30">
              <w:rPr>
                <w:rFonts w:ascii="Verdana" w:hAnsi="Verdana" w:cs="Times New Roman"/>
                <w:bCs/>
                <w:sz w:val="16"/>
                <w:szCs w:val="16"/>
                <w:lang w:val="en-US"/>
              </w:rPr>
              <w:t xml:space="preserve">justified causes </w:t>
            </w:r>
            <w:r>
              <w:rPr>
                <w:rFonts w:ascii="Verdana" w:hAnsi="Verdana" w:cs="Times New Roman"/>
                <w:bCs/>
                <w:sz w:val="16"/>
                <w:szCs w:val="16"/>
                <w:lang w:val="en-US"/>
              </w:rPr>
              <w:t>for not initiating or suspending</w:t>
            </w:r>
            <w:r w:rsidRPr="00081E30">
              <w:rPr>
                <w:rFonts w:ascii="Verdana" w:hAnsi="Verdana" w:cs="Times New Roman"/>
                <w:bCs/>
                <w:sz w:val="16"/>
                <w:szCs w:val="16"/>
                <w:lang w:val="en-US"/>
              </w:rPr>
              <w:t xml:space="preserve"> the activities provided for in the exploration or development plan for extraction in the contract area, </w:t>
            </w:r>
            <w:r>
              <w:rPr>
                <w:rFonts w:ascii="Verdana" w:hAnsi="Verdana" w:cs="Times New Roman"/>
                <w:bCs/>
                <w:sz w:val="16"/>
                <w:szCs w:val="16"/>
                <w:lang w:val="en-US"/>
              </w:rPr>
              <w:t>by chance</w:t>
            </w:r>
            <w:r w:rsidRPr="00081E30">
              <w:rPr>
                <w:rFonts w:ascii="Verdana" w:hAnsi="Verdana" w:cs="Times New Roman"/>
                <w:bCs/>
                <w:sz w:val="16"/>
                <w:szCs w:val="16"/>
                <w:lang w:val="en-US"/>
              </w:rPr>
              <w:t xml:space="preserve"> or </w:t>
            </w:r>
            <w:r w:rsidRPr="00CF42BD">
              <w:rPr>
                <w:rFonts w:ascii="Verdana" w:hAnsi="Verdana" w:cs="Times New Roman"/>
                <w:bCs/>
                <w:i/>
                <w:iCs/>
                <w:sz w:val="16"/>
                <w:szCs w:val="16"/>
                <w:lang w:val="en-US"/>
              </w:rPr>
              <w:t xml:space="preserve">force majeure </w:t>
            </w:r>
            <w:r w:rsidRPr="00081E30">
              <w:rPr>
                <w:rFonts w:ascii="Verdana" w:hAnsi="Verdana" w:cs="Times New Roman"/>
                <w:bCs/>
                <w:sz w:val="16"/>
                <w:szCs w:val="16"/>
                <w:lang w:val="en-US"/>
              </w:rPr>
              <w:t xml:space="preserve">and the others established in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w:t>
            </w:r>
          </w:p>
        </w:tc>
      </w:tr>
      <w:tr w:rsidR="002C5E29" w:rsidRPr="000A5335" w14:paraId="1B3AB55F" w14:textId="25141559" w:rsidTr="00081E30">
        <w:tc>
          <w:tcPr>
            <w:tcW w:w="4788" w:type="dxa"/>
            <w:shd w:val="clear" w:color="auto" w:fill="auto"/>
          </w:tcPr>
          <w:p w14:paraId="515DEC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E83CC87" w14:textId="7DA7F6E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95692C1" w14:textId="714A1EAC" w:rsidTr="00081E30">
        <w:tc>
          <w:tcPr>
            <w:tcW w:w="4788" w:type="dxa"/>
            <w:shd w:val="clear" w:color="auto" w:fill="auto"/>
          </w:tcPr>
          <w:p w14:paraId="364CBF60" w14:textId="77777777" w:rsidR="002C5E29" w:rsidRPr="0000179E" w:rsidRDefault="002C5E29" w:rsidP="002C5E29">
            <w:pPr>
              <w:pStyle w:val="ANOTACION"/>
              <w:spacing w:before="0" w:after="0" w:line="240" w:lineRule="auto"/>
              <w:rPr>
                <w:rFonts w:ascii="Verdana" w:hAnsi="Verdana" w:cs="Arial"/>
                <w:sz w:val="16"/>
                <w:szCs w:val="16"/>
              </w:rPr>
            </w:pPr>
            <w:r w:rsidRPr="0000179E">
              <w:rPr>
                <w:rFonts w:ascii="Verdana" w:hAnsi="Verdana" w:cs="Arial"/>
                <w:sz w:val="16"/>
                <w:szCs w:val="16"/>
              </w:rPr>
              <w:t>Sección Quinta</w:t>
            </w:r>
          </w:p>
        </w:tc>
        <w:tc>
          <w:tcPr>
            <w:tcW w:w="4788" w:type="dxa"/>
            <w:shd w:val="clear" w:color="auto" w:fill="auto"/>
          </w:tcPr>
          <w:p w14:paraId="43879F33" w14:textId="2FB7E0C6" w:rsidR="002C5E29" w:rsidRPr="0000179E" w:rsidRDefault="002C5E29" w:rsidP="002C5E29">
            <w:pPr>
              <w:pStyle w:val="ANOTACION"/>
              <w:spacing w:before="0" w:after="0" w:line="240" w:lineRule="auto"/>
              <w:rPr>
                <w:rFonts w:ascii="Verdana" w:hAnsi="Verdana" w:cs="Arial"/>
                <w:sz w:val="16"/>
                <w:szCs w:val="16"/>
                <w:lang w:val="en-US"/>
              </w:rPr>
            </w:pPr>
            <w:r w:rsidRPr="0000179E">
              <w:rPr>
                <w:rFonts w:ascii="Verdana" w:hAnsi="Verdana"/>
                <w:sz w:val="16"/>
                <w:szCs w:val="16"/>
                <w:lang w:val="en-US"/>
              </w:rPr>
              <w:t>Fifth Section</w:t>
            </w:r>
          </w:p>
        </w:tc>
      </w:tr>
      <w:tr w:rsidR="002C5E29" w:rsidRPr="000A5335" w14:paraId="05B57F7A" w14:textId="44F344F7" w:rsidTr="00081E30">
        <w:tc>
          <w:tcPr>
            <w:tcW w:w="4788" w:type="dxa"/>
            <w:shd w:val="clear" w:color="auto" w:fill="auto"/>
          </w:tcPr>
          <w:p w14:paraId="4948B787" w14:textId="77777777" w:rsidR="002C5E29" w:rsidRPr="0000179E" w:rsidRDefault="002C5E29" w:rsidP="002C5E29">
            <w:pPr>
              <w:pStyle w:val="ANOTACION"/>
              <w:spacing w:before="0" w:after="0" w:line="240" w:lineRule="auto"/>
              <w:rPr>
                <w:rFonts w:ascii="Verdana" w:hAnsi="Verdana" w:cs="Arial"/>
                <w:sz w:val="16"/>
                <w:szCs w:val="16"/>
              </w:rPr>
            </w:pPr>
            <w:r w:rsidRPr="0000179E">
              <w:rPr>
                <w:rFonts w:ascii="Verdana" w:hAnsi="Verdana" w:cs="Arial"/>
                <w:sz w:val="16"/>
                <w:szCs w:val="16"/>
              </w:rPr>
              <w:t>De la Comercialización de los Hidrocarburos que el Estado obtenga como Resultado de los Contratos para la Exploración y Extracción</w:t>
            </w:r>
          </w:p>
        </w:tc>
        <w:tc>
          <w:tcPr>
            <w:tcW w:w="4788" w:type="dxa"/>
            <w:shd w:val="clear" w:color="auto" w:fill="auto"/>
          </w:tcPr>
          <w:p w14:paraId="43A97E9D" w14:textId="5C117B2A" w:rsidR="002C5E29" w:rsidRPr="0000179E" w:rsidRDefault="002C5E29" w:rsidP="002C5E29">
            <w:pPr>
              <w:pStyle w:val="ANOTACION"/>
              <w:spacing w:before="0" w:after="0" w:line="240" w:lineRule="auto"/>
              <w:rPr>
                <w:rFonts w:ascii="Verdana" w:hAnsi="Verdana" w:cs="Arial"/>
                <w:sz w:val="16"/>
                <w:szCs w:val="16"/>
                <w:lang w:val="en-US"/>
              </w:rPr>
            </w:pPr>
            <w:r w:rsidRPr="0000179E">
              <w:rPr>
                <w:rFonts w:ascii="Verdana" w:hAnsi="Verdana"/>
                <w:sz w:val="16"/>
                <w:szCs w:val="16"/>
                <w:lang w:val="en-US"/>
              </w:rPr>
              <w:t>The Commercial Distribution of Hydrocarbons that the State obtains as a Result of the Contracts for Exploration and Extraction</w:t>
            </w:r>
          </w:p>
        </w:tc>
      </w:tr>
      <w:tr w:rsidR="002C5E29" w:rsidRPr="000A5335" w14:paraId="49FDC943" w14:textId="586B206E" w:rsidTr="00081E30">
        <w:tc>
          <w:tcPr>
            <w:tcW w:w="4788" w:type="dxa"/>
            <w:shd w:val="clear" w:color="auto" w:fill="auto"/>
          </w:tcPr>
          <w:p w14:paraId="1EE81F19"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20C7FC2C" w14:textId="1E2E29DE"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81A7665" w14:textId="3321E027" w:rsidTr="00081E30">
        <w:tc>
          <w:tcPr>
            <w:tcW w:w="4788" w:type="dxa"/>
            <w:shd w:val="clear" w:color="auto" w:fill="auto"/>
          </w:tcPr>
          <w:p w14:paraId="281EFE9C"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50.-</w:t>
            </w:r>
            <w:r w:rsidRPr="00081E30">
              <w:rPr>
                <w:rFonts w:ascii="Verdana" w:hAnsi="Verdana"/>
                <w:bCs/>
                <w:sz w:val="16"/>
                <w:szCs w:val="16"/>
              </w:rPr>
              <w:t xml:space="preserve"> La licitación para la contratación del comercializador a que se refiere el artículo 28 de la Ley se desarrollará por la Comisión conforme a la Ley de Adquisiciones, Arrendamientos y Servicios del Sector Público y su Reglamento.</w:t>
            </w:r>
          </w:p>
        </w:tc>
        <w:tc>
          <w:tcPr>
            <w:tcW w:w="4788" w:type="dxa"/>
            <w:shd w:val="clear" w:color="auto" w:fill="auto"/>
          </w:tcPr>
          <w:p w14:paraId="35A10C8A" w14:textId="4B8A49B2"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50.-</w:t>
            </w:r>
            <w:r w:rsidRPr="00081E30">
              <w:rPr>
                <w:rFonts w:ascii="Verdana" w:hAnsi="Verdana" w:cs="Times New Roman"/>
                <w:bCs/>
                <w:sz w:val="16"/>
                <w:szCs w:val="16"/>
                <w:lang w:val="en-US"/>
              </w:rPr>
              <w:t xml:space="preserve"> The </w:t>
            </w:r>
            <w:r>
              <w:rPr>
                <w:rFonts w:ascii="Verdana" w:hAnsi="Verdana" w:cs="Times New Roman"/>
                <w:bCs/>
                <w:sz w:val="16"/>
                <w:szCs w:val="16"/>
                <w:lang w:val="en-US"/>
              </w:rPr>
              <w:t>bidding</w:t>
            </w:r>
            <w:r w:rsidRPr="00081E30">
              <w:rPr>
                <w:rFonts w:ascii="Verdana" w:hAnsi="Verdana" w:cs="Times New Roman"/>
                <w:bCs/>
                <w:sz w:val="16"/>
                <w:szCs w:val="16"/>
                <w:lang w:val="en-US"/>
              </w:rPr>
              <w:t xml:space="preserve"> for the contracting of the </w:t>
            </w:r>
            <w:r>
              <w:rPr>
                <w:rFonts w:ascii="Verdana" w:hAnsi="Verdana" w:cs="Times New Roman"/>
                <w:bCs/>
                <w:sz w:val="16"/>
                <w:szCs w:val="16"/>
                <w:lang w:val="en-US"/>
              </w:rPr>
              <w:t>commercial distributor</w:t>
            </w:r>
            <w:r w:rsidRPr="00081E30">
              <w:rPr>
                <w:rFonts w:ascii="Verdana" w:hAnsi="Verdana" w:cs="Times New Roman"/>
                <w:bCs/>
                <w:sz w:val="16"/>
                <w:szCs w:val="16"/>
                <w:lang w:val="en-US"/>
              </w:rPr>
              <w:t xml:space="preserve"> referred to in article 28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developed by the Commission in accordance with the Law on Acquisitions, Leases and Services of the Public Sector and its Regulation.</w:t>
            </w:r>
          </w:p>
        </w:tc>
      </w:tr>
      <w:tr w:rsidR="002C5E29" w:rsidRPr="000A5335" w14:paraId="4D1F537D" w14:textId="7E6AD1D6" w:rsidTr="00081E30">
        <w:tc>
          <w:tcPr>
            <w:tcW w:w="4788" w:type="dxa"/>
            <w:shd w:val="clear" w:color="auto" w:fill="auto"/>
          </w:tcPr>
          <w:p w14:paraId="3A3CE4B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300F86D" w14:textId="2A9F2BB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2BA5BD5" w14:textId="374746D7" w:rsidTr="00081E30">
        <w:tc>
          <w:tcPr>
            <w:tcW w:w="4788" w:type="dxa"/>
            <w:shd w:val="clear" w:color="auto" w:fill="auto"/>
          </w:tcPr>
          <w:p w14:paraId="45D2CAC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Fondo Mexicano del Petróleo incluirá en su petición a que se refiere el artículo 28 de la Ley, los términos mínimos que requiera para la correcta prestación de los servicios de comercialización de los Hidrocarburos, incluyendo el margen o precio máximo aceptable por el pago de dichos servicios que determine su Comité Técnico, mismo que deberá estar referido a condiciones de mercado.</w:t>
            </w:r>
          </w:p>
        </w:tc>
        <w:tc>
          <w:tcPr>
            <w:tcW w:w="4788" w:type="dxa"/>
            <w:shd w:val="clear" w:color="auto" w:fill="auto"/>
          </w:tcPr>
          <w:p w14:paraId="44756665" w14:textId="36C68F4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Mexican Petroleum Fund will include in its petition referred to in article 28 of the Law, the minimum terms that it requires for the correct provision of the services of commercialization of </w:t>
            </w:r>
            <w:r>
              <w:rPr>
                <w:rFonts w:ascii="Verdana" w:hAnsi="Verdana" w:cs="Times New Roman"/>
                <w:bCs/>
                <w:sz w:val="16"/>
                <w:szCs w:val="16"/>
                <w:lang w:val="en-US"/>
              </w:rPr>
              <w:t>h</w:t>
            </w:r>
            <w:r w:rsidRPr="00081E30">
              <w:rPr>
                <w:rFonts w:ascii="Verdana" w:hAnsi="Verdana" w:cs="Times New Roman"/>
                <w:bCs/>
                <w:sz w:val="16"/>
                <w:szCs w:val="16"/>
                <w:lang w:val="en-US"/>
              </w:rPr>
              <w:t>ydrocarbons, including the margin or maximum acceptable price for the payment of said services determined by its Technical Committee, which must be referred to market conditions.</w:t>
            </w:r>
          </w:p>
        </w:tc>
      </w:tr>
      <w:tr w:rsidR="002C5E29" w:rsidRPr="000A5335" w14:paraId="7EF1B02F" w14:textId="66E604AF" w:rsidTr="00081E30">
        <w:tc>
          <w:tcPr>
            <w:tcW w:w="4788" w:type="dxa"/>
            <w:shd w:val="clear" w:color="auto" w:fill="auto"/>
          </w:tcPr>
          <w:p w14:paraId="0261D9E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4E9F2B" w14:textId="15F564B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4B2071B" w14:textId="603CF62F" w:rsidTr="00081E30">
        <w:tc>
          <w:tcPr>
            <w:tcW w:w="4788" w:type="dxa"/>
            <w:shd w:val="clear" w:color="auto" w:fill="auto"/>
          </w:tcPr>
          <w:p w14:paraId="1900F48A" w14:textId="77777777" w:rsidR="002C5E29" w:rsidRPr="00CF42BD" w:rsidRDefault="002C5E29" w:rsidP="002C5E29">
            <w:pPr>
              <w:pStyle w:val="ANOTACION"/>
              <w:spacing w:before="0" w:after="0" w:line="240" w:lineRule="auto"/>
              <w:rPr>
                <w:rFonts w:ascii="Verdana" w:hAnsi="Verdana" w:cs="Arial"/>
                <w:sz w:val="16"/>
                <w:szCs w:val="16"/>
              </w:rPr>
            </w:pPr>
            <w:r w:rsidRPr="00CF42BD">
              <w:rPr>
                <w:rFonts w:ascii="Verdana" w:hAnsi="Verdana" w:cs="Arial"/>
                <w:sz w:val="16"/>
                <w:szCs w:val="16"/>
              </w:rPr>
              <w:t>Sección Sexta</w:t>
            </w:r>
          </w:p>
        </w:tc>
        <w:tc>
          <w:tcPr>
            <w:tcW w:w="4788" w:type="dxa"/>
            <w:shd w:val="clear" w:color="auto" w:fill="auto"/>
          </w:tcPr>
          <w:p w14:paraId="1DBD4071" w14:textId="02256054" w:rsidR="002C5E29" w:rsidRPr="00CF42BD" w:rsidRDefault="002C5E29" w:rsidP="002C5E29">
            <w:pPr>
              <w:pStyle w:val="ANOTACION"/>
              <w:spacing w:before="0" w:after="0" w:line="240" w:lineRule="auto"/>
              <w:rPr>
                <w:rFonts w:ascii="Verdana" w:hAnsi="Verdana" w:cs="Arial"/>
                <w:sz w:val="16"/>
                <w:szCs w:val="16"/>
                <w:lang w:val="en-US"/>
              </w:rPr>
            </w:pPr>
            <w:r w:rsidRPr="00CF42BD">
              <w:rPr>
                <w:rFonts w:ascii="Verdana" w:hAnsi="Verdana"/>
                <w:sz w:val="16"/>
                <w:szCs w:val="16"/>
                <w:lang w:val="en-US"/>
              </w:rPr>
              <w:t>Section Six</w:t>
            </w:r>
          </w:p>
        </w:tc>
      </w:tr>
      <w:tr w:rsidR="002C5E29" w:rsidRPr="000A5335" w14:paraId="1CA3662D" w14:textId="005E00F4" w:rsidTr="00081E30">
        <w:tc>
          <w:tcPr>
            <w:tcW w:w="4788" w:type="dxa"/>
            <w:shd w:val="clear" w:color="auto" w:fill="auto"/>
          </w:tcPr>
          <w:p w14:paraId="4CC780C2" w14:textId="77777777" w:rsidR="002C5E29" w:rsidRPr="00CF42BD" w:rsidRDefault="002C5E29" w:rsidP="002C5E29">
            <w:pPr>
              <w:pStyle w:val="ANOTACION"/>
              <w:spacing w:before="0" w:after="0" w:line="240" w:lineRule="auto"/>
              <w:rPr>
                <w:rFonts w:ascii="Verdana" w:hAnsi="Verdana" w:cs="Arial"/>
                <w:sz w:val="16"/>
                <w:szCs w:val="16"/>
              </w:rPr>
            </w:pPr>
            <w:r w:rsidRPr="00CF42BD">
              <w:rPr>
                <w:rFonts w:ascii="Verdana" w:hAnsi="Verdana" w:cs="Arial"/>
                <w:sz w:val="16"/>
                <w:szCs w:val="16"/>
              </w:rPr>
              <w:t>De la Adjudicación Directa de los Contratos para la Exploración y Extracción a Titulares de Concesiones Mineras</w:t>
            </w:r>
          </w:p>
        </w:tc>
        <w:tc>
          <w:tcPr>
            <w:tcW w:w="4788" w:type="dxa"/>
            <w:shd w:val="clear" w:color="auto" w:fill="auto"/>
          </w:tcPr>
          <w:p w14:paraId="31573236" w14:textId="3D322A5D" w:rsidR="002C5E29" w:rsidRPr="00CF42BD"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CF42BD">
              <w:rPr>
                <w:rFonts w:ascii="Verdana" w:hAnsi="Verdana"/>
                <w:sz w:val="16"/>
                <w:szCs w:val="16"/>
                <w:lang w:val="en-US"/>
              </w:rPr>
              <w:t xml:space="preserve"> Direct Award of </w:t>
            </w:r>
            <w:r>
              <w:rPr>
                <w:rFonts w:ascii="Verdana" w:hAnsi="Verdana"/>
                <w:sz w:val="16"/>
                <w:szCs w:val="16"/>
                <w:lang w:val="en-US"/>
              </w:rPr>
              <w:t>C</w:t>
            </w:r>
            <w:r w:rsidRPr="00CF42BD">
              <w:rPr>
                <w:rFonts w:ascii="Verdana" w:hAnsi="Verdana"/>
                <w:sz w:val="16"/>
                <w:szCs w:val="16"/>
                <w:lang w:val="en-US"/>
              </w:rPr>
              <w:t>ontracts for</w:t>
            </w:r>
            <w:r>
              <w:rPr>
                <w:rFonts w:ascii="Verdana" w:hAnsi="Verdana"/>
                <w:sz w:val="16"/>
                <w:szCs w:val="16"/>
                <w:lang w:val="en-US"/>
              </w:rPr>
              <w:t xml:space="preserve"> the </w:t>
            </w:r>
            <w:r w:rsidRPr="00CF42BD">
              <w:rPr>
                <w:rFonts w:ascii="Verdana" w:hAnsi="Verdana"/>
                <w:sz w:val="16"/>
                <w:szCs w:val="16"/>
                <w:lang w:val="en-US"/>
              </w:rPr>
              <w:t xml:space="preserve"> </w:t>
            </w:r>
            <w:r>
              <w:rPr>
                <w:rFonts w:ascii="Verdana" w:hAnsi="Verdana"/>
                <w:sz w:val="16"/>
                <w:szCs w:val="16"/>
                <w:lang w:val="en-US"/>
              </w:rPr>
              <w:t>E</w:t>
            </w:r>
            <w:r w:rsidRPr="00CF42BD">
              <w:rPr>
                <w:rFonts w:ascii="Verdana" w:hAnsi="Verdana"/>
                <w:sz w:val="16"/>
                <w:szCs w:val="16"/>
                <w:lang w:val="en-US"/>
              </w:rPr>
              <w:t xml:space="preserve">xploration and </w:t>
            </w:r>
            <w:r>
              <w:rPr>
                <w:rFonts w:ascii="Verdana" w:hAnsi="Verdana"/>
                <w:sz w:val="16"/>
                <w:szCs w:val="16"/>
                <w:lang w:val="en-US"/>
              </w:rPr>
              <w:t>E</w:t>
            </w:r>
            <w:r w:rsidRPr="00CF42BD">
              <w:rPr>
                <w:rFonts w:ascii="Verdana" w:hAnsi="Verdana"/>
                <w:sz w:val="16"/>
                <w:szCs w:val="16"/>
                <w:lang w:val="en-US"/>
              </w:rPr>
              <w:t xml:space="preserve">xtraction to </w:t>
            </w:r>
            <w:r>
              <w:rPr>
                <w:rFonts w:ascii="Verdana" w:hAnsi="Verdana"/>
                <w:sz w:val="16"/>
                <w:szCs w:val="16"/>
                <w:lang w:val="en-US"/>
              </w:rPr>
              <w:t xml:space="preserve">Holders of </w:t>
            </w:r>
            <w:r w:rsidRPr="00CF42BD">
              <w:rPr>
                <w:rFonts w:ascii="Verdana" w:hAnsi="Verdana"/>
                <w:sz w:val="16"/>
                <w:szCs w:val="16"/>
                <w:lang w:val="en-US"/>
              </w:rPr>
              <w:t>Mining Concession</w:t>
            </w:r>
            <w:r>
              <w:rPr>
                <w:rFonts w:ascii="Verdana" w:hAnsi="Verdana"/>
                <w:sz w:val="16"/>
                <w:szCs w:val="16"/>
                <w:lang w:val="en-US"/>
              </w:rPr>
              <w:t>s</w:t>
            </w:r>
            <w:r w:rsidRPr="00CF42BD">
              <w:rPr>
                <w:rFonts w:ascii="Verdana" w:hAnsi="Verdana"/>
                <w:sz w:val="16"/>
                <w:szCs w:val="16"/>
                <w:lang w:val="en-US"/>
              </w:rPr>
              <w:t xml:space="preserve"> </w:t>
            </w:r>
          </w:p>
        </w:tc>
      </w:tr>
      <w:tr w:rsidR="002C5E29" w:rsidRPr="000A5335" w14:paraId="0BFD7A71" w14:textId="792E037A" w:rsidTr="00081E30">
        <w:tc>
          <w:tcPr>
            <w:tcW w:w="4788" w:type="dxa"/>
            <w:shd w:val="clear" w:color="auto" w:fill="auto"/>
          </w:tcPr>
          <w:p w14:paraId="43937BB4"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754860F1" w14:textId="1C9319E3"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D6F5791" w14:textId="74BC070B" w:rsidTr="00081E30">
        <w:tc>
          <w:tcPr>
            <w:tcW w:w="4788" w:type="dxa"/>
            <w:shd w:val="clear" w:color="auto" w:fill="auto"/>
          </w:tcPr>
          <w:p w14:paraId="164EF08F" w14:textId="77777777" w:rsidR="002C5E29" w:rsidRPr="00081E30" w:rsidRDefault="002C5E29" w:rsidP="002C5E29">
            <w:pPr>
              <w:pStyle w:val="Texto"/>
              <w:spacing w:after="0" w:line="240" w:lineRule="auto"/>
              <w:ind w:firstLine="0"/>
              <w:rPr>
                <w:rFonts w:ascii="Verdana" w:hAnsi="Verdana"/>
                <w:bCs/>
                <w:sz w:val="16"/>
                <w:szCs w:val="16"/>
              </w:rPr>
            </w:pPr>
            <w:r w:rsidRPr="00CF42BD">
              <w:rPr>
                <w:rFonts w:ascii="Verdana" w:hAnsi="Verdana"/>
                <w:b/>
                <w:sz w:val="16"/>
                <w:szCs w:val="16"/>
              </w:rPr>
              <w:t>Artículo 51</w:t>
            </w:r>
            <w:r w:rsidRPr="00081E30">
              <w:rPr>
                <w:rFonts w:ascii="Verdana" w:hAnsi="Verdana"/>
                <w:bCs/>
                <w:sz w:val="16"/>
                <w:szCs w:val="16"/>
              </w:rPr>
              <w:t>.- El titular de una concesión minera que esté interesado en obtener la adjudicación directa de un Contrato para la Exploración y Extracción de Gas Natural asociado a su mina de carbón en términos del artículo 27 de la Ley, deberá presentar a la Secretaría una solicitud que incluya como mínimo:</w:t>
            </w:r>
          </w:p>
        </w:tc>
        <w:tc>
          <w:tcPr>
            <w:tcW w:w="4788" w:type="dxa"/>
            <w:shd w:val="clear" w:color="auto" w:fill="auto"/>
          </w:tcPr>
          <w:p w14:paraId="6C6716D2" w14:textId="7F55AA3C" w:rsidR="002C5E29" w:rsidRPr="00081E30" w:rsidRDefault="002C5E29" w:rsidP="002C5E29">
            <w:pPr>
              <w:pStyle w:val="Texto"/>
              <w:spacing w:after="0" w:line="240" w:lineRule="auto"/>
              <w:ind w:firstLine="0"/>
              <w:rPr>
                <w:rFonts w:ascii="Verdana" w:hAnsi="Verdana"/>
                <w:bCs/>
                <w:sz w:val="16"/>
                <w:szCs w:val="16"/>
                <w:lang w:val="en-US"/>
              </w:rPr>
            </w:pPr>
            <w:r w:rsidRPr="00CF42BD">
              <w:rPr>
                <w:rFonts w:ascii="Verdana" w:hAnsi="Verdana" w:cs="Times New Roman"/>
                <w:b/>
                <w:sz w:val="16"/>
                <w:szCs w:val="16"/>
                <w:lang w:val="en-US"/>
              </w:rPr>
              <w:t>Article 51.-</w:t>
            </w:r>
            <w:r w:rsidRPr="00081E30">
              <w:rPr>
                <w:rFonts w:ascii="Verdana" w:hAnsi="Verdana" w:cs="Times New Roman"/>
                <w:bCs/>
                <w:sz w:val="16"/>
                <w:szCs w:val="16"/>
                <w:lang w:val="en-US"/>
              </w:rPr>
              <w:t xml:space="preserve"> The holder of a mining concession that is interested in obtaining the direct award of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of </w:t>
            </w:r>
            <w:r>
              <w:rPr>
                <w:rFonts w:ascii="Verdana" w:hAnsi="Verdana" w:cs="Times New Roman"/>
                <w:bCs/>
                <w:sz w:val="16"/>
                <w:szCs w:val="16"/>
                <w:lang w:val="en-US"/>
              </w:rPr>
              <w:t>n</w:t>
            </w:r>
            <w:r w:rsidRPr="00081E30">
              <w:rPr>
                <w:rFonts w:ascii="Verdana" w:hAnsi="Verdana" w:cs="Times New Roman"/>
                <w:bCs/>
                <w:sz w:val="16"/>
                <w:szCs w:val="16"/>
                <w:lang w:val="en-US"/>
              </w:rPr>
              <w:t xml:space="preserve">atural </w:t>
            </w:r>
            <w:r>
              <w:rPr>
                <w:rFonts w:ascii="Verdana" w:hAnsi="Verdana" w:cs="Times New Roman"/>
                <w:bCs/>
                <w:sz w:val="16"/>
                <w:szCs w:val="16"/>
                <w:lang w:val="en-US"/>
              </w:rPr>
              <w:t>g</w:t>
            </w:r>
            <w:r w:rsidRPr="00081E30">
              <w:rPr>
                <w:rFonts w:ascii="Verdana" w:hAnsi="Verdana" w:cs="Times New Roman"/>
                <w:bCs/>
                <w:sz w:val="16"/>
                <w:szCs w:val="16"/>
                <w:lang w:val="en-US"/>
              </w:rPr>
              <w:t xml:space="preserve">as associated with its coal mine in terms of article 27 of the Law, must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 application that includes at least:</w:t>
            </w:r>
          </w:p>
        </w:tc>
      </w:tr>
      <w:tr w:rsidR="002C5E29" w:rsidRPr="000A5335" w14:paraId="2539DF7E" w14:textId="49E370CC" w:rsidTr="00081E30">
        <w:tc>
          <w:tcPr>
            <w:tcW w:w="4788" w:type="dxa"/>
            <w:shd w:val="clear" w:color="auto" w:fill="auto"/>
          </w:tcPr>
          <w:p w14:paraId="637F49A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56B1B5A" w14:textId="1E859A5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D9D9FF1" w14:textId="69050BFB" w:rsidTr="00081E30">
        <w:tc>
          <w:tcPr>
            <w:tcW w:w="4788" w:type="dxa"/>
            <w:shd w:val="clear" w:color="auto" w:fill="auto"/>
          </w:tcPr>
          <w:p w14:paraId="383FAB5B" w14:textId="740DFA1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El título de concesión minera vigente, y</w:t>
            </w:r>
          </w:p>
        </w:tc>
        <w:tc>
          <w:tcPr>
            <w:tcW w:w="4788" w:type="dxa"/>
            <w:shd w:val="clear" w:color="auto" w:fill="auto"/>
          </w:tcPr>
          <w:p w14:paraId="01A9968C" w14:textId="3F212D5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current mining concession title, and</w:t>
            </w:r>
          </w:p>
        </w:tc>
      </w:tr>
      <w:tr w:rsidR="002C5E29" w:rsidRPr="000A5335" w14:paraId="6421188E" w14:textId="62011DB9" w:rsidTr="00081E30">
        <w:tc>
          <w:tcPr>
            <w:tcW w:w="4788" w:type="dxa"/>
            <w:shd w:val="clear" w:color="auto" w:fill="auto"/>
          </w:tcPr>
          <w:p w14:paraId="230DD13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FDE2A22" w14:textId="4742F0F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D678D65" w14:textId="69033D2E" w:rsidTr="00081E30">
        <w:tc>
          <w:tcPr>
            <w:tcW w:w="4788" w:type="dxa"/>
            <w:shd w:val="clear" w:color="auto" w:fill="auto"/>
          </w:tcPr>
          <w:p w14:paraId="64B7E20A" w14:textId="592688F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lastRenderedPageBreak/>
              <w:t>II.</w:t>
            </w:r>
            <w:r w:rsidRPr="00081E30">
              <w:rPr>
                <w:rFonts w:ascii="Verdana" w:hAnsi="Verdana"/>
                <w:bCs/>
                <w:sz w:val="16"/>
                <w:szCs w:val="16"/>
              </w:rPr>
              <w:t xml:space="preserve"> Los estudios con los que se determinó la existencia de recursos de Gas Natural contenido en la veta de carbón mineral y la propuesta de plan de Exploración y de desarrollo para la Extracción de dichos recursos;</w:t>
            </w:r>
          </w:p>
        </w:tc>
        <w:tc>
          <w:tcPr>
            <w:tcW w:w="4788" w:type="dxa"/>
            <w:shd w:val="clear" w:color="auto" w:fill="auto"/>
          </w:tcPr>
          <w:p w14:paraId="3C4EFDF4" w14:textId="4B85CE0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studies with which the existence of Natural Gas resources contained in the coal seam was determined and the proposed </w:t>
            </w:r>
            <w:r>
              <w:rPr>
                <w:rFonts w:ascii="Verdana" w:hAnsi="Verdana" w:cs="Times New Roman"/>
                <w:bCs/>
                <w:sz w:val="16"/>
                <w:szCs w:val="16"/>
                <w:lang w:val="en-US"/>
              </w:rPr>
              <w:t>e</w:t>
            </w:r>
            <w:r w:rsidRPr="00081E30">
              <w:rPr>
                <w:rFonts w:ascii="Verdana" w:hAnsi="Verdana" w:cs="Times New Roman"/>
                <w:bCs/>
                <w:sz w:val="16"/>
                <w:szCs w:val="16"/>
                <w:lang w:val="en-US"/>
              </w:rPr>
              <w:t xml:space="preserve">xploration and development plan for the </w:t>
            </w:r>
            <w:r>
              <w:rPr>
                <w:rFonts w:ascii="Verdana" w:hAnsi="Verdana" w:cs="Times New Roman"/>
                <w:bCs/>
                <w:sz w:val="16"/>
                <w:szCs w:val="16"/>
                <w:lang w:val="en-US"/>
              </w:rPr>
              <w:t>e</w:t>
            </w:r>
            <w:r w:rsidRPr="00081E30">
              <w:rPr>
                <w:rFonts w:ascii="Verdana" w:hAnsi="Verdana" w:cs="Times New Roman"/>
                <w:bCs/>
                <w:sz w:val="16"/>
                <w:szCs w:val="16"/>
                <w:lang w:val="en-US"/>
              </w:rPr>
              <w:t>xtraction of said resources;</w:t>
            </w:r>
          </w:p>
        </w:tc>
      </w:tr>
      <w:tr w:rsidR="002C5E29" w:rsidRPr="000A5335" w14:paraId="3BC0AA0C" w14:textId="3D71573A" w:rsidTr="00081E30">
        <w:tc>
          <w:tcPr>
            <w:tcW w:w="4788" w:type="dxa"/>
            <w:shd w:val="clear" w:color="auto" w:fill="auto"/>
          </w:tcPr>
          <w:p w14:paraId="08A84DE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02C20E4" w14:textId="402B76C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A425928" w14:textId="77F695FA" w:rsidTr="00081E30">
        <w:tc>
          <w:tcPr>
            <w:tcW w:w="4788" w:type="dxa"/>
            <w:shd w:val="clear" w:color="auto" w:fill="auto"/>
          </w:tcPr>
          <w:p w14:paraId="69486B1E" w14:textId="27BBEE3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El informe de comprobación a que se refiere el artículo 28 de la Ley Minera. Tratándose de concesionarios mineros que van a realizar actividades de extracción de carbón, presentarán la documentación con la que comprueben lo siguiente:</w:t>
            </w:r>
          </w:p>
        </w:tc>
        <w:tc>
          <w:tcPr>
            <w:tcW w:w="4788" w:type="dxa"/>
            <w:shd w:val="clear" w:color="auto" w:fill="auto"/>
          </w:tcPr>
          <w:p w14:paraId="49E49F24" w14:textId="6B14F73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verification report referred to in article 28 of the Mining Law. In the case of mining concessionaires that are going to carry out coal extraction activities, they will present the documentation with which they verify the following:</w:t>
            </w:r>
          </w:p>
        </w:tc>
      </w:tr>
      <w:tr w:rsidR="002C5E29" w:rsidRPr="000A5335" w14:paraId="3CA85481" w14:textId="62BA03B7" w:rsidTr="00081E30">
        <w:tc>
          <w:tcPr>
            <w:tcW w:w="4788" w:type="dxa"/>
            <w:shd w:val="clear" w:color="auto" w:fill="auto"/>
          </w:tcPr>
          <w:p w14:paraId="7E6325A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2D62F1" w14:textId="2CC8B11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F2AF171" w14:textId="09397AC4" w:rsidTr="00081E30">
        <w:tc>
          <w:tcPr>
            <w:tcW w:w="4788" w:type="dxa"/>
            <w:shd w:val="clear" w:color="auto" w:fill="auto"/>
          </w:tcPr>
          <w:p w14:paraId="20BEB4C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a)</w:t>
            </w:r>
            <w:r w:rsidRPr="00081E30">
              <w:rPr>
                <w:rFonts w:ascii="Verdana" w:hAnsi="Verdana"/>
                <w:bCs/>
                <w:sz w:val="16"/>
                <w:szCs w:val="16"/>
              </w:rPr>
              <w:tab/>
              <w:t>Haber pactado el financiamiento completo del proyecto;</w:t>
            </w:r>
          </w:p>
        </w:tc>
        <w:tc>
          <w:tcPr>
            <w:tcW w:w="4788" w:type="dxa"/>
            <w:shd w:val="clear" w:color="auto" w:fill="auto"/>
          </w:tcPr>
          <w:p w14:paraId="7D27620E" w14:textId="5837CC84"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w:t>
            </w:r>
            <w:r w:rsidRPr="00081E30">
              <w:rPr>
                <w:rFonts w:ascii="Verdana" w:hAnsi="Verdana" w:cs="Times New Roman"/>
                <w:bCs/>
                <w:sz w:val="16"/>
                <w:szCs w:val="16"/>
                <w:lang w:val="en-US"/>
              </w:rPr>
              <w:t xml:space="preserve"> Having </w:t>
            </w:r>
            <w:r>
              <w:rPr>
                <w:rFonts w:ascii="Verdana" w:hAnsi="Verdana" w:cs="Times New Roman"/>
                <w:bCs/>
                <w:sz w:val="16"/>
                <w:szCs w:val="16"/>
                <w:lang w:val="en-US"/>
              </w:rPr>
              <w:t>contracted for the</w:t>
            </w:r>
            <w:r w:rsidRPr="00081E30">
              <w:rPr>
                <w:rFonts w:ascii="Verdana" w:hAnsi="Verdana" w:cs="Times New Roman"/>
                <w:bCs/>
                <w:sz w:val="16"/>
                <w:szCs w:val="16"/>
                <w:lang w:val="en-US"/>
              </w:rPr>
              <w:t xml:space="preserve"> complete financing</w:t>
            </w:r>
            <w:r>
              <w:rPr>
                <w:rFonts w:ascii="Verdana" w:hAnsi="Verdana" w:cs="Times New Roman"/>
                <w:bCs/>
                <w:sz w:val="16"/>
                <w:szCs w:val="16"/>
                <w:lang w:val="en-US"/>
              </w:rPr>
              <w:t xml:space="preserve"> of the project</w:t>
            </w:r>
            <w:r w:rsidRPr="00081E30">
              <w:rPr>
                <w:rFonts w:ascii="Verdana" w:hAnsi="Verdana" w:cs="Times New Roman"/>
                <w:bCs/>
                <w:sz w:val="16"/>
                <w:szCs w:val="16"/>
                <w:lang w:val="en-US"/>
              </w:rPr>
              <w:t xml:space="preserve">;              </w:t>
            </w:r>
          </w:p>
        </w:tc>
      </w:tr>
      <w:tr w:rsidR="002C5E29" w:rsidRPr="000A5335" w14:paraId="0C381ECC" w14:textId="6AE99D68" w:rsidTr="00081E30">
        <w:tc>
          <w:tcPr>
            <w:tcW w:w="4788" w:type="dxa"/>
            <w:shd w:val="clear" w:color="auto" w:fill="auto"/>
          </w:tcPr>
          <w:p w14:paraId="3D7D552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F489565" w14:textId="59DC6A0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EAAE706" w14:textId="3E980BD9" w:rsidTr="00081E30">
        <w:tc>
          <w:tcPr>
            <w:tcW w:w="4788" w:type="dxa"/>
            <w:shd w:val="clear" w:color="auto" w:fill="auto"/>
          </w:tcPr>
          <w:p w14:paraId="60022DF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b) </w:t>
            </w:r>
            <w:r w:rsidRPr="00081E30">
              <w:rPr>
                <w:rFonts w:ascii="Verdana" w:hAnsi="Verdana"/>
                <w:bCs/>
                <w:sz w:val="16"/>
                <w:szCs w:val="16"/>
              </w:rPr>
              <w:tab/>
              <w:t>Haber comprometido la adquisición de los equipos principales, o</w:t>
            </w:r>
          </w:p>
        </w:tc>
        <w:tc>
          <w:tcPr>
            <w:tcW w:w="4788" w:type="dxa"/>
            <w:shd w:val="clear" w:color="auto" w:fill="auto"/>
          </w:tcPr>
          <w:p w14:paraId="6A0B5A99" w14:textId="77DD8901"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b)</w:t>
            </w:r>
            <w:r w:rsidRPr="00081E30">
              <w:rPr>
                <w:rFonts w:ascii="Verdana" w:hAnsi="Verdana" w:cs="Times New Roman"/>
                <w:bCs/>
                <w:sz w:val="16"/>
                <w:szCs w:val="16"/>
                <w:lang w:val="en-US"/>
              </w:rPr>
              <w:t xml:space="preserve"> Have committed the acquisition of the main equipment, or               </w:t>
            </w:r>
          </w:p>
        </w:tc>
      </w:tr>
      <w:tr w:rsidR="002C5E29" w:rsidRPr="000A5335" w14:paraId="46714C05" w14:textId="509F8675" w:rsidTr="00081E30">
        <w:tc>
          <w:tcPr>
            <w:tcW w:w="4788" w:type="dxa"/>
            <w:shd w:val="clear" w:color="auto" w:fill="auto"/>
          </w:tcPr>
          <w:p w14:paraId="0D6DC02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2F61F68" w14:textId="08DDD71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A1CD3E1" w14:textId="071F97A6" w:rsidTr="00081E30">
        <w:tc>
          <w:tcPr>
            <w:tcW w:w="4788" w:type="dxa"/>
            <w:shd w:val="clear" w:color="auto" w:fill="auto"/>
          </w:tcPr>
          <w:p w14:paraId="037E29F8"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c) </w:t>
            </w:r>
            <w:r w:rsidRPr="00081E30">
              <w:rPr>
                <w:rFonts w:ascii="Verdana" w:hAnsi="Verdana"/>
                <w:bCs/>
                <w:sz w:val="16"/>
                <w:szCs w:val="16"/>
              </w:rPr>
              <w:tab/>
              <w:t>Haber erogado por lo menos el treinta por ciento de la inversión total requerida en el proyecto para la adquisición de activos fijos;</w:t>
            </w:r>
          </w:p>
        </w:tc>
        <w:tc>
          <w:tcPr>
            <w:tcW w:w="4788" w:type="dxa"/>
            <w:shd w:val="clear" w:color="auto" w:fill="auto"/>
          </w:tcPr>
          <w:p w14:paraId="62097DFD" w14:textId="41922ECE"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c)</w:t>
            </w:r>
            <w:r w:rsidRPr="00081E30">
              <w:rPr>
                <w:rFonts w:ascii="Verdana" w:hAnsi="Verdana" w:cs="Times New Roman"/>
                <w:bCs/>
                <w:sz w:val="16"/>
                <w:szCs w:val="16"/>
                <w:lang w:val="en-US"/>
              </w:rPr>
              <w:t xml:space="preserve"> Have paid at least thirty percent of the total investment required in the project for the acquisition of fixed assets;               </w:t>
            </w:r>
          </w:p>
        </w:tc>
      </w:tr>
      <w:tr w:rsidR="002C5E29" w:rsidRPr="000A5335" w14:paraId="1886A841" w14:textId="21334614" w:rsidTr="00081E30">
        <w:tc>
          <w:tcPr>
            <w:tcW w:w="4788" w:type="dxa"/>
            <w:shd w:val="clear" w:color="auto" w:fill="auto"/>
          </w:tcPr>
          <w:p w14:paraId="5EF92ED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71427B6" w14:textId="201A625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A7A3C21" w14:textId="6B443EAA" w:rsidTr="00081E30">
        <w:tc>
          <w:tcPr>
            <w:tcW w:w="4788" w:type="dxa"/>
            <w:shd w:val="clear" w:color="auto" w:fill="auto"/>
          </w:tcPr>
          <w:p w14:paraId="00F1774B" w14:textId="74DC62D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 documentación con la que acredite que cuenta con solvencia económica y capacidad técnica, administrativa y financiera necesarias para llevar a cabo las actividades de Exploración y Extracción del Gas Natural producido y contenido en la veta del carbón mineral;</w:t>
            </w:r>
          </w:p>
        </w:tc>
        <w:tc>
          <w:tcPr>
            <w:tcW w:w="4788" w:type="dxa"/>
            <w:shd w:val="clear" w:color="auto" w:fill="auto"/>
          </w:tcPr>
          <w:p w14:paraId="3424FFE3" w14:textId="34447F8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documentation proving that it has the economic solvency and technical, administrative and financial capacity necessary to carry out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 of the </w:t>
            </w:r>
            <w:r>
              <w:rPr>
                <w:rFonts w:ascii="Verdana" w:hAnsi="Verdana" w:cs="Times New Roman"/>
                <w:bCs/>
                <w:sz w:val="16"/>
                <w:szCs w:val="16"/>
                <w:lang w:val="en-US"/>
              </w:rPr>
              <w:t>n</w:t>
            </w:r>
            <w:r w:rsidRPr="00081E30">
              <w:rPr>
                <w:rFonts w:ascii="Verdana" w:hAnsi="Verdana" w:cs="Times New Roman"/>
                <w:bCs/>
                <w:sz w:val="16"/>
                <w:szCs w:val="16"/>
                <w:lang w:val="en-US"/>
              </w:rPr>
              <w:t xml:space="preserve">atural </w:t>
            </w:r>
            <w:r>
              <w:rPr>
                <w:rFonts w:ascii="Verdana" w:hAnsi="Verdana" w:cs="Times New Roman"/>
                <w:bCs/>
                <w:sz w:val="16"/>
                <w:szCs w:val="16"/>
                <w:lang w:val="en-US"/>
              </w:rPr>
              <w:t>g</w:t>
            </w:r>
            <w:r w:rsidRPr="00081E30">
              <w:rPr>
                <w:rFonts w:ascii="Verdana" w:hAnsi="Verdana" w:cs="Times New Roman"/>
                <w:bCs/>
                <w:sz w:val="16"/>
                <w:szCs w:val="16"/>
                <w:lang w:val="en-US"/>
              </w:rPr>
              <w:t>as produced and contained in the mineral coal seam;</w:t>
            </w:r>
          </w:p>
        </w:tc>
      </w:tr>
      <w:tr w:rsidR="002C5E29" w:rsidRPr="000A5335" w14:paraId="144C17A6" w14:textId="0A797252" w:rsidTr="00081E30">
        <w:tc>
          <w:tcPr>
            <w:tcW w:w="4788" w:type="dxa"/>
            <w:shd w:val="clear" w:color="auto" w:fill="auto"/>
          </w:tcPr>
          <w:p w14:paraId="4E61AD8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02378DF" w14:textId="6EFBEBB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4F6F6D0" w14:textId="1BE0EEFC" w:rsidTr="00081E30">
        <w:tc>
          <w:tcPr>
            <w:tcW w:w="4788" w:type="dxa"/>
            <w:shd w:val="clear" w:color="auto" w:fill="auto"/>
          </w:tcPr>
          <w:p w14:paraId="463406D5" w14:textId="2A4A6E7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El documento mediante el cual la Secretaría de Economía informe a la Secretaría sobre el cumplimiento del concesionario de las obligaciones correspondientes al título de concesión minera de que se trate, incluyendo las obligaciones establecidas en la Ley Federal de Derechos, así como la constancia de no tener anotaciones preventivas en libros del Registro Público de Minería por parte de autoridad jurisdiccional que limiten los derechos del concesionario;</w:t>
            </w:r>
          </w:p>
        </w:tc>
        <w:tc>
          <w:tcPr>
            <w:tcW w:w="4788" w:type="dxa"/>
            <w:shd w:val="clear" w:color="auto" w:fill="auto"/>
          </w:tcPr>
          <w:p w14:paraId="1F3D09A6" w14:textId="4515DEC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The document whereby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informs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about the concessionaire's compliance with the obligations corresponding to the mining concession title in question, including the obligations established in the </w:t>
            </w:r>
            <w:r>
              <w:rPr>
                <w:rFonts w:ascii="Verdana" w:hAnsi="Verdana" w:cs="Times New Roman"/>
                <w:bCs/>
                <w:sz w:val="16"/>
                <w:szCs w:val="16"/>
                <w:lang w:val="en-US"/>
              </w:rPr>
              <w:t>Federal Law of Fees</w:t>
            </w:r>
            <w:r w:rsidRPr="00081E30">
              <w:rPr>
                <w:rFonts w:ascii="Verdana" w:hAnsi="Verdana" w:cs="Times New Roman"/>
                <w:bCs/>
                <w:sz w:val="16"/>
                <w:szCs w:val="16"/>
                <w:lang w:val="en-US"/>
              </w:rPr>
              <w:t>, as well as proof of not have preventive annotations in books of the Public Mining Registry by the jurisdictional authority that limit the rights of the concessionaire;</w:t>
            </w:r>
          </w:p>
        </w:tc>
      </w:tr>
      <w:tr w:rsidR="002C5E29" w:rsidRPr="000A5335" w14:paraId="1945B699" w14:textId="03A7DF74" w:rsidTr="00081E30">
        <w:tc>
          <w:tcPr>
            <w:tcW w:w="4788" w:type="dxa"/>
            <w:shd w:val="clear" w:color="auto" w:fill="auto"/>
          </w:tcPr>
          <w:p w14:paraId="216776C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A3416D1" w14:textId="16E5752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AF4C921" w14:textId="1B5C3A2D" w:rsidTr="00081E30">
        <w:tc>
          <w:tcPr>
            <w:tcW w:w="4788" w:type="dxa"/>
            <w:shd w:val="clear" w:color="auto" w:fill="auto"/>
          </w:tcPr>
          <w:p w14:paraId="227AC56E" w14:textId="63460442"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V</w:t>
            </w:r>
            <w:r w:rsidRPr="00030FCB">
              <w:rPr>
                <w:rFonts w:ascii="Verdana" w:hAnsi="Verdana"/>
                <w:b/>
                <w:bCs/>
                <w:sz w:val="16"/>
                <w:szCs w:val="16"/>
              </w:rPr>
              <w:t>I.</w:t>
            </w:r>
            <w:r w:rsidRPr="00081E30">
              <w:rPr>
                <w:rFonts w:ascii="Verdana" w:hAnsi="Verdana"/>
                <w:bCs/>
                <w:sz w:val="16"/>
                <w:szCs w:val="16"/>
              </w:rPr>
              <w:t xml:space="preserve"> Los escenarios de precios utilizados, las características geológicas del área de la concesión minera, la información sobre la calidad del Gas Natural contenido en la veta de carbón mineral, la descripción de la infraestructura existente dentro y alrededor de la concesión minera, y</w:t>
            </w:r>
          </w:p>
        </w:tc>
        <w:tc>
          <w:tcPr>
            <w:tcW w:w="4788" w:type="dxa"/>
            <w:shd w:val="clear" w:color="auto" w:fill="auto"/>
          </w:tcPr>
          <w:p w14:paraId="3C30998E" w14:textId="3C5DC3FB"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price scenarios used, the geological characteristics of the mining concession area, the information on the quality of the </w:t>
            </w:r>
            <w:r>
              <w:rPr>
                <w:rFonts w:ascii="Verdana" w:hAnsi="Verdana" w:cs="Times New Roman"/>
                <w:bCs/>
                <w:sz w:val="16"/>
                <w:szCs w:val="16"/>
                <w:lang w:val="en-US"/>
              </w:rPr>
              <w:t>n</w:t>
            </w:r>
            <w:r w:rsidRPr="00081E30">
              <w:rPr>
                <w:rFonts w:ascii="Verdana" w:hAnsi="Verdana" w:cs="Times New Roman"/>
                <w:bCs/>
                <w:sz w:val="16"/>
                <w:szCs w:val="16"/>
                <w:lang w:val="en-US"/>
              </w:rPr>
              <w:t xml:space="preserve">atural </w:t>
            </w:r>
            <w:r>
              <w:rPr>
                <w:rFonts w:ascii="Verdana" w:hAnsi="Verdana" w:cs="Times New Roman"/>
                <w:bCs/>
                <w:sz w:val="16"/>
                <w:szCs w:val="16"/>
                <w:lang w:val="en-US"/>
              </w:rPr>
              <w:t>g</w:t>
            </w:r>
            <w:r w:rsidRPr="00081E30">
              <w:rPr>
                <w:rFonts w:ascii="Verdana" w:hAnsi="Verdana" w:cs="Times New Roman"/>
                <w:bCs/>
                <w:sz w:val="16"/>
                <w:szCs w:val="16"/>
                <w:lang w:val="en-US"/>
              </w:rPr>
              <w:t>as contained in the mineral coal seam, the description of the infrastructure existing in and around the mining concession, and</w:t>
            </w:r>
          </w:p>
        </w:tc>
      </w:tr>
      <w:tr w:rsidR="002C5E29" w:rsidRPr="000A5335" w14:paraId="2D8A5021" w14:textId="2F7FA1D2" w:rsidTr="00081E30">
        <w:tc>
          <w:tcPr>
            <w:tcW w:w="4788" w:type="dxa"/>
            <w:shd w:val="clear" w:color="auto" w:fill="auto"/>
          </w:tcPr>
          <w:p w14:paraId="7BD4CB5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6FC8D5" w14:textId="3E1BF78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276F0D0" w14:textId="31788186" w:rsidTr="00081E30">
        <w:tc>
          <w:tcPr>
            <w:tcW w:w="4788" w:type="dxa"/>
            <w:shd w:val="clear" w:color="auto" w:fill="auto"/>
          </w:tcPr>
          <w:p w14:paraId="2E30D563" w14:textId="25CD4C3E"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V</w:t>
            </w:r>
            <w:r w:rsidRPr="00030FCB">
              <w:rPr>
                <w:rFonts w:ascii="Verdana" w:hAnsi="Verdana"/>
                <w:b/>
                <w:bCs/>
                <w:sz w:val="16"/>
                <w:szCs w:val="16"/>
              </w:rPr>
              <w:t>I.</w:t>
            </w:r>
            <w:r w:rsidRPr="00081E30">
              <w:rPr>
                <w:rFonts w:ascii="Verdana" w:hAnsi="Verdana"/>
                <w:bCs/>
                <w:sz w:val="16"/>
                <w:szCs w:val="16"/>
              </w:rPr>
              <w:t xml:space="preserve"> Los demás que determine la Secretaría mediante disposiciones administrativas.</w:t>
            </w:r>
          </w:p>
        </w:tc>
        <w:tc>
          <w:tcPr>
            <w:tcW w:w="4788" w:type="dxa"/>
            <w:shd w:val="clear" w:color="auto" w:fill="auto"/>
          </w:tcPr>
          <w:p w14:paraId="770DCBF7" w14:textId="2DD06CB6"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others determined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through administrative provisions.</w:t>
            </w:r>
          </w:p>
        </w:tc>
      </w:tr>
      <w:tr w:rsidR="002C5E29" w:rsidRPr="000A5335" w14:paraId="6CF8354D" w14:textId="6756BE36" w:rsidTr="00081E30">
        <w:tc>
          <w:tcPr>
            <w:tcW w:w="4788" w:type="dxa"/>
            <w:shd w:val="clear" w:color="auto" w:fill="auto"/>
          </w:tcPr>
          <w:p w14:paraId="480117B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5CC04A6" w14:textId="2BF4F1D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DC4AE64" w14:textId="7EDAFE69" w:rsidTr="00081E30">
        <w:tc>
          <w:tcPr>
            <w:tcW w:w="4788" w:type="dxa"/>
            <w:shd w:val="clear" w:color="auto" w:fill="auto"/>
          </w:tcPr>
          <w:p w14:paraId="0921B90C" w14:textId="77777777"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Artículo 52.-</w:t>
            </w:r>
            <w:r w:rsidRPr="00081E30">
              <w:rPr>
                <w:rFonts w:ascii="Verdana" w:hAnsi="Verdana"/>
                <w:bCs/>
                <w:sz w:val="16"/>
                <w:szCs w:val="16"/>
              </w:rPr>
              <w:t xml:space="preserve"> La Secretaría resolverá la solicitud de adjudicación directa de conformidad con el procedimiento siguiente:</w:t>
            </w:r>
          </w:p>
        </w:tc>
        <w:tc>
          <w:tcPr>
            <w:tcW w:w="4788" w:type="dxa"/>
            <w:shd w:val="clear" w:color="auto" w:fill="auto"/>
          </w:tcPr>
          <w:p w14:paraId="325F057F" w14:textId="6CD30F99"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Article 52.-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resolve the request for direct adjudication in accordance with the following procedure:</w:t>
            </w:r>
          </w:p>
        </w:tc>
      </w:tr>
      <w:tr w:rsidR="002C5E29" w:rsidRPr="000A5335" w14:paraId="4CCAF44D" w14:textId="02629CA7" w:rsidTr="00081E30">
        <w:tc>
          <w:tcPr>
            <w:tcW w:w="4788" w:type="dxa"/>
            <w:shd w:val="clear" w:color="auto" w:fill="auto"/>
          </w:tcPr>
          <w:p w14:paraId="2D63128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C205909" w14:textId="3A89992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E65B1AD" w14:textId="200461C0" w:rsidTr="00081E30">
        <w:tc>
          <w:tcPr>
            <w:tcW w:w="4788" w:type="dxa"/>
            <w:shd w:val="clear" w:color="auto" w:fill="auto"/>
          </w:tcPr>
          <w:p w14:paraId="210B0258" w14:textId="55EB63C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En un plazo de cinco días hábiles contado a partir de la recepción de la solicitud, remitirá ésta a la Comisión para la emisión de su opinión técnica sobre la procedencia de otorgar el Contrato para la Exploración y Extracción respectivo;</w:t>
            </w:r>
          </w:p>
        </w:tc>
        <w:tc>
          <w:tcPr>
            <w:tcW w:w="4788" w:type="dxa"/>
            <w:shd w:val="clear" w:color="auto" w:fill="auto"/>
          </w:tcPr>
          <w:p w14:paraId="6326C50F" w14:textId="14C797A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Within a period of five business days from the receipt of the request, it will send it to the Commission for the issuance of its technical opinion on the appropriateness of granting the respective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t>
            </w:r>
            <w:r>
              <w:rPr>
                <w:rFonts w:ascii="Verdana" w:hAnsi="Verdana" w:cs="Times New Roman"/>
                <w:bCs/>
                <w:sz w:val="16"/>
                <w:szCs w:val="16"/>
                <w:lang w:val="en-US"/>
              </w:rPr>
              <w:t>c</w:t>
            </w:r>
            <w:r w:rsidRPr="00081E30">
              <w:rPr>
                <w:rFonts w:ascii="Verdana" w:hAnsi="Verdana" w:cs="Times New Roman"/>
                <w:bCs/>
                <w:sz w:val="16"/>
                <w:szCs w:val="16"/>
                <w:lang w:val="en-US"/>
              </w:rPr>
              <w:t>ontract;</w:t>
            </w:r>
          </w:p>
        </w:tc>
      </w:tr>
      <w:tr w:rsidR="002C5E29" w:rsidRPr="000A5335" w14:paraId="592C03DC" w14:textId="6162C722" w:rsidTr="00081E30">
        <w:tc>
          <w:tcPr>
            <w:tcW w:w="4788" w:type="dxa"/>
            <w:shd w:val="clear" w:color="auto" w:fill="auto"/>
          </w:tcPr>
          <w:p w14:paraId="5E5E0D2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57E58C4" w14:textId="544B665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85DC67" w14:textId="7B2022E1" w:rsidTr="00081E30">
        <w:tc>
          <w:tcPr>
            <w:tcW w:w="4788" w:type="dxa"/>
            <w:shd w:val="clear" w:color="auto" w:fill="auto"/>
          </w:tcPr>
          <w:p w14:paraId="089CF594" w14:textId="1CC8BF4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Comisión contará con un plazo de quince días hábiles para remitir a la Secretaría la opinión técnica sobre la procedencia de la solicitud, contado a partir de la recepción de la misma, y</w:t>
            </w:r>
          </w:p>
        </w:tc>
        <w:tc>
          <w:tcPr>
            <w:tcW w:w="4788" w:type="dxa"/>
            <w:shd w:val="clear" w:color="auto" w:fill="auto"/>
          </w:tcPr>
          <w:p w14:paraId="1AE6FD1D" w14:textId="2539FFC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Commission will have a period of fifteen business days to send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technical opinion on the origin of the request, counted from the receipt of the request, and</w:t>
            </w:r>
          </w:p>
        </w:tc>
      </w:tr>
      <w:tr w:rsidR="002C5E29" w:rsidRPr="000A5335" w14:paraId="47C8B215" w14:textId="2A890040" w:rsidTr="00081E30">
        <w:tc>
          <w:tcPr>
            <w:tcW w:w="4788" w:type="dxa"/>
            <w:shd w:val="clear" w:color="auto" w:fill="auto"/>
          </w:tcPr>
          <w:p w14:paraId="1265004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4DB725C" w14:textId="5C12620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5675689" w14:textId="51BF2ED4" w:rsidTr="00081E30">
        <w:tc>
          <w:tcPr>
            <w:tcW w:w="4788" w:type="dxa"/>
            <w:shd w:val="clear" w:color="auto" w:fill="auto"/>
          </w:tcPr>
          <w:p w14:paraId="7964A6FE" w14:textId="4A72003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Secretaría notificará al concesionario minero la resolución sobre la procedencia de su solicitud en un plazo de cinco días hábiles contado a partir de la </w:t>
            </w:r>
            <w:r w:rsidRPr="00081E30">
              <w:rPr>
                <w:rFonts w:ascii="Verdana" w:hAnsi="Verdana"/>
                <w:bCs/>
                <w:sz w:val="16"/>
                <w:szCs w:val="16"/>
              </w:rPr>
              <w:lastRenderedPageBreak/>
              <w:t>recepción de la opinión técnica que emita la Comisión y, en caso de ser favorable, sobre el inicio del proceso para definir el Modelo de Contratación, los Términos y Condiciones Técnicos y las Condiciones Económicas Relativas a los Términos Fiscales, de conformidad con el artículo siguiente.</w:t>
            </w:r>
          </w:p>
        </w:tc>
        <w:tc>
          <w:tcPr>
            <w:tcW w:w="4788" w:type="dxa"/>
            <w:shd w:val="clear" w:color="auto" w:fill="auto"/>
          </w:tcPr>
          <w:p w14:paraId="2E745B13" w14:textId="47739DA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lastRenderedPageBreak/>
              <w:t>III.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notify the mining concessionaire of the resolution on the origin of its request within a period of five business days from the receipt of the </w:t>
            </w:r>
            <w:r w:rsidRPr="00081E30">
              <w:rPr>
                <w:rFonts w:ascii="Verdana" w:hAnsi="Verdana" w:cs="Times New Roman"/>
                <w:bCs/>
                <w:sz w:val="16"/>
                <w:szCs w:val="16"/>
                <w:lang w:val="en-US"/>
              </w:rPr>
              <w:lastRenderedPageBreak/>
              <w:t>technical opinion issued by the Commission and, if favorable, on the start of the process to define the contracting model, the technical terms and conditions and the economic conditions relating to the fiscal terms, in accordance with the following article.</w:t>
            </w:r>
          </w:p>
        </w:tc>
      </w:tr>
      <w:tr w:rsidR="002C5E29" w:rsidRPr="000A5335" w14:paraId="3A9ED420" w14:textId="40D6BC7F" w:rsidTr="00081E30">
        <w:tc>
          <w:tcPr>
            <w:tcW w:w="4788" w:type="dxa"/>
            <w:shd w:val="clear" w:color="auto" w:fill="auto"/>
          </w:tcPr>
          <w:p w14:paraId="086F8DC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90A30C0" w14:textId="7B28F4D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1AEA965" w14:textId="66FCFCB4" w:rsidTr="00081E30">
        <w:tc>
          <w:tcPr>
            <w:tcW w:w="4788" w:type="dxa"/>
            <w:shd w:val="clear" w:color="auto" w:fill="auto"/>
          </w:tcPr>
          <w:p w14:paraId="7A3C9861" w14:textId="77777777"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Artículo 53.-</w:t>
            </w:r>
            <w:r w:rsidRPr="00081E30">
              <w:rPr>
                <w:rFonts w:ascii="Verdana" w:hAnsi="Verdana"/>
                <w:bCs/>
                <w:sz w:val="16"/>
                <w:szCs w:val="16"/>
              </w:rPr>
              <w:t xml:space="preserve"> En caso de ser procedente la adjudicación directa de un Contrato para la Exploración y Extracción de Gas Natural asociado a una mina de carbón a que se refiere el artículo anterior, se estará a lo siguiente:</w:t>
            </w:r>
          </w:p>
        </w:tc>
        <w:tc>
          <w:tcPr>
            <w:tcW w:w="4788" w:type="dxa"/>
            <w:shd w:val="clear" w:color="auto" w:fill="auto"/>
          </w:tcPr>
          <w:p w14:paraId="1277861F" w14:textId="48B1786D"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Article 53.-</w:t>
            </w:r>
            <w:r w:rsidRPr="00081E30">
              <w:rPr>
                <w:rFonts w:ascii="Verdana" w:hAnsi="Verdana" w:cs="Times New Roman"/>
                <w:bCs/>
                <w:sz w:val="16"/>
                <w:szCs w:val="16"/>
                <w:lang w:val="en-US"/>
              </w:rPr>
              <w:t xml:space="preserve"> If the direct award of a Contract for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of </w:t>
            </w:r>
            <w:r>
              <w:rPr>
                <w:rFonts w:ascii="Verdana" w:hAnsi="Verdana" w:cs="Times New Roman"/>
                <w:bCs/>
                <w:sz w:val="16"/>
                <w:szCs w:val="16"/>
                <w:lang w:val="en-US"/>
              </w:rPr>
              <w:t>n</w:t>
            </w:r>
            <w:r w:rsidRPr="00081E30">
              <w:rPr>
                <w:rFonts w:ascii="Verdana" w:hAnsi="Verdana" w:cs="Times New Roman"/>
                <w:bCs/>
                <w:sz w:val="16"/>
                <w:szCs w:val="16"/>
                <w:lang w:val="en-US"/>
              </w:rPr>
              <w:t xml:space="preserve">atural </w:t>
            </w:r>
            <w:r>
              <w:rPr>
                <w:rFonts w:ascii="Verdana" w:hAnsi="Verdana" w:cs="Times New Roman"/>
                <w:bCs/>
                <w:sz w:val="16"/>
                <w:szCs w:val="16"/>
                <w:lang w:val="en-US"/>
              </w:rPr>
              <w:t>g</w:t>
            </w:r>
            <w:r w:rsidRPr="00081E30">
              <w:rPr>
                <w:rFonts w:ascii="Verdana" w:hAnsi="Verdana" w:cs="Times New Roman"/>
                <w:bCs/>
                <w:sz w:val="16"/>
                <w:szCs w:val="16"/>
                <w:lang w:val="en-US"/>
              </w:rPr>
              <w:t xml:space="preserve">as associated with a coal mine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is appropriate, the following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apply:</w:t>
            </w:r>
          </w:p>
        </w:tc>
      </w:tr>
      <w:tr w:rsidR="002C5E29" w:rsidRPr="000A5335" w14:paraId="6EE4D46F" w14:textId="0E6108FD" w:rsidTr="00081E30">
        <w:tc>
          <w:tcPr>
            <w:tcW w:w="4788" w:type="dxa"/>
            <w:shd w:val="clear" w:color="auto" w:fill="auto"/>
          </w:tcPr>
          <w:p w14:paraId="24A5276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BA28E74" w14:textId="4143610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D1BE36" w14:textId="663FC8FC" w:rsidTr="00081E30">
        <w:tc>
          <w:tcPr>
            <w:tcW w:w="4788" w:type="dxa"/>
            <w:shd w:val="clear" w:color="auto" w:fill="auto"/>
          </w:tcPr>
          <w:p w14:paraId="5BB6A481" w14:textId="3E24C95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Secretaría remitirá a la Secretaría de Hacienda y Crédito Público y a la Comisión, en un plazo de quince días hábiles, la solicitud de adjudicación directa completa, la resolución de la procedencia de la adjudicación directa, la propuesta de Modelo de Contratación que corresponderá al Área Contractual y la información soporte que se determine en los convenios de coordinación que al efecto suscriban dichas dependencias.</w:t>
            </w:r>
          </w:p>
        </w:tc>
        <w:tc>
          <w:tcPr>
            <w:tcW w:w="4788" w:type="dxa"/>
            <w:shd w:val="clear" w:color="auto" w:fill="auto"/>
          </w:tcPr>
          <w:p w14:paraId="380E6B60" w14:textId="144E913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send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to the Commission, within a period of fifteen working days, the request for complete direct adjudication, the resolution of the provenance of the direct adjudication, the proposal for the procurement model that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correspond to the contract area and the support information determined in the coordination agreements signed by said agencies.</w:t>
            </w:r>
          </w:p>
        </w:tc>
      </w:tr>
      <w:tr w:rsidR="002C5E29" w:rsidRPr="000A5335" w14:paraId="0F107EC4" w14:textId="1C3A1712" w:rsidTr="00081E30">
        <w:tc>
          <w:tcPr>
            <w:tcW w:w="4788" w:type="dxa"/>
            <w:shd w:val="clear" w:color="auto" w:fill="auto"/>
          </w:tcPr>
          <w:p w14:paraId="717ACCD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B93D52B" w14:textId="0314288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BBB1562" w14:textId="7165C555" w:rsidTr="00081E30">
        <w:tc>
          <w:tcPr>
            <w:tcW w:w="4788" w:type="dxa"/>
            <w:shd w:val="clear" w:color="auto" w:fill="auto"/>
          </w:tcPr>
          <w:p w14:paraId="06DBDD0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 Hacienda y Crédito Público y la Comisión emitirán su opinión sobre la propuesta de Modelo de Contratación, en un plazo de cinco días hábiles;</w:t>
            </w:r>
          </w:p>
        </w:tc>
        <w:tc>
          <w:tcPr>
            <w:tcW w:w="4788" w:type="dxa"/>
            <w:shd w:val="clear" w:color="auto" w:fill="auto"/>
          </w:tcPr>
          <w:p w14:paraId="685051AD" w14:textId="30D2B84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Commission will issue their opinion 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rocurement </w:t>
            </w:r>
            <w:r>
              <w:rPr>
                <w:rFonts w:ascii="Verdana" w:hAnsi="Verdana" w:cs="Times New Roman"/>
                <w:bCs/>
                <w:sz w:val="16"/>
                <w:szCs w:val="16"/>
                <w:lang w:val="en-US"/>
              </w:rPr>
              <w:t>m</w:t>
            </w:r>
            <w:r w:rsidRPr="00081E30">
              <w:rPr>
                <w:rFonts w:ascii="Verdana" w:hAnsi="Verdana" w:cs="Times New Roman"/>
                <w:bCs/>
                <w:sz w:val="16"/>
                <w:szCs w:val="16"/>
                <w:lang w:val="en-US"/>
              </w:rPr>
              <w:t>odel proposal, within five business days;</w:t>
            </w:r>
          </w:p>
        </w:tc>
      </w:tr>
      <w:tr w:rsidR="002C5E29" w:rsidRPr="000A5335" w14:paraId="387492C3" w14:textId="6C5A472A" w:rsidTr="00081E30">
        <w:tc>
          <w:tcPr>
            <w:tcW w:w="4788" w:type="dxa"/>
            <w:shd w:val="clear" w:color="auto" w:fill="auto"/>
          </w:tcPr>
          <w:p w14:paraId="1330212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E6916FC" w14:textId="6B39F3A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5727EAB" w14:textId="00A39DCA" w:rsidTr="00081E30">
        <w:tc>
          <w:tcPr>
            <w:tcW w:w="4788" w:type="dxa"/>
            <w:shd w:val="clear" w:color="auto" w:fill="auto"/>
          </w:tcPr>
          <w:p w14:paraId="6B2F0227" w14:textId="133F794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Determinado el Modelo de Contratación, la Secretaría contará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 y</w:t>
            </w:r>
          </w:p>
        </w:tc>
        <w:tc>
          <w:tcPr>
            <w:tcW w:w="4788" w:type="dxa"/>
            <w:shd w:val="clear" w:color="auto" w:fill="auto"/>
          </w:tcPr>
          <w:p w14:paraId="1FE8F280" w14:textId="218D7EC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Once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has been determined,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have a period of twenty working days to determine the technical terms and conditions and request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to establish the economic conditions related to the fiscal terms in accordance with </w:t>
            </w:r>
            <w:r>
              <w:rPr>
                <w:rFonts w:ascii="Verdana" w:hAnsi="Verdana"/>
                <w:bCs/>
                <w:sz w:val="16"/>
                <w:szCs w:val="16"/>
                <w:lang w:val="en-US"/>
              </w:rPr>
              <w:t>the Law of Income from Hydrocarbons and its Regulation, and</w:t>
            </w:r>
          </w:p>
        </w:tc>
      </w:tr>
      <w:tr w:rsidR="002C5E29" w:rsidRPr="000A5335" w14:paraId="7863D337" w14:textId="46ABE11B" w:rsidTr="00081E30">
        <w:tc>
          <w:tcPr>
            <w:tcW w:w="4788" w:type="dxa"/>
            <w:shd w:val="clear" w:color="auto" w:fill="auto"/>
          </w:tcPr>
          <w:p w14:paraId="14721A3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AE7AE86" w14:textId="46525D8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E4C549" w14:textId="351F2771" w:rsidTr="00081E30">
        <w:tc>
          <w:tcPr>
            <w:tcW w:w="4788" w:type="dxa"/>
            <w:shd w:val="clear" w:color="auto" w:fill="auto"/>
          </w:tcPr>
          <w:p w14:paraId="28AAEA21" w14:textId="629A384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Concluido lo anterior, la Secretaría enviará a la Comisión la información necesaria para la suscripción del Contrato para la Exploración y Extracción de Gas Natural asociado a una mina de carbón, en un plazo de cinco días hábiles a efecto de que la Comisión inicie la formalización del mismo.</w:t>
            </w:r>
          </w:p>
        </w:tc>
        <w:tc>
          <w:tcPr>
            <w:tcW w:w="4788" w:type="dxa"/>
            <w:shd w:val="clear" w:color="auto" w:fill="auto"/>
          </w:tcPr>
          <w:p w14:paraId="0738EEF3" w14:textId="21EA35F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Once the above is concluded,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send the Commission the necessary information for the subscription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of </w:t>
            </w:r>
            <w:r>
              <w:rPr>
                <w:rFonts w:ascii="Verdana" w:hAnsi="Verdana" w:cs="Times New Roman"/>
                <w:bCs/>
                <w:sz w:val="16"/>
                <w:szCs w:val="16"/>
                <w:lang w:val="en-US"/>
              </w:rPr>
              <w:t>n</w:t>
            </w:r>
            <w:r w:rsidRPr="00081E30">
              <w:rPr>
                <w:rFonts w:ascii="Verdana" w:hAnsi="Verdana" w:cs="Times New Roman"/>
                <w:bCs/>
                <w:sz w:val="16"/>
                <w:szCs w:val="16"/>
                <w:lang w:val="en-US"/>
              </w:rPr>
              <w:t xml:space="preserve">atural </w:t>
            </w:r>
            <w:r>
              <w:rPr>
                <w:rFonts w:ascii="Verdana" w:hAnsi="Verdana" w:cs="Times New Roman"/>
                <w:bCs/>
                <w:sz w:val="16"/>
                <w:szCs w:val="16"/>
                <w:lang w:val="en-US"/>
              </w:rPr>
              <w:t>g</w:t>
            </w:r>
            <w:r w:rsidRPr="00081E30">
              <w:rPr>
                <w:rFonts w:ascii="Verdana" w:hAnsi="Verdana" w:cs="Times New Roman"/>
                <w:bCs/>
                <w:sz w:val="16"/>
                <w:szCs w:val="16"/>
                <w:lang w:val="en-US"/>
              </w:rPr>
              <w:t>as associated with a coal mine, within a period of five working days for the Commission to initiate the formalization of the same.</w:t>
            </w:r>
            <w:r>
              <w:rPr>
                <w:rFonts w:ascii="Verdana" w:hAnsi="Verdana" w:cs="Times New Roman"/>
                <w:bCs/>
                <w:sz w:val="16"/>
                <w:szCs w:val="16"/>
                <w:lang w:val="en-US"/>
              </w:rPr>
              <w:t xml:space="preserve"> </w:t>
            </w:r>
          </w:p>
        </w:tc>
      </w:tr>
      <w:tr w:rsidR="002C5E29" w:rsidRPr="000A5335" w14:paraId="064084CC" w14:textId="2E338C09" w:rsidTr="00081E30">
        <w:tc>
          <w:tcPr>
            <w:tcW w:w="4788" w:type="dxa"/>
            <w:shd w:val="clear" w:color="auto" w:fill="auto"/>
          </w:tcPr>
          <w:p w14:paraId="46715E6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90121C" w14:textId="437CC6F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69D0BCB5" w14:textId="541371AB" w:rsidTr="00081E30">
        <w:tc>
          <w:tcPr>
            <w:tcW w:w="4788" w:type="dxa"/>
            <w:shd w:val="clear" w:color="auto" w:fill="auto"/>
          </w:tcPr>
          <w:p w14:paraId="7433299F" w14:textId="77777777" w:rsidR="002C5E29" w:rsidRPr="001C18BE" w:rsidRDefault="002C5E29" w:rsidP="002C5E29">
            <w:pPr>
              <w:pStyle w:val="ANOTACION"/>
              <w:spacing w:before="0" w:after="0" w:line="240" w:lineRule="auto"/>
              <w:rPr>
                <w:rFonts w:ascii="Verdana" w:hAnsi="Verdana" w:cs="Arial"/>
                <w:sz w:val="16"/>
                <w:szCs w:val="16"/>
              </w:rPr>
            </w:pPr>
            <w:r w:rsidRPr="001C18BE">
              <w:rPr>
                <w:rFonts w:ascii="Verdana" w:hAnsi="Verdana" w:cs="Arial"/>
                <w:sz w:val="16"/>
                <w:szCs w:val="16"/>
              </w:rPr>
              <w:t>Sección Séptima</w:t>
            </w:r>
          </w:p>
        </w:tc>
        <w:tc>
          <w:tcPr>
            <w:tcW w:w="4788" w:type="dxa"/>
            <w:shd w:val="clear" w:color="auto" w:fill="auto"/>
          </w:tcPr>
          <w:p w14:paraId="08FCA17D" w14:textId="24E8F25B" w:rsidR="002C5E29" w:rsidRPr="001C18BE" w:rsidRDefault="002C5E29" w:rsidP="002C5E29">
            <w:pPr>
              <w:pStyle w:val="ANOTACION"/>
              <w:spacing w:before="0" w:after="0" w:line="240" w:lineRule="auto"/>
              <w:rPr>
                <w:rFonts w:ascii="Verdana" w:hAnsi="Verdana" w:cs="Arial"/>
                <w:sz w:val="16"/>
                <w:szCs w:val="16"/>
                <w:lang w:val="en-US"/>
              </w:rPr>
            </w:pPr>
            <w:r w:rsidRPr="001C18BE">
              <w:rPr>
                <w:rFonts w:ascii="Verdana" w:hAnsi="Verdana"/>
                <w:sz w:val="16"/>
                <w:szCs w:val="16"/>
                <w:lang w:val="en-US"/>
              </w:rPr>
              <w:t>Seventh Section</w:t>
            </w:r>
          </w:p>
        </w:tc>
      </w:tr>
      <w:tr w:rsidR="002C5E29" w:rsidRPr="000A5335" w14:paraId="6050B036" w14:textId="5ECBEF42" w:rsidTr="00081E30">
        <w:tc>
          <w:tcPr>
            <w:tcW w:w="4788" w:type="dxa"/>
            <w:shd w:val="clear" w:color="auto" w:fill="auto"/>
          </w:tcPr>
          <w:p w14:paraId="07E46704" w14:textId="77777777" w:rsidR="002C5E29" w:rsidRPr="001C18BE" w:rsidRDefault="002C5E29" w:rsidP="002C5E29">
            <w:pPr>
              <w:pStyle w:val="ANOTACION"/>
              <w:spacing w:before="0" w:after="0" w:line="240" w:lineRule="auto"/>
              <w:rPr>
                <w:rFonts w:ascii="Verdana" w:hAnsi="Verdana" w:cs="Arial"/>
                <w:sz w:val="16"/>
                <w:szCs w:val="16"/>
              </w:rPr>
            </w:pPr>
            <w:r w:rsidRPr="001C18BE">
              <w:rPr>
                <w:rFonts w:ascii="Verdana" w:hAnsi="Verdana" w:cs="Arial"/>
                <w:sz w:val="16"/>
                <w:szCs w:val="16"/>
              </w:rPr>
              <w:t>De la Coexistencia de las Asignaciones y de los Contratos para la Exploración y Extracción con las Concesiones Mineras</w:t>
            </w:r>
          </w:p>
        </w:tc>
        <w:tc>
          <w:tcPr>
            <w:tcW w:w="4788" w:type="dxa"/>
            <w:shd w:val="clear" w:color="auto" w:fill="auto"/>
          </w:tcPr>
          <w:p w14:paraId="50A68F51" w14:textId="28D596A3" w:rsidR="002C5E29" w:rsidRPr="001C18BE"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1C18BE">
              <w:rPr>
                <w:rFonts w:ascii="Verdana" w:hAnsi="Verdana"/>
                <w:sz w:val="16"/>
                <w:szCs w:val="16"/>
                <w:lang w:val="en-US"/>
              </w:rPr>
              <w:t xml:space="preserve"> Coexistence </w:t>
            </w:r>
            <w:r>
              <w:rPr>
                <w:rFonts w:ascii="Verdana" w:hAnsi="Verdana"/>
                <w:sz w:val="16"/>
                <w:szCs w:val="16"/>
                <w:lang w:val="en-US"/>
              </w:rPr>
              <w:t>the Assignments</w:t>
            </w:r>
            <w:r w:rsidRPr="001C18BE">
              <w:rPr>
                <w:rFonts w:ascii="Verdana" w:hAnsi="Verdana"/>
                <w:sz w:val="16"/>
                <w:szCs w:val="16"/>
                <w:lang w:val="en-US"/>
              </w:rPr>
              <w:t xml:space="preserve"> and </w:t>
            </w:r>
            <w:r>
              <w:rPr>
                <w:rFonts w:ascii="Verdana" w:hAnsi="Verdana"/>
                <w:sz w:val="16"/>
                <w:szCs w:val="16"/>
                <w:lang w:val="en-US"/>
              </w:rPr>
              <w:t>C</w:t>
            </w:r>
            <w:r w:rsidRPr="001C18BE">
              <w:rPr>
                <w:rFonts w:ascii="Verdana" w:hAnsi="Verdana"/>
                <w:sz w:val="16"/>
                <w:szCs w:val="16"/>
                <w:lang w:val="en-US"/>
              </w:rPr>
              <w:t xml:space="preserve">ontracts for </w:t>
            </w:r>
            <w:r>
              <w:rPr>
                <w:rFonts w:ascii="Verdana" w:hAnsi="Verdana"/>
                <w:sz w:val="16"/>
                <w:szCs w:val="16"/>
                <w:lang w:val="en-US"/>
              </w:rPr>
              <w:t>E</w:t>
            </w:r>
            <w:r w:rsidRPr="001C18BE">
              <w:rPr>
                <w:rFonts w:ascii="Verdana" w:hAnsi="Verdana"/>
                <w:sz w:val="16"/>
                <w:szCs w:val="16"/>
                <w:lang w:val="en-US"/>
              </w:rPr>
              <w:t xml:space="preserve">xploration and </w:t>
            </w:r>
            <w:r>
              <w:rPr>
                <w:rFonts w:ascii="Verdana" w:hAnsi="Verdana"/>
                <w:sz w:val="16"/>
                <w:szCs w:val="16"/>
                <w:lang w:val="en-US"/>
              </w:rPr>
              <w:t>E</w:t>
            </w:r>
            <w:r w:rsidRPr="001C18BE">
              <w:rPr>
                <w:rFonts w:ascii="Verdana" w:hAnsi="Verdana"/>
                <w:sz w:val="16"/>
                <w:szCs w:val="16"/>
                <w:lang w:val="en-US"/>
              </w:rPr>
              <w:t>xtraction with Mining Concessions</w:t>
            </w:r>
          </w:p>
        </w:tc>
      </w:tr>
      <w:tr w:rsidR="002C5E29" w:rsidRPr="000A5335" w14:paraId="0F3D1202" w14:textId="20D4F630" w:rsidTr="00081E30">
        <w:tc>
          <w:tcPr>
            <w:tcW w:w="4788" w:type="dxa"/>
            <w:shd w:val="clear" w:color="auto" w:fill="auto"/>
          </w:tcPr>
          <w:p w14:paraId="1284E475"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24F54829" w14:textId="613D0B79"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4492FF" w14:textId="70DE13A0" w:rsidTr="00081E30">
        <w:tc>
          <w:tcPr>
            <w:tcW w:w="4788" w:type="dxa"/>
            <w:shd w:val="clear" w:color="auto" w:fill="auto"/>
          </w:tcPr>
          <w:p w14:paraId="34E87E5D" w14:textId="77777777"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Artículo 54.-</w:t>
            </w:r>
            <w:r w:rsidRPr="00081E30">
              <w:rPr>
                <w:rFonts w:ascii="Verdana" w:hAnsi="Verdana"/>
                <w:bCs/>
                <w:sz w:val="16"/>
                <w:szCs w:val="16"/>
              </w:rPr>
              <w:t xml:space="preserve"> Para efectos de lo dispuesto en los párrafos quinto y sexto del artículo 27 de la Ley, el Contratista o Asignatario, según corresponda, deberá iniciar las negociaciones con el concesionario minero en un plazo de cuarenta y cinco días hábiles contado a partir de la fecha en que se haya suscrito el Contrato para la Exploración y Extracción o se haya otorgado la Asignación. En ese mismo plazo deberá notificar a la Comisión el inicio de las negociaciones.</w:t>
            </w:r>
          </w:p>
        </w:tc>
        <w:tc>
          <w:tcPr>
            <w:tcW w:w="4788" w:type="dxa"/>
            <w:shd w:val="clear" w:color="auto" w:fill="auto"/>
          </w:tcPr>
          <w:p w14:paraId="12A3CCF3" w14:textId="64062A9E"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Article 54.-</w:t>
            </w:r>
            <w:r w:rsidRPr="00081E30">
              <w:rPr>
                <w:rFonts w:ascii="Verdana" w:hAnsi="Verdana" w:cs="Times New Roman"/>
                <w:bCs/>
                <w:sz w:val="16"/>
                <w:szCs w:val="16"/>
                <w:lang w:val="en-US"/>
              </w:rPr>
              <w:t xml:space="preserve"> For the purposes of the provisions of the fifth and sixth paragraphs of article 27 of the Law,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as appropriate,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begin negotiations with the mining concessionaire within a term of forty-five business days counted from the date on which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has been signed or the </w:t>
            </w:r>
            <w:r>
              <w:rPr>
                <w:rFonts w:ascii="Verdana" w:hAnsi="Verdana" w:cs="Times New Roman"/>
                <w:bCs/>
                <w:sz w:val="16"/>
                <w:szCs w:val="16"/>
                <w:lang w:val="en-US"/>
              </w:rPr>
              <w:t>a</w:t>
            </w:r>
            <w:r w:rsidRPr="00081E30">
              <w:rPr>
                <w:rFonts w:ascii="Verdana" w:hAnsi="Verdana" w:cs="Times New Roman"/>
                <w:bCs/>
                <w:sz w:val="16"/>
                <w:szCs w:val="16"/>
                <w:lang w:val="en-US"/>
              </w:rPr>
              <w:t>ssignment has been granted. In the same period, the Commission must notify the beginning of the negotiations.</w:t>
            </w:r>
          </w:p>
        </w:tc>
      </w:tr>
      <w:tr w:rsidR="002C5E29" w:rsidRPr="000A5335" w14:paraId="5A730E94" w14:textId="30FA4871" w:rsidTr="00081E30">
        <w:tc>
          <w:tcPr>
            <w:tcW w:w="4788" w:type="dxa"/>
            <w:shd w:val="clear" w:color="auto" w:fill="auto"/>
          </w:tcPr>
          <w:p w14:paraId="1FC818F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CB9D971" w14:textId="2FF45C2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25CCBEE" w14:textId="50D774FA" w:rsidTr="00081E30">
        <w:tc>
          <w:tcPr>
            <w:tcW w:w="4788" w:type="dxa"/>
            <w:shd w:val="clear" w:color="auto" w:fill="auto"/>
          </w:tcPr>
          <w:p w14:paraId="0B0322DA" w14:textId="77777777"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Artículo 55.-</w:t>
            </w:r>
            <w:r w:rsidRPr="00081E30">
              <w:rPr>
                <w:rFonts w:ascii="Verdana" w:hAnsi="Verdana"/>
                <w:bCs/>
                <w:sz w:val="16"/>
                <w:szCs w:val="16"/>
              </w:rPr>
              <w:t xml:space="preserve"> Si como resultado de las negociaciones a que se refiere el artículo anterior, el Contratista o Asignatario y el concesionario minero hubieren llegado a un acuerdo que permita el desarrollo del Contrato de Exploración y Extracción o de la Asignación, el Contratista o Asignatario deberá dar aviso a la Comisión de dicho acuerdo, en un plazo de quince días hábiles posteriores a la fecha de su suscripción.</w:t>
            </w:r>
          </w:p>
        </w:tc>
        <w:tc>
          <w:tcPr>
            <w:tcW w:w="4788" w:type="dxa"/>
            <w:shd w:val="clear" w:color="auto" w:fill="auto"/>
          </w:tcPr>
          <w:p w14:paraId="74AF8C1C" w14:textId="1CA72861"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Article 55.-</w:t>
            </w:r>
            <w:r w:rsidRPr="00081E30">
              <w:rPr>
                <w:rFonts w:ascii="Verdana" w:hAnsi="Verdana" w:cs="Times New Roman"/>
                <w:bCs/>
                <w:sz w:val="16"/>
                <w:szCs w:val="16"/>
                <w:lang w:val="en-US"/>
              </w:rPr>
              <w:t xml:space="preserve"> If, as a result of the negotiations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the contractor or assignee and the mining concessionaire have reached an agreement that allows the development of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contract or of the assignment, the contractor or assignee you must notify the commission of this agreement, within fifteen business days after the date of your subscription.</w:t>
            </w:r>
          </w:p>
        </w:tc>
      </w:tr>
      <w:tr w:rsidR="002C5E29" w:rsidRPr="000A5335" w14:paraId="0DFCD5D3" w14:textId="0D9F0097" w:rsidTr="00081E30">
        <w:tc>
          <w:tcPr>
            <w:tcW w:w="4788" w:type="dxa"/>
            <w:shd w:val="clear" w:color="auto" w:fill="auto"/>
          </w:tcPr>
          <w:p w14:paraId="0D082EE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E6626B" w14:textId="0AEC89B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F4C7CF4" w14:textId="4C5A7A3D" w:rsidTr="00081E30">
        <w:tc>
          <w:tcPr>
            <w:tcW w:w="4788" w:type="dxa"/>
            <w:shd w:val="clear" w:color="auto" w:fill="auto"/>
          </w:tcPr>
          <w:p w14:paraId="37A3BB12"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lastRenderedPageBreak/>
              <w:t>El acuerdo deberá contener al menos:</w:t>
            </w:r>
          </w:p>
        </w:tc>
        <w:tc>
          <w:tcPr>
            <w:tcW w:w="4788" w:type="dxa"/>
            <w:shd w:val="clear" w:color="auto" w:fill="auto"/>
          </w:tcPr>
          <w:p w14:paraId="4610480F" w14:textId="2F6CB64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agreement must contain at least:</w:t>
            </w:r>
          </w:p>
        </w:tc>
      </w:tr>
      <w:tr w:rsidR="002C5E29" w:rsidRPr="000A5335" w14:paraId="5E1DB8BD" w14:textId="79A92F61" w:rsidTr="00081E30">
        <w:tc>
          <w:tcPr>
            <w:tcW w:w="4788" w:type="dxa"/>
            <w:shd w:val="clear" w:color="auto" w:fill="auto"/>
          </w:tcPr>
          <w:p w14:paraId="5462673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A8B8476" w14:textId="789AB35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33ABAA4" w14:textId="05659630" w:rsidTr="00081E30">
        <w:tc>
          <w:tcPr>
            <w:tcW w:w="4788" w:type="dxa"/>
            <w:shd w:val="clear" w:color="auto" w:fill="auto"/>
          </w:tcPr>
          <w:p w14:paraId="354500C1" w14:textId="7909827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Vigencia del acuerdo;</w:t>
            </w:r>
          </w:p>
        </w:tc>
        <w:tc>
          <w:tcPr>
            <w:tcW w:w="4788" w:type="dxa"/>
            <w:shd w:val="clear" w:color="auto" w:fill="auto"/>
          </w:tcPr>
          <w:p w14:paraId="253F5175" w14:textId="1D641F4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Validity of the agreement;</w:t>
            </w:r>
          </w:p>
        </w:tc>
      </w:tr>
      <w:tr w:rsidR="002C5E29" w:rsidRPr="000A5335" w14:paraId="5CA2A7F6" w14:textId="0924BAD1" w:rsidTr="00081E30">
        <w:tc>
          <w:tcPr>
            <w:tcW w:w="4788" w:type="dxa"/>
            <w:shd w:val="clear" w:color="auto" w:fill="auto"/>
          </w:tcPr>
          <w:p w14:paraId="6F16E6D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11F9813" w14:textId="3EFA72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89BCDEC" w14:textId="1419FAEE" w:rsidTr="00081E30">
        <w:tc>
          <w:tcPr>
            <w:tcW w:w="4788" w:type="dxa"/>
            <w:shd w:val="clear" w:color="auto" w:fill="auto"/>
          </w:tcPr>
          <w:p w14:paraId="67126AE5" w14:textId="5E114C7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Plan para la recepción total o parcial del Área Contractual, en su caso, y</w:t>
            </w:r>
          </w:p>
        </w:tc>
        <w:tc>
          <w:tcPr>
            <w:tcW w:w="4788" w:type="dxa"/>
            <w:shd w:val="clear" w:color="auto" w:fill="auto"/>
          </w:tcPr>
          <w:p w14:paraId="43BC30C3" w14:textId="1026246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Plan for the total or partial reception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 if applicable, and</w:t>
            </w:r>
          </w:p>
        </w:tc>
      </w:tr>
      <w:tr w:rsidR="002C5E29" w:rsidRPr="000A5335" w14:paraId="2285E629" w14:textId="25A77A70" w:rsidTr="00081E30">
        <w:tc>
          <w:tcPr>
            <w:tcW w:w="4788" w:type="dxa"/>
            <w:shd w:val="clear" w:color="auto" w:fill="auto"/>
          </w:tcPr>
          <w:p w14:paraId="1C37C4C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510ED1C" w14:textId="6E457A4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CDC1D38" w14:textId="15651D85" w:rsidTr="00081E30">
        <w:tc>
          <w:tcPr>
            <w:tcW w:w="4788" w:type="dxa"/>
            <w:shd w:val="clear" w:color="auto" w:fill="auto"/>
          </w:tcPr>
          <w:p w14:paraId="05DB65C6" w14:textId="33B7A04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Calendario para el pago de contraprestaciones que en su caso hayan pactado el concesionario minero y el Asignatario o Contratista.</w:t>
            </w:r>
          </w:p>
        </w:tc>
        <w:tc>
          <w:tcPr>
            <w:tcW w:w="4788" w:type="dxa"/>
            <w:shd w:val="clear" w:color="auto" w:fill="auto"/>
          </w:tcPr>
          <w:p w14:paraId="632A42B1" w14:textId="7563A2A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Timetable for the payment of consideration that the mining concessionaire and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or </w:t>
            </w:r>
            <w:r>
              <w:rPr>
                <w:rFonts w:ascii="Verdana" w:hAnsi="Verdana" w:cs="Times New Roman"/>
                <w:bCs/>
                <w:sz w:val="16"/>
                <w:szCs w:val="16"/>
                <w:lang w:val="en-US"/>
              </w:rPr>
              <w:t>c</w:t>
            </w:r>
            <w:r w:rsidRPr="00081E30">
              <w:rPr>
                <w:rFonts w:ascii="Verdana" w:hAnsi="Verdana" w:cs="Times New Roman"/>
                <w:bCs/>
                <w:sz w:val="16"/>
                <w:szCs w:val="16"/>
                <w:lang w:val="en-US"/>
              </w:rPr>
              <w:t>ontractor have agreed upon.</w:t>
            </w:r>
          </w:p>
        </w:tc>
      </w:tr>
      <w:tr w:rsidR="002C5E29" w:rsidRPr="000A5335" w14:paraId="155AF1D6" w14:textId="674D7629" w:rsidTr="00081E30">
        <w:tc>
          <w:tcPr>
            <w:tcW w:w="4788" w:type="dxa"/>
            <w:shd w:val="clear" w:color="auto" w:fill="auto"/>
          </w:tcPr>
          <w:p w14:paraId="3359C15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BAF862" w14:textId="00A7B30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90767B3" w14:textId="1CD79A40" w:rsidTr="00081E30">
        <w:tc>
          <w:tcPr>
            <w:tcW w:w="4788" w:type="dxa"/>
            <w:shd w:val="clear" w:color="auto" w:fill="auto"/>
          </w:tcPr>
          <w:p w14:paraId="5CFC604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aviso a que se refiere este artículo deberá acompañarse de copia del acuerdo ratificado ante fedatario público.</w:t>
            </w:r>
          </w:p>
        </w:tc>
        <w:tc>
          <w:tcPr>
            <w:tcW w:w="4788" w:type="dxa"/>
            <w:shd w:val="clear" w:color="auto" w:fill="auto"/>
          </w:tcPr>
          <w:p w14:paraId="16454A24" w14:textId="3C8BC49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notice referred to in this article must be accompanied by a copy of the ratified agreement before a notary public.</w:t>
            </w:r>
          </w:p>
        </w:tc>
      </w:tr>
      <w:tr w:rsidR="002C5E29" w:rsidRPr="000A5335" w14:paraId="17897CD1" w14:textId="7B3A0617" w:rsidTr="00081E30">
        <w:tc>
          <w:tcPr>
            <w:tcW w:w="4788" w:type="dxa"/>
            <w:shd w:val="clear" w:color="auto" w:fill="auto"/>
          </w:tcPr>
          <w:p w14:paraId="0C22364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C089757" w14:textId="5902E0A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47E5543" w14:textId="70A2CF87" w:rsidTr="00081E30">
        <w:tc>
          <w:tcPr>
            <w:tcW w:w="4788" w:type="dxa"/>
            <w:shd w:val="clear" w:color="auto" w:fill="auto"/>
          </w:tcPr>
          <w:p w14:paraId="10861FCA" w14:textId="77777777" w:rsidR="002C5E29" w:rsidRPr="00081E30" w:rsidRDefault="002C5E29" w:rsidP="002C5E29">
            <w:pPr>
              <w:pStyle w:val="Texto"/>
              <w:spacing w:after="0" w:line="240" w:lineRule="auto"/>
              <w:ind w:firstLine="0"/>
              <w:rPr>
                <w:rFonts w:ascii="Verdana" w:hAnsi="Verdana"/>
                <w:bCs/>
                <w:sz w:val="16"/>
                <w:szCs w:val="16"/>
              </w:rPr>
            </w:pPr>
            <w:r w:rsidRPr="001C18BE">
              <w:rPr>
                <w:rFonts w:ascii="Verdana" w:hAnsi="Verdana"/>
                <w:b/>
                <w:sz w:val="16"/>
                <w:szCs w:val="16"/>
              </w:rPr>
              <w:t>Artículo 56.-</w:t>
            </w:r>
            <w:r w:rsidRPr="00081E30">
              <w:rPr>
                <w:rFonts w:ascii="Verdana" w:hAnsi="Verdana"/>
                <w:bCs/>
                <w:sz w:val="16"/>
                <w:szCs w:val="16"/>
              </w:rPr>
              <w:t xml:space="preserve"> En caso de no haber llegado al acuerdo a que se refiere el artículo anterior en el plazo de noventa días establecido en el artículo 27, quinto párrafo de la Ley, el Contratista o Asignatario o el concesionario minero, deberá notificar dicha circunstancia a la Comisión a efecto de que dentro de los quince días hábiles siguientes, ésta inicie el procedimiento para determinar si ambas actividades extractivas o de exploración pueden coexistir y, en su caso, definir la posible afectación de derechos de la concesión minera, de conformidad con lo siguiente:</w:t>
            </w:r>
          </w:p>
        </w:tc>
        <w:tc>
          <w:tcPr>
            <w:tcW w:w="4788" w:type="dxa"/>
            <w:shd w:val="clear" w:color="auto" w:fill="auto"/>
          </w:tcPr>
          <w:p w14:paraId="31004FAD" w14:textId="670586E6" w:rsidR="002C5E29" w:rsidRPr="00081E30" w:rsidRDefault="002C5E29" w:rsidP="002C5E29">
            <w:pPr>
              <w:pStyle w:val="Texto"/>
              <w:spacing w:after="0" w:line="240" w:lineRule="auto"/>
              <w:ind w:firstLine="0"/>
              <w:rPr>
                <w:rFonts w:ascii="Verdana" w:hAnsi="Verdana"/>
                <w:bCs/>
                <w:sz w:val="16"/>
                <w:szCs w:val="16"/>
                <w:lang w:val="en-US"/>
              </w:rPr>
            </w:pPr>
            <w:r w:rsidRPr="001C18BE">
              <w:rPr>
                <w:rFonts w:ascii="Verdana" w:hAnsi="Verdana" w:cs="Times New Roman"/>
                <w:b/>
                <w:sz w:val="16"/>
                <w:szCs w:val="16"/>
                <w:lang w:val="en-US"/>
              </w:rPr>
              <w:t>Article 56.-</w:t>
            </w:r>
            <w:r w:rsidRPr="00081E30">
              <w:rPr>
                <w:rFonts w:ascii="Verdana" w:hAnsi="Verdana" w:cs="Times New Roman"/>
                <w:bCs/>
                <w:sz w:val="16"/>
                <w:szCs w:val="16"/>
                <w:lang w:val="en-US"/>
              </w:rPr>
              <w:t xml:space="preserve"> In case of not having reached the agreement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within the period of ninety days established in article 27, fifth paragraph of the Law,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 or the mining concessionaire, must notify said circumstance to the Commission so that within the following fifteen working days, it will initiate the procedure to determine whether both extractive or exploration activities can coexist and, where appropriate, define the possible impact of mining concession rights, in accordance with the next:</w:t>
            </w:r>
          </w:p>
        </w:tc>
      </w:tr>
      <w:tr w:rsidR="002C5E29" w:rsidRPr="000A5335" w14:paraId="0B85318C" w14:textId="73FD6D65" w:rsidTr="00081E30">
        <w:tc>
          <w:tcPr>
            <w:tcW w:w="4788" w:type="dxa"/>
            <w:shd w:val="clear" w:color="auto" w:fill="auto"/>
          </w:tcPr>
          <w:p w14:paraId="7D99ACC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C5ABBD1" w14:textId="15B0CC6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5F5E365" w14:textId="1FE43225" w:rsidTr="00081E30">
        <w:tc>
          <w:tcPr>
            <w:tcW w:w="4788" w:type="dxa"/>
            <w:shd w:val="clear" w:color="auto" w:fill="auto"/>
          </w:tcPr>
          <w:p w14:paraId="0FCA7BA3" w14:textId="5B55ABA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Comisión requerirá asistencia e información sobre la concesión minera de que se trate a la Secretaría de Economía y demás autoridades competentes y podrá solicitar información al titular de la concesión minera, al Asignatario o Contratista, y</w:t>
            </w:r>
          </w:p>
        </w:tc>
        <w:tc>
          <w:tcPr>
            <w:tcW w:w="4788" w:type="dxa"/>
            <w:shd w:val="clear" w:color="auto" w:fill="auto"/>
          </w:tcPr>
          <w:p w14:paraId="10647A87" w14:textId="2284B5D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Commission will require assistance and information on the mining concession in question from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and other </w:t>
            </w:r>
            <w:r>
              <w:rPr>
                <w:rFonts w:ascii="Verdana" w:hAnsi="Verdana" w:cs="Times New Roman"/>
                <w:bCs/>
                <w:sz w:val="16"/>
                <w:szCs w:val="16"/>
                <w:lang w:val="en-US"/>
              </w:rPr>
              <w:t>appropriate authorities</w:t>
            </w:r>
            <w:r w:rsidRPr="00081E30">
              <w:rPr>
                <w:rFonts w:ascii="Verdana" w:hAnsi="Verdana" w:cs="Times New Roman"/>
                <w:bCs/>
                <w:sz w:val="16"/>
                <w:szCs w:val="16"/>
                <w:lang w:val="en-US"/>
              </w:rPr>
              <w:t xml:space="preserve"> and may request information from the mining concession holder,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or </w:t>
            </w:r>
            <w:r>
              <w:rPr>
                <w:rFonts w:ascii="Verdana" w:hAnsi="Verdana" w:cs="Times New Roman"/>
                <w:bCs/>
                <w:sz w:val="16"/>
                <w:szCs w:val="16"/>
                <w:lang w:val="en-US"/>
              </w:rPr>
              <w:t>c</w:t>
            </w:r>
            <w:r w:rsidRPr="00081E30">
              <w:rPr>
                <w:rFonts w:ascii="Verdana" w:hAnsi="Verdana" w:cs="Times New Roman"/>
                <w:bCs/>
                <w:sz w:val="16"/>
                <w:szCs w:val="16"/>
                <w:lang w:val="en-US"/>
              </w:rPr>
              <w:t>ontractor, and</w:t>
            </w:r>
          </w:p>
        </w:tc>
      </w:tr>
      <w:tr w:rsidR="002C5E29" w:rsidRPr="000A5335" w14:paraId="12901518" w14:textId="79BD52A6" w:rsidTr="00081E30">
        <w:tc>
          <w:tcPr>
            <w:tcW w:w="4788" w:type="dxa"/>
            <w:shd w:val="clear" w:color="auto" w:fill="auto"/>
          </w:tcPr>
          <w:p w14:paraId="252188F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18A0B0" w14:textId="072472A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A70573F" w14:textId="1ED97FD8" w:rsidTr="00081E30">
        <w:tc>
          <w:tcPr>
            <w:tcW w:w="4788" w:type="dxa"/>
            <w:shd w:val="clear" w:color="auto" w:fill="auto"/>
          </w:tcPr>
          <w:p w14:paraId="3C85F763" w14:textId="3F35965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Comisión deberá resolver en un plazo de sesenta días hábiles, contado a partir de la notificación a que se refiere el primer párrafo del presente artículo. Su determinación respecto de la coexistencia o no de las actividades extractivas será notificada al Contratista o Asignatario, en su caso, así como al titular de la concesión minera.</w:t>
            </w:r>
          </w:p>
        </w:tc>
        <w:tc>
          <w:tcPr>
            <w:tcW w:w="4788" w:type="dxa"/>
            <w:shd w:val="clear" w:color="auto" w:fill="auto"/>
          </w:tcPr>
          <w:p w14:paraId="190A3758" w14:textId="6B2F96E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Commission must resolve within a period of sixty business days, counted from the notification referred to in the first paragraph of this article. Its determination regarding the coexistence or not of the extractive activities will be notified to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 as the case may be, as well as to the holder of the mining concession.</w:t>
            </w:r>
          </w:p>
        </w:tc>
      </w:tr>
      <w:tr w:rsidR="002C5E29" w:rsidRPr="000A5335" w14:paraId="3EDA893A" w14:textId="37F9F573" w:rsidTr="00081E30">
        <w:tc>
          <w:tcPr>
            <w:tcW w:w="4788" w:type="dxa"/>
            <w:shd w:val="clear" w:color="auto" w:fill="auto"/>
          </w:tcPr>
          <w:p w14:paraId="42CFF44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B4A0563" w14:textId="267A6AF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E1F3977" w14:textId="31BD5AD1" w:rsidTr="00081E30">
        <w:tc>
          <w:tcPr>
            <w:tcW w:w="4788" w:type="dxa"/>
            <w:shd w:val="clear" w:color="auto" w:fill="auto"/>
          </w:tcPr>
          <w:p w14:paraId="60CF5C92"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57.-</w:t>
            </w:r>
            <w:r w:rsidRPr="00081E30">
              <w:rPr>
                <w:rFonts w:ascii="Verdana" w:hAnsi="Verdana"/>
                <w:bCs/>
                <w:sz w:val="16"/>
                <w:szCs w:val="16"/>
              </w:rPr>
              <w:t xml:space="preserve"> La afectación a los derechos de una concesión minera a que se refieren los párrafos octavo y décimo del artículo 27 de la Ley deberá ser cubierta por el Contratista o Asignatario mediante la indemnización o contraprestación a favor del concesionario minero que determine la Comisión, sujetándose a lo siguiente:</w:t>
            </w:r>
          </w:p>
        </w:tc>
        <w:tc>
          <w:tcPr>
            <w:tcW w:w="4788" w:type="dxa"/>
            <w:shd w:val="clear" w:color="auto" w:fill="auto"/>
          </w:tcPr>
          <w:p w14:paraId="4851D213" w14:textId="003A4DF0"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57.-</w:t>
            </w:r>
            <w:r w:rsidRPr="00081E30">
              <w:rPr>
                <w:rFonts w:ascii="Verdana" w:hAnsi="Verdana" w:cs="Times New Roman"/>
                <w:bCs/>
                <w:sz w:val="16"/>
                <w:szCs w:val="16"/>
                <w:lang w:val="en-US"/>
              </w:rPr>
              <w:t xml:space="preserve"> The affectation to the rights of a mining concession referred to in the eighth and tenth paragraphs of article 27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covered by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 through</w:t>
            </w:r>
            <w:r>
              <w:rPr>
                <w:rFonts w:ascii="Verdana" w:hAnsi="Verdana" w:cs="Times New Roman"/>
                <w:bCs/>
                <w:sz w:val="16"/>
                <w:szCs w:val="16"/>
                <w:lang w:val="en-US"/>
              </w:rPr>
              <w:t xml:space="preserve"> indemnification or</w:t>
            </w:r>
            <w:r w:rsidRPr="00081E30">
              <w:rPr>
                <w:rFonts w:ascii="Verdana" w:hAnsi="Verdana" w:cs="Times New Roman"/>
                <w:bCs/>
                <w:sz w:val="16"/>
                <w:szCs w:val="16"/>
                <w:lang w:val="en-US"/>
              </w:rPr>
              <w:t xml:space="preserve"> compensation in favor of the mining concessionaire determined by the Commission</w:t>
            </w:r>
            <w:r>
              <w:rPr>
                <w:rFonts w:ascii="Verdana" w:hAnsi="Verdana" w:cs="Times New Roman"/>
                <w:bCs/>
                <w:sz w:val="16"/>
                <w:szCs w:val="16"/>
                <w:lang w:val="en-US"/>
              </w:rPr>
              <w:t xml:space="preserve"> </w:t>
            </w:r>
            <w:r w:rsidRPr="00081E30">
              <w:rPr>
                <w:rFonts w:ascii="Verdana" w:hAnsi="Verdana" w:cs="Times New Roman"/>
                <w:bCs/>
                <w:sz w:val="16"/>
                <w:szCs w:val="16"/>
                <w:lang w:val="en-US"/>
              </w:rPr>
              <w:t>subject to the following:</w:t>
            </w:r>
          </w:p>
        </w:tc>
      </w:tr>
      <w:tr w:rsidR="002C5E29" w:rsidRPr="000A5335" w14:paraId="2713C56C" w14:textId="05F50E0E" w:rsidTr="00081E30">
        <w:tc>
          <w:tcPr>
            <w:tcW w:w="4788" w:type="dxa"/>
            <w:shd w:val="clear" w:color="auto" w:fill="auto"/>
          </w:tcPr>
          <w:p w14:paraId="5EEC375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528D8D3" w14:textId="0B65442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0D836E8" w14:textId="2B12D0CC" w:rsidTr="00081E30">
        <w:tc>
          <w:tcPr>
            <w:tcW w:w="4788" w:type="dxa"/>
            <w:shd w:val="clear" w:color="auto" w:fill="auto"/>
          </w:tcPr>
          <w:p w14:paraId="3C897848" w14:textId="443F6313"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El monto de la indemnización se fijará con base en el avalúo que realicen el Instituto, instituciones de crédito del país que se encuentren autorizadas, corredores públicos o profesionistas con postgrado en valuación. Los costos del citado avalúo correrán a cargo del Contratista o Asignatario;</w:t>
            </w:r>
          </w:p>
        </w:tc>
        <w:tc>
          <w:tcPr>
            <w:tcW w:w="4788" w:type="dxa"/>
            <w:shd w:val="clear" w:color="auto" w:fill="auto"/>
          </w:tcPr>
          <w:p w14:paraId="0BE0FA27" w14:textId="36D35C5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amount of compensation will be set based on the appraisal made by the Institute, credit institutions of the country that are authorized, public brokers or professionals with postgraduate </w:t>
            </w:r>
            <w:r>
              <w:rPr>
                <w:rFonts w:ascii="Verdana" w:hAnsi="Verdana" w:cs="Times New Roman"/>
                <w:bCs/>
                <w:sz w:val="16"/>
                <w:szCs w:val="16"/>
                <w:lang w:val="en-US"/>
              </w:rPr>
              <w:t>studies for e</w:t>
            </w:r>
            <w:r w:rsidRPr="00081E30">
              <w:rPr>
                <w:rFonts w:ascii="Verdana" w:hAnsi="Verdana" w:cs="Times New Roman"/>
                <w:bCs/>
                <w:sz w:val="16"/>
                <w:szCs w:val="16"/>
                <w:lang w:val="en-US"/>
              </w:rPr>
              <w:t xml:space="preserve">valuation. The costs of the aforementioned appraisal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borne by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w:t>
            </w:r>
          </w:p>
        </w:tc>
      </w:tr>
      <w:tr w:rsidR="002C5E29" w:rsidRPr="000A5335" w14:paraId="1773CA87" w14:textId="50E96E0D" w:rsidTr="00081E30">
        <w:tc>
          <w:tcPr>
            <w:tcW w:w="4788" w:type="dxa"/>
            <w:shd w:val="clear" w:color="auto" w:fill="auto"/>
          </w:tcPr>
          <w:p w14:paraId="01BF001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62FD84B" w14:textId="1528B0A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760D2EF" w14:textId="14897A7C" w:rsidTr="00081E30">
        <w:tc>
          <w:tcPr>
            <w:tcW w:w="4788" w:type="dxa"/>
            <w:shd w:val="clear" w:color="auto" w:fill="auto"/>
          </w:tcPr>
          <w:p w14:paraId="502D5D4A" w14:textId="2C97876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En su caso, dependiendo de la gravedad de la afectación ocasionada por la suspensión total o parcial de obras y trabajos de explotación de minerales, la Comisión fijará el monto de una contraprestación, la cual podrá ser de entre el punto cinco y el dos por ciento de la utilidad después del pago de contribuciones del Contratista o Asignatario en el proyecto de que se trate, para lo cual se auxiliará de peritos. Los costos por </w:t>
            </w:r>
            <w:r w:rsidRPr="00081E30">
              <w:rPr>
                <w:rFonts w:ascii="Verdana" w:hAnsi="Verdana"/>
                <w:bCs/>
                <w:sz w:val="16"/>
                <w:szCs w:val="16"/>
              </w:rPr>
              <w:lastRenderedPageBreak/>
              <w:t>honorarios de los peritos serán a cargo del Contratista o Asignatario.</w:t>
            </w:r>
          </w:p>
        </w:tc>
        <w:tc>
          <w:tcPr>
            <w:tcW w:w="4788" w:type="dxa"/>
            <w:shd w:val="clear" w:color="auto" w:fill="auto"/>
          </w:tcPr>
          <w:p w14:paraId="792C943A" w14:textId="2BD9B94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lastRenderedPageBreak/>
              <w:t>II.</w:t>
            </w:r>
            <w:r w:rsidRPr="00081E30">
              <w:rPr>
                <w:rFonts w:ascii="Verdana" w:hAnsi="Verdana" w:cs="Times New Roman"/>
                <w:bCs/>
                <w:sz w:val="16"/>
                <w:szCs w:val="16"/>
                <w:lang w:val="en-US"/>
              </w:rPr>
              <w:t xml:space="preserve"> Where appropriate, depending on the severity of the affectation caused by the total or partial suspension of mineral exploitation works and works, the Commission will determine the amount of a </w:t>
            </w:r>
            <w:r>
              <w:rPr>
                <w:rFonts w:ascii="Verdana" w:hAnsi="Verdana" w:cs="Times New Roman"/>
                <w:bCs/>
                <w:sz w:val="16"/>
                <w:szCs w:val="16"/>
                <w:lang w:val="en-US"/>
              </w:rPr>
              <w:t>compensation</w:t>
            </w:r>
            <w:r w:rsidRPr="00081E30">
              <w:rPr>
                <w:rFonts w:ascii="Verdana" w:hAnsi="Verdana" w:cs="Times New Roman"/>
                <w:bCs/>
                <w:sz w:val="16"/>
                <w:szCs w:val="16"/>
                <w:lang w:val="en-US"/>
              </w:rPr>
              <w:t xml:space="preserve">, which may be between five and two percent. of the </w:t>
            </w:r>
            <w:r>
              <w:rPr>
                <w:rFonts w:ascii="Verdana" w:hAnsi="Verdana" w:cs="Times New Roman"/>
                <w:bCs/>
                <w:sz w:val="16"/>
                <w:szCs w:val="16"/>
                <w:lang w:val="en-US"/>
              </w:rPr>
              <w:t>profit</w:t>
            </w:r>
            <w:r w:rsidRPr="00081E30">
              <w:rPr>
                <w:rFonts w:ascii="Verdana" w:hAnsi="Verdana" w:cs="Times New Roman"/>
                <w:bCs/>
                <w:sz w:val="16"/>
                <w:szCs w:val="16"/>
                <w:lang w:val="en-US"/>
              </w:rPr>
              <w:t xml:space="preserve"> after payment of </w:t>
            </w:r>
            <w:r>
              <w:rPr>
                <w:rFonts w:ascii="Verdana" w:hAnsi="Verdana" w:cs="Times New Roman"/>
                <w:bCs/>
                <w:sz w:val="16"/>
                <w:szCs w:val="16"/>
                <w:lang w:val="en-US"/>
              </w:rPr>
              <w:t>taxes</w:t>
            </w:r>
            <w:r w:rsidRPr="00081E30">
              <w:rPr>
                <w:rFonts w:ascii="Verdana" w:hAnsi="Verdana" w:cs="Times New Roman"/>
                <w:bCs/>
                <w:sz w:val="16"/>
                <w:szCs w:val="16"/>
                <w:lang w:val="en-US"/>
              </w:rPr>
              <w:t xml:space="preserve"> by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in the project in question, for which it will be assisted by experts. The fees for expert fees will be borne by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w:t>
            </w:r>
          </w:p>
        </w:tc>
      </w:tr>
      <w:tr w:rsidR="002C5E29" w:rsidRPr="000A5335" w14:paraId="1B77B467" w14:textId="3E3F6337" w:rsidTr="00081E30">
        <w:tc>
          <w:tcPr>
            <w:tcW w:w="4788" w:type="dxa"/>
            <w:shd w:val="clear" w:color="auto" w:fill="auto"/>
          </w:tcPr>
          <w:p w14:paraId="5889045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0CE0F6C" w14:textId="1725D3C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16A4D4C" w14:textId="1C325EEE" w:rsidTr="00081E30">
        <w:tc>
          <w:tcPr>
            <w:tcW w:w="4788" w:type="dxa"/>
            <w:shd w:val="clear" w:color="auto" w:fill="auto"/>
          </w:tcPr>
          <w:p w14:paraId="5A509B7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Esta fracción no será aplicable para el caso de la indemnización a que se refiere el párrafo décimo del artículo 27 de la Ley.</w:t>
            </w:r>
          </w:p>
        </w:tc>
        <w:tc>
          <w:tcPr>
            <w:tcW w:w="4788" w:type="dxa"/>
            <w:shd w:val="clear" w:color="auto" w:fill="auto"/>
          </w:tcPr>
          <w:p w14:paraId="537088E2" w14:textId="7F1EF17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This </w:t>
            </w:r>
            <w:r>
              <w:rPr>
                <w:rFonts w:ascii="Verdana" w:hAnsi="Verdana" w:cs="Times New Roman"/>
                <w:bCs/>
                <w:sz w:val="16"/>
                <w:szCs w:val="16"/>
                <w:lang w:val="en-US"/>
              </w:rPr>
              <w:t>section</w:t>
            </w:r>
            <w:r w:rsidRPr="00081E30">
              <w:rPr>
                <w:rFonts w:ascii="Verdana" w:hAnsi="Verdana" w:cs="Times New Roman"/>
                <w:bCs/>
                <w:sz w:val="16"/>
                <w:szCs w:val="16"/>
                <w:lang w:val="en-US"/>
              </w:rPr>
              <w:t xml:space="preserve"> will not be applicable in the case of compensation referred to in the tenth paragraph of article 27 of the Law.</w:t>
            </w:r>
          </w:p>
        </w:tc>
      </w:tr>
      <w:tr w:rsidR="002C5E29" w:rsidRPr="000A5335" w14:paraId="78DBEDD5" w14:textId="1F401753" w:rsidTr="00081E30">
        <w:tc>
          <w:tcPr>
            <w:tcW w:w="4788" w:type="dxa"/>
            <w:shd w:val="clear" w:color="auto" w:fill="auto"/>
          </w:tcPr>
          <w:p w14:paraId="4624479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8CBA118" w14:textId="36D892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778E26E" w14:textId="36EFFCAC" w:rsidTr="00081E30">
        <w:tc>
          <w:tcPr>
            <w:tcW w:w="4788" w:type="dxa"/>
            <w:shd w:val="clear" w:color="auto" w:fill="auto"/>
          </w:tcPr>
          <w:p w14:paraId="283FED21"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peritos a que hace referencia esta fracción deberán tener título en la ciencia que pertenezca al tema sobre el que ha de oírse su opinión, si la profesión estuviere legalmente reglamentada, y</w:t>
            </w:r>
          </w:p>
        </w:tc>
        <w:tc>
          <w:tcPr>
            <w:tcW w:w="4788" w:type="dxa"/>
            <w:shd w:val="clear" w:color="auto" w:fill="auto"/>
          </w:tcPr>
          <w:p w14:paraId="2FBD1C24" w14:textId="2D8BCDD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experts referred to in this section must have a degree in science that belongs to the subject on which their opinion is to be heard, if the profession is legally regulated, and</w:t>
            </w:r>
          </w:p>
        </w:tc>
      </w:tr>
      <w:tr w:rsidR="002C5E29" w:rsidRPr="000A5335" w14:paraId="3A0F7ED4" w14:textId="04ED59C3" w:rsidTr="00081E30">
        <w:tc>
          <w:tcPr>
            <w:tcW w:w="4788" w:type="dxa"/>
            <w:shd w:val="clear" w:color="auto" w:fill="auto"/>
          </w:tcPr>
          <w:p w14:paraId="33936ED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09948A9" w14:textId="6763F04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E7D7FF8" w14:textId="3385456D" w:rsidTr="00081E30">
        <w:tc>
          <w:tcPr>
            <w:tcW w:w="4788" w:type="dxa"/>
            <w:shd w:val="clear" w:color="auto" w:fill="auto"/>
          </w:tcPr>
          <w:p w14:paraId="7F814D40" w14:textId="52026E8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Para el caso de obras y trabajos de exploración realizadas al amparo de la concesión minera, se deberá presentar el informe de comprobación a que se refiere el artículo 28 de la Ley Minera.</w:t>
            </w:r>
          </w:p>
        </w:tc>
        <w:tc>
          <w:tcPr>
            <w:tcW w:w="4788" w:type="dxa"/>
            <w:shd w:val="clear" w:color="auto" w:fill="auto"/>
          </w:tcPr>
          <w:p w14:paraId="1AC52BC2" w14:textId="22C0F6E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In the case of exploration works and </w:t>
            </w:r>
            <w:r>
              <w:rPr>
                <w:rFonts w:ascii="Verdana" w:hAnsi="Verdana" w:cs="Times New Roman"/>
                <w:bCs/>
                <w:sz w:val="16"/>
                <w:szCs w:val="16"/>
                <w:lang w:val="en-US"/>
              </w:rPr>
              <w:t>tasks</w:t>
            </w:r>
            <w:r w:rsidRPr="00081E30">
              <w:rPr>
                <w:rFonts w:ascii="Verdana" w:hAnsi="Verdana" w:cs="Times New Roman"/>
                <w:bCs/>
                <w:sz w:val="16"/>
                <w:szCs w:val="16"/>
                <w:lang w:val="en-US"/>
              </w:rPr>
              <w:t xml:space="preserve"> carried out under the mining concession, the verification report referred to in article 28 of the Mining Law must be submitted.</w:t>
            </w:r>
          </w:p>
        </w:tc>
      </w:tr>
      <w:tr w:rsidR="002C5E29" w:rsidRPr="000A5335" w14:paraId="401C7BE1" w14:textId="192C7E0E" w:rsidTr="00081E30">
        <w:tc>
          <w:tcPr>
            <w:tcW w:w="4788" w:type="dxa"/>
            <w:shd w:val="clear" w:color="auto" w:fill="auto"/>
          </w:tcPr>
          <w:p w14:paraId="4FA3205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AECAAFD" w14:textId="0B32908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389246E" w14:textId="446885D3" w:rsidTr="00081E30">
        <w:tc>
          <w:tcPr>
            <w:tcW w:w="4788" w:type="dxa"/>
            <w:shd w:val="clear" w:color="auto" w:fill="auto"/>
          </w:tcPr>
          <w:p w14:paraId="1FC92B26"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58.-</w:t>
            </w:r>
            <w:r w:rsidRPr="00081E30">
              <w:rPr>
                <w:rFonts w:ascii="Verdana" w:hAnsi="Verdana"/>
                <w:bCs/>
                <w:sz w:val="16"/>
                <w:szCs w:val="16"/>
              </w:rPr>
              <w:t xml:space="preserve"> La indemnización y contraprestaciones a que se refiere el artículo anterior se cubrirán conforme al calendario que para tal efecto suscriban el Contratista o Asignatario con los concesionarios mineros de que se trate.</w:t>
            </w:r>
          </w:p>
        </w:tc>
        <w:tc>
          <w:tcPr>
            <w:tcW w:w="4788" w:type="dxa"/>
            <w:shd w:val="clear" w:color="auto" w:fill="auto"/>
          </w:tcPr>
          <w:p w14:paraId="78E2C84A" w14:textId="31195AFE"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58.-</w:t>
            </w:r>
            <w:r w:rsidRPr="00081E30">
              <w:rPr>
                <w:rFonts w:ascii="Verdana" w:hAnsi="Verdana" w:cs="Times New Roman"/>
                <w:bCs/>
                <w:sz w:val="16"/>
                <w:szCs w:val="16"/>
                <w:lang w:val="en-US"/>
              </w:rPr>
              <w:t xml:space="preserve"> The compensation and consideration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covered in accordance with the calendar signed by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or </w:t>
            </w:r>
            <w:r>
              <w:rPr>
                <w:rFonts w:ascii="Verdana" w:hAnsi="Verdana" w:cs="Times New Roman"/>
                <w:bCs/>
                <w:sz w:val="16"/>
                <w:szCs w:val="16"/>
                <w:lang w:val="en-US"/>
              </w:rPr>
              <w:t>a</w:t>
            </w:r>
            <w:r w:rsidRPr="00081E30">
              <w:rPr>
                <w:rFonts w:ascii="Verdana" w:hAnsi="Verdana" w:cs="Times New Roman"/>
                <w:bCs/>
                <w:sz w:val="16"/>
                <w:szCs w:val="16"/>
                <w:lang w:val="en-US"/>
              </w:rPr>
              <w:t>ssignee for that purpose with the mining concessionaires in question.</w:t>
            </w:r>
          </w:p>
        </w:tc>
      </w:tr>
      <w:tr w:rsidR="002C5E29" w:rsidRPr="000A5335" w14:paraId="2A498480" w14:textId="2F2ABA84" w:rsidTr="00081E30">
        <w:tc>
          <w:tcPr>
            <w:tcW w:w="4788" w:type="dxa"/>
            <w:shd w:val="clear" w:color="auto" w:fill="auto"/>
          </w:tcPr>
          <w:p w14:paraId="3F47385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4228B5" w14:textId="13C8C05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C72AEC8" w14:textId="2620578F" w:rsidTr="00081E30">
        <w:tc>
          <w:tcPr>
            <w:tcW w:w="4788" w:type="dxa"/>
            <w:shd w:val="clear" w:color="auto" w:fill="auto"/>
          </w:tcPr>
          <w:p w14:paraId="616CF7FE"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59.-</w:t>
            </w:r>
            <w:r w:rsidRPr="00081E30">
              <w:rPr>
                <w:rFonts w:ascii="Verdana" w:hAnsi="Verdana"/>
                <w:bCs/>
                <w:sz w:val="16"/>
                <w:szCs w:val="16"/>
              </w:rPr>
              <w:t xml:space="preserve"> Las autorizaciones de actividades específicas de Reconocimiento y Exploración Superficial de Hidrocarburos en las áreas en que coexistan derechos de concesionarios mineros y derechos de Asignatarios o Contratistas, a los titulares de concesiones mineras a que se refiere el noveno párrafo del artículo 27 de la Ley se sujetarán a lo dispuesto en la propia Ley y los artículos 6 y 7 del presente Reglamento.</w:t>
            </w:r>
          </w:p>
        </w:tc>
        <w:tc>
          <w:tcPr>
            <w:tcW w:w="4788" w:type="dxa"/>
            <w:shd w:val="clear" w:color="auto" w:fill="auto"/>
          </w:tcPr>
          <w:p w14:paraId="41CBDE71" w14:textId="3728F970"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59.-</w:t>
            </w:r>
            <w:r w:rsidRPr="00081E30">
              <w:rPr>
                <w:rFonts w:ascii="Verdana" w:hAnsi="Verdana" w:cs="Times New Roman"/>
                <w:bCs/>
                <w:sz w:val="16"/>
                <w:szCs w:val="16"/>
                <w:lang w:val="en-US"/>
              </w:rPr>
              <w:t xml:space="preserve"> The authorizations of specific activities of recognition and surface exploration of hydrocarbons in the areas where rights of mining concessionaires and rights of assignees or contractors coexist, to the holders of mining concessions referred to in the ninth paragraph of article 27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subject to the provisions of the Law itself and articles 6 and 7 of this Regulation.</w:t>
            </w:r>
          </w:p>
        </w:tc>
      </w:tr>
      <w:tr w:rsidR="002C5E29" w:rsidRPr="000A5335" w14:paraId="32DCF58A" w14:textId="4521788E" w:rsidTr="00081E30">
        <w:tc>
          <w:tcPr>
            <w:tcW w:w="4788" w:type="dxa"/>
            <w:shd w:val="clear" w:color="auto" w:fill="auto"/>
          </w:tcPr>
          <w:p w14:paraId="46A7EA8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01AC1D1" w14:textId="279625B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4B884CF9" w14:textId="0D8A4DCA" w:rsidTr="00081E30">
        <w:tc>
          <w:tcPr>
            <w:tcW w:w="4788" w:type="dxa"/>
            <w:shd w:val="clear" w:color="auto" w:fill="auto"/>
          </w:tcPr>
          <w:p w14:paraId="61C48752"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Capítulo IV</w:t>
            </w:r>
          </w:p>
        </w:tc>
        <w:tc>
          <w:tcPr>
            <w:tcW w:w="4788" w:type="dxa"/>
            <w:shd w:val="clear" w:color="auto" w:fill="auto"/>
          </w:tcPr>
          <w:p w14:paraId="0DD6F037" w14:textId="46308E74" w:rsidR="002C5E29" w:rsidRPr="005E5B0E" w:rsidRDefault="002C5E29" w:rsidP="002C5E29">
            <w:pPr>
              <w:pStyle w:val="ANOTACION"/>
              <w:spacing w:before="0" w:after="0" w:line="240" w:lineRule="auto"/>
              <w:rPr>
                <w:rFonts w:ascii="Verdana" w:hAnsi="Verdana" w:cs="Arial"/>
                <w:sz w:val="16"/>
                <w:szCs w:val="16"/>
                <w:lang w:val="en-US"/>
              </w:rPr>
            </w:pPr>
            <w:r w:rsidRPr="005E5B0E">
              <w:rPr>
                <w:rFonts w:ascii="Verdana" w:hAnsi="Verdana"/>
                <w:sz w:val="16"/>
                <w:szCs w:val="16"/>
                <w:lang w:val="en-US"/>
              </w:rPr>
              <w:t>Chapter IV</w:t>
            </w:r>
          </w:p>
        </w:tc>
      </w:tr>
      <w:tr w:rsidR="002C5E29" w:rsidRPr="000A5335" w14:paraId="12B28C01" w14:textId="09CA1971" w:rsidTr="00081E30">
        <w:tc>
          <w:tcPr>
            <w:tcW w:w="4788" w:type="dxa"/>
            <w:shd w:val="clear" w:color="auto" w:fill="auto"/>
          </w:tcPr>
          <w:p w14:paraId="46FDD3C8"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De la Información Nacional de Hidrocarburos</w:t>
            </w:r>
          </w:p>
        </w:tc>
        <w:tc>
          <w:tcPr>
            <w:tcW w:w="4788" w:type="dxa"/>
            <w:shd w:val="clear" w:color="auto" w:fill="auto"/>
          </w:tcPr>
          <w:p w14:paraId="293EC504" w14:textId="4FE4CFFA" w:rsidR="002C5E29" w:rsidRPr="005E5B0E"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5E5B0E">
              <w:rPr>
                <w:rFonts w:ascii="Verdana" w:hAnsi="Verdana"/>
                <w:sz w:val="16"/>
                <w:szCs w:val="16"/>
                <w:lang w:val="en-US"/>
              </w:rPr>
              <w:t xml:space="preserve"> National </w:t>
            </w:r>
            <w:r>
              <w:rPr>
                <w:rFonts w:ascii="Verdana" w:hAnsi="Verdana"/>
                <w:sz w:val="16"/>
                <w:szCs w:val="16"/>
                <w:lang w:val="en-US"/>
              </w:rPr>
              <w:t xml:space="preserve">Information of </w:t>
            </w:r>
            <w:r w:rsidRPr="005E5B0E">
              <w:rPr>
                <w:rFonts w:ascii="Verdana" w:hAnsi="Verdana"/>
                <w:sz w:val="16"/>
                <w:szCs w:val="16"/>
                <w:lang w:val="en-US"/>
              </w:rPr>
              <w:t xml:space="preserve">Hydrocarbons </w:t>
            </w:r>
          </w:p>
        </w:tc>
      </w:tr>
      <w:tr w:rsidR="002C5E29" w:rsidRPr="000A5335" w14:paraId="4E59DF95" w14:textId="6818F06F" w:rsidTr="00081E30">
        <w:tc>
          <w:tcPr>
            <w:tcW w:w="4788" w:type="dxa"/>
            <w:shd w:val="clear" w:color="auto" w:fill="auto"/>
          </w:tcPr>
          <w:p w14:paraId="66B1CEDD"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1FCCC531" w14:textId="59A03373"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7B6485" w14:textId="0DB5ADBD" w:rsidTr="00081E30">
        <w:tc>
          <w:tcPr>
            <w:tcW w:w="4788" w:type="dxa"/>
            <w:shd w:val="clear" w:color="auto" w:fill="auto"/>
          </w:tcPr>
          <w:p w14:paraId="68E33529"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60.-</w:t>
            </w:r>
            <w:r w:rsidRPr="00081E30">
              <w:rPr>
                <w:rFonts w:ascii="Verdana" w:hAnsi="Verdana"/>
                <w:bCs/>
                <w:sz w:val="16"/>
                <w:szCs w:val="16"/>
              </w:rPr>
              <w:t xml:space="preserve"> La Comisión definirá los mecanismos y criterios para que el público en general tenga acceso a la información y documentación a que se refiere el Capítulo III de la Ley. Lo anterior, cumpliendo con los criterios previstos en la Ley Federal de Transparencia y Acceso a la Información Pública Gubernamental.</w:t>
            </w:r>
          </w:p>
        </w:tc>
        <w:tc>
          <w:tcPr>
            <w:tcW w:w="4788" w:type="dxa"/>
            <w:shd w:val="clear" w:color="auto" w:fill="auto"/>
          </w:tcPr>
          <w:p w14:paraId="0DD6E356" w14:textId="1522136D"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60.-</w:t>
            </w:r>
            <w:r w:rsidRPr="00081E30">
              <w:rPr>
                <w:rFonts w:ascii="Verdana" w:hAnsi="Verdana" w:cs="Times New Roman"/>
                <w:bCs/>
                <w:sz w:val="16"/>
                <w:szCs w:val="16"/>
                <w:lang w:val="en-US"/>
              </w:rPr>
              <w:t xml:space="preserve"> The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define the mechanisms and criteria for the general public to have access to the information and documentation referred to in Chapter III of the Law. The foregoing, complying with the criteria set forth in the Federal Transparency Law and Access to Government Public Information.</w:t>
            </w:r>
          </w:p>
        </w:tc>
      </w:tr>
      <w:tr w:rsidR="002C5E29" w:rsidRPr="000A5335" w14:paraId="15F87BE0" w14:textId="07DC0C26" w:rsidTr="00081E30">
        <w:tc>
          <w:tcPr>
            <w:tcW w:w="4788" w:type="dxa"/>
            <w:shd w:val="clear" w:color="auto" w:fill="auto"/>
          </w:tcPr>
          <w:p w14:paraId="6BCC417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FCAC03C" w14:textId="1DA7CAA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4DE571F" w14:textId="403D7AA4" w:rsidTr="00081E30">
        <w:tc>
          <w:tcPr>
            <w:tcW w:w="4788" w:type="dxa"/>
            <w:shd w:val="clear" w:color="auto" w:fill="auto"/>
          </w:tcPr>
          <w:p w14:paraId="78B50DC6"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Capítulo V</w:t>
            </w:r>
          </w:p>
        </w:tc>
        <w:tc>
          <w:tcPr>
            <w:tcW w:w="4788" w:type="dxa"/>
            <w:shd w:val="clear" w:color="auto" w:fill="auto"/>
          </w:tcPr>
          <w:p w14:paraId="1196ABF0" w14:textId="491768AD" w:rsidR="002C5E29" w:rsidRPr="005E5B0E" w:rsidRDefault="002C5E29" w:rsidP="002C5E29">
            <w:pPr>
              <w:pStyle w:val="ANOTACION"/>
              <w:spacing w:before="0" w:after="0" w:line="240" w:lineRule="auto"/>
              <w:rPr>
                <w:rFonts w:ascii="Verdana" w:hAnsi="Verdana" w:cs="Arial"/>
                <w:sz w:val="16"/>
                <w:szCs w:val="16"/>
                <w:lang w:val="en-US"/>
              </w:rPr>
            </w:pPr>
            <w:r w:rsidRPr="005E5B0E">
              <w:rPr>
                <w:rFonts w:ascii="Verdana" w:hAnsi="Verdana"/>
                <w:sz w:val="16"/>
                <w:szCs w:val="16"/>
                <w:lang w:val="en-US"/>
              </w:rPr>
              <w:t>Chapter V</w:t>
            </w:r>
          </w:p>
        </w:tc>
      </w:tr>
      <w:tr w:rsidR="002C5E29" w:rsidRPr="003C1F6B" w14:paraId="3A0AB504" w14:textId="5C4EDF2B" w:rsidTr="00081E30">
        <w:tc>
          <w:tcPr>
            <w:tcW w:w="4788" w:type="dxa"/>
            <w:shd w:val="clear" w:color="auto" w:fill="auto"/>
          </w:tcPr>
          <w:p w14:paraId="70C11334"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De las Zonas de Salvaguarda</w:t>
            </w:r>
          </w:p>
        </w:tc>
        <w:tc>
          <w:tcPr>
            <w:tcW w:w="4788" w:type="dxa"/>
            <w:shd w:val="clear" w:color="auto" w:fill="auto"/>
          </w:tcPr>
          <w:p w14:paraId="58D44B50" w14:textId="07A36840" w:rsidR="002C5E29" w:rsidRPr="005E5B0E"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w:t>
            </w:r>
            <w:r w:rsidRPr="005E5B0E">
              <w:rPr>
                <w:rFonts w:ascii="Verdana" w:hAnsi="Verdana"/>
                <w:sz w:val="16"/>
                <w:szCs w:val="16"/>
                <w:lang w:val="en-US"/>
              </w:rPr>
              <w:t xml:space="preserve">he Safeguard </w:t>
            </w:r>
            <w:r>
              <w:rPr>
                <w:rFonts w:ascii="Verdana" w:hAnsi="Verdana"/>
                <w:sz w:val="16"/>
                <w:szCs w:val="16"/>
                <w:lang w:val="en-US"/>
              </w:rPr>
              <w:t>Zones</w:t>
            </w:r>
          </w:p>
        </w:tc>
      </w:tr>
      <w:tr w:rsidR="002C5E29" w:rsidRPr="003C1F6B" w14:paraId="725DFB31" w14:textId="635A1BF8" w:rsidTr="00081E30">
        <w:tc>
          <w:tcPr>
            <w:tcW w:w="4788" w:type="dxa"/>
            <w:shd w:val="clear" w:color="auto" w:fill="auto"/>
          </w:tcPr>
          <w:p w14:paraId="47CF2F7F"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12EFE61E" w14:textId="7C42ADAF"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D0CC29" w14:textId="185BCB64" w:rsidTr="00081E30">
        <w:tc>
          <w:tcPr>
            <w:tcW w:w="4788" w:type="dxa"/>
            <w:shd w:val="clear" w:color="auto" w:fill="auto"/>
          </w:tcPr>
          <w:p w14:paraId="1A7A81C3"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61.-</w:t>
            </w:r>
            <w:r w:rsidRPr="00081E30">
              <w:rPr>
                <w:rFonts w:ascii="Verdana" w:hAnsi="Verdana"/>
                <w:bCs/>
                <w:sz w:val="16"/>
                <w:szCs w:val="16"/>
              </w:rPr>
              <w:t xml:space="preserve"> La Secretaría con apoyo técnico de la Comisión emitirá los dictámenes técnicos a que se refiere el artículo 41 de la Ley, mismos que considerarán los siguientes elementos:</w:t>
            </w:r>
          </w:p>
        </w:tc>
        <w:tc>
          <w:tcPr>
            <w:tcW w:w="4788" w:type="dxa"/>
            <w:shd w:val="clear" w:color="auto" w:fill="auto"/>
          </w:tcPr>
          <w:p w14:paraId="1496818A" w14:textId="1B69879F"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61.-</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with technical support from the Commission will issue the technical opinions referred to in Article 41 of the Law, which will consider the following elements:</w:t>
            </w:r>
          </w:p>
        </w:tc>
      </w:tr>
      <w:tr w:rsidR="002C5E29" w:rsidRPr="000A5335" w14:paraId="6D462250" w14:textId="6CF4462D" w:rsidTr="00081E30">
        <w:tc>
          <w:tcPr>
            <w:tcW w:w="4788" w:type="dxa"/>
            <w:shd w:val="clear" w:color="auto" w:fill="auto"/>
          </w:tcPr>
          <w:p w14:paraId="2D3535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2350B47" w14:textId="2829CBA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A483900" w14:textId="77FEA863" w:rsidTr="00081E30">
        <w:tc>
          <w:tcPr>
            <w:tcW w:w="4788" w:type="dxa"/>
            <w:shd w:val="clear" w:color="auto" w:fill="auto"/>
          </w:tcPr>
          <w:p w14:paraId="369F59E3" w14:textId="74541EA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Ubicación y descripción detallada de la Zona de Salvaguarda;</w:t>
            </w:r>
          </w:p>
        </w:tc>
        <w:tc>
          <w:tcPr>
            <w:tcW w:w="4788" w:type="dxa"/>
            <w:shd w:val="clear" w:color="auto" w:fill="auto"/>
          </w:tcPr>
          <w:p w14:paraId="7F8ED912" w14:textId="7720FBF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Location and detailed description of the Safeguard Zone;</w:t>
            </w:r>
          </w:p>
        </w:tc>
      </w:tr>
      <w:tr w:rsidR="002C5E29" w:rsidRPr="000A5335" w14:paraId="507EDACE" w14:textId="262A722A" w:rsidTr="00081E30">
        <w:tc>
          <w:tcPr>
            <w:tcW w:w="4788" w:type="dxa"/>
            <w:shd w:val="clear" w:color="auto" w:fill="auto"/>
          </w:tcPr>
          <w:p w14:paraId="5FBF7F2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56A7B04" w14:textId="775AD91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A6A836B" w14:textId="20FE266A" w:rsidTr="00081E30">
        <w:tc>
          <w:tcPr>
            <w:tcW w:w="4788" w:type="dxa"/>
            <w:shd w:val="clear" w:color="auto" w:fill="auto"/>
          </w:tcPr>
          <w:p w14:paraId="2D9CFB89" w14:textId="7CA17E1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Causas que justifican la incorporación o desincorporación de las Zonas de Salvaguarda, entre las que se podrán encontrar las siguientes:</w:t>
            </w:r>
          </w:p>
        </w:tc>
        <w:tc>
          <w:tcPr>
            <w:tcW w:w="4788" w:type="dxa"/>
            <w:shd w:val="clear" w:color="auto" w:fill="auto"/>
          </w:tcPr>
          <w:p w14:paraId="511481CE" w14:textId="5872844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t>
            </w:r>
            <w:r>
              <w:rPr>
                <w:rFonts w:ascii="Verdana" w:hAnsi="Verdana" w:cs="Times New Roman"/>
                <w:bCs/>
                <w:sz w:val="16"/>
                <w:szCs w:val="16"/>
                <w:lang w:val="en-US"/>
              </w:rPr>
              <w:t>The c</w:t>
            </w:r>
            <w:r w:rsidRPr="00081E30">
              <w:rPr>
                <w:rFonts w:ascii="Verdana" w:hAnsi="Verdana" w:cs="Times New Roman"/>
                <w:bCs/>
                <w:sz w:val="16"/>
                <w:szCs w:val="16"/>
                <w:lang w:val="en-US"/>
              </w:rPr>
              <w:t>auses that justify the incorporation or removal of the Safeguard Zones, among which the following may be found:</w:t>
            </w:r>
          </w:p>
        </w:tc>
      </w:tr>
      <w:tr w:rsidR="002C5E29" w:rsidRPr="000A5335" w14:paraId="403E76C0" w14:textId="1AC498C0" w:rsidTr="00081E30">
        <w:tc>
          <w:tcPr>
            <w:tcW w:w="4788" w:type="dxa"/>
            <w:shd w:val="clear" w:color="auto" w:fill="auto"/>
          </w:tcPr>
          <w:p w14:paraId="6340991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324BA39" w14:textId="3848213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0FBE4E5" w14:textId="3308C039" w:rsidTr="00081E30">
        <w:tc>
          <w:tcPr>
            <w:tcW w:w="4788" w:type="dxa"/>
            <w:shd w:val="clear" w:color="auto" w:fill="auto"/>
          </w:tcPr>
          <w:p w14:paraId="375E8AB4"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w:t>
            </w:r>
            <w:r w:rsidRPr="00081E30">
              <w:rPr>
                <w:rFonts w:ascii="Verdana" w:hAnsi="Verdana"/>
                <w:bCs/>
                <w:sz w:val="16"/>
                <w:szCs w:val="16"/>
              </w:rPr>
              <w:t xml:space="preserve"> Administración eficiente de los recursos del subsuelo en el tiempo y cumplimiento de la política pública en materia energética;</w:t>
            </w:r>
          </w:p>
        </w:tc>
        <w:tc>
          <w:tcPr>
            <w:tcW w:w="4788" w:type="dxa"/>
            <w:shd w:val="clear" w:color="auto" w:fill="auto"/>
          </w:tcPr>
          <w:p w14:paraId="71C3284B" w14:textId="422E5680"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w:t>
            </w:r>
            <w:r w:rsidRPr="00081E30">
              <w:rPr>
                <w:rFonts w:ascii="Verdana" w:hAnsi="Verdana" w:cs="Times New Roman"/>
                <w:bCs/>
                <w:sz w:val="16"/>
                <w:szCs w:val="16"/>
                <w:lang w:val="en-US"/>
              </w:rPr>
              <w:t xml:space="preserve"> Efficient management of subsoil resources over time and compliance with public energy policy;</w:t>
            </w:r>
          </w:p>
        </w:tc>
      </w:tr>
      <w:tr w:rsidR="002C5E29" w:rsidRPr="000A5335" w14:paraId="15C37B09" w14:textId="66EDB111" w:rsidTr="00081E30">
        <w:tc>
          <w:tcPr>
            <w:tcW w:w="4788" w:type="dxa"/>
            <w:shd w:val="clear" w:color="auto" w:fill="auto"/>
          </w:tcPr>
          <w:p w14:paraId="1A89064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7AEC1B3" w14:textId="06B9567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59ADA6D" w14:textId="1649D8C8" w:rsidTr="00081E30">
        <w:tc>
          <w:tcPr>
            <w:tcW w:w="4788" w:type="dxa"/>
            <w:shd w:val="clear" w:color="auto" w:fill="auto"/>
          </w:tcPr>
          <w:p w14:paraId="0753D18E"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b)</w:t>
            </w:r>
            <w:r w:rsidRPr="00081E30">
              <w:rPr>
                <w:rFonts w:ascii="Verdana" w:hAnsi="Verdana"/>
                <w:bCs/>
                <w:sz w:val="16"/>
                <w:szCs w:val="16"/>
              </w:rPr>
              <w:t xml:space="preserve"> Evaluación de la disponibilidad de tecnología para la eficiente Extracción de Hidrocarburos, y</w:t>
            </w:r>
          </w:p>
        </w:tc>
        <w:tc>
          <w:tcPr>
            <w:tcW w:w="4788" w:type="dxa"/>
            <w:shd w:val="clear" w:color="auto" w:fill="auto"/>
          </w:tcPr>
          <w:p w14:paraId="2A0E2196" w14:textId="0F364D7A"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b)</w:t>
            </w:r>
            <w:r w:rsidRPr="00081E30">
              <w:rPr>
                <w:rFonts w:ascii="Verdana" w:hAnsi="Verdana" w:cs="Times New Roman"/>
                <w:bCs/>
                <w:sz w:val="16"/>
                <w:szCs w:val="16"/>
                <w:lang w:val="en-US"/>
              </w:rPr>
              <w:t xml:space="preserve"> Evaluation of the availability of technology for the efficient extraction of hydrocarbons, and</w:t>
            </w:r>
          </w:p>
        </w:tc>
      </w:tr>
      <w:tr w:rsidR="002C5E29" w:rsidRPr="000A5335" w14:paraId="57A94956" w14:textId="7B2B426B" w:rsidTr="00081E30">
        <w:tc>
          <w:tcPr>
            <w:tcW w:w="4788" w:type="dxa"/>
            <w:shd w:val="clear" w:color="auto" w:fill="auto"/>
          </w:tcPr>
          <w:p w14:paraId="10BA570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59FF549" w14:textId="3146F0A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AD1169B" w14:textId="2491D972" w:rsidTr="00081E30">
        <w:tc>
          <w:tcPr>
            <w:tcW w:w="4788" w:type="dxa"/>
            <w:shd w:val="clear" w:color="auto" w:fill="auto"/>
          </w:tcPr>
          <w:p w14:paraId="146F3F03"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lastRenderedPageBreak/>
              <w:t>c)</w:t>
            </w:r>
            <w:r w:rsidRPr="00081E30">
              <w:rPr>
                <w:rFonts w:ascii="Verdana" w:hAnsi="Verdana"/>
                <w:bCs/>
                <w:sz w:val="16"/>
                <w:szCs w:val="16"/>
              </w:rPr>
              <w:t xml:space="preserve"> Cumplimiento con la política económica, social, cultural y ambiental, y</w:t>
            </w:r>
          </w:p>
        </w:tc>
        <w:tc>
          <w:tcPr>
            <w:tcW w:w="4788" w:type="dxa"/>
            <w:shd w:val="clear" w:color="auto" w:fill="auto"/>
          </w:tcPr>
          <w:p w14:paraId="0A4FC1C9" w14:textId="098BEEE6"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c)</w:t>
            </w:r>
            <w:r w:rsidRPr="00081E30">
              <w:rPr>
                <w:rFonts w:ascii="Verdana" w:hAnsi="Verdana" w:cs="Times New Roman"/>
                <w:bCs/>
                <w:sz w:val="16"/>
                <w:szCs w:val="16"/>
                <w:lang w:val="en-US"/>
              </w:rPr>
              <w:t xml:space="preserve"> Compliance with economic, social, cultural and environmental policy, and</w:t>
            </w:r>
          </w:p>
        </w:tc>
      </w:tr>
      <w:tr w:rsidR="002C5E29" w:rsidRPr="000A5335" w14:paraId="141015B3" w14:textId="30C9E78E" w:rsidTr="00081E30">
        <w:tc>
          <w:tcPr>
            <w:tcW w:w="4788" w:type="dxa"/>
            <w:shd w:val="clear" w:color="auto" w:fill="auto"/>
          </w:tcPr>
          <w:p w14:paraId="125CFAD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CC4FA84" w14:textId="58589D0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C8D749" w14:textId="3BCB822E" w:rsidTr="00081E30">
        <w:tc>
          <w:tcPr>
            <w:tcW w:w="4788" w:type="dxa"/>
            <w:shd w:val="clear" w:color="auto" w:fill="auto"/>
          </w:tcPr>
          <w:p w14:paraId="481D36B7" w14:textId="3B76BB7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Los demás que determine la Secretaría.</w:t>
            </w:r>
          </w:p>
        </w:tc>
        <w:tc>
          <w:tcPr>
            <w:tcW w:w="4788" w:type="dxa"/>
            <w:shd w:val="clear" w:color="auto" w:fill="auto"/>
          </w:tcPr>
          <w:p w14:paraId="094DEB97" w14:textId="6816B26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others determined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3E726248" w14:textId="0D53C145" w:rsidTr="00081E30">
        <w:tc>
          <w:tcPr>
            <w:tcW w:w="4788" w:type="dxa"/>
            <w:shd w:val="clear" w:color="auto" w:fill="auto"/>
          </w:tcPr>
          <w:p w14:paraId="6AF7C5F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12A3D7F" w14:textId="1AB1F7F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D243150" w14:textId="2C860B47" w:rsidTr="00081E30">
        <w:tc>
          <w:tcPr>
            <w:tcW w:w="4788" w:type="dxa"/>
            <w:shd w:val="clear" w:color="auto" w:fill="auto"/>
          </w:tcPr>
          <w:p w14:paraId="45313DF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las Zonas de Salvaguarda únicamente se podrán realizar actividades de Reconocimiento y Exploración Superficial, previa autorización de la Comisión, en los términos de la Ley, el Capítulo I del Título Segundo de este Reglamento y demás regulación aplicable.</w:t>
            </w:r>
          </w:p>
        </w:tc>
        <w:tc>
          <w:tcPr>
            <w:tcW w:w="4788" w:type="dxa"/>
            <w:shd w:val="clear" w:color="auto" w:fill="auto"/>
          </w:tcPr>
          <w:p w14:paraId="2D6B69FA" w14:textId="1B10BDE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the Safeguard Zones, only surface recognition and exploration activities may be carried out, with the prior authorization of the Commission, under the terms of the Law, Chapter I of the Second Title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and other applicable regulations.</w:t>
            </w:r>
          </w:p>
        </w:tc>
      </w:tr>
      <w:tr w:rsidR="002C5E29" w:rsidRPr="000A5335" w14:paraId="35BFA995" w14:textId="0CCD64BB" w:rsidTr="00081E30">
        <w:tc>
          <w:tcPr>
            <w:tcW w:w="4788" w:type="dxa"/>
            <w:shd w:val="clear" w:color="auto" w:fill="auto"/>
          </w:tcPr>
          <w:p w14:paraId="40847D1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E9E034B" w14:textId="6F2D67A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77CB9E13" w14:textId="4EF13846" w:rsidTr="00081E30">
        <w:tc>
          <w:tcPr>
            <w:tcW w:w="4788" w:type="dxa"/>
            <w:shd w:val="clear" w:color="auto" w:fill="auto"/>
          </w:tcPr>
          <w:p w14:paraId="14D984E2"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Capítulo VI</w:t>
            </w:r>
          </w:p>
        </w:tc>
        <w:tc>
          <w:tcPr>
            <w:tcW w:w="4788" w:type="dxa"/>
            <w:shd w:val="clear" w:color="auto" w:fill="auto"/>
          </w:tcPr>
          <w:p w14:paraId="1708C214" w14:textId="3BEF0F5F" w:rsidR="002C5E29" w:rsidRPr="005E5B0E" w:rsidRDefault="002C5E29" w:rsidP="002C5E29">
            <w:pPr>
              <w:pStyle w:val="ANOTACION"/>
              <w:spacing w:before="0" w:after="0" w:line="240" w:lineRule="auto"/>
              <w:rPr>
                <w:rFonts w:ascii="Verdana" w:hAnsi="Verdana" w:cs="Arial"/>
                <w:sz w:val="16"/>
                <w:szCs w:val="16"/>
                <w:lang w:val="en-US"/>
              </w:rPr>
            </w:pPr>
            <w:r w:rsidRPr="005E5B0E">
              <w:rPr>
                <w:rFonts w:ascii="Verdana" w:hAnsi="Verdana"/>
                <w:sz w:val="16"/>
                <w:szCs w:val="16"/>
                <w:lang w:val="en-US"/>
              </w:rPr>
              <w:t>Chapter VI</w:t>
            </w:r>
          </w:p>
        </w:tc>
      </w:tr>
      <w:tr w:rsidR="002C5E29" w:rsidRPr="000A5335" w14:paraId="0F9BF467" w14:textId="460A3B47" w:rsidTr="00081E30">
        <w:tc>
          <w:tcPr>
            <w:tcW w:w="4788" w:type="dxa"/>
            <w:shd w:val="clear" w:color="auto" w:fill="auto"/>
          </w:tcPr>
          <w:p w14:paraId="597C4626" w14:textId="77777777" w:rsidR="002C5E29" w:rsidRPr="005E5B0E" w:rsidRDefault="002C5E29" w:rsidP="002C5E29">
            <w:pPr>
              <w:pStyle w:val="ANOTACION"/>
              <w:spacing w:before="0" w:after="0" w:line="240" w:lineRule="auto"/>
              <w:rPr>
                <w:rFonts w:ascii="Verdana" w:hAnsi="Verdana" w:cs="Arial"/>
                <w:sz w:val="16"/>
                <w:szCs w:val="16"/>
              </w:rPr>
            </w:pPr>
            <w:r w:rsidRPr="005E5B0E">
              <w:rPr>
                <w:rFonts w:ascii="Verdana" w:hAnsi="Verdana" w:cs="Arial"/>
                <w:sz w:val="16"/>
                <w:szCs w:val="16"/>
              </w:rPr>
              <w:t>De la Unificación de Campos Compartidos o Yacimientos Nacionales</w:t>
            </w:r>
          </w:p>
        </w:tc>
        <w:tc>
          <w:tcPr>
            <w:tcW w:w="4788" w:type="dxa"/>
            <w:shd w:val="clear" w:color="auto" w:fill="auto"/>
          </w:tcPr>
          <w:p w14:paraId="1190ED9C" w14:textId="1E7F10EE" w:rsidR="002C5E29" w:rsidRPr="005E5B0E"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5E5B0E">
              <w:rPr>
                <w:rFonts w:ascii="Verdana" w:hAnsi="Verdana"/>
                <w:sz w:val="16"/>
                <w:szCs w:val="16"/>
                <w:lang w:val="en-US"/>
              </w:rPr>
              <w:t xml:space="preserve"> Unification of Shared Fields or National </w:t>
            </w:r>
            <w:r>
              <w:rPr>
                <w:rFonts w:ascii="Verdana" w:hAnsi="Verdana"/>
                <w:sz w:val="16"/>
                <w:szCs w:val="16"/>
                <w:lang w:val="en-US"/>
              </w:rPr>
              <w:t>Deposits</w:t>
            </w:r>
          </w:p>
        </w:tc>
      </w:tr>
      <w:tr w:rsidR="002C5E29" w:rsidRPr="000A5335" w14:paraId="12746C15" w14:textId="7FF832D7" w:rsidTr="00081E30">
        <w:tc>
          <w:tcPr>
            <w:tcW w:w="4788" w:type="dxa"/>
            <w:shd w:val="clear" w:color="auto" w:fill="auto"/>
          </w:tcPr>
          <w:p w14:paraId="6CFBC9AA"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6FC352A5" w14:textId="34AAEE02"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171358" w14:paraId="4F447D72" w14:textId="33467D8D" w:rsidTr="00081E30">
        <w:tc>
          <w:tcPr>
            <w:tcW w:w="4788" w:type="dxa"/>
            <w:shd w:val="clear" w:color="auto" w:fill="auto"/>
          </w:tcPr>
          <w:p w14:paraId="176315B5"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62.-</w:t>
            </w:r>
            <w:r w:rsidRPr="00081E30">
              <w:rPr>
                <w:rFonts w:ascii="Verdana" w:hAnsi="Verdana"/>
                <w:bCs/>
                <w:sz w:val="16"/>
                <w:szCs w:val="16"/>
              </w:rPr>
              <w:t xml:space="preserve"> Los Asignatarios y Contratistas deberán dar aviso a la Secretaría y a la Comisión sobre el descubrimiento de un campo o yacimiento compartido, en un plazo de sesenta días hábiles posteriores a que dicho evento ocurra. Dicho aviso deberá contener por lo menos:</w:t>
            </w:r>
          </w:p>
        </w:tc>
        <w:tc>
          <w:tcPr>
            <w:tcW w:w="4788" w:type="dxa"/>
            <w:shd w:val="clear" w:color="auto" w:fill="auto"/>
          </w:tcPr>
          <w:p w14:paraId="324B5C92" w14:textId="715F7C85"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62.-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and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must give notice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Commission about the discovery of a shared field or</w:t>
            </w:r>
            <w:r>
              <w:rPr>
                <w:rFonts w:ascii="Verdana" w:hAnsi="Verdana" w:cs="Times New Roman"/>
                <w:bCs/>
                <w:sz w:val="16"/>
                <w:szCs w:val="16"/>
                <w:lang w:val="en-US"/>
              </w:rPr>
              <w:t xml:space="preserve"> deposit, </w:t>
            </w:r>
            <w:r w:rsidRPr="00081E30">
              <w:rPr>
                <w:rFonts w:ascii="Verdana" w:hAnsi="Verdana" w:cs="Times New Roman"/>
                <w:bCs/>
                <w:sz w:val="16"/>
                <w:szCs w:val="16"/>
                <w:lang w:val="en-US"/>
              </w:rPr>
              <w:t>within a period of sixty business days after said event occurs. This notice must contain at least:</w:t>
            </w:r>
          </w:p>
        </w:tc>
      </w:tr>
      <w:tr w:rsidR="002C5E29" w:rsidRPr="00171358" w14:paraId="773D3EBF" w14:textId="102B186C" w:rsidTr="00081E30">
        <w:tc>
          <w:tcPr>
            <w:tcW w:w="4788" w:type="dxa"/>
            <w:shd w:val="clear" w:color="auto" w:fill="auto"/>
          </w:tcPr>
          <w:p w14:paraId="118D5D34" w14:textId="77777777" w:rsidR="002C5E29" w:rsidRPr="00171358"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054905E" w14:textId="0124B09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E226A54" w14:textId="27335BA3" w:rsidTr="00081E30">
        <w:tc>
          <w:tcPr>
            <w:tcW w:w="4788" w:type="dxa"/>
            <w:shd w:val="clear" w:color="auto" w:fill="auto"/>
          </w:tcPr>
          <w:p w14:paraId="039D21B2" w14:textId="4EACF91E" w:rsidR="002C5E29" w:rsidRPr="00081E30" w:rsidRDefault="002C5E29" w:rsidP="002C5E29">
            <w:pPr>
              <w:pStyle w:val="Texto"/>
              <w:spacing w:after="0" w:line="240" w:lineRule="auto"/>
              <w:ind w:firstLine="0"/>
              <w:rPr>
                <w:rFonts w:ascii="Verdana" w:hAnsi="Verdana"/>
                <w:bCs/>
                <w:sz w:val="16"/>
                <w:szCs w:val="16"/>
                <w:lang w:val="es-ES_tradnl"/>
              </w:rPr>
            </w:pPr>
            <w:r w:rsidRPr="00030FCB">
              <w:rPr>
                <w:rFonts w:ascii="Verdana" w:hAnsi="Verdana"/>
                <w:b/>
                <w:bCs/>
                <w:sz w:val="16"/>
                <w:szCs w:val="16"/>
                <w:lang w:val="es-ES_tradnl"/>
              </w:rPr>
              <w:t>I.</w:t>
            </w:r>
            <w:r w:rsidRPr="00081E30">
              <w:rPr>
                <w:rFonts w:ascii="Verdana" w:hAnsi="Verdana"/>
                <w:bCs/>
                <w:sz w:val="16"/>
                <w:szCs w:val="16"/>
                <w:lang w:val="es-ES_tradnl"/>
              </w:rPr>
              <w:t xml:space="preserve"> Las características generales del campo compartido o yacimiento compartido;</w:t>
            </w:r>
          </w:p>
        </w:tc>
        <w:tc>
          <w:tcPr>
            <w:tcW w:w="4788" w:type="dxa"/>
            <w:shd w:val="clear" w:color="auto" w:fill="auto"/>
          </w:tcPr>
          <w:p w14:paraId="784F4EDC" w14:textId="20F4CD3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general characteristics of the shared field or </w:t>
            </w:r>
            <w:r>
              <w:rPr>
                <w:rFonts w:ascii="Verdana" w:hAnsi="Verdana" w:cs="Times New Roman"/>
                <w:bCs/>
                <w:sz w:val="16"/>
                <w:szCs w:val="16"/>
                <w:lang w:val="en-US"/>
              </w:rPr>
              <w:t>shared deposit</w:t>
            </w:r>
            <w:r w:rsidRPr="00081E30">
              <w:rPr>
                <w:rFonts w:ascii="Verdana" w:hAnsi="Verdana" w:cs="Times New Roman"/>
                <w:bCs/>
                <w:sz w:val="16"/>
                <w:szCs w:val="16"/>
                <w:lang w:val="en-US"/>
              </w:rPr>
              <w:t>;</w:t>
            </w:r>
          </w:p>
        </w:tc>
      </w:tr>
      <w:tr w:rsidR="002C5E29" w:rsidRPr="000A5335" w14:paraId="7FD80EE5" w14:textId="1591352D" w:rsidTr="00081E30">
        <w:tc>
          <w:tcPr>
            <w:tcW w:w="4788" w:type="dxa"/>
            <w:shd w:val="clear" w:color="auto" w:fill="auto"/>
          </w:tcPr>
          <w:p w14:paraId="4955E8F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B1BE82" w14:textId="04445E9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2EFE608" w14:textId="03E68627" w:rsidTr="00081E30">
        <w:tc>
          <w:tcPr>
            <w:tcW w:w="4788" w:type="dxa"/>
            <w:shd w:val="clear" w:color="auto" w:fill="auto"/>
          </w:tcPr>
          <w:p w14:paraId="1EC050FE" w14:textId="32D524A3" w:rsidR="002C5E29" w:rsidRPr="00081E30" w:rsidRDefault="002C5E29" w:rsidP="002C5E29">
            <w:pPr>
              <w:pStyle w:val="Texto"/>
              <w:spacing w:after="0" w:line="240" w:lineRule="auto"/>
              <w:ind w:firstLine="0"/>
              <w:rPr>
                <w:rFonts w:ascii="Verdana" w:hAnsi="Verdana"/>
                <w:bCs/>
                <w:sz w:val="16"/>
                <w:szCs w:val="16"/>
                <w:lang w:val="es-ES_tradnl"/>
              </w:rPr>
            </w:pPr>
            <w:r w:rsidRPr="00030FCB">
              <w:rPr>
                <w:rFonts w:ascii="Verdana" w:hAnsi="Verdana"/>
                <w:b/>
                <w:bCs/>
                <w:sz w:val="16"/>
                <w:szCs w:val="16"/>
              </w:rPr>
              <w:t>II.</w:t>
            </w:r>
            <w:r w:rsidRPr="00081E30">
              <w:rPr>
                <w:rFonts w:ascii="Verdana" w:hAnsi="Verdana"/>
                <w:bCs/>
                <w:sz w:val="16"/>
                <w:szCs w:val="16"/>
              </w:rPr>
              <w:t xml:space="preserve"> </w:t>
            </w:r>
            <w:r w:rsidRPr="00081E30">
              <w:rPr>
                <w:rFonts w:ascii="Verdana" w:hAnsi="Verdana"/>
                <w:bCs/>
                <w:sz w:val="16"/>
                <w:szCs w:val="16"/>
                <w:lang w:val="es-ES_tradnl"/>
              </w:rPr>
              <w:t>Los estudios con los que se infiera la existencia de un campo compartido o yacimiento compartido, y</w:t>
            </w:r>
          </w:p>
        </w:tc>
        <w:tc>
          <w:tcPr>
            <w:tcW w:w="4788" w:type="dxa"/>
            <w:shd w:val="clear" w:color="auto" w:fill="auto"/>
          </w:tcPr>
          <w:p w14:paraId="3DB542A3" w14:textId="1CEB323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Studies with which the existence of a shared field or </w:t>
            </w:r>
            <w:r>
              <w:rPr>
                <w:rFonts w:ascii="Verdana" w:hAnsi="Verdana" w:cs="Times New Roman"/>
                <w:bCs/>
                <w:sz w:val="16"/>
                <w:szCs w:val="16"/>
                <w:lang w:val="en-US"/>
              </w:rPr>
              <w:t>shared deposit</w:t>
            </w:r>
            <w:r w:rsidRPr="00081E30">
              <w:rPr>
                <w:rFonts w:ascii="Verdana" w:hAnsi="Verdana" w:cs="Times New Roman"/>
                <w:bCs/>
                <w:sz w:val="16"/>
                <w:szCs w:val="16"/>
                <w:lang w:val="en-US"/>
              </w:rPr>
              <w:t xml:space="preserve"> is inferred, and</w:t>
            </w:r>
          </w:p>
        </w:tc>
      </w:tr>
      <w:tr w:rsidR="002C5E29" w:rsidRPr="000A5335" w14:paraId="5AD37BF2" w14:textId="6DCA3117" w:rsidTr="00081E30">
        <w:tc>
          <w:tcPr>
            <w:tcW w:w="4788" w:type="dxa"/>
            <w:shd w:val="clear" w:color="auto" w:fill="auto"/>
          </w:tcPr>
          <w:p w14:paraId="58589ED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0CA434F" w14:textId="3E2CBDB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D9FB47B" w14:textId="6A84DC3A" w:rsidTr="00081E30">
        <w:tc>
          <w:tcPr>
            <w:tcW w:w="4788" w:type="dxa"/>
            <w:shd w:val="clear" w:color="auto" w:fill="auto"/>
          </w:tcPr>
          <w:p w14:paraId="7E46CFD2" w14:textId="6AF71BA1" w:rsidR="002C5E29" w:rsidRPr="00081E30" w:rsidRDefault="002C5E29" w:rsidP="002C5E29">
            <w:pPr>
              <w:pStyle w:val="Texto"/>
              <w:spacing w:after="0" w:line="240" w:lineRule="auto"/>
              <w:ind w:firstLine="0"/>
              <w:rPr>
                <w:rFonts w:ascii="Verdana" w:hAnsi="Verdana"/>
                <w:bCs/>
                <w:sz w:val="16"/>
                <w:szCs w:val="16"/>
                <w:lang w:val="es-ES_tradnl"/>
              </w:rPr>
            </w:pPr>
            <w:r w:rsidRPr="00030FCB">
              <w:rPr>
                <w:rFonts w:ascii="Verdana" w:hAnsi="Verdana"/>
                <w:b/>
                <w:bCs/>
                <w:sz w:val="16"/>
                <w:szCs w:val="16"/>
              </w:rPr>
              <w:t>III.</w:t>
            </w:r>
            <w:r w:rsidRPr="00081E30">
              <w:rPr>
                <w:rFonts w:ascii="Verdana" w:hAnsi="Verdana"/>
                <w:bCs/>
                <w:sz w:val="16"/>
                <w:szCs w:val="16"/>
              </w:rPr>
              <w:t xml:space="preserve"> </w:t>
            </w:r>
            <w:r w:rsidRPr="00081E30">
              <w:rPr>
                <w:rFonts w:ascii="Verdana" w:hAnsi="Verdana"/>
                <w:bCs/>
                <w:sz w:val="16"/>
                <w:szCs w:val="16"/>
                <w:lang w:val="es-ES_tradnl"/>
              </w:rPr>
              <w:t>La información adicional que los Asignatarios o Contratistas consideren pertinente.</w:t>
            </w:r>
          </w:p>
        </w:tc>
        <w:tc>
          <w:tcPr>
            <w:tcW w:w="4788" w:type="dxa"/>
            <w:shd w:val="clear" w:color="auto" w:fill="auto"/>
          </w:tcPr>
          <w:p w14:paraId="0601958F" w14:textId="0654F94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additional information that the Assignees or Contractors consider pertinent.</w:t>
            </w:r>
          </w:p>
        </w:tc>
      </w:tr>
      <w:tr w:rsidR="002C5E29" w:rsidRPr="000A5335" w14:paraId="73D4BBA0" w14:textId="05D350E4" w:rsidTr="00081E30">
        <w:tc>
          <w:tcPr>
            <w:tcW w:w="4788" w:type="dxa"/>
            <w:shd w:val="clear" w:color="auto" w:fill="auto"/>
          </w:tcPr>
          <w:p w14:paraId="72DBC30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6D2E850" w14:textId="4C4F8AE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96990E1" w14:textId="3427025B" w:rsidTr="00081E30">
        <w:tc>
          <w:tcPr>
            <w:tcW w:w="4788" w:type="dxa"/>
            <w:shd w:val="clear" w:color="auto" w:fill="auto"/>
          </w:tcPr>
          <w:p w14:paraId="432EE73B" w14:textId="77777777" w:rsidR="002C5E29" w:rsidRPr="00081E30" w:rsidRDefault="002C5E29" w:rsidP="002C5E29">
            <w:pPr>
              <w:pStyle w:val="Texto"/>
              <w:spacing w:after="0" w:line="240" w:lineRule="auto"/>
              <w:ind w:firstLine="0"/>
              <w:rPr>
                <w:rFonts w:ascii="Verdana" w:hAnsi="Verdana"/>
                <w:bCs/>
                <w:sz w:val="16"/>
                <w:szCs w:val="16"/>
              </w:rPr>
            </w:pPr>
            <w:r w:rsidRPr="005E5B0E">
              <w:rPr>
                <w:rFonts w:ascii="Verdana" w:hAnsi="Verdana"/>
                <w:b/>
                <w:sz w:val="16"/>
                <w:szCs w:val="16"/>
              </w:rPr>
              <w:t>Artículo 63.-</w:t>
            </w:r>
            <w:r w:rsidRPr="00081E30">
              <w:rPr>
                <w:rFonts w:ascii="Verdana" w:hAnsi="Verdana"/>
                <w:bCs/>
                <w:sz w:val="16"/>
                <w:szCs w:val="16"/>
              </w:rPr>
              <w:t xml:space="preserve"> Una vez recibido el aviso a que se refiere el artículo anterior, la Secretaría con base en la información recibida, así como en el dictamen de la Comisión, determinará la posible existencia de un campo o un yacimiento compartido, en cuyo caso instruirá la unificación de los campos o yacimientos de Extracción y se estará a lo siguiente:</w:t>
            </w:r>
          </w:p>
        </w:tc>
        <w:tc>
          <w:tcPr>
            <w:tcW w:w="4788" w:type="dxa"/>
            <w:shd w:val="clear" w:color="auto" w:fill="auto"/>
          </w:tcPr>
          <w:p w14:paraId="579226DD" w14:textId="322EB013" w:rsidR="002C5E29" w:rsidRPr="00081E30" w:rsidRDefault="002C5E29" w:rsidP="002C5E29">
            <w:pPr>
              <w:pStyle w:val="Texto"/>
              <w:spacing w:after="0" w:line="240" w:lineRule="auto"/>
              <w:ind w:firstLine="0"/>
              <w:rPr>
                <w:rFonts w:ascii="Verdana" w:hAnsi="Verdana"/>
                <w:bCs/>
                <w:sz w:val="16"/>
                <w:szCs w:val="16"/>
                <w:lang w:val="en-US"/>
              </w:rPr>
            </w:pPr>
            <w:r w:rsidRPr="005E5B0E">
              <w:rPr>
                <w:rFonts w:ascii="Verdana" w:hAnsi="Verdana" w:cs="Times New Roman"/>
                <w:b/>
                <w:sz w:val="16"/>
                <w:szCs w:val="16"/>
                <w:lang w:val="en-US"/>
              </w:rPr>
              <w:t>Article 63.-</w:t>
            </w:r>
            <w:r w:rsidRPr="00081E30">
              <w:rPr>
                <w:rFonts w:ascii="Verdana" w:hAnsi="Verdana" w:cs="Times New Roman"/>
                <w:bCs/>
                <w:sz w:val="16"/>
                <w:szCs w:val="16"/>
                <w:lang w:val="en-US"/>
              </w:rPr>
              <w:t xml:space="preserve"> Once the notice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has been received,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based on the information received, as well as in the Commission's opinion, will determine the possible existence of a shared field or </w:t>
            </w:r>
            <w:r>
              <w:rPr>
                <w:rFonts w:ascii="Verdana" w:hAnsi="Verdana" w:cs="Times New Roman"/>
                <w:bCs/>
                <w:sz w:val="16"/>
                <w:szCs w:val="16"/>
                <w:lang w:val="en-US"/>
              </w:rPr>
              <w:t>deposit</w:t>
            </w:r>
            <w:r w:rsidRPr="00081E30">
              <w:rPr>
                <w:rFonts w:ascii="Verdana" w:hAnsi="Verdana" w:cs="Times New Roman"/>
                <w:bCs/>
                <w:sz w:val="16"/>
                <w:szCs w:val="16"/>
                <w:lang w:val="en-US"/>
              </w:rPr>
              <w:t xml:space="preserve">, in which case </w:t>
            </w:r>
            <w:r>
              <w:rPr>
                <w:rFonts w:ascii="Verdana" w:hAnsi="Verdana" w:cs="Times New Roman"/>
                <w:bCs/>
                <w:sz w:val="16"/>
                <w:szCs w:val="16"/>
                <w:lang w:val="en-US"/>
              </w:rPr>
              <w:t xml:space="preserve">it </w:t>
            </w:r>
            <w:r w:rsidRPr="00081E30">
              <w:rPr>
                <w:rFonts w:ascii="Verdana" w:hAnsi="Verdana" w:cs="Times New Roman"/>
                <w:bCs/>
                <w:sz w:val="16"/>
                <w:szCs w:val="16"/>
                <w:lang w:val="en-US"/>
              </w:rPr>
              <w:t xml:space="preserve">will instruct the unification of the fields or </w:t>
            </w:r>
            <w:r>
              <w:rPr>
                <w:rFonts w:ascii="Verdana" w:hAnsi="Verdana" w:cs="Times New Roman"/>
                <w:bCs/>
                <w:sz w:val="16"/>
                <w:szCs w:val="16"/>
                <w:lang w:val="en-US"/>
              </w:rPr>
              <w:t>deposits</w:t>
            </w:r>
            <w:r w:rsidRPr="00081E30">
              <w:rPr>
                <w:rFonts w:ascii="Verdana" w:hAnsi="Verdana" w:cs="Times New Roman"/>
                <w:bCs/>
                <w:sz w:val="16"/>
                <w:szCs w:val="16"/>
                <w:lang w:val="en-US"/>
              </w:rPr>
              <w:t xml:space="preserve"> of </w:t>
            </w:r>
            <w:r>
              <w:rPr>
                <w:rFonts w:ascii="Verdana" w:hAnsi="Verdana" w:cs="Times New Roman"/>
                <w:bCs/>
                <w:sz w:val="16"/>
                <w:szCs w:val="16"/>
                <w:lang w:val="en-US"/>
              </w:rPr>
              <w:t>e</w:t>
            </w:r>
            <w:r w:rsidRPr="00081E30">
              <w:rPr>
                <w:rFonts w:ascii="Verdana" w:hAnsi="Verdana" w:cs="Times New Roman"/>
                <w:bCs/>
                <w:sz w:val="16"/>
                <w:szCs w:val="16"/>
                <w:lang w:val="en-US"/>
              </w:rPr>
              <w:t>xtraction and</w:t>
            </w:r>
            <w:r>
              <w:rPr>
                <w:rFonts w:ascii="Verdana" w:hAnsi="Verdana" w:cs="Times New Roman"/>
                <w:bCs/>
                <w:sz w:val="16"/>
                <w:szCs w:val="16"/>
                <w:lang w:val="en-US"/>
              </w:rPr>
              <w:t xml:space="preserve"> it will be according to the following: </w:t>
            </w:r>
          </w:p>
        </w:tc>
      </w:tr>
      <w:tr w:rsidR="002C5E29" w:rsidRPr="000A5335" w14:paraId="1E8B0E9B" w14:textId="1CE9C2E8" w:rsidTr="00081E30">
        <w:tc>
          <w:tcPr>
            <w:tcW w:w="4788" w:type="dxa"/>
            <w:shd w:val="clear" w:color="auto" w:fill="auto"/>
          </w:tcPr>
          <w:p w14:paraId="61E80EC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E6F0DB" w14:textId="2F790B9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171358" w14:paraId="663A018A" w14:textId="0CB2F2B4" w:rsidTr="00081E30">
        <w:tc>
          <w:tcPr>
            <w:tcW w:w="4788" w:type="dxa"/>
            <w:shd w:val="clear" w:color="auto" w:fill="auto"/>
          </w:tcPr>
          <w:p w14:paraId="57BC19E3" w14:textId="206A1A0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En caso de que el campo o yacimiento compartido se localice en su totalidad en áreas en las que se encuentre vigente una Asignación o suscrito un Contrato para la Exploración y Extracción, la Secretaría solicitará a los Asignatarios o Contratistas que le presenten conjuntamente su propuesta de acuerdo de unificación, el cual deberá contener al menos:</w:t>
            </w:r>
          </w:p>
        </w:tc>
        <w:tc>
          <w:tcPr>
            <w:tcW w:w="4788" w:type="dxa"/>
            <w:shd w:val="clear" w:color="auto" w:fill="auto"/>
          </w:tcPr>
          <w:p w14:paraId="4815A182" w14:textId="2D69B58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In the event that the field or </w:t>
            </w:r>
            <w:r>
              <w:rPr>
                <w:rFonts w:ascii="Verdana" w:hAnsi="Verdana" w:cs="Times New Roman"/>
                <w:bCs/>
                <w:sz w:val="16"/>
                <w:szCs w:val="16"/>
                <w:lang w:val="en-US"/>
              </w:rPr>
              <w:t>shared deposit</w:t>
            </w:r>
            <w:r w:rsidRPr="00081E30">
              <w:rPr>
                <w:rFonts w:ascii="Verdana" w:hAnsi="Verdana" w:cs="Times New Roman"/>
                <w:bCs/>
                <w:sz w:val="16"/>
                <w:szCs w:val="16"/>
                <w:lang w:val="en-US"/>
              </w:rPr>
              <w:t xml:space="preserve"> is located in its entirety in areas where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is in force or an </w:t>
            </w:r>
            <w:r>
              <w:rPr>
                <w:rFonts w:ascii="Verdana" w:hAnsi="Verdana" w:cs="Times New Roman"/>
                <w:bCs/>
                <w:sz w:val="16"/>
                <w:szCs w:val="16"/>
                <w:lang w:val="en-US"/>
              </w:rPr>
              <w:t>a</w:t>
            </w:r>
            <w:r w:rsidRPr="00081E30">
              <w:rPr>
                <w:rFonts w:ascii="Verdana" w:hAnsi="Verdana" w:cs="Times New Roman"/>
                <w:bCs/>
                <w:sz w:val="16"/>
                <w:szCs w:val="16"/>
                <w:lang w:val="en-US"/>
              </w:rPr>
              <w:t xml:space="preserve">greement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has been signed,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request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to submit their proposal </w:t>
            </w:r>
            <w:r>
              <w:rPr>
                <w:rFonts w:ascii="Verdana" w:hAnsi="Verdana" w:cs="Times New Roman"/>
                <w:bCs/>
                <w:sz w:val="16"/>
                <w:szCs w:val="16"/>
                <w:lang w:val="en-US"/>
              </w:rPr>
              <w:t xml:space="preserve">for a unification </w:t>
            </w:r>
            <w:r w:rsidRPr="00081E30">
              <w:rPr>
                <w:rFonts w:ascii="Verdana" w:hAnsi="Verdana" w:cs="Times New Roman"/>
                <w:bCs/>
                <w:sz w:val="16"/>
                <w:szCs w:val="16"/>
                <w:lang w:val="en-US"/>
              </w:rPr>
              <w:t>agreement, which must contain at least:</w:t>
            </w:r>
          </w:p>
        </w:tc>
      </w:tr>
      <w:tr w:rsidR="002C5E29" w:rsidRPr="00171358" w14:paraId="4769C258" w14:textId="00E1C1F6" w:rsidTr="00081E30">
        <w:tc>
          <w:tcPr>
            <w:tcW w:w="4788" w:type="dxa"/>
            <w:shd w:val="clear" w:color="auto" w:fill="auto"/>
          </w:tcPr>
          <w:p w14:paraId="5A59F06F" w14:textId="77777777" w:rsidR="002C5E29" w:rsidRPr="00171358"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DAA3A6" w14:textId="18123C8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2A82B7D" w14:textId="31C51ABB" w:rsidTr="00081E30">
        <w:tc>
          <w:tcPr>
            <w:tcW w:w="4788" w:type="dxa"/>
            <w:shd w:val="clear" w:color="auto" w:fill="auto"/>
          </w:tcPr>
          <w:p w14:paraId="3F5172A6" w14:textId="77777777" w:rsidR="002C5E29" w:rsidRPr="00081E30" w:rsidRDefault="002C5E29" w:rsidP="002C5E29">
            <w:pPr>
              <w:pStyle w:val="Texto"/>
              <w:spacing w:after="0" w:line="240" w:lineRule="auto"/>
              <w:ind w:firstLine="0"/>
              <w:rPr>
                <w:rFonts w:ascii="Verdana" w:hAnsi="Verdana"/>
                <w:bCs/>
                <w:sz w:val="16"/>
                <w:szCs w:val="16"/>
              </w:rPr>
            </w:pPr>
            <w:r w:rsidRPr="00B60B5B">
              <w:rPr>
                <w:rFonts w:ascii="Verdana" w:hAnsi="Verdana"/>
                <w:b/>
                <w:sz w:val="16"/>
                <w:szCs w:val="16"/>
              </w:rPr>
              <w:t>a)</w:t>
            </w:r>
            <w:r w:rsidRPr="00081E30">
              <w:rPr>
                <w:rFonts w:ascii="Verdana" w:hAnsi="Verdana"/>
                <w:bCs/>
                <w:sz w:val="16"/>
                <w:szCs w:val="16"/>
              </w:rPr>
              <w:t xml:space="preserve"> La identificación del área unificada;</w:t>
            </w:r>
          </w:p>
        </w:tc>
        <w:tc>
          <w:tcPr>
            <w:tcW w:w="4788" w:type="dxa"/>
            <w:shd w:val="clear" w:color="auto" w:fill="auto"/>
          </w:tcPr>
          <w:p w14:paraId="719F4DE0" w14:textId="0EA7E547"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a)</w:t>
            </w:r>
            <w:r w:rsidRPr="00081E30">
              <w:rPr>
                <w:rFonts w:ascii="Verdana" w:hAnsi="Verdana" w:cs="Times New Roman"/>
                <w:bCs/>
                <w:sz w:val="16"/>
                <w:szCs w:val="16"/>
                <w:lang w:val="en-US"/>
              </w:rPr>
              <w:t xml:space="preserve"> The identification of the unified area;</w:t>
            </w:r>
          </w:p>
        </w:tc>
      </w:tr>
      <w:tr w:rsidR="002C5E29" w:rsidRPr="000A5335" w14:paraId="2617C836" w14:textId="077B7155" w:rsidTr="00081E30">
        <w:tc>
          <w:tcPr>
            <w:tcW w:w="4788" w:type="dxa"/>
            <w:shd w:val="clear" w:color="auto" w:fill="auto"/>
          </w:tcPr>
          <w:p w14:paraId="7899247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5B76D2C" w14:textId="5A13820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ADA05F0" w14:textId="08E3F9AB" w:rsidTr="00081E30">
        <w:tc>
          <w:tcPr>
            <w:tcW w:w="4788" w:type="dxa"/>
            <w:shd w:val="clear" w:color="auto" w:fill="auto"/>
          </w:tcPr>
          <w:p w14:paraId="79688C44" w14:textId="77777777" w:rsidR="002C5E29" w:rsidRPr="00081E30" w:rsidRDefault="002C5E29" w:rsidP="002C5E29">
            <w:pPr>
              <w:pStyle w:val="Texto"/>
              <w:spacing w:after="0" w:line="240" w:lineRule="auto"/>
              <w:ind w:firstLine="0"/>
              <w:rPr>
                <w:rFonts w:ascii="Verdana" w:hAnsi="Verdana"/>
                <w:bCs/>
                <w:sz w:val="16"/>
                <w:szCs w:val="16"/>
              </w:rPr>
            </w:pPr>
            <w:r w:rsidRPr="00B60B5B">
              <w:rPr>
                <w:rFonts w:ascii="Verdana" w:hAnsi="Verdana"/>
                <w:b/>
                <w:sz w:val="16"/>
                <w:szCs w:val="16"/>
              </w:rPr>
              <w:t>b)</w:t>
            </w:r>
            <w:r w:rsidRPr="00081E30">
              <w:rPr>
                <w:rFonts w:ascii="Verdana" w:hAnsi="Verdana"/>
                <w:bCs/>
                <w:sz w:val="16"/>
                <w:szCs w:val="16"/>
              </w:rPr>
              <w:t xml:space="preserve"> La identificación de los Contratistas o los Asignatarios involucrados;</w:t>
            </w:r>
          </w:p>
        </w:tc>
        <w:tc>
          <w:tcPr>
            <w:tcW w:w="4788" w:type="dxa"/>
            <w:shd w:val="clear" w:color="auto" w:fill="auto"/>
          </w:tcPr>
          <w:p w14:paraId="2CEDCFF1" w14:textId="3970FB79"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b)</w:t>
            </w:r>
            <w:r w:rsidRPr="00081E30">
              <w:rPr>
                <w:rFonts w:ascii="Verdana" w:hAnsi="Verdana" w:cs="Times New Roman"/>
                <w:bCs/>
                <w:sz w:val="16"/>
                <w:szCs w:val="16"/>
                <w:lang w:val="en-US"/>
              </w:rPr>
              <w:t xml:space="preserve"> The identification of the Contractors or Assignees involved;</w:t>
            </w:r>
          </w:p>
        </w:tc>
      </w:tr>
      <w:tr w:rsidR="002C5E29" w:rsidRPr="000A5335" w14:paraId="20193EF1" w14:textId="3A4F1A95" w:rsidTr="00081E30">
        <w:tc>
          <w:tcPr>
            <w:tcW w:w="4788" w:type="dxa"/>
            <w:shd w:val="clear" w:color="auto" w:fill="auto"/>
          </w:tcPr>
          <w:p w14:paraId="59229E2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7BB8B4B" w14:textId="3E6C272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6B49331" w14:textId="40DB6276" w:rsidTr="00081E30">
        <w:tc>
          <w:tcPr>
            <w:tcW w:w="4788" w:type="dxa"/>
            <w:shd w:val="clear" w:color="auto" w:fill="auto"/>
          </w:tcPr>
          <w:p w14:paraId="03906D0F" w14:textId="77777777" w:rsidR="002C5E29" w:rsidRPr="00081E30" w:rsidRDefault="002C5E29" w:rsidP="002C5E29">
            <w:pPr>
              <w:pStyle w:val="Texto"/>
              <w:spacing w:after="0" w:line="240" w:lineRule="auto"/>
              <w:ind w:firstLine="0"/>
              <w:rPr>
                <w:rFonts w:ascii="Verdana" w:hAnsi="Verdana"/>
                <w:bCs/>
                <w:sz w:val="16"/>
                <w:szCs w:val="16"/>
              </w:rPr>
            </w:pPr>
            <w:r w:rsidRPr="00B60B5B">
              <w:rPr>
                <w:rFonts w:ascii="Verdana" w:hAnsi="Verdana"/>
                <w:b/>
                <w:sz w:val="16"/>
                <w:szCs w:val="16"/>
              </w:rPr>
              <w:t>c)</w:t>
            </w:r>
            <w:r w:rsidRPr="00081E30">
              <w:rPr>
                <w:rFonts w:ascii="Verdana" w:hAnsi="Verdana"/>
                <w:bCs/>
                <w:sz w:val="16"/>
                <w:szCs w:val="16"/>
              </w:rPr>
              <w:t xml:space="preserve"> La propuesta de operación del área unificada;</w:t>
            </w:r>
          </w:p>
        </w:tc>
        <w:tc>
          <w:tcPr>
            <w:tcW w:w="4788" w:type="dxa"/>
            <w:shd w:val="clear" w:color="auto" w:fill="auto"/>
          </w:tcPr>
          <w:p w14:paraId="3B5D14C5" w14:textId="5625CC1E"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c)</w:t>
            </w:r>
            <w:r w:rsidRPr="00081E30">
              <w:rPr>
                <w:rFonts w:ascii="Verdana" w:hAnsi="Verdana" w:cs="Times New Roman"/>
                <w:bCs/>
                <w:sz w:val="16"/>
                <w:szCs w:val="16"/>
                <w:lang w:val="en-US"/>
              </w:rPr>
              <w:t xml:space="preserve"> The proposed operation of the unified area;</w:t>
            </w:r>
          </w:p>
        </w:tc>
      </w:tr>
      <w:tr w:rsidR="002C5E29" w:rsidRPr="000A5335" w14:paraId="0465825B" w14:textId="7CF2A37A" w:rsidTr="00081E30">
        <w:tc>
          <w:tcPr>
            <w:tcW w:w="4788" w:type="dxa"/>
            <w:shd w:val="clear" w:color="auto" w:fill="auto"/>
          </w:tcPr>
          <w:p w14:paraId="687FA83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3767E54" w14:textId="03147E6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D1880FB" w14:textId="73D90B7E" w:rsidTr="00081E30">
        <w:tc>
          <w:tcPr>
            <w:tcW w:w="4788" w:type="dxa"/>
            <w:shd w:val="clear" w:color="auto" w:fill="auto"/>
          </w:tcPr>
          <w:p w14:paraId="454682E6" w14:textId="77777777" w:rsidR="002C5E29" w:rsidRPr="00081E30" w:rsidRDefault="002C5E29" w:rsidP="002C5E29">
            <w:pPr>
              <w:pStyle w:val="Texto"/>
              <w:spacing w:after="0" w:line="240" w:lineRule="auto"/>
              <w:ind w:firstLine="0"/>
              <w:rPr>
                <w:rFonts w:ascii="Verdana" w:hAnsi="Verdana"/>
                <w:bCs/>
                <w:spacing w:val="-2"/>
                <w:sz w:val="16"/>
                <w:szCs w:val="16"/>
              </w:rPr>
            </w:pPr>
            <w:r w:rsidRPr="00B60B5B">
              <w:rPr>
                <w:rFonts w:ascii="Verdana" w:hAnsi="Verdana"/>
                <w:b/>
                <w:sz w:val="16"/>
                <w:szCs w:val="16"/>
              </w:rPr>
              <w:t>d)</w:t>
            </w:r>
            <w:r w:rsidRPr="00081E30">
              <w:rPr>
                <w:rFonts w:ascii="Verdana" w:hAnsi="Verdana"/>
                <w:bCs/>
                <w:sz w:val="16"/>
                <w:szCs w:val="16"/>
              </w:rPr>
              <w:t xml:space="preserve"> </w:t>
            </w:r>
            <w:r w:rsidRPr="00081E30">
              <w:rPr>
                <w:rFonts w:ascii="Verdana" w:hAnsi="Verdana"/>
                <w:bCs/>
                <w:spacing w:val="-2"/>
                <w:sz w:val="16"/>
                <w:szCs w:val="16"/>
              </w:rPr>
              <w:t>Los planes de Exploración y de desarrollo para la Extracción de Hidrocarburos del área unificada;</w:t>
            </w:r>
          </w:p>
        </w:tc>
        <w:tc>
          <w:tcPr>
            <w:tcW w:w="4788" w:type="dxa"/>
            <w:shd w:val="clear" w:color="auto" w:fill="auto"/>
          </w:tcPr>
          <w:p w14:paraId="689ADCB4" w14:textId="444217A6"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d)</w:t>
            </w:r>
            <w:r w:rsidRPr="00081E30">
              <w:rPr>
                <w:rFonts w:ascii="Verdana" w:hAnsi="Verdana" w:cs="Times New Roman"/>
                <w:bCs/>
                <w:sz w:val="16"/>
                <w:szCs w:val="16"/>
                <w:lang w:val="en-US"/>
              </w:rPr>
              <w:t xml:space="preserve"> </w:t>
            </w:r>
            <w:r w:rsidRPr="00081E30">
              <w:rPr>
                <w:rFonts w:ascii="Verdana" w:hAnsi="Verdana" w:cs="Times New Roman"/>
                <w:bCs/>
                <w:spacing w:val="-2"/>
                <w:sz w:val="16"/>
                <w:szCs w:val="16"/>
                <w:lang w:val="en-US"/>
              </w:rPr>
              <w:t>Exploration and development plans for the Extraction of Hydrocarbons from the unified area;</w:t>
            </w:r>
          </w:p>
        </w:tc>
      </w:tr>
      <w:tr w:rsidR="002C5E29" w:rsidRPr="000A5335" w14:paraId="06231160" w14:textId="1811D004" w:rsidTr="00081E30">
        <w:tc>
          <w:tcPr>
            <w:tcW w:w="4788" w:type="dxa"/>
            <w:shd w:val="clear" w:color="auto" w:fill="auto"/>
          </w:tcPr>
          <w:p w14:paraId="7018E556" w14:textId="77777777" w:rsidR="002C5E29" w:rsidRPr="00081E30" w:rsidRDefault="002C5E29" w:rsidP="002C5E29">
            <w:pPr>
              <w:pStyle w:val="Texto"/>
              <w:spacing w:after="0" w:line="240" w:lineRule="auto"/>
              <w:ind w:firstLine="0"/>
              <w:rPr>
                <w:rFonts w:ascii="Verdana" w:hAnsi="Verdana"/>
                <w:bCs/>
                <w:spacing w:val="-2"/>
                <w:sz w:val="16"/>
                <w:szCs w:val="16"/>
                <w:lang w:val="en-US"/>
              </w:rPr>
            </w:pPr>
          </w:p>
        </w:tc>
        <w:tc>
          <w:tcPr>
            <w:tcW w:w="4788" w:type="dxa"/>
            <w:shd w:val="clear" w:color="auto" w:fill="auto"/>
          </w:tcPr>
          <w:p w14:paraId="7E65EF22" w14:textId="36921A2B" w:rsidR="002C5E29" w:rsidRPr="00081E30" w:rsidRDefault="002C5E29" w:rsidP="002C5E29">
            <w:pPr>
              <w:pStyle w:val="Texto"/>
              <w:spacing w:after="0" w:line="240" w:lineRule="auto"/>
              <w:ind w:firstLine="0"/>
              <w:rPr>
                <w:rFonts w:ascii="Verdana" w:hAnsi="Verdana"/>
                <w:bCs/>
                <w:spacing w:val="-2"/>
                <w:sz w:val="16"/>
                <w:szCs w:val="16"/>
                <w:lang w:val="en-US"/>
              </w:rPr>
            </w:pPr>
            <w:r w:rsidRPr="00081E30">
              <w:rPr>
                <w:rFonts w:ascii="Verdana" w:hAnsi="Verdana" w:cs="Times New Roman"/>
                <w:bCs/>
                <w:spacing w:val="-2"/>
                <w:sz w:val="16"/>
                <w:szCs w:val="16"/>
                <w:lang w:val="en-US"/>
              </w:rPr>
              <w:t> </w:t>
            </w:r>
          </w:p>
        </w:tc>
      </w:tr>
      <w:tr w:rsidR="002C5E29" w:rsidRPr="000A5335" w14:paraId="5F448E9B" w14:textId="2793E8B5" w:rsidTr="00081E30">
        <w:tc>
          <w:tcPr>
            <w:tcW w:w="4788" w:type="dxa"/>
            <w:shd w:val="clear" w:color="auto" w:fill="auto"/>
          </w:tcPr>
          <w:p w14:paraId="0A5E508B" w14:textId="77777777" w:rsidR="002C5E29" w:rsidRPr="00081E30" w:rsidRDefault="002C5E29" w:rsidP="002C5E29">
            <w:pPr>
              <w:pStyle w:val="Texto"/>
              <w:spacing w:after="0" w:line="240" w:lineRule="auto"/>
              <w:ind w:firstLine="0"/>
              <w:rPr>
                <w:rFonts w:ascii="Verdana" w:hAnsi="Verdana"/>
                <w:bCs/>
                <w:sz w:val="16"/>
                <w:szCs w:val="16"/>
              </w:rPr>
            </w:pPr>
            <w:r w:rsidRPr="00B60B5B">
              <w:rPr>
                <w:rFonts w:ascii="Verdana" w:hAnsi="Verdana"/>
                <w:b/>
                <w:sz w:val="16"/>
                <w:szCs w:val="16"/>
              </w:rPr>
              <w:t>e)</w:t>
            </w:r>
            <w:r w:rsidRPr="00081E30">
              <w:rPr>
                <w:rFonts w:ascii="Verdana" w:hAnsi="Verdana"/>
                <w:bCs/>
                <w:sz w:val="16"/>
                <w:szCs w:val="16"/>
              </w:rPr>
              <w:t xml:space="preserve"> La vigencia de la unificación;</w:t>
            </w:r>
          </w:p>
        </w:tc>
        <w:tc>
          <w:tcPr>
            <w:tcW w:w="4788" w:type="dxa"/>
            <w:shd w:val="clear" w:color="auto" w:fill="auto"/>
          </w:tcPr>
          <w:p w14:paraId="70533D3F" w14:textId="1E02AC74"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e)</w:t>
            </w:r>
            <w:r w:rsidRPr="00081E30">
              <w:rPr>
                <w:rFonts w:ascii="Verdana" w:hAnsi="Verdana" w:cs="Times New Roman"/>
                <w:bCs/>
                <w:sz w:val="16"/>
                <w:szCs w:val="16"/>
                <w:lang w:val="en-US"/>
              </w:rPr>
              <w:t xml:space="preserve"> The validity of the unification;</w:t>
            </w:r>
          </w:p>
        </w:tc>
      </w:tr>
      <w:tr w:rsidR="002C5E29" w:rsidRPr="000A5335" w14:paraId="2E48000C" w14:textId="44617D64" w:rsidTr="00081E30">
        <w:tc>
          <w:tcPr>
            <w:tcW w:w="4788" w:type="dxa"/>
            <w:shd w:val="clear" w:color="auto" w:fill="auto"/>
          </w:tcPr>
          <w:p w14:paraId="641FAD4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B14478F" w14:textId="679EA6E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79066DC" w14:textId="040A17D0" w:rsidTr="00081E30">
        <w:tc>
          <w:tcPr>
            <w:tcW w:w="4788" w:type="dxa"/>
            <w:shd w:val="clear" w:color="auto" w:fill="auto"/>
          </w:tcPr>
          <w:p w14:paraId="1B36921F"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60B5B">
              <w:rPr>
                <w:rFonts w:ascii="Verdana" w:hAnsi="Verdana"/>
                <w:b/>
                <w:sz w:val="16"/>
                <w:szCs w:val="16"/>
              </w:rPr>
              <w:t>f)</w:t>
            </w:r>
            <w:r w:rsidRPr="00081E30">
              <w:rPr>
                <w:rFonts w:ascii="Verdana" w:hAnsi="Verdana"/>
                <w:bCs/>
                <w:sz w:val="16"/>
                <w:szCs w:val="16"/>
              </w:rPr>
              <w:t xml:space="preserve"> </w:t>
            </w:r>
            <w:r w:rsidRPr="00081E30">
              <w:rPr>
                <w:rFonts w:ascii="Verdana" w:hAnsi="Verdana"/>
                <w:bCs/>
                <w:color w:val="000000"/>
                <w:sz w:val="16"/>
                <w:szCs w:val="16"/>
              </w:rPr>
              <w:t>La determinación de la distribución inicial de la producción entre las partes;</w:t>
            </w:r>
          </w:p>
        </w:tc>
        <w:tc>
          <w:tcPr>
            <w:tcW w:w="4788" w:type="dxa"/>
            <w:shd w:val="clear" w:color="auto" w:fill="auto"/>
          </w:tcPr>
          <w:p w14:paraId="1240388B" w14:textId="4C758757"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f)</w:t>
            </w:r>
            <w:r w:rsidRPr="00081E30">
              <w:rPr>
                <w:rFonts w:ascii="Verdana" w:hAnsi="Verdana" w:cs="Times New Roman"/>
                <w:bCs/>
                <w:sz w:val="16"/>
                <w:szCs w:val="16"/>
                <w:lang w:val="en-US"/>
              </w:rPr>
              <w:t xml:space="preserve"> The determination of the initial distribution of production between the parties;</w:t>
            </w:r>
          </w:p>
        </w:tc>
      </w:tr>
      <w:tr w:rsidR="002C5E29" w:rsidRPr="000A5335" w14:paraId="7C3B5C40" w14:textId="44C5E5E4" w:rsidTr="00081E30">
        <w:tc>
          <w:tcPr>
            <w:tcW w:w="4788" w:type="dxa"/>
            <w:shd w:val="clear" w:color="auto" w:fill="auto"/>
          </w:tcPr>
          <w:p w14:paraId="19C6D739"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77113AE9" w14:textId="53D600E0"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4F9D3B5E" w14:textId="6B0DE9BD" w:rsidTr="00081E30">
        <w:tc>
          <w:tcPr>
            <w:tcW w:w="4788" w:type="dxa"/>
            <w:shd w:val="clear" w:color="auto" w:fill="auto"/>
          </w:tcPr>
          <w:p w14:paraId="0C4F0C72"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60B5B">
              <w:rPr>
                <w:rFonts w:ascii="Verdana" w:hAnsi="Verdana"/>
                <w:b/>
                <w:sz w:val="16"/>
                <w:szCs w:val="16"/>
              </w:rPr>
              <w:t>g)</w:t>
            </w:r>
            <w:r w:rsidRPr="00081E30">
              <w:rPr>
                <w:rFonts w:ascii="Verdana" w:hAnsi="Verdana"/>
                <w:bCs/>
                <w:sz w:val="16"/>
                <w:szCs w:val="16"/>
              </w:rPr>
              <w:t xml:space="preserve"> </w:t>
            </w:r>
            <w:r w:rsidRPr="00081E30">
              <w:rPr>
                <w:rFonts w:ascii="Verdana" w:hAnsi="Verdana"/>
                <w:bCs/>
                <w:color w:val="000000"/>
                <w:sz w:val="16"/>
                <w:szCs w:val="16"/>
              </w:rPr>
              <w:t xml:space="preserve">Los procedimientos para la </w:t>
            </w:r>
            <w:proofErr w:type="spellStart"/>
            <w:r w:rsidRPr="00081E30">
              <w:rPr>
                <w:rFonts w:ascii="Verdana" w:hAnsi="Verdana"/>
                <w:bCs/>
                <w:color w:val="000000"/>
                <w:sz w:val="16"/>
                <w:szCs w:val="16"/>
              </w:rPr>
              <w:t>redeterminación</w:t>
            </w:r>
            <w:proofErr w:type="spellEnd"/>
            <w:r w:rsidRPr="00081E30">
              <w:rPr>
                <w:rFonts w:ascii="Verdana" w:hAnsi="Verdana"/>
                <w:bCs/>
                <w:color w:val="000000"/>
                <w:sz w:val="16"/>
                <w:szCs w:val="16"/>
              </w:rPr>
              <w:t xml:space="preserve"> de la distribución de la producción, incluyendo un calendario y la descripción de los eventos que desencadenan tal </w:t>
            </w:r>
            <w:proofErr w:type="spellStart"/>
            <w:r w:rsidRPr="00081E30">
              <w:rPr>
                <w:rFonts w:ascii="Verdana" w:hAnsi="Verdana"/>
                <w:bCs/>
                <w:color w:val="000000"/>
                <w:sz w:val="16"/>
                <w:szCs w:val="16"/>
              </w:rPr>
              <w:t>redeterminación</w:t>
            </w:r>
            <w:proofErr w:type="spellEnd"/>
            <w:r w:rsidRPr="00081E30">
              <w:rPr>
                <w:rFonts w:ascii="Verdana" w:hAnsi="Verdana"/>
                <w:bCs/>
                <w:color w:val="000000"/>
                <w:sz w:val="16"/>
                <w:szCs w:val="16"/>
              </w:rPr>
              <w:t>, y</w:t>
            </w:r>
          </w:p>
        </w:tc>
        <w:tc>
          <w:tcPr>
            <w:tcW w:w="4788" w:type="dxa"/>
            <w:shd w:val="clear" w:color="auto" w:fill="auto"/>
          </w:tcPr>
          <w:p w14:paraId="0FCCE37C" w14:textId="4B669579"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g)</w:t>
            </w:r>
            <w:r w:rsidRPr="00081E30">
              <w:rPr>
                <w:rFonts w:ascii="Verdana" w:hAnsi="Verdana" w:cs="Times New Roman"/>
                <w:bCs/>
                <w:sz w:val="16"/>
                <w:szCs w:val="16"/>
                <w:lang w:val="en-US"/>
              </w:rPr>
              <w:t xml:space="preserve"> The procedures for the redetermination of the distribution of production, including a calendar and the description of the events that trigger such redetermination, and</w:t>
            </w:r>
          </w:p>
        </w:tc>
      </w:tr>
      <w:tr w:rsidR="002C5E29" w:rsidRPr="000A5335" w14:paraId="1112EF17" w14:textId="423FCE35" w:rsidTr="00081E30">
        <w:tc>
          <w:tcPr>
            <w:tcW w:w="4788" w:type="dxa"/>
            <w:shd w:val="clear" w:color="auto" w:fill="auto"/>
          </w:tcPr>
          <w:p w14:paraId="5DFB69B3"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24D6B001" w14:textId="328EAF7C"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0C738B8A" w14:textId="5B2AEDA7" w:rsidTr="00081E30">
        <w:tc>
          <w:tcPr>
            <w:tcW w:w="4788" w:type="dxa"/>
            <w:shd w:val="clear" w:color="auto" w:fill="auto"/>
          </w:tcPr>
          <w:p w14:paraId="1E6B10E3"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60B5B">
              <w:rPr>
                <w:rFonts w:ascii="Verdana" w:hAnsi="Verdana"/>
                <w:b/>
                <w:sz w:val="16"/>
                <w:szCs w:val="16"/>
              </w:rPr>
              <w:t>h)</w:t>
            </w:r>
            <w:r w:rsidRPr="00081E30">
              <w:rPr>
                <w:rFonts w:ascii="Verdana" w:hAnsi="Verdana"/>
                <w:bCs/>
                <w:sz w:val="16"/>
                <w:szCs w:val="16"/>
              </w:rPr>
              <w:t xml:space="preserve"> </w:t>
            </w:r>
            <w:r w:rsidRPr="00081E30">
              <w:rPr>
                <w:rFonts w:ascii="Verdana" w:hAnsi="Verdana"/>
                <w:bCs/>
                <w:color w:val="000000"/>
                <w:sz w:val="16"/>
                <w:szCs w:val="16"/>
              </w:rPr>
              <w:t>Los demás que determine la Secretaría en las disposiciones jurídicas que para el efecto emita.</w:t>
            </w:r>
          </w:p>
        </w:tc>
        <w:tc>
          <w:tcPr>
            <w:tcW w:w="4788" w:type="dxa"/>
            <w:shd w:val="clear" w:color="auto" w:fill="auto"/>
          </w:tcPr>
          <w:p w14:paraId="18EC10F6" w14:textId="458D9EAB"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h)</w:t>
            </w:r>
            <w:r w:rsidRPr="00081E30">
              <w:rPr>
                <w:rFonts w:ascii="Verdana" w:hAnsi="Verdana" w:cs="Times New Roman"/>
                <w:bCs/>
                <w:sz w:val="16"/>
                <w:szCs w:val="16"/>
                <w:lang w:val="en-US"/>
              </w:rPr>
              <w:t xml:space="preserve"> The others determined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in the legal provisions issued for this purpose.</w:t>
            </w:r>
          </w:p>
        </w:tc>
      </w:tr>
      <w:tr w:rsidR="002C5E29" w:rsidRPr="000A5335" w14:paraId="36EA10D9" w14:textId="3353796C" w:rsidTr="00081E30">
        <w:tc>
          <w:tcPr>
            <w:tcW w:w="4788" w:type="dxa"/>
            <w:shd w:val="clear" w:color="auto" w:fill="auto"/>
          </w:tcPr>
          <w:p w14:paraId="47BCF404"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2465E5B9" w14:textId="3ABACC8B"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1320A32B" w14:textId="742ABA9A" w:rsidTr="00081E30">
        <w:tc>
          <w:tcPr>
            <w:tcW w:w="4788" w:type="dxa"/>
            <w:shd w:val="clear" w:color="auto" w:fill="auto"/>
          </w:tcPr>
          <w:p w14:paraId="4C95350A" w14:textId="47BBD3E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En caso de que el campo compartido o yacimiento compartido se localice en un área para la que no se encuentre vigente una Asignación o un Contrato para la Exploración y Extracción, los Asignatarios o Contratistas involucrados continuarán con sus actividades de Exploración y Extracción y deberán presentar a la Secretaría la información a que se refieren los incisos a), d), f), g) y h) de la fracción I de este artículo, así como la metodología con la que se tomarán en cuenta sus gastos, costos e inversiones realizados en actividades de Exploración y Extracción.</w:t>
            </w:r>
          </w:p>
        </w:tc>
        <w:tc>
          <w:tcPr>
            <w:tcW w:w="4788" w:type="dxa"/>
            <w:shd w:val="clear" w:color="auto" w:fill="auto"/>
          </w:tcPr>
          <w:p w14:paraId="2645A254" w14:textId="5702409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In the event that the shared field or </w:t>
            </w:r>
            <w:r>
              <w:rPr>
                <w:rFonts w:ascii="Verdana" w:hAnsi="Verdana" w:cs="Times New Roman"/>
                <w:bCs/>
                <w:sz w:val="16"/>
                <w:szCs w:val="16"/>
                <w:lang w:val="en-US"/>
              </w:rPr>
              <w:t>shared deposit</w:t>
            </w:r>
            <w:r w:rsidRPr="00081E30">
              <w:rPr>
                <w:rFonts w:ascii="Verdana" w:hAnsi="Verdana" w:cs="Times New Roman"/>
                <w:bCs/>
                <w:sz w:val="16"/>
                <w:szCs w:val="16"/>
                <w:lang w:val="en-US"/>
              </w:rPr>
              <w:t xml:space="preserve"> is located in an area for which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or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is not in force,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involved will continue with their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 and must present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information referred to in subsections a), d), f), g) and h) of section I of this article, as well as the methodology with which its expenses, costs and investments made in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w:t>
            </w:r>
          </w:p>
        </w:tc>
      </w:tr>
      <w:tr w:rsidR="002C5E29" w:rsidRPr="000A5335" w14:paraId="01A82633" w14:textId="58713812" w:rsidTr="00081E30">
        <w:tc>
          <w:tcPr>
            <w:tcW w:w="4788" w:type="dxa"/>
            <w:shd w:val="clear" w:color="auto" w:fill="auto"/>
          </w:tcPr>
          <w:p w14:paraId="662056A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80F64A" w14:textId="2C9E976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09AB14A" w14:textId="10753001" w:rsidTr="00081E30">
        <w:tc>
          <w:tcPr>
            <w:tcW w:w="4788" w:type="dxa"/>
            <w:shd w:val="clear" w:color="auto" w:fill="auto"/>
          </w:tcPr>
          <w:p w14:paraId="2ACE1F7C"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Previo a la instrucción de unificación, la Secretaría enviará a la Secretaría de Hacienda y Crédito Público el dictamen que al efecto elabore la Comisión, acompañado de la información técnica de soporte que se determine en los convenios de coordinación que al efecto suscriban dichas dependencias para que emita su opinión respecto de la unificación de campos compartidos o yacimientos compartidos.</w:t>
            </w:r>
          </w:p>
        </w:tc>
        <w:tc>
          <w:tcPr>
            <w:tcW w:w="4788" w:type="dxa"/>
            <w:shd w:val="clear" w:color="auto" w:fill="auto"/>
          </w:tcPr>
          <w:p w14:paraId="7ABF55E6" w14:textId="17755E7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Prior to the unification instruction,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send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the opinion that the Commission prepares for this purpose, accompanied by the technical support information that is determined in the coordination agreements that for this purpose</w:t>
            </w:r>
            <w:r>
              <w:rPr>
                <w:rFonts w:ascii="Verdana" w:hAnsi="Verdana" w:cs="Times New Roman"/>
                <w:bCs/>
                <w:sz w:val="16"/>
                <w:szCs w:val="16"/>
                <w:lang w:val="en-US"/>
              </w:rPr>
              <w:t xml:space="preserve"> said departments sign</w:t>
            </w:r>
            <w:r w:rsidRPr="00081E30">
              <w:rPr>
                <w:rFonts w:ascii="Verdana" w:hAnsi="Verdana" w:cs="Times New Roman"/>
                <w:bCs/>
                <w:sz w:val="16"/>
                <w:szCs w:val="16"/>
                <w:lang w:val="en-US"/>
              </w:rPr>
              <w:t xml:space="preserve"> </w:t>
            </w:r>
            <w:r>
              <w:rPr>
                <w:rFonts w:ascii="Verdana" w:hAnsi="Verdana" w:cs="Times New Roman"/>
                <w:bCs/>
                <w:sz w:val="16"/>
                <w:szCs w:val="16"/>
                <w:lang w:val="en-US"/>
              </w:rPr>
              <w:t>in order to issue their</w:t>
            </w:r>
            <w:r w:rsidRPr="00081E30">
              <w:rPr>
                <w:rFonts w:ascii="Verdana" w:hAnsi="Verdana" w:cs="Times New Roman"/>
                <w:bCs/>
                <w:sz w:val="16"/>
                <w:szCs w:val="16"/>
                <w:lang w:val="en-US"/>
              </w:rPr>
              <w:t xml:space="preserve"> opinion regarding the unification of shared fields or shared deposits.</w:t>
            </w:r>
          </w:p>
        </w:tc>
      </w:tr>
      <w:tr w:rsidR="002C5E29" w:rsidRPr="000A5335" w14:paraId="7B81BC16" w14:textId="194F59F5" w:rsidTr="00081E30">
        <w:tc>
          <w:tcPr>
            <w:tcW w:w="4788" w:type="dxa"/>
            <w:shd w:val="clear" w:color="auto" w:fill="auto"/>
          </w:tcPr>
          <w:p w14:paraId="09902FA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43ADA28" w14:textId="45ACBC6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02A0553" w14:textId="30CFF551" w:rsidTr="00081E30">
        <w:tc>
          <w:tcPr>
            <w:tcW w:w="4788" w:type="dxa"/>
            <w:shd w:val="clear" w:color="auto" w:fill="auto"/>
          </w:tcPr>
          <w:p w14:paraId="3B1999B2" w14:textId="77777777" w:rsidR="002C5E29" w:rsidRPr="00081E30" w:rsidRDefault="002C5E29" w:rsidP="002C5E29">
            <w:pPr>
              <w:pStyle w:val="Texto"/>
              <w:spacing w:after="0" w:line="240" w:lineRule="auto"/>
              <w:ind w:firstLine="0"/>
              <w:rPr>
                <w:rFonts w:ascii="Verdana" w:hAnsi="Verdana"/>
                <w:bCs/>
                <w:sz w:val="16"/>
                <w:szCs w:val="16"/>
              </w:rPr>
            </w:pPr>
            <w:r w:rsidRPr="00B60B5B">
              <w:rPr>
                <w:rFonts w:ascii="Verdana" w:hAnsi="Verdana"/>
                <w:b/>
                <w:sz w:val="16"/>
                <w:szCs w:val="16"/>
              </w:rPr>
              <w:t>Artículo 64.-</w:t>
            </w:r>
            <w:r w:rsidRPr="00081E30">
              <w:rPr>
                <w:rFonts w:ascii="Verdana" w:hAnsi="Verdana"/>
                <w:bCs/>
                <w:sz w:val="16"/>
                <w:szCs w:val="16"/>
              </w:rPr>
              <w:t xml:space="preserve"> La Secretaría contará con un plazo de diez días hábiles para notificar a los Asignatarios o a los Contratistas su determinación respecto de la procedencia de la propuesta de acuerdo de unificación, mismo que deberán entregar a la Comisión, en un plazo de veinte días hábiles para su incorporación en los planes de Exploración y de desarrollo para la Extracción respectivos.</w:t>
            </w:r>
          </w:p>
        </w:tc>
        <w:tc>
          <w:tcPr>
            <w:tcW w:w="4788" w:type="dxa"/>
            <w:shd w:val="clear" w:color="auto" w:fill="auto"/>
          </w:tcPr>
          <w:p w14:paraId="3502F486" w14:textId="54358874"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Article 64.-</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a period of ten working days to notify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of their determination regarding the origin of the proposed unification agreement, which they must deliver to the Commission, within a period of twenty days. capable of incorporating them into the respective </w:t>
            </w:r>
            <w:r>
              <w:rPr>
                <w:rFonts w:ascii="Verdana" w:hAnsi="Verdana" w:cs="Times New Roman"/>
                <w:bCs/>
                <w:sz w:val="16"/>
                <w:szCs w:val="16"/>
                <w:lang w:val="en-US"/>
              </w:rPr>
              <w:t>e</w:t>
            </w:r>
            <w:r w:rsidRPr="00081E30">
              <w:rPr>
                <w:rFonts w:ascii="Verdana" w:hAnsi="Verdana" w:cs="Times New Roman"/>
                <w:bCs/>
                <w:sz w:val="16"/>
                <w:szCs w:val="16"/>
                <w:lang w:val="en-US"/>
              </w:rPr>
              <w:t xml:space="preserve">xploration and development plans for the </w:t>
            </w:r>
            <w:r>
              <w:rPr>
                <w:rFonts w:ascii="Verdana" w:hAnsi="Verdana" w:cs="Times New Roman"/>
                <w:bCs/>
                <w:sz w:val="16"/>
                <w:szCs w:val="16"/>
                <w:lang w:val="en-US"/>
              </w:rPr>
              <w:t>e</w:t>
            </w:r>
            <w:r w:rsidRPr="00081E30">
              <w:rPr>
                <w:rFonts w:ascii="Verdana" w:hAnsi="Verdana" w:cs="Times New Roman"/>
                <w:bCs/>
                <w:sz w:val="16"/>
                <w:szCs w:val="16"/>
                <w:lang w:val="en-US"/>
              </w:rPr>
              <w:t>xtraction.</w:t>
            </w:r>
          </w:p>
        </w:tc>
      </w:tr>
      <w:tr w:rsidR="002C5E29" w:rsidRPr="000A5335" w14:paraId="7606F285" w14:textId="4D6B9930" w:rsidTr="00081E30">
        <w:tc>
          <w:tcPr>
            <w:tcW w:w="4788" w:type="dxa"/>
            <w:shd w:val="clear" w:color="auto" w:fill="auto"/>
          </w:tcPr>
          <w:p w14:paraId="471B1BD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E09E7B" w14:textId="0DBFD51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26CA4CB" w14:textId="4B2C9891" w:rsidTr="00081E30">
        <w:tc>
          <w:tcPr>
            <w:tcW w:w="4788" w:type="dxa"/>
            <w:shd w:val="clear" w:color="auto" w:fill="auto"/>
          </w:tcPr>
          <w:p w14:paraId="0392D11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caso de que los Asignatarios o Contratistas no alcancen un acuerdo o sea necesario adecuar la propuesta de acuerdo presentada, la Secretaría determinará los términos bajo los que se llevará a cabo la unificación.</w:t>
            </w:r>
          </w:p>
        </w:tc>
        <w:tc>
          <w:tcPr>
            <w:tcW w:w="4788" w:type="dxa"/>
            <w:shd w:val="clear" w:color="auto" w:fill="auto"/>
          </w:tcPr>
          <w:p w14:paraId="08E5E23F" w14:textId="725E3DD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case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do not reach an agreement or it is necessary to adapt the proposed agreement presented,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determine the terms under which the unification will be carried out.</w:t>
            </w:r>
          </w:p>
        </w:tc>
      </w:tr>
      <w:tr w:rsidR="002C5E29" w:rsidRPr="000A5335" w14:paraId="0C4F5A21" w14:textId="7625501E" w:rsidTr="00081E30">
        <w:tc>
          <w:tcPr>
            <w:tcW w:w="4788" w:type="dxa"/>
            <w:shd w:val="clear" w:color="auto" w:fill="auto"/>
          </w:tcPr>
          <w:p w14:paraId="0CFACB2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07F88CF" w14:textId="48BBC4C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32A3465" w14:textId="07B0350F" w:rsidTr="00081E30">
        <w:tc>
          <w:tcPr>
            <w:tcW w:w="4788" w:type="dxa"/>
            <w:shd w:val="clear" w:color="auto" w:fill="auto"/>
          </w:tcPr>
          <w:p w14:paraId="5B414CB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deberá notificar a la Secretaría de Hacienda y Crédito Público y al Fondo Mexicano del Petróleo sobre los términos de unificación definitivos, el día hábil siguiente a que ésta se haga efectiva.</w:t>
            </w:r>
          </w:p>
        </w:tc>
        <w:tc>
          <w:tcPr>
            <w:tcW w:w="4788" w:type="dxa"/>
            <w:shd w:val="clear" w:color="auto" w:fill="auto"/>
          </w:tcPr>
          <w:p w14:paraId="0DF03B59" w14:textId="65CDE4E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must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Mexican Petroleum Fund of the definitive terms of unification, on the business day after it becomes effective.</w:t>
            </w:r>
          </w:p>
        </w:tc>
      </w:tr>
      <w:tr w:rsidR="002C5E29" w:rsidRPr="000A5335" w14:paraId="7E3D1C13" w14:textId="54216FF7" w:rsidTr="00081E30">
        <w:tc>
          <w:tcPr>
            <w:tcW w:w="4788" w:type="dxa"/>
            <w:shd w:val="clear" w:color="auto" w:fill="auto"/>
          </w:tcPr>
          <w:p w14:paraId="3528EDF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D13E22" w14:textId="2F05B55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6A64C67B" w14:textId="73496B4D" w:rsidTr="00081E30">
        <w:tc>
          <w:tcPr>
            <w:tcW w:w="4788" w:type="dxa"/>
            <w:shd w:val="clear" w:color="auto" w:fill="auto"/>
          </w:tcPr>
          <w:p w14:paraId="096B09D4"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TÍTULO TERCERO</w:t>
            </w:r>
          </w:p>
        </w:tc>
        <w:tc>
          <w:tcPr>
            <w:tcW w:w="4788" w:type="dxa"/>
            <w:shd w:val="clear" w:color="auto" w:fill="auto"/>
          </w:tcPr>
          <w:p w14:paraId="62A657B7" w14:textId="090AA592" w:rsidR="002C5E29" w:rsidRPr="00B60B5B" w:rsidRDefault="002C5E29" w:rsidP="002C5E29">
            <w:pPr>
              <w:pStyle w:val="ANOTACION"/>
              <w:spacing w:before="0" w:after="0" w:line="240" w:lineRule="auto"/>
              <w:rPr>
                <w:rFonts w:ascii="Verdana" w:hAnsi="Verdana" w:cs="Arial"/>
                <w:sz w:val="16"/>
                <w:szCs w:val="16"/>
                <w:lang w:val="en-US"/>
              </w:rPr>
            </w:pPr>
            <w:r w:rsidRPr="00B60B5B">
              <w:rPr>
                <w:rFonts w:ascii="Verdana" w:hAnsi="Verdana"/>
                <w:sz w:val="16"/>
                <w:szCs w:val="16"/>
                <w:lang w:val="en-US"/>
              </w:rPr>
              <w:t>THIRD TITLE</w:t>
            </w:r>
          </w:p>
        </w:tc>
      </w:tr>
      <w:tr w:rsidR="002C5E29" w:rsidRPr="000A5335" w14:paraId="46D6FDAF" w14:textId="227FF34E" w:rsidTr="00081E30">
        <w:tc>
          <w:tcPr>
            <w:tcW w:w="4788" w:type="dxa"/>
            <w:shd w:val="clear" w:color="auto" w:fill="auto"/>
          </w:tcPr>
          <w:p w14:paraId="371F4CED"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DE LAS DISPOSICIONES APLICABLES A LA INDUSTRIA DE HIDROCARBUROS</w:t>
            </w:r>
          </w:p>
        </w:tc>
        <w:tc>
          <w:tcPr>
            <w:tcW w:w="4788" w:type="dxa"/>
            <w:shd w:val="clear" w:color="auto" w:fill="auto"/>
          </w:tcPr>
          <w:p w14:paraId="21A5B96D" w14:textId="0954C989" w:rsidR="002C5E29" w:rsidRPr="00B60B5B" w:rsidRDefault="002C5E29" w:rsidP="002C5E29">
            <w:pPr>
              <w:pStyle w:val="ANOTACION"/>
              <w:spacing w:before="0" w:after="0" w:line="240" w:lineRule="auto"/>
              <w:rPr>
                <w:rFonts w:ascii="Verdana" w:hAnsi="Verdana" w:cs="Arial"/>
                <w:sz w:val="16"/>
                <w:szCs w:val="16"/>
                <w:lang w:val="en-US"/>
              </w:rPr>
            </w:pPr>
            <w:r w:rsidRPr="00B60B5B">
              <w:rPr>
                <w:rFonts w:ascii="Verdana" w:hAnsi="Verdana"/>
                <w:sz w:val="16"/>
                <w:szCs w:val="16"/>
                <w:lang w:val="en-US"/>
              </w:rPr>
              <w:t>THE PROVISIONS APPLICABLE TO THE HYDROCARBON</w:t>
            </w:r>
            <w:r>
              <w:rPr>
                <w:rFonts w:ascii="Verdana" w:hAnsi="Verdana"/>
                <w:sz w:val="16"/>
                <w:szCs w:val="16"/>
                <w:lang w:val="en-US"/>
              </w:rPr>
              <w:t>S</w:t>
            </w:r>
            <w:r w:rsidRPr="00B60B5B">
              <w:rPr>
                <w:rFonts w:ascii="Verdana" w:hAnsi="Verdana"/>
                <w:sz w:val="16"/>
                <w:szCs w:val="16"/>
                <w:lang w:val="en-US"/>
              </w:rPr>
              <w:t xml:space="preserve"> INDUSTRY</w:t>
            </w:r>
          </w:p>
        </w:tc>
      </w:tr>
      <w:tr w:rsidR="002C5E29" w:rsidRPr="000A5335" w14:paraId="5EF5A8D8" w14:textId="6DC74603" w:rsidTr="00081E30">
        <w:tc>
          <w:tcPr>
            <w:tcW w:w="4788" w:type="dxa"/>
            <w:shd w:val="clear" w:color="auto" w:fill="auto"/>
          </w:tcPr>
          <w:p w14:paraId="40CEF765" w14:textId="77777777" w:rsidR="002C5E29" w:rsidRPr="00B60B5B" w:rsidRDefault="002C5E29" w:rsidP="002C5E29">
            <w:pPr>
              <w:pStyle w:val="ANOTACION"/>
              <w:spacing w:before="0" w:after="0" w:line="240" w:lineRule="auto"/>
              <w:rPr>
                <w:rFonts w:ascii="Verdana" w:hAnsi="Verdana" w:cs="Arial"/>
                <w:sz w:val="16"/>
                <w:szCs w:val="16"/>
                <w:lang w:val="en-US"/>
              </w:rPr>
            </w:pPr>
          </w:p>
        </w:tc>
        <w:tc>
          <w:tcPr>
            <w:tcW w:w="4788" w:type="dxa"/>
            <w:shd w:val="clear" w:color="auto" w:fill="auto"/>
          </w:tcPr>
          <w:p w14:paraId="10D5E2DE" w14:textId="2BC608BE" w:rsidR="002C5E29" w:rsidRPr="00B60B5B" w:rsidRDefault="002C5E29" w:rsidP="002C5E29">
            <w:pPr>
              <w:pStyle w:val="ANOTACION"/>
              <w:spacing w:before="0" w:after="0" w:line="240" w:lineRule="auto"/>
              <w:rPr>
                <w:rFonts w:ascii="Verdana" w:hAnsi="Verdana" w:cs="Arial"/>
                <w:sz w:val="16"/>
                <w:szCs w:val="16"/>
                <w:lang w:val="en-US"/>
              </w:rPr>
            </w:pPr>
            <w:r w:rsidRPr="00B60B5B">
              <w:rPr>
                <w:rFonts w:ascii="Verdana" w:hAnsi="Verdana"/>
                <w:sz w:val="16"/>
                <w:szCs w:val="16"/>
                <w:lang w:val="en-US"/>
              </w:rPr>
              <w:t> </w:t>
            </w:r>
          </w:p>
        </w:tc>
      </w:tr>
      <w:tr w:rsidR="002C5E29" w:rsidRPr="003C1F6B" w14:paraId="75CFFC15" w14:textId="786D2933" w:rsidTr="00081E30">
        <w:tc>
          <w:tcPr>
            <w:tcW w:w="4788" w:type="dxa"/>
            <w:shd w:val="clear" w:color="auto" w:fill="auto"/>
          </w:tcPr>
          <w:p w14:paraId="115B476E"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Capítulo I</w:t>
            </w:r>
          </w:p>
        </w:tc>
        <w:tc>
          <w:tcPr>
            <w:tcW w:w="4788" w:type="dxa"/>
            <w:shd w:val="clear" w:color="auto" w:fill="auto"/>
          </w:tcPr>
          <w:p w14:paraId="0ED27F78" w14:textId="674A34DE" w:rsidR="002C5E29" w:rsidRPr="00B60B5B" w:rsidRDefault="002C5E29" w:rsidP="002C5E29">
            <w:pPr>
              <w:pStyle w:val="ANOTACION"/>
              <w:spacing w:before="0" w:after="0" w:line="240" w:lineRule="auto"/>
              <w:rPr>
                <w:rFonts w:ascii="Verdana" w:hAnsi="Verdana" w:cs="Arial"/>
                <w:sz w:val="16"/>
                <w:szCs w:val="16"/>
                <w:lang w:val="en-US"/>
              </w:rPr>
            </w:pPr>
            <w:r w:rsidRPr="00B60B5B">
              <w:rPr>
                <w:rFonts w:ascii="Verdana" w:hAnsi="Verdana"/>
                <w:sz w:val="16"/>
                <w:szCs w:val="16"/>
                <w:lang w:val="en-US"/>
              </w:rPr>
              <w:t>Chapter I</w:t>
            </w:r>
          </w:p>
        </w:tc>
      </w:tr>
      <w:tr w:rsidR="002C5E29" w:rsidRPr="000A5335" w14:paraId="65A1F867" w14:textId="3C70CE79" w:rsidTr="00081E30">
        <w:tc>
          <w:tcPr>
            <w:tcW w:w="4788" w:type="dxa"/>
            <w:shd w:val="clear" w:color="auto" w:fill="auto"/>
          </w:tcPr>
          <w:p w14:paraId="4706A984"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De la Información Obtenida de la Medición de los Hidrocarburos</w:t>
            </w:r>
          </w:p>
        </w:tc>
        <w:tc>
          <w:tcPr>
            <w:tcW w:w="4788" w:type="dxa"/>
            <w:shd w:val="clear" w:color="auto" w:fill="auto"/>
          </w:tcPr>
          <w:p w14:paraId="4EADD46B" w14:textId="0B4AA3A0" w:rsidR="002C5E29" w:rsidRPr="00B60B5B"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w:t>
            </w:r>
            <w:r w:rsidRPr="00B60B5B">
              <w:rPr>
                <w:rFonts w:ascii="Verdana" w:hAnsi="Verdana"/>
                <w:sz w:val="16"/>
                <w:szCs w:val="16"/>
                <w:lang w:val="en-US"/>
              </w:rPr>
              <w:t xml:space="preserve"> Information Obtained from the Measurement of Hydrocarbons</w:t>
            </w:r>
          </w:p>
        </w:tc>
      </w:tr>
      <w:tr w:rsidR="002C5E29" w:rsidRPr="000A5335" w14:paraId="14B55642" w14:textId="7DBAEC40" w:rsidTr="00081E30">
        <w:tc>
          <w:tcPr>
            <w:tcW w:w="4788" w:type="dxa"/>
            <w:shd w:val="clear" w:color="auto" w:fill="auto"/>
          </w:tcPr>
          <w:p w14:paraId="11C38440" w14:textId="77777777" w:rsidR="002C5E29" w:rsidRPr="00B60B5B" w:rsidRDefault="002C5E29" w:rsidP="002C5E29">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7065C39" w14:textId="0273D625" w:rsidR="002C5E29" w:rsidRPr="00B60B5B" w:rsidRDefault="002C5E29" w:rsidP="002C5E29">
            <w:pPr>
              <w:pStyle w:val="Texto"/>
              <w:spacing w:after="0" w:line="240" w:lineRule="auto"/>
              <w:ind w:firstLine="0"/>
              <w:jc w:val="center"/>
              <w:rPr>
                <w:rFonts w:ascii="Verdana" w:hAnsi="Verdana"/>
                <w:b/>
                <w:sz w:val="16"/>
                <w:szCs w:val="16"/>
                <w:lang w:val="en-US"/>
              </w:rPr>
            </w:pPr>
            <w:r w:rsidRPr="00B60B5B">
              <w:rPr>
                <w:rFonts w:ascii="Verdana" w:hAnsi="Verdana" w:cs="Times New Roman"/>
                <w:b/>
                <w:sz w:val="16"/>
                <w:szCs w:val="16"/>
                <w:lang w:val="en-US"/>
              </w:rPr>
              <w:t> </w:t>
            </w:r>
          </w:p>
        </w:tc>
      </w:tr>
      <w:tr w:rsidR="002C5E29" w:rsidRPr="000A5335" w14:paraId="18960095" w14:textId="1A0CABAF" w:rsidTr="00081E30">
        <w:tc>
          <w:tcPr>
            <w:tcW w:w="4788" w:type="dxa"/>
            <w:shd w:val="clear" w:color="auto" w:fill="auto"/>
          </w:tcPr>
          <w:p w14:paraId="0BBACEA3" w14:textId="77777777" w:rsidR="002C5E29" w:rsidRPr="00081E30" w:rsidRDefault="002C5E29" w:rsidP="002C5E29">
            <w:pPr>
              <w:pStyle w:val="Texto"/>
              <w:spacing w:after="0" w:line="240" w:lineRule="auto"/>
              <w:ind w:firstLine="0"/>
              <w:rPr>
                <w:rFonts w:ascii="Verdana" w:hAnsi="Verdana"/>
                <w:bCs/>
                <w:color w:val="000000"/>
                <w:sz w:val="16"/>
                <w:szCs w:val="16"/>
              </w:rPr>
            </w:pPr>
            <w:r w:rsidRPr="00B60B5B">
              <w:rPr>
                <w:rFonts w:ascii="Verdana" w:hAnsi="Verdana"/>
                <w:b/>
                <w:sz w:val="16"/>
                <w:szCs w:val="16"/>
              </w:rPr>
              <w:t>Artículo 65.-</w:t>
            </w:r>
            <w:r w:rsidRPr="00081E30">
              <w:rPr>
                <w:rFonts w:ascii="Verdana" w:hAnsi="Verdana"/>
                <w:bCs/>
                <w:sz w:val="16"/>
                <w:szCs w:val="16"/>
              </w:rPr>
              <w:t xml:space="preserve"> La Secretaría, la Secretaría de Economía, la Comisión y la Comisión Reguladora de Energía deberán coordinarse a fin de contar con un sistema integral de información de la medición de los Hidrocarburos, Petrolíferos y Petroquímicos, así como un balance general que contemple dicha medición desde la producción hasta la comercialización y Expendio al Público. En el caso de actividades de Extracción, </w:t>
            </w:r>
            <w:r w:rsidRPr="00081E30">
              <w:rPr>
                <w:rFonts w:ascii="Verdana" w:hAnsi="Verdana"/>
                <w:bCs/>
                <w:color w:val="000000"/>
                <w:sz w:val="16"/>
                <w:szCs w:val="16"/>
              </w:rPr>
              <w:t>el sistema integral de información considerará los estándares internacionales de la industria en materia de medición de Hidrocarburos.</w:t>
            </w:r>
          </w:p>
        </w:tc>
        <w:tc>
          <w:tcPr>
            <w:tcW w:w="4788" w:type="dxa"/>
            <w:shd w:val="clear" w:color="auto" w:fill="auto"/>
          </w:tcPr>
          <w:p w14:paraId="73231C28" w14:textId="08919E86" w:rsidR="002C5E29" w:rsidRPr="00081E30" w:rsidRDefault="002C5E29" w:rsidP="002C5E29">
            <w:pPr>
              <w:pStyle w:val="Texto"/>
              <w:spacing w:after="0" w:line="240" w:lineRule="auto"/>
              <w:ind w:firstLine="0"/>
              <w:rPr>
                <w:rFonts w:ascii="Verdana" w:hAnsi="Verdana"/>
                <w:bCs/>
                <w:sz w:val="16"/>
                <w:szCs w:val="16"/>
                <w:lang w:val="en-US"/>
              </w:rPr>
            </w:pPr>
            <w:r w:rsidRPr="00B60B5B">
              <w:rPr>
                <w:rFonts w:ascii="Verdana" w:hAnsi="Verdana" w:cs="Times New Roman"/>
                <w:b/>
                <w:sz w:val="16"/>
                <w:szCs w:val="16"/>
                <w:lang w:val="en-US"/>
              </w:rPr>
              <w:t>Article 65.-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the Commission and the Energy Regulatory Commission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coordinate in order to have a comprehensive information system for the measurement of </w:t>
            </w:r>
            <w:r>
              <w:rPr>
                <w:rFonts w:ascii="Verdana" w:hAnsi="Verdana" w:cs="Times New Roman"/>
                <w:bCs/>
                <w:sz w:val="16"/>
                <w:szCs w:val="16"/>
                <w:lang w:val="en-US"/>
              </w:rPr>
              <w:t>hydrocarbons, petroleum products and petrochemicals</w:t>
            </w:r>
            <w:r w:rsidRPr="00081E30">
              <w:rPr>
                <w:rFonts w:ascii="Verdana" w:hAnsi="Verdana" w:cs="Times New Roman"/>
                <w:bCs/>
                <w:sz w:val="16"/>
                <w:szCs w:val="16"/>
                <w:lang w:val="en-US"/>
              </w:rPr>
              <w:t xml:space="preserve">, as well as a general </w:t>
            </w:r>
            <w:r>
              <w:rPr>
                <w:rFonts w:ascii="Verdana" w:hAnsi="Verdana" w:cs="Times New Roman"/>
                <w:bCs/>
                <w:sz w:val="16"/>
                <w:szCs w:val="16"/>
                <w:lang w:val="en-US"/>
              </w:rPr>
              <w:t>scale</w:t>
            </w:r>
            <w:r w:rsidRPr="00081E30">
              <w:rPr>
                <w:rFonts w:ascii="Verdana" w:hAnsi="Verdana" w:cs="Times New Roman"/>
                <w:bCs/>
                <w:sz w:val="16"/>
                <w:szCs w:val="16"/>
                <w:lang w:val="en-US"/>
              </w:rPr>
              <w:t xml:space="preserve"> that includes </w:t>
            </w:r>
            <w:r>
              <w:rPr>
                <w:rFonts w:ascii="Verdana" w:hAnsi="Verdana" w:cs="Times New Roman"/>
                <w:bCs/>
                <w:sz w:val="16"/>
                <w:szCs w:val="16"/>
                <w:lang w:val="en-US"/>
              </w:rPr>
              <w:t>s</w:t>
            </w:r>
            <w:r w:rsidRPr="00081E30">
              <w:rPr>
                <w:rFonts w:ascii="Verdana" w:hAnsi="Verdana" w:cs="Times New Roman"/>
                <w:bCs/>
                <w:sz w:val="16"/>
                <w:szCs w:val="16"/>
                <w:lang w:val="en-US"/>
              </w:rPr>
              <w:t>aid measurement from production to commercial</w:t>
            </w:r>
            <w:r>
              <w:rPr>
                <w:rFonts w:ascii="Verdana" w:hAnsi="Verdana" w:cs="Times New Roman"/>
                <w:bCs/>
                <w:sz w:val="16"/>
                <w:szCs w:val="16"/>
                <w:lang w:val="en-US"/>
              </w:rPr>
              <w:t xml:space="preserve"> distribution</w:t>
            </w:r>
            <w:r w:rsidRPr="00081E30">
              <w:rPr>
                <w:rFonts w:ascii="Verdana" w:hAnsi="Verdana" w:cs="Times New Roman"/>
                <w:bCs/>
                <w:sz w:val="16"/>
                <w:szCs w:val="16"/>
                <w:lang w:val="en-US"/>
              </w:rPr>
              <w:t xml:space="preserve"> and </w:t>
            </w:r>
            <w:r>
              <w:rPr>
                <w:rFonts w:ascii="Verdana" w:hAnsi="Verdana" w:cs="Times New Roman"/>
                <w:bCs/>
                <w:sz w:val="16"/>
                <w:szCs w:val="16"/>
                <w:lang w:val="en-US"/>
              </w:rPr>
              <w:t>dispensation to the public</w:t>
            </w:r>
            <w:r w:rsidRPr="00081E30">
              <w:rPr>
                <w:rFonts w:ascii="Verdana" w:hAnsi="Verdana" w:cs="Times New Roman"/>
                <w:bCs/>
                <w:sz w:val="16"/>
                <w:szCs w:val="16"/>
                <w:lang w:val="en-US"/>
              </w:rPr>
              <w:t xml:space="preserve">. In the case of </w:t>
            </w:r>
            <w:r>
              <w:rPr>
                <w:rFonts w:ascii="Verdana" w:hAnsi="Verdana" w:cs="Times New Roman"/>
                <w:bCs/>
                <w:sz w:val="16"/>
                <w:szCs w:val="16"/>
                <w:lang w:val="en-US"/>
              </w:rPr>
              <w:t>e</w:t>
            </w:r>
            <w:r w:rsidRPr="00081E30">
              <w:rPr>
                <w:rFonts w:ascii="Verdana" w:hAnsi="Verdana" w:cs="Times New Roman"/>
                <w:bCs/>
                <w:sz w:val="16"/>
                <w:szCs w:val="16"/>
                <w:lang w:val="en-US"/>
              </w:rPr>
              <w:t>xtraction activities, the comprehensive information system will consider the international industry standards for the measurement of hydrocarbons.</w:t>
            </w:r>
          </w:p>
        </w:tc>
      </w:tr>
      <w:tr w:rsidR="002C5E29" w:rsidRPr="000A5335" w14:paraId="3A11846A" w14:textId="24FC2497" w:rsidTr="00081E30">
        <w:tc>
          <w:tcPr>
            <w:tcW w:w="4788" w:type="dxa"/>
            <w:shd w:val="clear" w:color="auto" w:fill="auto"/>
          </w:tcPr>
          <w:p w14:paraId="4DA124E7" w14:textId="77777777" w:rsidR="002C5E29" w:rsidRPr="00081E30" w:rsidRDefault="002C5E29" w:rsidP="002C5E29">
            <w:pPr>
              <w:pStyle w:val="Texto"/>
              <w:spacing w:after="0" w:line="240" w:lineRule="auto"/>
              <w:ind w:firstLine="0"/>
              <w:rPr>
                <w:rFonts w:ascii="Verdana" w:hAnsi="Verdana"/>
                <w:bCs/>
                <w:color w:val="000000"/>
                <w:sz w:val="16"/>
                <w:szCs w:val="16"/>
                <w:lang w:val="en-US"/>
              </w:rPr>
            </w:pPr>
          </w:p>
        </w:tc>
        <w:tc>
          <w:tcPr>
            <w:tcW w:w="4788" w:type="dxa"/>
            <w:shd w:val="clear" w:color="auto" w:fill="auto"/>
          </w:tcPr>
          <w:p w14:paraId="78148AA5" w14:textId="4179FA9B" w:rsidR="002C5E29" w:rsidRPr="00081E30" w:rsidRDefault="002C5E29" w:rsidP="002C5E29">
            <w:pPr>
              <w:pStyle w:val="Texto"/>
              <w:spacing w:after="0" w:line="240" w:lineRule="auto"/>
              <w:ind w:firstLine="0"/>
              <w:rPr>
                <w:rFonts w:ascii="Verdana" w:hAnsi="Verdana"/>
                <w:bCs/>
                <w:color w:val="000000"/>
                <w:sz w:val="16"/>
                <w:szCs w:val="16"/>
                <w:lang w:val="en-US"/>
              </w:rPr>
            </w:pPr>
            <w:r w:rsidRPr="00081E30">
              <w:rPr>
                <w:rFonts w:ascii="Verdana" w:hAnsi="Verdana" w:cs="Times New Roman"/>
                <w:bCs/>
                <w:sz w:val="16"/>
                <w:szCs w:val="16"/>
                <w:lang w:val="en-US"/>
              </w:rPr>
              <w:t> </w:t>
            </w:r>
          </w:p>
        </w:tc>
      </w:tr>
      <w:tr w:rsidR="002C5E29" w:rsidRPr="000A5335" w14:paraId="3A92F8E9" w14:textId="4717DB52" w:rsidTr="00081E30">
        <w:tc>
          <w:tcPr>
            <w:tcW w:w="4788" w:type="dxa"/>
            <w:shd w:val="clear" w:color="auto" w:fill="auto"/>
          </w:tcPr>
          <w:p w14:paraId="4D11AFD2"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lastRenderedPageBreak/>
              <w:t xml:space="preserve">La Secretaría, la Comisión y la Comisión Reguladora de Energía celebrarán convenios de coordinación con la Secretaría de Hacienda y Crédito Público y con el Fondo Mexicano del Petróleo para que estos últimos tengan acceso al sistema integral de información referido en el párrafo anterior, así como </w:t>
            </w:r>
            <w:r w:rsidRPr="00081E30">
              <w:rPr>
                <w:rFonts w:ascii="Verdana" w:hAnsi="Verdana"/>
                <w:bCs/>
                <w:color w:val="000000"/>
                <w:sz w:val="16"/>
                <w:szCs w:val="16"/>
              </w:rPr>
              <w:t>para</w:t>
            </w:r>
            <w:r w:rsidRPr="00081E30">
              <w:rPr>
                <w:rFonts w:ascii="Verdana" w:hAnsi="Verdana"/>
                <w:bCs/>
                <w:sz w:val="16"/>
                <w:szCs w:val="16"/>
              </w:rPr>
              <w:t xml:space="preserve"> que reciban la información referente a la medición de Hidrocarburos, en los formatos y conforme a los términos que al efecto se establezcan en dichos convenios de coordinación.</w:t>
            </w:r>
          </w:p>
        </w:tc>
        <w:tc>
          <w:tcPr>
            <w:tcW w:w="4788" w:type="dxa"/>
            <w:shd w:val="clear" w:color="auto" w:fill="auto"/>
          </w:tcPr>
          <w:p w14:paraId="7945AA88" w14:textId="023E81D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Commission and the Energy Regulatory Commission will enter into coordination agreements with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with the Mexican Petroleum Fund so that the latter have access to the comprehensive information system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paragraph, as well as to that receive the information regarding the measurement of Hydrocarbons, in the formats and in accordance with the terms established in said coordination agreements.</w:t>
            </w:r>
          </w:p>
        </w:tc>
      </w:tr>
      <w:tr w:rsidR="002C5E29" w:rsidRPr="000A5335" w14:paraId="179003EC" w14:textId="00AC2A22" w:rsidTr="00081E30">
        <w:tc>
          <w:tcPr>
            <w:tcW w:w="4788" w:type="dxa"/>
            <w:shd w:val="clear" w:color="auto" w:fill="auto"/>
          </w:tcPr>
          <w:p w14:paraId="3363D28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7D8FE3D" w14:textId="4FADC3C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2EEFBF0E" w14:textId="0A9E6A98" w:rsidTr="00081E30">
        <w:tc>
          <w:tcPr>
            <w:tcW w:w="4788" w:type="dxa"/>
            <w:shd w:val="clear" w:color="auto" w:fill="auto"/>
          </w:tcPr>
          <w:p w14:paraId="0AF332C7"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Capítulo II</w:t>
            </w:r>
          </w:p>
        </w:tc>
        <w:tc>
          <w:tcPr>
            <w:tcW w:w="4788" w:type="dxa"/>
            <w:shd w:val="clear" w:color="auto" w:fill="auto"/>
          </w:tcPr>
          <w:p w14:paraId="7A6BEE88" w14:textId="583C271E" w:rsidR="002C5E29" w:rsidRPr="00B60B5B" w:rsidRDefault="002C5E29" w:rsidP="002C5E29">
            <w:pPr>
              <w:pStyle w:val="ANOTACION"/>
              <w:spacing w:before="0" w:after="0" w:line="240" w:lineRule="auto"/>
              <w:rPr>
                <w:rFonts w:ascii="Verdana" w:hAnsi="Verdana" w:cs="Arial"/>
                <w:sz w:val="16"/>
                <w:szCs w:val="16"/>
                <w:lang w:val="en-US"/>
              </w:rPr>
            </w:pPr>
            <w:r w:rsidRPr="00B60B5B">
              <w:rPr>
                <w:rFonts w:ascii="Verdana" w:hAnsi="Verdana"/>
                <w:sz w:val="16"/>
                <w:szCs w:val="16"/>
                <w:lang w:val="en-US"/>
              </w:rPr>
              <w:t>Chapter II</w:t>
            </w:r>
          </w:p>
        </w:tc>
      </w:tr>
      <w:tr w:rsidR="002C5E29" w:rsidRPr="000A5335" w14:paraId="01E16140" w14:textId="19AAC2C8" w:rsidTr="00081E30">
        <w:tc>
          <w:tcPr>
            <w:tcW w:w="4788" w:type="dxa"/>
            <w:shd w:val="clear" w:color="auto" w:fill="auto"/>
          </w:tcPr>
          <w:p w14:paraId="3E814FDB" w14:textId="77777777" w:rsidR="002C5E29" w:rsidRPr="00B60B5B" w:rsidRDefault="002C5E29" w:rsidP="002C5E29">
            <w:pPr>
              <w:pStyle w:val="ANOTACION"/>
              <w:spacing w:before="0" w:after="0" w:line="240" w:lineRule="auto"/>
              <w:rPr>
                <w:rFonts w:ascii="Verdana" w:hAnsi="Verdana" w:cs="Arial"/>
                <w:sz w:val="16"/>
                <w:szCs w:val="16"/>
              </w:rPr>
            </w:pPr>
            <w:r w:rsidRPr="00B60B5B">
              <w:rPr>
                <w:rFonts w:ascii="Verdana" w:hAnsi="Verdana" w:cs="Arial"/>
                <w:sz w:val="16"/>
                <w:szCs w:val="16"/>
              </w:rPr>
              <w:t>De las Bases de Coordinación para el Desarrollo de Proyectos en la Industria de Hidrocarburos</w:t>
            </w:r>
          </w:p>
        </w:tc>
        <w:tc>
          <w:tcPr>
            <w:tcW w:w="4788" w:type="dxa"/>
            <w:shd w:val="clear" w:color="auto" w:fill="auto"/>
          </w:tcPr>
          <w:p w14:paraId="46FF315F" w14:textId="4BA854B2" w:rsidR="002C5E29" w:rsidRPr="00B60B5B"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 xml:space="preserve">The Criteria of </w:t>
            </w:r>
            <w:r w:rsidRPr="00B60B5B">
              <w:rPr>
                <w:rFonts w:ascii="Verdana" w:hAnsi="Verdana"/>
                <w:sz w:val="16"/>
                <w:szCs w:val="16"/>
                <w:lang w:val="en-US"/>
              </w:rPr>
              <w:t>Coordination for the Development of Projects in the Hydrocarbons Industry</w:t>
            </w:r>
          </w:p>
        </w:tc>
      </w:tr>
      <w:tr w:rsidR="002C5E29" w:rsidRPr="000A5335" w14:paraId="7D06B0CE" w14:textId="4715E4A0" w:rsidTr="00081E30">
        <w:tc>
          <w:tcPr>
            <w:tcW w:w="4788" w:type="dxa"/>
            <w:shd w:val="clear" w:color="auto" w:fill="auto"/>
          </w:tcPr>
          <w:p w14:paraId="3E5C7BD0"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2DF0A32C" w14:textId="50C1AAD6"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55FDA5D" w14:textId="03B088AF" w:rsidTr="00081E30">
        <w:tc>
          <w:tcPr>
            <w:tcW w:w="4788" w:type="dxa"/>
            <w:shd w:val="clear" w:color="auto" w:fill="auto"/>
          </w:tcPr>
          <w:p w14:paraId="04B9C24E" w14:textId="77777777" w:rsidR="002C5E29" w:rsidRPr="00081E30" w:rsidRDefault="002C5E29" w:rsidP="002C5E29">
            <w:pPr>
              <w:pStyle w:val="Texto"/>
              <w:spacing w:after="0" w:line="240" w:lineRule="auto"/>
              <w:ind w:firstLine="0"/>
              <w:rPr>
                <w:rFonts w:ascii="Verdana" w:hAnsi="Verdana"/>
                <w:bCs/>
                <w:sz w:val="16"/>
                <w:szCs w:val="16"/>
              </w:rPr>
            </w:pPr>
            <w:r w:rsidRPr="00D44237">
              <w:rPr>
                <w:rFonts w:ascii="Verdana" w:hAnsi="Verdana"/>
                <w:b/>
                <w:sz w:val="16"/>
                <w:szCs w:val="16"/>
              </w:rPr>
              <w:t>Artículo 66.-</w:t>
            </w:r>
            <w:r w:rsidRPr="00081E30">
              <w:rPr>
                <w:rFonts w:ascii="Verdana" w:hAnsi="Verdana"/>
                <w:bCs/>
                <w:sz w:val="16"/>
                <w:szCs w:val="16"/>
              </w:rPr>
              <w:t xml:space="preserve"> La Secretaría coordinará las acciones tendientes al cumplimiento del tercer párrafo del artículo 96 de la Ley, mediante procedimientos y bases de coordinación.</w:t>
            </w:r>
          </w:p>
        </w:tc>
        <w:tc>
          <w:tcPr>
            <w:tcW w:w="4788" w:type="dxa"/>
            <w:shd w:val="clear" w:color="auto" w:fill="auto"/>
          </w:tcPr>
          <w:p w14:paraId="26784FCF" w14:textId="4B108CD7" w:rsidR="002C5E29" w:rsidRPr="00081E30" w:rsidRDefault="002C5E29" w:rsidP="002C5E29">
            <w:pPr>
              <w:pStyle w:val="Texto"/>
              <w:spacing w:after="0" w:line="240" w:lineRule="auto"/>
              <w:ind w:firstLine="0"/>
              <w:rPr>
                <w:rFonts w:ascii="Verdana" w:hAnsi="Verdana"/>
                <w:bCs/>
                <w:sz w:val="16"/>
                <w:szCs w:val="16"/>
                <w:lang w:val="en-US"/>
              </w:rPr>
            </w:pPr>
            <w:r w:rsidRPr="00D44237">
              <w:rPr>
                <w:rFonts w:ascii="Verdana" w:hAnsi="Verdana" w:cs="Times New Roman"/>
                <w:b/>
                <w:sz w:val="16"/>
                <w:szCs w:val="16"/>
                <w:lang w:val="en-US"/>
              </w:rPr>
              <w:t>Article 66.-</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coordinate the actions aimed at complying with the third paragraph of article 96 of the Law, through coordination procedures and </w:t>
            </w:r>
            <w:r>
              <w:rPr>
                <w:rFonts w:ascii="Verdana" w:hAnsi="Verdana" w:cs="Times New Roman"/>
                <w:bCs/>
                <w:sz w:val="16"/>
                <w:szCs w:val="16"/>
                <w:lang w:val="en-US"/>
              </w:rPr>
              <w:t>criteria.</w:t>
            </w:r>
          </w:p>
        </w:tc>
      </w:tr>
      <w:tr w:rsidR="002C5E29" w:rsidRPr="000A5335" w14:paraId="72653E37" w14:textId="709A6E72" w:rsidTr="00081E30">
        <w:tc>
          <w:tcPr>
            <w:tcW w:w="4788" w:type="dxa"/>
            <w:shd w:val="clear" w:color="auto" w:fill="auto"/>
          </w:tcPr>
          <w:p w14:paraId="29490C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F8BF8BB" w14:textId="5C34F25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6F062AF" w14:textId="67D21EBC" w:rsidTr="00081E30">
        <w:tc>
          <w:tcPr>
            <w:tcW w:w="4788" w:type="dxa"/>
            <w:shd w:val="clear" w:color="auto" w:fill="auto"/>
          </w:tcPr>
          <w:p w14:paraId="3110A75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procedimientos y bases de coordinación atenderán a las características particulares de cada proyecto de Exploración y Extracción, de Transporte y Distribución por ductos y de Almacenamiento. Sin perjuicio de lo anterior, las bases de coordinación deberán contener al menos lo siguiente:</w:t>
            </w:r>
          </w:p>
        </w:tc>
        <w:tc>
          <w:tcPr>
            <w:tcW w:w="4788" w:type="dxa"/>
            <w:shd w:val="clear" w:color="auto" w:fill="auto"/>
          </w:tcPr>
          <w:p w14:paraId="02F1F56E" w14:textId="7C590A2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procedures and criteria of coordination</w:t>
            </w:r>
            <w:r w:rsidRPr="00081E30">
              <w:rPr>
                <w:rFonts w:ascii="Verdana" w:hAnsi="Verdana" w:cs="Times New Roman"/>
                <w:bCs/>
                <w:sz w:val="16"/>
                <w:szCs w:val="16"/>
                <w:lang w:val="en-US"/>
              </w:rPr>
              <w:t xml:space="preserve"> will attend to the particular characteristics of each project of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transportation and distribution by pipelines and storage. Notwithstanding the foregoing, the coordination bases must contain at least the following:</w:t>
            </w:r>
          </w:p>
        </w:tc>
      </w:tr>
      <w:tr w:rsidR="002C5E29" w:rsidRPr="000A5335" w14:paraId="324AFE3C" w14:textId="17613C5A" w:rsidTr="00081E30">
        <w:tc>
          <w:tcPr>
            <w:tcW w:w="4788" w:type="dxa"/>
            <w:shd w:val="clear" w:color="auto" w:fill="auto"/>
          </w:tcPr>
          <w:p w14:paraId="2F06C89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85515CD" w14:textId="4567B8E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C5D2847" w14:textId="4332206E" w:rsidTr="00081E30">
        <w:tc>
          <w:tcPr>
            <w:tcW w:w="4788" w:type="dxa"/>
            <w:shd w:val="clear" w:color="auto" w:fill="auto"/>
          </w:tcPr>
          <w:p w14:paraId="02081D6A" w14:textId="78F0D40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Las características del proyecto de Exploración y Extracción, de Transporte y Distribución por ductos y de Almacenamiento a desarrollar;</w:t>
            </w:r>
          </w:p>
        </w:tc>
        <w:tc>
          <w:tcPr>
            <w:tcW w:w="4788" w:type="dxa"/>
            <w:shd w:val="clear" w:color="auto" w:fill="auto"/>
          </w:tcPr>
          <w:p w14:paraId="7512F652" w14:textId="09471CA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characteristics of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transportation and distribution project for pipelines and storage to be developed;</w:t>
            </w:r>
          </w:p>
        </w:tc>
      </w:tr>
      <w:tr w:rsidR="002C5E29" w:rsidRPr="000A5335" w14:paraId="3EF14E2B" w14:textId="7380AA3D" w:rsidTr="00081E30">
        <w:tc>
          <w:tcPr>
            <w:tcW w:w="4788" w:type="dxa"/>
            <w:shd w:val="clear" w:color="auto" w:fill="auto"/>
          </w:tcPr>
          <w:p w14:paraId="6CDEEB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A0FC924" w14:textId="51F47CF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3E72B2E" w14:textId="3AA441F8" w:rsidTr="00081E30">
        <w:tc>
          <w:tcPr>
            <w:tcW w:w="4788" w:type="dxa"/>
            <w:shd w:val="clear" w:color="auto" w:fill="auto"/>
          </w:tcPr>
          <w:p w14:paraId="4A50AC1A" w14:textId="5CD875C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El plan de actividades conforme al cual se establecerán los procedimientos de coordinación entre los distintos órdenes de gobierno;</w:t>
            </w:r>
          </w:p>
        </w:tc>
        <w:tc>
          <w:tcPr>
            <w:tcW w:w="4788" w:type="dxa"/>
            <w:shd w:val="clear" w:color="auto" w:fill="auto"/>
          </w:tcPr>
          <w:p w14:paraId="4A83A368" w14:textId="345CAF5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activity plan according to which coordination procedures will be established between the various government orders;</w:t>
            </w:r>
          </w:p>
        </w:tc>
      </w:tr>
      <w:tr w:rsidR="002C5E29" w:rsidRPr="000A5335" w14:paraId="387B0FB3" w14:textId="37209E3B" w:rsidTr="00081E30">
        <w:tc>
          <w:tcPr>
            <w:tcW w:w="4788" w:type="dxa"/>
            <w:shd w:val="clear" w:color="auto" w:fill="auto"/>
          </w:tcPr>
          <w:p w14:paraId="26702D0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96301EA" w14:textId="211BB67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D8133F6" w14:textId="664D6EF5" w:rsidTr="00081E30">
        <w:tc>
          <w:tcPr>
            <w:tcW w:w="4788" w:type="dxa"/>
            <w:shd w:val="clear" w:color="auto" w:fill="auto"/>
          </w:tcPr>
          <w:p w14:paraId="6416106E" w14:textId="000F2D75"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identificación de los servidores públicos que fungirán como enlace para la ejecución de las bases de coordinación;</w:t>
            </w:r>
          </w:p>
        </w:tc>
        <w:tc>
          <w:tcPr>
            <w:tcW w:w="4788" w:type="dxa"/>
            <w:shd w:val="clear" w:color="auto" w:fill="auto"/>
          </w:tcPr>
          <w:p w14:paraId="43A69E12" w14:textId="5364476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identification of the public servants that will serve as liaison for the execution of the coordination </w:t>
            </w:r>
            <w:r>
              <w:rPr>
                <w:rFonts w:ascii="Verdana" w:hAnsi="Verdana" w:cs="Times New Roman"/>
                <w:bCs/>
                <w:sz w:val="16"/>
                <w:szCs w:val="16"/>
                <w:lang w:val="en-US"/>
              </w:rPr>
              <w:t>criteria</w:t>
            </w:r>
            <w:r w:rsidRPr="00081E30">
              <w:rPr>
                <w:rFonts w:ascii="Verdana" w:hAnsi="Verdana" w:cs="Times New Roman"/>
                <w:bCs/>
                <w:sz w:val="16"/>
                <w:szCs w:val="16"/>
                <w:lang w:val="en-US"/>
              </w:rPr>
              <w:t>;</w:t>
            </w:r>
          </w:p>
        </w:tc>
      </w:tr>
      <w:tr w:rsidR="002C5E29" w:rsidRPr="000A5335" w14:paraId="1812C12B" w14:textId="6A0AF60C" w:rsidTr="00081E30">
        <w:tc>
          <w:tcPr>
            <w:tcW w:w="4788" w:type="dxa"/>
            <w:shd w:val="clear" w:color="auto" w:fill="auto"/>
          </w:tcPr>
          <w:p w14:paraId="20B342B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18E1E93" w14:textId="20A235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9D8A6CE" w14:textId="0437BCAE" w:rsidTr="00081E30">
        <w:tc>
          <w:tcPr>
            <w:tcW w:w="4788" w:type="dxa"/>
            <w:shd w:val="clear" w:color="auto" w:fill="auto"/>
          </w:tcPr>
          <w:p w14:paraId="228956EE" w14:textId="121C2A0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El listado de permisos y autorizaciones vinculados con el desarrollo de los proyectos a que se refiere la fracción I de este artículo, así como los plazos para su otorgamiento, y</w:t>
            </w:r>
          </w:p>
        </w:tc>
        <w:tc>
          <w:tcPr>
            <w:tcW w:w="4788" w:type="dxa"/>
            <w:shd w:val="clear" w:color="auto" w:fill="auto"/>
          </w:tcPr>
          <w:p w14:paraId="694E196E" w14:textId="546317B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list of permits and authorizations related to the development of the projects referred to in section I of this article, as well as the deadlines for granting them, and</w:t>
            </w:r>
          </w:p>
        </w:tc>
      </w:tr>
      <w:tr w:rsidR="002C5E29" w:rsidRPr="000A5335" w14:paraId="79F92674" w14:textId="74326FF8" w:rsidTr="00081E30">
        <w:tc>
          <w:tcPr>
            <w:tcW w:w="4788" w:type="dxa"/>
            <w:shd w:val="clear" w:color="auto" w:fill="auto"/>
          </w:tcPr>
          <w:p w14:paraId="5783E51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DFE6338" w14:textId="6AC49EE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8032A38" w14:textId="33314B5D" w:rsidTr="00081E30">
        <w:tc>
          <w:tcPr>
            <w:tcW w:w="4788" w:type="dxa"/>
            <w:shd w:val="clear" w:color="auto" w:fill="auto"/>
          </w:tcPr>
          <w:p w14:paraId="664534B0" w14:textId="72151CB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Mecanismos para resolución de controversias.</w:t>
            </w:r>
          </w:p>
        </w:tc>
        <w:tc>
          <w:tcPr>
            <w:tcW w:w="4788" w:type="dxa"/>
            <w:shd w:val="clear" w:color="auto" w:fill="auto"/>
          </w:tcPr>
          <w:p w14:paraId="0524F778" w14:textId="08815C4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Mechanisms for dispute resolution.</w:t>
            </w:r>
          </w:p>
        </w:tc>
      </w:tr>
      <w:tr w:rsidR="002C5E29" w:rsidRPr="000A5335" w14:paraId="096482F9" w14:textId="76367169" w:rsidTr="00081E30">
        <w:tc>
          <w:tcPr>
            <w:tcW w:w="4788" w:type="dxa"/>
            <w:shd w:val="clear" w:color="auto" w:fill="auto"/>
          </w:tcPr>
          <w:p w14:paraId="7C77577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A9B98A" w14:textId="64B97D0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7C893649" w14:textId="073FA84C" w:rsidTr="00081E30">
        <w:tc>
          <w:tcPr>
            <w:tcW w:w="4788" w:type="dxa"/>
            <w:shd w:val="clear" w:color="auto" w:fill="auto"/>
          </w:tcPr>
          <w:p w14:paraId="70014A38" w14:textId="77777777" w:rsidR="002C5E29" w:rsidRPr="00D44237" w:rsidRDefault="002C5E29" w:rsidP="002C5E29">
            <w:pPr>
              <w:pStyle w:val="ANOTACION"/>
              <w:spacing w:before="0" w:after="0" w:line="240" w:lineRule="auto"/>
              <w:rPr>
                <w:rFonts w:ascii="Verdana" w:hAnsi="Verdana" w:cs="Arial"/>
                <w:sz w:val="16"/>
                <w:szCs w:val="16"/>
              </w:rPr>
            </w:pPr>
            <w:r w:rsidRPr="00D44237">
              <w:rPr>
                <w:rFonts w:ascii="Verdana" w:hAnsi="Verdana" w:cs="Arial"/>
                <w:sz w:val="16"/>
                <w:szCs w:val="16"/>
              </w:rPr>
              <w:t>Capítulo III</w:t>
            </w:r>
          </w:p>
        </w:tc>
        <w:tc>
          <w:tcPr>
            <w:tcW w:w="4788" w:type="dxa"/>
            <w:shd w:val="clear" w:color="auto" w:fill="auto"/>
          </w:tcPr>
          <w:p w14:paraId="302811D3" w14:textId="3AFD4D68" w:rsidR="002C5E29" w:rsidRPr="00D44237" w:rsidRDefault="002C5E29" w:rsidP="002C5E29">
            <w:pPr>
              <w:pStyle w:val="ANOTACION"/>
              <w:spacing w:before="0" w:after="0" w:line="240" w:lineRule="auto"/>
              <w:rPr>
                <w:rFonts w:ascii="Verdana" w:hAnsi="Verdana" w:cs="Arial"/>
                <w:sz w:val="16"/>
                <w:szCs w:val="16"/>
                <w:lang w:val="en-US"/>
              </w:rPr>
            </w:pPr>
            <w:r w:rsidRPr="00D44237">
              <w:rPr>
                <w:rFonts w:ascii="Verdana" w:hAnsi="Verdana"/>
                <w:sz w:val="16"/>
                <w:szCs w:val="16"/>
                <w:lang w:val="en-US"/>
              </w:rPr>
              <w:t>Chapter III</w:t>
            </w:r>
          </w:p>
        </w:tc>
      </w:tr>
      <w:tr w:rsidR="002C5E29" w:rsidRPr="000A5335" w14:paraId="5B7C4A56" w14:textId="0C40978F" w:rsidTr="00081E30">
        <w:tc>
          <w:tcPr>
            <w:tcW w:w="4788" w:type="dxa"/>
            <w:shd w:val="clear" w:color="auto" w:fill="auto"/>
          </w:tcPr>
          <w:p w14:paraId="36F476BF" w14:textId="77777777" w:rsidR="002C5E29" w:rsidRPr="00D44237" w:rsidRDefault="002C5E29" w:rsidP="002C5E29">
            <w:pPr>
              <w:pStyle w:val="ANOTACION"/>
              <w:spacing w:before="0" w:after="0" w:line="240" w:lineRule="auto"/>
              <w:rPr>
                <w:rFonts w:ascii="Verdana" w:hAnsi="Verdana" w:cs="Arial"/>
                <w:sz w:val="16"/>
                <w:szCs w:val="16"/>
              </w:rPr>
            </w:pPr>
            <w:r w:rsidRPr="00D44237">
              <w:rPr>
                <w:rFonts w:ascii="Verdana" w:hAnsi="Verdana" w:cs="Arial"/>
                <w:sz w:val="16"/>
                <w:szCs w:val="16"/>
              </w:rPr>
              <w:t>Del Uso y la Ocupación Superficial</w:t>
            </w:r>
          </w:p>
        </w:tc>
        <w:tc>
          <w:tcPr>
            <w:tcW w:w="4788" w:type="dxa"/>
            <w:shd w:val="clear" w:color="auto" w:fill="auto"/>
          </w:tcPr>
          <w:p w14:paraId="2502FC80" w14:textId="07764089" w:rsidR="002C5E29" w:rsidRPr="00D44237" w:rsidRDefault="002C5E29" w:rsidP="002C5E29">
            <w:pPr>
              <w:pStyle w:val="ANOTACION"/>
              <w:spacing w:before="0" w:after="0" w:line="240" w:lineRule="auto"/>
              <w:rPr>
                <w:rFonts w:ascii="Verdana" w:hAnsi="Verdana" w:cs="Arial"/>
                <w:sz w:val="16"/>
                <w:szCs w:val="16"/>
                <w:lang w:val="en-US"/>
              </w:rPr>
            </w:pPr>
            <w:r w:rsidRPr="00D44237">
              <w:rPr>
                <w:rFonts w:ascii="Verdana" w:hAnsi="Verdana"/>
                <w:sz w:val="16"/>
                <w:szCs w:val="16"/>
                <w:lang w:val="en-US"/>
              </w:rPr>
              <w:t xml:space="preserve">Use and </w:t>
            </w:r>
            <w:r>
              <w:rPr>
                <w:rFonts w:ascii="Verdana" w:hAnsi="Verdana"/>
                <w:sz w:val="16"/>
                <w:szCs w:val="16"/>
                <w:lang w:val="en-US"/>
              </w:rPr>
              <w:t xml:space="preserve">Surface </w:t>
            </w:r>
            <w:r w:rsidRPr="00D44237">
              <w:rPr>
                <w:rFonts w:ascii="Verdana" w:hAnsi="Verdana"/>
                <w:sz w:val="16"/>
                <w:szCs w:val="16"/>
                <w:lang w:val="en-US"/>
              </w:rPr>
              <w:t>Occupation</w:t>
            </w:r>
          </w:p>
        </w:tc>
      </w:tr>
      <w:tr w:rsidR="002C5E29" w:rsidRPr="000A5335" w14:paraId="15D1B639" w14:textId="7E9D9323" w:rsidTr="00081E30">
        <w:tc>
          <w:tcPr>
            <w:tcW w:w="4788" w:type="dxa"/>
            <w:shd w:val="clear" w:color="auto" w:fill="auto"/>
          </w:tcPr>
          <w:p w14:paraId="4A3CB3FC"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7E22A158" w14:textId="6F381543"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81F2795" w14:textId="1194A216" w:rsidTr="00081E30">
        <w:tc>
          <w:tcPr>
            <w:tcW w:w="4788" w:type="dxa"/>
            <w:shd w:val="clear" w:color="auto" w:fill="auto"/>
          </w:tcPr>
          <w:p w14:paraId="29485CDC" w14:textId="77777777" w:rsidR="002C5E29" w:rsidRPr="00081E30" w:rsidRDefault="002C5E29" w:rsidP="002C5E29">
            <w:pPr>
              <w:pStyle w:val="Texto"/>
              <w:spacing w:after="0" w:line="240" w:lineRule="auto"/>
              <w:ind w:firstLine="0"/>
              <w:rPr>
                <w:rFonts w:ascii="Verdana" w:hAnsi="Verdana"/>
                <w:bCs/>
                <w:sz w:val="16"/>
                <w:szCs w:val="16"/>
              </w:rPr>
            </w:pPr>
            <w:r w:rsidRPr="00D44237">
              <w:rPr>
                <w:rFonts w:ascii="Verdana" w:hAnsi="Verdana"/>
                <w:b/>
                <w:sz w:val="16"/>
                <w:szCs w:val="16"/>
              </w:rPr>
              <w:t>Artículo 67.-</w:t>
            </w:r>
            <w:r w:rsidRPr="00081E30">
              <w:rPr>
                <w:rFonts w:ascii="Verdana" w:hAnsi="Verdana"/>
                <w:bCs/>
                <w:sz w:val="16"/>
                <w:szCs w:val="16"/>
              </w:rPr>
              <w:t xml:space="preserve"> Con el fin de facilitar la negociación y acuerdo a que se refieren los artículos 100 y 101 de la Ley, la Secretaría elaborará, con la opinión de la Secretaría de Desarrollo Agrario, Territorial y Urbano, los modelos de contratos a que se refiere la fracción VIII del artículo 101 de la Ley, los cuales deberán ajustarse a lo previsto en dicha disposición legal y el presente Reglamento.</w:t>
            </w:r>
          </w:p>
        </w:tc>
        <w:tc>
          <w:tcPr>
            <w:tcW w:w="4788" w:type="dxa"/>
            <w:shd w:val="clear" w:color="auto" w:fill="auto"/>
          </w:tcPr>
          <w:p w14:paraId="0E1AD5E0" w14:textId="1854632C" w:rsidR="002C5E29" w:rsidRPr="00081E30" w:rsidRDefault="002C5E29" w:rsidP="002C5E29">
            <w:pPr>
              <w:pStyle w:val="Texto"/>
              <w:spacing w:after="0" w:line="240" w:lineRule="auto"/>
              <w:ind w:firstLine="0"/>
              <w:rPr>
                <w:rFonts w:ascii="Verdana" w:hAnsi="Verdana"/>
                <w:bCs/>
                <w:sz w:val="16"/>
                <w:szCs w:val="16"/>
                <w:lang w:val="en-US"/>
              </w:rPr>
            </w:pPr>
            <w:r w:rsidRPr="00D44237">
              <w:rPr>
                <w:rFonts w:ascii="Verdana" w:hAnsi="Verdana" w:cs="Times New Roman"/>
                <w:b/>
                <w:sz w:val="16"/>
                <w:szCs w:val="16"/>
                <w:lang w:val="en-US"/>
              </w:rPr>
              <w:t>Article 67.-</w:t>
            </w:r>
            <w:r w:rsidRPr="00081E30">
              <w:rPr>
                <w:rFonts w:ascii="Verdana" w:hAnsi="Verdana" w:cs="Times New Roman"/>
                <w:bCs/>
                <w:sz w:val="16"/>
                <w:szCs w:val="16"/>
                <w:lang w:val="en-US"/>
              </w:rPr>
              <w:t xml:space="preserve"> In order to facilitate the negotiation and agreement referred to in articles 100 and 101 of the Law,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prepare, with the opinion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the models of contracts to which Section VIII of Article 101 of the Law refers, which must comply with the provisions of said legal provision and </w:t>
            </w:r>
            <w:r>
              <w:rPr>
                <w:rFonts w:ascii="Verdana" w:hAnsi="Verdana" w:cs="Times New Roman"/>
                <w:bCs/>
                <w:sz w:val="16"/>
                <w:szCs w:val="16"/>
                <w:lang w:val="en-US"/>
              </w:rPr>
              <w:t>this Regulation</w:t>
            </w:r>
            <w:r w:rsidRPr="00081E30">
              <w:rPr>
                <w:rFonts w:ascii="Verdana" w:hAnsi="Verdana" w:cs="Times New Roman"/>
                <w:bCs/>
                <w:sz w:val="16"/>
                <w:szCs w:val="16"/>
                <w:lang w:val="en-US"/>
              </w:rPr>
              <w:t>.</w:t>
            </w:r>
          </w:p>
        </w:tc>
      </w:tr>
      <w:tr w:rsidR="002C5E29" w:rsidRPr="000A5335" w14:paraId="79079257" w14:textId="368BA879" w:rsidTr="00081E30">
        <w:tc>
          <w:tcPr>
            <w:tcW w:w="4788" w:type="dxa"/>
            <w:shd w:val="clear" w:color="auto" w:fill="auto"/>
          </w:tcPr>
          <w:p w14:paraId="3E3E59C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6CB0958" w14:textId="43F3005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B962AAC" w14:textId="56323136" w:rsidTr="00081E30">
        <w:tc>
          <w:tcPr>
            <w:tcW w:w="4788" w:type="dxa"/>
            <w:shd w:val="clear" w:color="auto" w:fill="auto"/>
          </w:tcPr>
          <w:p w14:paraId="32860C64"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Lo anterior, a fin de que los propietarios o titulares de los terrenos, bienes o derechos de que se trate, incluyendo derechos reales, ejidales o comunales, y los Asignatarios o Contratistas, conozcan los contenidos mínimos, así como los derechos y obligaciones de las partes que podrá establecerse en el contrato que suscriban para el uso, goce, afectación o, en su caso, adquisición de los terrenos, bienes o derechos, sin </w:t>
            </w:r>
            <w:r w:rsidRPr="00081E30">
              <w:rPr>
                <w:rFonts w:ascii="Verdana" w:hAnsi="Verdana"/>
                <w:bCs/>
                <w:sz w:val="16"/>
                <w:szCs w:val="16"/>
              </w:rPr>
              <w:lastRenderedPageBreak/>
              <w:t>perjuicio de que, para los efectos de este artículo, las partes puedan solicitar los servicios profesionales que consideren pertinentes.</w:t>
            </w:r>
          </w:p>
        </w:tc>
        <w:tc>
          <w:tcPr>
            <w:tcW w:w="4788" w:type="dxa"/>
            <w:shd w:val="clear" w:color="auto" w:fill="auto"/>
          </w:tcPr>
          <w:p w14:paraId="5E96BFF4" w14:textId="019CAB6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lastRenderedPageBreak/>
              <w:t>The foregoing, so that the owners or holders of the land, property or rights in question, including real</w:t>
            </w:r>
            <w:r>
              <w:rPr>
                <w:rFonts w:ascii="Verdana" w:hAnsi="Verdana" w:cs="Times New Roman"/>
                <w:bCs/>
                <w:sz w:val="16"/>
                <w:szCs w:val="16"/>
                <w:lang w:val="en-US"/>
              </w:rPr>
              <w:t xml:space="preserve"> rights</w:t>
            </w:r>
            <w:r w:rsidRPr="00081E30">
              <w:rPr>
                <w:rFonts w:ascii="Verdana" w:hAnsi="Verdana" w:cs="Times New Roman"/>
                <w:bCs/>
                <w:sz w:val="16"/>
                <w:szCs w:val="16"/>
                <w:lang w:val="en-US"/>
              </w:rPr>
              <w:t xml:space="preserve">, ejido or communal rights, and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know the minimum contents, as well as the rights and obligations of the parties that may be established in the contract signed for the use, enjoyment, affectation or, where appropriate, acquisition of the land, property or rights, </w:t>
            </w:r>
            <w:r w:rsidRPr="00081E30">
              <w:rPr>
                <w:rFonts w:ascii="Verdana" w:hAnsi="Verdana" w:cs="Times New Roman"/>
                <w:bCs/>
                <w:sz w:val="16"/>
                <w:szCs w:val="16"/>
                <w:lang w:val="en-US"/>
              </w:rPr>
              <w:lastRenderedPageBreak/>
              <w:t>notwithstanding that, for the purposes of this article, the parties may request professional services that they consider pertinent.</w:t>
            </w:r>
          </w:p>
        </w:tc>
      </w:tr>
      <w:tr w:rsidR="002C5E29" w:rsidRPr="000A5335" w14:paraId="535F5292" w14:textId="584EDD97" w:rsidTr="00081E30">
        <w:tc>
          <w:tcPr>
            <w:tcW w:w="4788" w:type="dxa"/>
            <w:shd w:val="clear" w:color="auto" w:fill="auto"/>
          </w:tcPr>
          <w:p w14:paraId="2AEFFA3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497BD8C" w14:textId="7B447EE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02E6FE8" w14:textId="2C4F9FF1" w:rsidTr="00081E30">
        <w:tc>
          <w:tcPr>
            <w:tcW w:w="4788" w:type="dxa"/>
            <w:shd w:val="clear" w:color="auto" w:fill="auto"/>
          </w:tcPr>
          <w:p w14:paraId="0AEF7A2B" w14:textId="77777777" w:rsidR="002C5E29" w:rsidRPr="00081E30" w:rsidRDefault="002C5E29" w:rsidP="002C5E29">
            <w:pPr>
              <w:pStyle w:val="Texto"/>
              <w:spacing w:after="0" w:line="240" w:lineRule="auto"/>
              <w:ind w:firstLine="0"/>
              <w:rPr>
                <w:rFonts w:ascii="Verdana" w:hAnsi="Verdana"/>
                <w:bCs/>
                <w:sz w:val="16"/>
                <w:szCs w:val="16"/>
              </w:rPr>
            </w:pPr>
            <w:r w:rsidRPr="00D44237">
              <w:rPr>
                <w:rFonts w:ascii="Verdana" w:hAnsi="Verdana"/>
                <w:b/>
                <w:sz w:val="16"/>
                <w:szCs w:val="16"/>
              </w:rPr>
              <w:t>Artículo 68.-</w:t>
            </w:r>
            <w:r w:rsidRPr="00081E30">
              <w:rPr>
                <w:rFonts w:ascii="Verdana" w:hAnsi="Verdana"/>
                <w:bCs/>
                <w:sz w:val="16"/>
                <w:szCs w:val="16"/>
              </w:rPr>
              <w:t xml:space="preserve"> La Secretaría elaborará con la asistencia técnica de la Comisión, las metodologías, los parámetros y los lineamientos a que se refiere el inciso c) del tercer párrafo de la fracción VI del artículo 101 de la Ley.</w:t>
            </w:r>
          </w:p>
        </w:tc>
        <w:tc>
          <w:tcPr>
            <w:tcW w:w="4788" w:type="dxa"/>
            <w:shd w:val="clear" w:color="auto" w:fill="auto"/>
          </w:tcPr>
          <w:p w14:paraId="05B7B29A" w14:textId="171666F1" w:rsidR="002C5E29" w:rsidRPr="00081E30" w:rsidRDefault="002C5E29" w:rsidP="002C5E29">
            <w:pPr>
              <w:pStyle w:val="Texto"/>
              <w:spacing w:after="0" w:line="240" w:lineRule="auto"/>
              <w:ind w:firstLine="0"/>
              <w:rPr>
                <w:rFonts w:ascii="Verdana" w:hAnsi="Verdana"/>
                <w:bCs/>
                <w:sz w:val="16"/>
                <w:szCs w:val="16"/>
                <w:lang w:val="en-US"/>
              </w:rPr>
            </w:pPr>
            <w:r w:rsidRPr="00D44237">
              <w:rPr>
                <w:rFonts w:ascii="Verdana" w:hAnsi="Verdana" w:cs="Times New Roman"/>
                <w:b/>
                <w:sz w:val="16"/>
                <w:szCs w:val="16"/>
                <w:lang w:val="en-US"/>
              </w:rPr>
              <w:t>Article 68.-</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prepare, with the technical assistance of the Commission, the methodologies, parameters and guidelines referred to in subparagraph c) of the third paragraph of section VI of Article 101 of the Law.</w:t>
            </w:r>
          </w:p>
        </w:tc>
      </w:tr>
      <w:tr w:rsidR="002C5E29" w:rsidRPr="000A5335" w14:paraId="667CCEFF" w14:textId="734B6D72" w:rsidTr="00081E30">
        <w:tc>
          <w:tcPr>
            <w:tcW w:w="4788" w:type="dxa"/>
            <w:shd w:val="clear" w:color="auto" w:fill="auto"/>
          </w:tcPr>
          <w:p w14:paraId="3087D82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FB2B4C3" w14:textId="6F419EA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37DD5AF" w14:textId="75CD6A8A" w:rsidTr="00081E30">
        <w:tc>
          <w:tcPr>
            <w:tcW w:w="4788" w:type="dxa"/>
            <w:shd w:val="clear" w:color="auto" w:fill="auto"/>
          </w:tcPr>
          <w:p w14:paraId="5D1E039F" w14:textId="77777777" w:rsidR="002C5E29" w:rsidRPr="00081E30" w:rsidRDefault="002C5E29" w:rsidP="002C5E29">
            <w:pPr>
              <w:pStyle w:val="Texto"/>
              <w:spacing w:after="0" w:line="240" w:lineRule="auto"/>
              <w:ind w:firstLine="0"/>
              <w:rPr>
                <w:rFonts w:ascii="Verdana" w:hAnsi="Verdana"/>
                <w:bCs/>
                <w:sz w:val="16"/>
                <w:szCs w:val="16"/>
              </w:rPr>
            </w:pPr>
            <w:r w:rsidRPr="00D44237">
              <w:rPr>
                <w:rFonts w:ascii="Verdana" w:hAnsi="Verdana"/>
                <w:b/>
                <w:sz w:val="16"/>
                <w:szCs w:val="16"/>
              </w:rPr>
              <w:t>Artículo 69.-</w:t>
            </w:r>
            <w:r w:rsidRPr="00081E30">
              <w:rPr>
                <w:rFonts w:ascii="Verdana" w:hAnsi="Verdana"/>
                <w:bCs/>
                <w:sz w:val="16"/>
                <w:szCs w:val="16"/>
              </w:rPr>
              <w:t xml:space="preserve"> La Secretaría, en coordinación con las autoridades competentes en la materia, emitirá los lineamientos que regularán los casos y las condiciones de participación, así como los mecanismos para la designación de los testigos sociales en los procesos de negociación entre los Asignatarios o Contratistas y los propietarios o titulares del terreno, bien o derecho de que se trate.</w:t>
            </w:r>
          </w:p>
        </w:tc>
        <w:tc>
          <w:tcPr>
            <w:tcW w:w="4788" w:type="dxa"/>
            <w:shd w:val="clear" w:color="auto" w:fill="auto"/>
          </w:tcPr>
          <w:p w14:paraId="647D17D5" w14:textId="0C644B89" w:rsidR="002C5E29" w:rsidRPr="00081E30" w:rsidRDefault="002C5E29" w:rsidP="002C5E29">
            <w:pPr>
              <w:pStyle w:val="Texto"/>
              <w:spacing w:after="0" w:line="240" w:lineRule="auto"/>
              <w:ind w:firstLine="0"/>
              <w:rPr>
                <w:rFonts w:ascii="Verdana" w:hAnsi="Verdana"/>
                <w:bCs/>
                <w:sz w:val="16"/>
                <w:szCs w:val="16"/>
                <w:lang w:val="en-US"/>
              </w:rPr>
            </w:pPr>
            <w:r w:rsidRPr="00D44237">
              <w:rPr>
                <w:rFonts w:ascii="Verdana" w:hAnsi="Verdana" w:cs="Times New Roman"/>
                <w:b/>
                <w:sz w:val="16"/>
                <w:szCs w:val="16"/>
                <w:lang w:val="en-US"/>
              </w:rPr>
              <w:t>Article 69.-</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in coordination with the </w:t>
            </w:r>
            <w:r>
              <w:rPr>
                <w:rFonts w:ascii="Verdana" w:hAnsi="Verdana" w:cs="Times New Roman"/>
                <w:bCs/>
                <w:sz w:val="16"/>
                <w:szCs w:val="16"/>
                <w:lang w:val="en-US"/>
              </w:rPr>
              <w:t>appropriate authorities</w:t>
            </w:r>
            <w:r w:rsidRPr="00081E30">
              <w:rPr>
                <w:rFonts w:ascii="Verdana" w:hAnsi="Verdana" w:cs="Times New Roman"/>
                <w:bCs/>
                <w:sz w:val="16"/>
                <w:szCs w:val="16"/>
                <w:lang w:val="en-US"/>
              </w:rPr>
              <w:t xml:space="preserve"> in the matter, will issue the guidelines that will regulate the cases and conditions of participation, as well as the mechanisms for the appointment of 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in the negotiation processes between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ontractors and owners or owners of the land, good</w:t>
            </w:r>
            <w:r>
              <w:rPr>
                <w:rFonts w:ascii="Verdana" w:hAnsi="Verdana" w:cs="Times New Roman"/>
                <w:bCs/>
                <w:sz w:val="16"/>
                <w:szCs w:val="16"/>
                <w:lang w:val="en-US"/>
              </w:rPr>
              <w:t>s</w:t>
            </w:r>
            <w:r w:rsidRPr="00081E30">
              <w:rPr>
                <w:rFonts w:ascii="Verdana" w:hAnsi="Verdana" w:cs="Times New Roman"/>
                <w:bCs/>
                <w:sz w:val="16"/>
                <w:szCs w:val="16"/>
                <w:lang w:val="en-US"/>
              </w:rPr>
              <w:t xml:space="preserve"> or </w:t>
            </w:r>
            <w:r>
              <w:rPr>
                <w:rFonts w:ascii="Verdana" w:hAnsi="Verdana" w:cs="Times New Roman"/>
                <w:bCs/>
                <w:sz w:val="16"/>
                <w:szCs w:val="16"/>
                <w:lang w:val="en-US"/>
              </w:rPr>
              <w:t>fees</w:t>
            </w:r>
            <w:r w:rsidRPr="00081E30">
              <w:rPr>
                <w:rFonts w:ascii="Verdana" w:hAnsi="Verdana" w:cs="Times New Roman"/>
                <w:bCs/>
                <w:sz w:val="16"/>
                <w:szCs w:val="16"/>
                <w:lang w:val="en-US"/>
              </w:rPr>
              <w:t xml:space="preserve"> in question.</w:t>
            </w:r>
          </w:p>
        </w:tc>
      </w:tr>
      <w:tr w:rsidR="002C5E29" w:rsidRPr="000A5335" w14:paraId="3555EADC" w14:textId="2E082F34" w:rsidTr="00081E30">
        <w:tc>
          <w:tcPr>
            <w:tcW w:w="4788" w:type="dxa"/>
            <w:shd w:val="clear" w:color="auto" w:fill="auto"/>
          </w:tcPr>
          <w:p w14:paraId="6D7B7C2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B07BC27" w14:textId="448763F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B9E766D" w14:textId="42C9EAFA" w:rsidTr="00081E30">
        <w:tc>
          <w:tcPr>
            <w:tcW w:w="4788" w:type="dxa"/>
            <w:shd w:val="clear" w:color="auto" w:fill="auto"/>
          </w:tcPr>
          <w:p w14:paraId="3C1FD0E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preverá la participación de los testigos sociales en los siguientes casos:</w:t>
            </w:r>
          </w:p>
        </w:tc>
        <w:tc>
          <w:tcPr>
            <w:tcW w:w="4788" w:type="dxa"/>
            <w:shd w:val="clear" w:color="auto" w:fill="auto"/>
          </w:tcPr>
          <w:p w14:paraId="5748453F" w14:textId="190B522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provide for the participation of </w:t>
            </w:r>
            <w:r>
              <w:rPr>
                <w:rFonts w:ascii="Verdana" w:hAnsi="Verdana" w:cs="Times New Roman"/>
                <w:bCs/>
                <w:sz w:val="16"/>
                <w:szCs w:val="16"/>
                <w:lang w:val="en-US"/>
              </w:rPr>
              <w:t>partner</w:t>
            </w:r>
            <w:r w:rsidRPr="00081E30">
              <w:rPr>
                <w:rFonts w:ascii="Verdana" w:hAnsi="Verdana" w:cs="Times New Roman"/>
                <w:bCs/>
                <w:sz w:val="16"/>
                <w:szCs w:val="16"/>
                <w:lang w:val="en-US"/>
              </w:rPr>
              <w:t xml:space="preserve"> witnesses in the following cases:</w:t>
            </w:r>
          </w:p>
        </w:tc>
      </w:tr>
      <w:tr w:rsidR="002C5E29" w:rsidRPr="000A5335" w14:paraId="10A1CEB5" w14:textId="0A956638" w:rsidTr="00081E30">
        <w:tc>
          <w:tcPr>
            <w:tcW w:w="4788" w:type="dxa"/>
            <w:shd w:val="clear" w:color="auto" w:fill="auto"/>
          </w:tcPr>
          <w:p w14:paraId="7932102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07F2E24" w14:textId="0C9561E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8B805D5" w14:textId="4A19CC9B" w:rsidTr="00081E30">
        <w:tc>
          <w:tcPr>
            <w:tcW w:w="4788" w:type="dxa"/>
            <w:shd w:val="clear" w:color="auto" w:fill="auto"/>
          </w:tcPr>
          <w:p w14:paraId="2A83AE07" w14:textId="2EADFEA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Cuando alguna de las partes lo solicite expresamente a la Secretaría;</w:t>
            </w:r>
          </w:p>
        </w:tc>
        <w:tc>
          <w:tcPr>
            <w:tcW w:w="4788" w:type="dxa"/>
            <w:shd w:val="clear" w:color="auto" w:fill="auto"/>
          </w:tcPr>
          <w:p w14:paraId="5ACB329E" w14:textId="56986F8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When any of the parties expressly requests it from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19AAAEBB" w14:textId="4061CF36" w:rsidTr="00081E30">
        <w:tc>
          <w:tcPr>
            <w:tcW w:w="4788" w:type="dxa"/>
            <w:shd w:val="clear" w:color="auto" w:fill="auto"/>
          </w:tcPr>
          <w:p w14:paraId="66C4743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3570F1B" w14:textId="382259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431AEA4" w14:textId="3DEB3309" w:rsidTr="00081E30">
        <w:tc>
          <w:tcPr>
            <w:tcW w:w="4788" w:type="dxa"/>
            <w:shd w:val="clear" w:color="auto" w:fill="auto"/>
          </w:tcPr>
          <w:p w14:paraId="43FE0C7B" w14:textId="2239E7C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Cuando el estudio de impacto social concluya que existen condiciones de riesgo y vulnerabilidad en el área donde se desarrollará el proyecto, y</w:t>
            </w:r>
          </w:p>
        </w:tc>
        <w:tc>
          <w:tcPr>
            <w:tcW w:w="4788" w:type="dxa"/>
            <w:shd w:val="clear" w:color="auto" w:fill="auto"/>
          </w:tcPr>
          <w:p w14:paraId="0311AAE7" w14:textId="1D50E66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When the social impact study concludes that there are risk and vulnerability conditions in the area where the project will be developed, and</w:t>
            </w:r>
          </w:p>
        </w:tc>
      </w:tr>
      <w:tr w:rsidR="002C5E29" w:rsidRPr="000A5335" w14:paraId="4C617F53" w14:textId="57D61019" w:rsidTr="00081E30">
        <w:tc>
          <w:tcPr>
            <w:tcW w:w="4788" w:type="dxa"/>
            <w:shd w:val="clear" w:color="auto" w:fill="auto"/>
          </w:tcPr>
          <w:p w14:paraId="010588E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A34610E" w14:textId="55D7F8A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9F285F" w14:textId="567C3BFD" w:rsidTr="00081E30">
        <w:tc>
          <w:tcPr>
            <w:tcW w:w="4788" w:type="dxa"/>
            <w:shd w:val="clear" w:color="auto" w:fill="auto"/>
          </w:tcPr>
          <w:p w14:paraId="535E6D97" w14:textId="2D1AF92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Las demás que se determine en los lineamientos que emita para tal efecto la Secretaría.</w:t>
            </w:r>
          </w:p>
        </w:tc>
        <w:tc>
          <w:tcPr>
            <w:tcW w:w="4788" w:type="dxa"/>
            <w:shd w:val="clear" w:color="auto" w:fill="auto"/>
          </w:tcPr>
          <w:p w14:paraId="771633F2" w14:textId="4D7800C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others determined in the guidelines issued for this purpose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7BFD9774" w14:textId="29D3BF5B" w:rsidTr="00081E30">
        <w:tc>
          <w:tcPr>
            <w:tcW w:w="4788" w:type="dxa"/>
            <w:shd w:val="clear" w:color="auto" w:fill="auto"/>
          </w:tcPr>
          <w:p w14:paraId="3CDCC1A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B60C406" w14:textId="275FA0F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FC832DD" w14:textId="0A4CFC57" w:rsidTr="00081E30">
        <w:tc>
          <w:tcPr>
            <w:tcW w:w="4788" w:type="dxa"/>
            <w:shd w:val="clear" w:color="auto" w:fill="auto"/>
          </w:tcPr>
          <w:p w14:paraId="4AA8260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participación de los testigos sociales deberá regirse por los principios de buena fe, eficiencia, eficacia, objetividad y transparencia.</w:t>
            </w:r>
          </w:p>
        </w:tc>
        <w:tc>
          <w:tcPr>
            <w:tcW w:w="4788" w:type="dxa"/>
            <w:shd w:val="clear" w:color="auto" w:fill="auto"/>
          </w:tcPr>
          <w:p w14:paraId="46794722" w14:textId="71961A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participation of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must be governed by the principles of good faith, efficiency, effectiveness, objectivity and transparency.</w:t>
            </w:r>
          </w:p>
        </w:tc>
      </w:tr>
      <w:tr w:rsidR="002C5E29" w:rsidRPr="000A5335" w14:paraId="6935BF42" w14:textId="35AABFAA" w:rsidTr="00081E30">
        <w:tc>
          <w:tcPr>
            <w:tcW w:w="4788" w:type="dxa"/>
            <w:shd w:val="clear" w:color="auto" w:fill="auto"/>
          </w:tcPr>
          <w:p w14:paraId="2E540AF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287AE34" w14:textId="289B114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DBE1793" w14:textId="5A32EBBD" w:rsidTr="00081E30">
        <w:tc>
          <w:tcPr>
            <w:tcW w:w="4788" w:type="dxa"/>
            <w:shd w:val="clear" w:color="auto" w:fill="auto"/>
          </w:tcPr>
          <w:p w14:paraId="4DF727C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testigos sociales deberán ser personas físicas o morales, incluidas asociaciones o sociedades civiles sin interés alguno en su beneficio o de sus familiares por afinidad o consanguineidad hasta el cuarto grado, ni de empresas o sociedades en que ellos o sus familiares sean o hayan sido empleados, consejeros, socios o accionistas en el último año.</w:t>
            </w:r>
          </w:p>
        </w:tc>
        <w:tc>
          <w:tcPr>
            <w:tcW w:w="4788" w:type="dxa"/>
            <w:shd w:val="clear" w:color="auto" w:fill="auto"/>
          </w:tcPr>
          <w:p w14:paraId="6E8A8C65" w14:textId="7EAB786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must be </w:t>
            </w:r>
            <w:r>
              <w:rPr>
                <w:rFonts w:ascii="Verdana" w:hAnsi="Verdana" w:cs="Times New Roman"/>
                <w:bCs/>
                <w:sz w:val="16"/>
                <w:szCs w:val="16"/>
                <w:lang w:val="en-US"/>
              </w:rPr>
              <w:t>individuals or companies</w:t>
            </w:r>
            <w:r w:rsidRPr="00081E30">
              <w:rPr>
                <w:rFonts w:ascii="Verdana" w:hAnsi="Verdana" w:cs="Times New Roman"/>
                <w:bCs/>
                <w:sz w:val="16"/>
                <w:szCs w:val="16"/>
                <w:lang w:val="en-US"/>
              </w:rPr>
              <w:t xml:space="preserve">, including associations or civil societies without any interest in their benefit or their relatives by affinity or </w:t>
            </w:r>
            <w:r>
              <w:rPr>
                <w:rFonts w:ascii="Verdana" w:hAnsi="Verdana" w:cs="Times New Roman"/>
                <w:bCs/>
                <w:sz w:val="16"/>
                <w:szCs w:val="16"/>
                <w:lang w:val="en-US"/>
              </w:rPr>
              <w:t xml:space="preserve">blood </w:t>
            </w:r>
            <w:r w:rsidRPr="00081E30">
              <w:rPr>
                <w:rFonts w:ascii="Verdana" w:hAnsi="Verdana" w:cs="Times New Roman"/>
                <w:bCs/>
                <w:sz w:val="16"/>
                <w:szCs w:val="16"/>
                <w:lang w:val="en-US"/>
              </w:rPr>
              <w:t xml:space="preserve">until the fourth </w:t>
            </w:r>
            <w:r>
              <w:rPr>
                <w:rFonts w:ascii="Verdana" w:hAnsi="Verdana" w:cs="Times New Roman"/>
                <w:bCs/>
                <w:sz w:val="16"/>
                <w:szCs w:val="16"/>
                <w:lang w:val="en-US"/>
              </w:rPr>
              <w:t>degree</w:t>
            </w:r>
            <w:r w:rsidRPr="00081E30">
              <w:rPr>
                <w:rFonts w:ascii="Verdana" w:hAnsi="Verdana" w:cs="Times New Roman"/>
                <w:bCs/>
                <w:sz w:val="16"/>
                <w:szCs w:val="16"/>
                <w:lang w:val="en-US"/>
              </w:rPr>
              <w:t>, nor of companies or societies in which they or their relatives are or have been employe</w:t>
            </w:r>
            <w:r>
              <w:rPr>
                <w:rFonts w:ascii="Verdana" w:hAnsi="Verdana" w:cs="Times New Roman"/>
                <w:bCs/>
                <w:sz w:val="16"/>
                <w:szCs w:val="16"/>
                <w:lang w:val="en-US"/>
              </w:rPr>
              <w:t>es,</w:t>
            </w:r>
            <w:r w:rsidRPr="00081E30">
              <w:rPr>
                <w:rFonts w:ascii="Verdana" w:hAnsi="Verdana" w:cs="Times New Roman"/>
                <w:bCs/>
                <w:sz w:val="16"/>
                <w:szCs w:val="16"/>
                <w:lang w:val="en-US"/>
              </w:rPr>
              <w:t xml:space="preserve"> directors, partners or shareholders in the last year.</w:t>
            </w:r>
          </w:p>
        </w:tc>
      </w:tr>
      <w:tr w:rsidR="002C5E29" w:rsidRPr="000A5335" w14:paraId="78A04A89" w14:textId="5438FD9E" w:rsidTr="00081E30">
        <w:tc>
          <w:tcPr>
            <w:tcW w:w="4788" w:type="dxa"/>
            <w:shd w:val="clear" w:color="auto" w:fill="auto"/>
          </w:tcPr>
          <w:p w14:paraId="209B15C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9668B37" w14:textId="62C0D7F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37320CB" w14:textId="5DF77746" w:rsidTr="00081E30">
        <w:tc>
          <w:tcPr>
            <w:tcW w:w="4788" w:type="dxa"/>
            <w:shd w:val="clear" w:color="auto" w:fill="auto"/>
          </w:tcPr>
          <w:p w14:paraId="38586DA5"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70.-</w:t>
            </w:r>
            <w:r w:rsidRPr="00081E30">
              <w:rPr>
                <w:rFonts w:ascii="Verdana" w:hAnsi="Verdana"/>
                <w:bCs/>
                <w:sz w:val="16"/>
                <w:szCs w:val="16"/>
              </w:rPr>
              <w:t xml:space="preserve"> Los testigos sociales tendrán las siguientes funciones:</w:t>
            </w:r>
          </w:p>
        </w:tc>
        <w:tc>
          <w:tcPr>
            <w:tcW w:w="4788" w:type="dxa"/>
            <w:shd w:val="clear" w:color="auto" w:fill="auto"/>
          </w:tcPr>
          <w:p w14:paraId="79A79E67" w14:textId="7A061D73"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70.-</w:t>
            </w:r>
            <w:r w:rsidRPr="00081E30">
              <w:rPr>
                <w:rFonts w:ascii="Verdana" w:hAnsi="Verdana" w:cs="Times New Roman"/>
                <w:bCs/>
                <w:sz w:val="16"/>
                <w:szCs w:val="16"/>
                <w:lang w:val="en-US"/>
              </w:rPr>
              <w:t xml:space="preserve"> 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will have the following functions:</w:t>
            </w:r>
          </w:p>
        </w:tc>
      </w:tr>
      <w:tr w:rsidR="002C5E29" w:rsidRPr="000A5335" w14:paraId="28882F67" w14:textId="2E74DDCA" w:rsidTr="00081E30">
        <w:tc>
          <w:tcPr>
            <w:tcW w:w="4788" w:type="dxa"/>
            <w:shd w:val="clear" w:color="auto" w:fill="auto"/>
          </w:tcPr>
          <w:p w14:paraId="62BDDB0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46D5856" w14:textId="17D7B14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0D9BAF1" w14:textId="01E2BFCD" w:rsidTr="00081E30">
        <w:tc>
          <w:tcPr>
            <w:tcW w:w="4788" w:type="dxa"/>
            <w:shd w:val="clear" w:color="auto" w:fill="auto"/>
          </w:tcPr>
          <w:p w14:paraId="0B8F3B11" w14:textId="2757350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Observar que los procesos de negociación en los que participen se lleven a cabo conforme a las disposiciones jurídicas aplicables;</w:t>
            </w:r>
          </w:p>
        </w:tc>
        <w:tc>
          <w:tcPr>
            <w:tcW w:w="4788" w:type="dxa"/>
            <w:shd w:val="clear" w:color="auto" w:fill="auto"/>
          </w:tcPr>
          <w:p w14:paraId="72E4C5CE" w14:textId="528EED9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Observe that the negotiation processes in which they participate are carried out in accordance with the applicable legal provisions;</w:t>
            </w:r>
          </w:p>
        </w:tc>
      </w:tr>
      <w:tr w:rsidR="002C5E29" w:rsidRPr="000A5335" w14:paraId="7D64CF0F" w14:textId="4D8561BB" w:rsidTr="00081E30">
        <w:tc>
          <w:tcPr>
            <w:tcW w:w="4788" w:type="dxa"/>
            <w:shd w:val="clear" w:color="auto" w:fill="auto"/>
          </w:tcPr>
          <w:p w14:paraId="0BE5792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1031116" w14:textId="58D4167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6BB0E8F" w14:textId="3DB33DC7" w:rsidTr="00081E30">
        <w:tc>
          <w:tcPr>
            <w:tcW w:w="4788" w:type="dxa"/>
            <w:shd w:val="clear" w:color="auto" w:fill="auto"/>
          </w:tcPr>
          <w:p w14:paraId="1F687E1E" w14:textId="20F8ED6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Informar trimestralmente a la Secretaría y a la Secretaría de Desarrollo Agrario, Territorial y Urbano sobre el desarrollo del proceso de negociación en los que participen y de ser el caso, notificar dentro de las cuarenta y ocho horas siguientes sobre las posibles violaciones a los derechos de las partes, con el fin de que se documente las irregularidades de la negociación, y</w:t>
            </w:r>
          </w:p>
        </w:tc>
        <w:tc>
          <w:tcPr>
            <w:tcW w:w="4788" w:type="dxa"/>
            <w:shd w:val="clear" w:color="auto" w:fill="auto"/>
          </w:tcPr>
          <w:p w14:paraId="2055CB65" w14:textId="27786EC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Report quarterly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on the development of the negotiation process in which they participate and, if applicable, notify within forty-eight hours of the possible violations of the rights of the parties, in order to document the irregularities of the negotiation, and</w:t>
            </w:r>
          </w:p>
        </w:tc>
      </w:tr>
      <w:tr w:rsidR="002C5E29" w:rsidRPr="000A5335" w14:paraId="590ADFE2" w14:textId="16689BD7" w:rsidTr="00081E30">
        <w:tc>
          <w:tcPr>
            <w:tcW w:w="4788" w:type="dxa"/>
            <w:shd w:val="clear" w:color="auto" w:fill="auto"/>
          </w:tcPr>
          <w:p w14:paraId="512A264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62F38C8" w14:textId="425C616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EE0BA4C" w14:textId="1CA23AE8" w:rsidTr="00081E30">
        <w:tc>
          <w:tcPr>
            <w:tcW w:w="4788" w:type="dxa"/>
            <w:shd w:val="clear" w:color="auto" w:fill="auto"/>
          </w:tcPr>
          <w:p w14:paraId="113BD17F" w14:textId="11E6379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Las demás que se establezcan en los lineamientos a que se refiere el artículo anterior.</w:t>
            </w:r>
          </w:p>
        </w:tc>
        <w:tc>
          <w:tcPr>
            <w:tcW w:w="4788" w:type="dxa"/>
            <w:shd w:val="clear" w:color="auto" w:fill="auto"/>
          </w:tcPr>
          <w:p w14:paraId="16BA9F7D" w14:textId="4551C24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others established in the guidelines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w:t>
            </w:r>
          </w:p>
        </w:tc>
      </w:tr>
      <w:tr w:rsidR="002C5E29" w:rsidRPr="000A5335" w14:paraId="17C17758" w14:textId="108543A6" w:rsidTr="00081E30">
        <w:tc>
          <w:tcPr>
            <w:tcW w:w="4788" w:type="dxa"/>
            <w:shd w:val="clear" w:color="auto" w:fill="auto"/>
          </w:tcPr>
          <w:p w14:paraId="4E57C2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380E47C" w14:textId="597A088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FFBACF6" w14:textId="62CA5731" w:rsidTr="00081E30">
        <w:tc>
          <w:tcPr>
            <w:tcW w:w="4788" w:type="dxa"/>
            <w:shd w:val="clear" w:color="auto" w:fill="auto"/>
          </w:tcPr>
          <w:p w14:paraId="740C1E84"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71.-</w:t>
            </w:r>
            <w:r w:rsidRPr="00081E30">
              <w:rPr>
                <w:rFonts w:ascii="Verdana" w:hAnsi="Verdana"/>
                <w:bCs/>
                <w:sz w:val="16"/>
                <w:szCs w:val="16"/>
              </w:rPr>
              <w:t xml:space="preserve"> Cuando alguna de las partes informe y acredite ante la Secretaría que la actuación de los testigos sociales no se ha desarrollado conforme a lo </w:t>
            </w:r>
            <w:r w:rsidRPr="00081E30">
              <w:rPr>
                <w:rFonts w:ascii="Verdana" w:hAnsi="Verdana"/>
                <w:bCs/>
                <w:sz w:val="16"/>
                <w:szCs w:val="16"/>
              </w:rPr>
              <w:lastRenderedPageBreak/>
              <w:t>establecido en el artículo 69, tercer párrafo de este Reglamento, la Secretaría podrá declarar nula la participación de dichos testigos y restringirá su participación en futuras negociaciones.</w:t>
            </w:r>
          </w:p>
        </w:tc>
        <w:tc>
          <w:tcPr>
            <w:tcW w:w="4788" w:type="dxa"/>
            <w:shd w:val="clear" w:color="auto" w:fill="auto"/>
          </w:tcPr>
          <w:p w14:paraId="077FCD18" w14:textId="71EC6776"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lastRenderedPageBreak/>
              <w:t>Article 71.-</w:t>
            </w:r>
            <w:r w:rsidRPr="00081E30">
              <w:rPr>
                <w:rFonts w:ascii="Verdana" w:hAnsi="Verdana" w:cs="Times New Roman"/>
                <w:bCs/>
                <w:sz w:val="16"/>
                <w:szCs w:val="16"/>
                <w:lang w:val="en-US"/>
              </w:rPr>
              <w:t xml:space="preserve"> When </w:t>
            </w:r>
            <w:r>
              <w:rPr>
                <w:rFonts w:ascii="Verdana" w:hAnsi="Verdana" w:cs="Times New Roman"/>
                <w:bCs/>
                <w:sz w:val="16"/>
                <w:szCs w:val="16"/>
                <w:lang w:val="en-US"/>
              </w:rPr>
              <w:t>one</w:t>
            </w:r>
            <w:r w:rsidRPr="00081E30">
              <w:rPr>
                <w:rFonts w:ascii="Verdana" w:hAnsi="Verdana" w:cs="Times New Roman"/>
                <w:bCs/>
                <w:sz w:val="16"/>
                <w:szCs w:val="16"/>
                <w:lang w:val="en-US"/>
              </w:rPr>
              <w:t xml:space="preserve"> of the parties informs and accredits before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that the performance of 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has not been carried out in </w:t>
            </w:r>
            <w:r w:rsidRPr="00081E30">
              <w:rPr>
                <w:rFonts w:ascii="Verdana" w:hAnsi="Verdana" w:cs="Times New Roman"/>
                <w:bCs/>
                <w:sz w:val="16"/>
                <w:szCs w:val="16"/>
                <w:lang w:val="en-US"/>
              </w:rPr>
              <w:lastRenderedPageBreak/>
              <w:t xml:space="preserve">accordance with the provisions of article 69, third paragraph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may declare</w:t>
            </w:r>
            <w:r>
              <w:rPr>
                <w:rFonts w:ascii="Verdana" w:hAnsi="Verdana" w:cs="Times New Roman"/>
                <w:bCs/>
                <w:sz w:val="16"/>
                <w:szCs w:val="16"/>
                <w:lang w:val="en-US"/>
              </w:rPr>
              <w:t xml:space="preserve"> void</w:t>
            </w:r>
            <w:r w:rsidRPr="00081E30">
              <w:rPr>
                <w:rFonts w:ascii="Verdana" w:hAnsi="Verdana" w:cs="Times New Roman"/>
                <w:bCs/>
                <w:sz w:val="16"/>
                <w:szCs w:val="16"/>
                <w:lang w:val="en-US"/>
              </w:rPr>
              <w:t xml:space="preserve"> the participation of said witnesses and will restrict their participation in future negotiations.</w:t>
            </w:r>
          </w:p>
        </w:tc>
      </w:tr>
      <w:tr w:rsidR="002C5E29" w:rsidRPr="000A5335" w14:paraId="057813E7" w14:textId="4CEBC079" w:rsidTr="00081E30">
        <w:tc>
          <w:tcPr>
            <w:tcW w:w="4788" w:type="dxa"/>
            <w:shd w:val="clear" w:color="auto" w:fill="auto"/>
          </w:tcPr>
          <w:p w14:paraId="4527085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B43C8FD" w14:textId="4C0C776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21E6FA8" w14:textId="42823C05" w:rsidTr="00081E30">
        <w:tc>
          <w:tcPr>
            <w:tcW w:w="4788" w:type="dxa"/>
            <w:shd w:val="clear" w:color="auto" w:fill="auto"/>
          </w:tcPr>
          <w:p w14:paraId="6AA0490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testigos sociales tendrán derecho de audiencia a fin de que señalen lo que a su derecho convenga, previo a la declaración de la nulidad a que se refiere el párrafo anterior, por parte de la Secretaría.</w:t>
            </w:r>
          </w:p>
        </w:tc>
        <w:tc>
          <w:tcPr>
            <w:tcW w:w="4788" w:type="dxa"/>
            <w:shd w:val="clear" w:color="auto" w:fill="auto"/>
          </w:tcPr>
          <w:p w14:paraId="194568CE" w14:textId="154A05E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the right to a hearing so that they may indicate what is appropriate to their right</w:t>
            </w:r>
            <w:r>
              <w:rPr>
                <w:rFonts w:ascii="Verdana" w:hAnsi="Verdana" w:cs="Times New Roman"/>
                <w:bCs/>
                <w:sz w:val="16"/>
                <w:szCs w:val="16"/>
                <w:lang w:val="en-US"/>
              </w:rPr>
              <w:t>s</w:t>
            </w:r>
            <w:r w:rsidRPr="00081E30">
              <w:rPr>
                <w:rFonts w:ascii="Verdana" w:hAnsi="Verdana" w:cs="Times New Roman"/>
                <w:bCs/>
                <w:sz w:val="16"/>
                <w:szCs w:val="16"/>
                <w:lang w:val="en-US"/>
              </w:rPr>
              <w:t xml:space="preserve">, prior to the declaration of the nullity referred to in the preceding paragraph,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2AC9CA97" w14:textId="16D26A46" w:rsidTr="00081E30">
        <w:tc>
          <w:tcPr>
            <w:tcW w:w="4788" w:type="dxa"/>
            <w:shd w:val="clear" w:color="auto" w:fill="auto"/>
          </w:tcPr>
          <w:p w14:paraId="04AE38E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43C531" w14:textId="79E378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F6E5BBC" w14:textId="3FF0A066" w:rsidTr="00081E30">
        <w:tc>
          <w:tcPr>
            <w:tcW w:w="4788" w:type="dxa"/>
            <w:shd w:val="clear" w:color="auto" w:fill="auto"/>
          </w:tcPr>
          <w:p w14:paraId="1A6DC013"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72.-</w:t>
            </w:r>
            <w:r w:rsidRPr="00081E30">
              <w:rPr>
                <w:rFonts w:ascii="Verdana" w:hAnsi="Verdana"/>
                <w:bCs/>
                <w:sz w:val="16"/>
                <w:szCs w:val="16"/>
              </w:rPr>
              <w:t xml:space="preserve"> Para las actividades de Exploración y Extracción, la Secretaría solicitará anualmente al Instituto la realización y, en su caso, actualización de los tabuladores a que se refiere el artículo 103 de la Ley.</w:t>
            </w:r>
          </w:p>
        </w:tc>
        <w:tc>
          <w:tcPr>
            <w:tcW w:w="4788" w:type="dxa"/>
            <w:shd w:val="clear" w:color="auto" w:fill="auto"/>
          </w:tcPr>
          <w:p w14:paraId="0D463A5B" w14:textId="357DFC73"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72.-</w:t>
            </w:r>
            <w:r w:rsidRPr="00081E30">
              <w:rPr>
                <w:rFonts w:ascii="Verdana" w:hAnsi="Verdana" w:cs="Times New Roman"/>
                <w:bCs/>
                <w:sz w:val="16"/>
                <w:szCs w:val="16"/>
                <w:lang w:val="en-US"/>
              </w:rPr>
              <w:t xml:space="preserve"> For the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activities,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annually request the Institute to carry out and, where appropriate, update the tabulators referred to in article 103 of the Law.</w:t>
            </w:r>
          </w:p>
        </w:tc>
      </w:tr>
      <w:tr w:rsidR="002C5E29" w:rsidRPr="000A5335" w14:paraId="0193EDB3" w14:textId="5A396B9B" w:rsidTr="00081E30">
        <w:tc>
          <w:tcPr>
            <w:tcW w:w="4788" w:type="dxa"/>
            <w:shd w:val="clear" w:color="auto" w:fill="auto"/>
          </w:tcPr>
          <w:p w14:paraId="47C23C6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7E1FC23" w14:textId="2F3083A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BCE916D" w14:textId="6392BAF5" w:rsidTr="00081E30">
        <w:tc>
          <w:tcPr>
            <w:tcW w:w="4788" w:type="dxa"/>
            <w:shd w:val="clear" w:color="auto" w:fill="auto"/>
          </w:tcPr>
          <w:p w14:paraId="23129AEF"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73.-</w:t>
            </w:r>
            <w:r w:rsidRPr="00081E30">
              <w:rPr>
                <w:rFonts w:ascii="Verdana" w:hAnsi="Verdana"/>
                <w:bCs/>
                <w:sz w:val="16"/>
                <w:szCs w:val="16"/>
              </w:rPr>
              <w:t xml:space="preserve"> Las partes podrán solicitar al Instituto los avalúos a los que se refiere el artículo 104 de la Ley, a través de los medios que establezca el mismo, o en su caso, a instituciones de crédito del país que se encuentren autorizadas, corredores públicos o profesionistas con postgrado en valuación, los cuales deberán estar inscritos en la sección específica del Padrón Nacional de Peritos Valuadores del Instituto, misma que será determinada en colaboración con la Secretaría.</w:t>
            </w:r>
          </w:p>
        </w:tc>
        <w:tc>
          <w:tcPr>
            <w:tcW w:w="4788" w:type="dxa"/>
            <w:shd w:val="clear" w:color="auto" w:fill="auto"/>
          </w:tcPr>
          <w:p w14:paraId="0F1B2698" w14:textId="5A32B044"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73.-</w:t>
            </w:r>
            <w:r w:rsidRPr="00081E30">
              <w:rPr>
                <w:rFonts w:ascii="Verdana" w:hAnsi="Verdana" w:cs="Times New Roman"/>
                <w:bCs/>
                <w:sz w:val="16"/>
                <w:szCs w:val="16"/>
                <w:lang w:val="en-US"/>
              </w:rPr>
              <w:t xml:space="preserve"> The parties may request from the Institute the appraisals referred to in article 104 of the Law, through the means established by it, or, where appropriate, to credit institutions of the country that are authorized, public brokers or professionals with postgraduate</w:t>
            </w:r>
            <w:r>
              <w:rPr>
                <w:rFonts w:ascii="Verdana" w:hAnsi="Verdana" w:cs="Times New Roman"/>
                <w:bCs/>
                <w:sz w:val="16"/>
                <w:szCs w:val="16"/>
                <w:lang w:val="en-US"/>
              </w:rPr>
              <w:t>s in</w:t>
            </w:r>
            <w:r w:rsidRPr="00081E30">
              <w:rPr>
                <w:rFonts w:ascii="Verdana" w:hAnsi="Verdana" w:cs="Times New Roman"/>
                <w:bCs/>
                <w:sz w:val="16"/>
                <w:szCs w:val="16"/>
                <w:lang w:val="en-US"/>
              </w:rPr>
              <w:t xml:space="preserve"> </w:t>
            </w:r>
            <w:r>
              <w:rPr>
                <w:rFonts w:ascii="Verdana" w:hAnsi="Verdana" w:cs="Times New Roman"/>
                <w:bCs/>
                <w:sz w:val="16"/>
                <w:szCs w:val="16"/>
                <w:lang w:val="en-US"/>
              </w:rPr>
              <w:t>appraisal</w:t>
            </w:r>
            <w:r w:rsidRPr="00081E30">
              <w:rPr>
                <w:rFonts w:ascii="Verdana" w:hAnsi="Verdana" w:cs="Times New Roman"/>
                <w:bCs/>
                <w:sz w:val="16"/>
                <w:szCs w:val="16"/>
                <w:lang w:val="en-US"/>
              </w:rPr>
              <w:t xml:space="preserve">, which must be registered in the specific section of the National Register of Appraisal Experts of the Institute, which will be determined in collaboration with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4E0440E6" w14:textId="1FA443AD" w:rsidTr="00081E30">
        <w:tc>
          <w:tcPr>
            <w:tcW w:w="4788" w:type="dxa"/>
            <w:shd w:val="clear" w:color="auto" w:fill="auto"/>
          </w:tcPr>
          <w:p w14:paraId="5EADD65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BC50EFF" w14:textId="3C702EF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74FF133" w14:textId="51DD53F5" w:rsidTr="00081E30">
        <w:tc>
          <w:tcPr>
            <w:tcW w:w="4788" w:type="dxa"/>
            <w:shd w:val="clear" w:color="auto" w:fill="auto"/>
          </w:tcPr>
          <w:p w14:paraId="143A9AC3"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74.-</w:t>
            </w:r>
            <w:r w:rsidRPr="00081E30">
              <w:rPr>
                <w:rFonts w:ascii="Verdana" w:hAnsi="Verdana"/>
                <w:bCs/>
                <w:sz w:val="16"/>
                <w:szCs w:val="16"/>
              </w:rPr>
              <w:t xml:space="preserve"> Los Asignatarios y Contratistas, en un plazo de quince días hábiles, deberán notificar a la Secretaría y a la Secretaría de Desarrollo Agrario, Territorial y Urbano del inicio de las negociaciones a las que se refiere el artículo 101 de la Ley.</w:t>
            </w:r>
          </w:p>
        </w:tc>
        <w:tc>
          <w:tcPr>
            <w:tcW w:w="4788" w:type="dxa"/>
            <w:shd w:val="clear" w:color="auto" w:fill="auto"/>
          </w:tcPr>
          <w:p w14:paraId="32EAB9A4" w14:textId="60F783E0"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74.-</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and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within a period of fifteen working days, must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of the beginning of the negotiations referred to in article 101 of the Law.</w:t>
            </w:r>
          </w:p>
        </w:tc>
      </w:tr>
      <w:tr w:rsidR="002C5E29" w:rsidRPr="000A5335" w14:paraId="2B6B23EC" w14:textId="71E0A809" w:rsidTr="00081E30">
        <w:tc>
          <w:tcPr>
            <w:tcW w:w="4788" w:type="dxa"/>
            <w:shd w:val="clear" w:color="auto" w:fill="auto"/>
          </w:tcPr>
          <w:p w14:paraId="40E4FA8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29B4AD8" w14:textId="0F81EE9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BEF66D0" w14:textId="2A9317C3" w:rsidTr="00081E30">
        <w:tc>
          <w:tcPr>
            <w:tcW w:w="4788" w:type="dxa"/>
            <w:shd w:val="clear" w:color="auto" w:fill="auto"/>
          </w:tcPr>
          <w:p w14:paraId="484DCE4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A solicitud de cualquiera de las partes y a fin de facilitar el acuerdo a que se refiere el artículo 101 de la Ley, la Secretaría de Desarrollo Agrario, Territorial y Urbano podrá impulsar la negociación para lo cual podrá llevar a cabo lo siguiente:</w:t>
            </w:r>
          </w:p>
        </w:tc>
        <w:tc>
          <w:tcPr>
            <w:tcW w:w="4788" w:type="dxa"/>
            <w:shd w:val="clear" w:color="auto" w:fill="auto"/>
          </w:tcPr>
          <w:p w14:paraId="68035EC4" w14:textId="42E0CBF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At the request of either party and in order to facilitate the agreement referred to in article 101 of the Law,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may promote the negotiation for which it may carry out the following:</w:t>
            </w:r>
          </w:p>
        </w:tc>
      </w:tr>
      <w:tr w:rsidR="002C5E29" w:rsidRPr="000A5335" w14:paraId="1BC3B53B" w14:textId="6457779E" w:rsidTr="00081E30">
        <w:tc>
          <w:tcPr>
            <w:tcW w:w="4788" w:type="dxa"/>
            <w:shd w:val="clear" w:color="auto" w:fill="auto"/>
          </w:tcPr>
          <w:p w14:paraId="5A481E6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94D041" w14:textId="709FBE1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C01F632" w14:textId="0A05F7A7" w:rsidTr="00081E30">
        <w:tc>
          <w:tcPr>
            <w:tcW w:w="4788" w:type="dxa"/>
            <w:shd w:val="clear" w:color="auto" w:fill="auto"/>
          </w:tcPr>
          <w:p w14:paraId="3E0C616A" w14:textId="500EECC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Verificar que en las negociaciones que se realicen estén presentes los representantes o los titulares de los terrenos, bienes o derechos en los que se desarrollará el proyecto, los Asignatarios o Contratistas o sus representantes y, en su caso, los testigos sociales nombrados por la Secretaria;</w:t>
            </w:r>
          </w:p>
        </w:tc>
        <w:tc>
          <w:tcPr>
            <w:tcW w:w="4788" w:type="dxa"/>
            <w:shd w:val="clear" w:color="auto" w:fill="auto"/>
          </w:tcPr>
          <w:p w14:paraId="21FA7153" w14:textId="5C28390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Verify that in the negotiations that are carried out the representatives or the owners of the lands, goods or rights in which the project will be developed,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or their representatives and, where appropriate, the </w:t>
            </w:r>
            <w:r>
              <w:rPr>
                <w:rFonts w:ascii="Verdana" w:hAnsi="Verdana" w:cs="Times New Roman"/>
                <w:bCs/>
                <w:sz w:val="16"/>
                <w:szCs w:val="16"/>
                <w:lang w:val="en-US"/>
              </w:rPr>
              <w:t>partner witnesses</w:t>
            </w:r>
            <w:r w:rsidRPr="00081E30">
              <w:rPr>
                <w:rFonts w:ascii="Verdana" w:hAnsi="Verdana" w:cs="Times New Roman"/>
                <w:bCs/>
                <w:sz w:val="16"/>
                <w:szCs w:val="16"/>
                <w:lang w:val="en-US"/>
              </w:rPr>
              <w:t xml:space="preserve"> appointed by the Secretary;</w:t>
            </w:r>
          </w:p>
        </w:tc>
      </w:tr>
      <w:tr w:rsidR="002C5E29" w:rsidRPr="000A5335" w14:paraId="5751A958" w14:textId="1FDA44B6" w:rsidTr="00081E30">
        <w:tc>
          <w:tcPr>
            <w:tcW w:w="4788" w:type="dxa"/>
            <w:shd w:val="clear" w:color="auto" w:fill="auto"/>
          </w:tcPr>
          <w:p w14:paraId="724EE26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38ABF81" w14:textId="6D04EF2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28339BB" w14:textId="4CE172FB" w:rsidTr="00081E30">
        <w:tc>
          <w:tcPr>
            <w:tcW w:w="4788" w:type="dxa"/>
            <w:shd w:val="clear" w:color="auto" w:fill="auto"/>
          </w:tcPr>
          <w:p w14:paraId="72DA79E5" w14:textId="23F02D4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Verificar que la negociación se desarrolle en condiciones de equidad y que los titulares de los terrenos, bienes o derechos de que se trate cuenten con la asesoría técnica y legal necesaria, para lo cual se podrá sugerir la realización de avalúos y demás información técnica soporte;</w:t>
            </w:r>
          </w:p>
        </w:tc>
        <w:tc>
          <w:tcPr>
            <w:tcW w:w="4788" w:type="dxa"/>
            <w:shd w:val="clear" w:color="auto" w:fill="auto"/>
          </w:tcPr>
          <w:p w14:paraId="0004ED17" w14:textId="1AE85FA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Verify that the negotiation is carried out in fair conditions and that the owners of the lands, goods or rights in question have the necessary technical and legal advice, for which it may be suggested to carry out appraisals and other technical support information;</w:t>
            </w:r>
          </w:p>
        </w:tc>
      </w:tr>
      <w:tr w:rsidR="002C5E29" w:rsidRPr="000A5335" w14:paraId="2BC43B65" w14:textId="58084007" w:rsidTr="00081E30">
        <w:tc>
          <w:tcPr>
            <w:tcW w:w="4788" w:type="dxa"/>
            <w:shd w:val="clear" w:color="auto" w:fill="auto"/>
          </w:tcPr>
          <w:p w14:paraId="3F4A985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F8D40FB" w14:textId="465CC67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C5DDD33" w14:textId="7902CF39" w:rsidTr="00081E30">
        <w:tc>
          <w:tcPr>
            <w:tcW w:w="4788" w:type="dxa"/>
            <w:shd w:val="clear" w:color="auto" w:fill="auto"/>
          </w:tcPr>
          <w:p w14:paraId="22276517" w14:textId="6E0D694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Proponer la celebración de reuniones consecutivas, sugiriendo a las partes la periodicidad que debería existir entre cada una de ellas;</w:t>
            </w:r>
          </w:p>
        </w:tc>
        <w:tc>
          <w:tcPr>
            <w:tcW w:w="4788" w:type="dxa"/>
            <w:shd w:val="clear" w:color="auto" w:fill="auto"/>
          </w:tcPr>
          <w:p w14:paraId="7BD4A913" w14:textId="2E970F19"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Propose the holding of consecutive meetings, suggesting to the parties the periodicity that should exist between each of them;</w:t>
            </w:r>
          </w:p>
        </w:tc>
      </w:tr>
      <w:tr w:rsidR="002C5E29" w:rsidRPr="000A5335" w14:paraId="3269A3D2" w14:textId="28674958" w:rsidTr="00081E30">
        <w:tc>
          <w:tcPr>
            <w:tcW w:w="4788" w:type="dxa"/>
            <w:shd w:val="clear" w:color="auto" w:fill="auto"/>
          </w:tcPr>
          <w:p w14:paraId="17FBD01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D759029" w14:textId="0906E28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AE7E7F5" w14:textId="42282A8B" w:rsidTr="00081E30">
        <w:tc>
          <w:tcPr>
            <w:tcW w:w="4788" w:type="dxa"/>
            <w:shd w:val="clear" w:color="auto" w:fill="auto"/>
          </w:tcPr>
          <w:p w14:paraId="19BE7700" w14:textId="2EE9F625"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Verificar que las propuestas y contrapropuestas estén ajustadas a lo establecido en la Ley, así como a los modelos de contratos a que se refiere el artículo 67 de este Reglamento, y</w:t>
            </w:r>
          </w:p>
        </w:tc>
        <w:tc>
          <w:tcPr>
            <w:tcW w:w="4788" w:type="dxa"/>
            <w:shd w:val="clear" w:color="auto" w:fill="auto"/>
          </w:tcPr>
          <w:p w14:paraId="19F4F270" w14:textId="459E982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Verify that the proposals and counterproposals are in accordance with the provisions of the Law, as well as the contract models referred to in article 67 of </w:t>
            </w:r>
            <w:r>
              <w:rPr>
                <w:rFonts w:ascii="Verdana" w:hAnsi="Verdana" w:cs="Times New Roman"/>
                <w:bCs/>
                <w:sz w:val="16"/>
                <w:szCs w:val="16"/>
                <w:lang w:val="en-US"/>
              </w:rPr>
              <w:t>this Regulation</w:t>
            </w:r>
            <w:r w:rsidRPr="00081E30">
              <w:rPr>
                <w:rFonts w:ascii="Verdana" w:hAnsi="Verdana" w:cs="Times New Roman"/>
                <w:bCs/>
                <w:sz w:val="16"/>
                <w:szCs w:val="16"/>
                <w:lang w:val="en-US"/>
              </w:rPr>
              <w:t>, and</w:t>
            </w:r>
          </w:p>
        </w:tc>
      </w:tr>
      <w:tr w:rsidR="002C5E29" w:rsidRPr="000A5335" w14:paraId="2616E02D" w14:textId="6505614A" w:rsidTr="00081E30">
        <w:tc>
          <w:tcPr>
            <w:tcW w:w="4788" w:type="dxa"/>
            <w:shd w:val="clear" w:color="auto" w:fill="auto"/>
          </w:tcPr>
          <w:p w14:paraId="6DBA7B3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A725357" w14:textId="014DA85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43DA4F0" w14:textId="2EF3E2F5" w:rsidTr="00081E30">
        <w:tc>
          <w:tcPr>
            <w:tcW w:w="4788" w:type="dxa"/>
            <w:shd w:val="clear" w:color="auto" w:fill="auto"/>
          </w:tcPr>
          <w:p w14:paraId="56A2F27E" w14:textId="3EC473B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Asistir a las partes en la elaboración por escrito del acuerdo, de conformidad con los modelos de contratos a que se refiere el artículo 67 de este Reglamento y, en su caso, en la validación del mismo ante la autoridad jurisdiccional que corresponda.</w:t>
            </w:r>
          </w:p>
        </w:tc>
        <w:tc>
          <w:tcPr>
            <w:tcW w:w="4788" w:type="dxa"/>
            <w:shd w:val="clear" w:color="auto" w:fill="auto"/>
          </w:tcPr>
          <w:p w14:paraId="5D56AD3D" w14:textId="710FC75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Assist the parties in preparing the agreement in writing, in accordance with the contract models referred to in article 67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and, where appropriate, in the validation thereof before the appropriate jurisdictional authority.</w:t>
            </w:r>
          </w:p>
        </w:tc>
      </w:tr>
      <w:tr w:rsidR="002C5E29" w:rsidRPr="000A5335" w14:paraId="2E29C521" w14:textId="6140EE00" w:rsidTr="00081E30">
        <w:tc>
          <w:tcPr>
            <w:tcW w:w="4788" w:type="dxa"/>
            <w:shd w:val="clear" w:color="auto" w:fill="auto"/>
          </w:tcPr>
          <w:p w14:paraId="0BED6AE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2F764F9" w14:textId="0562339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2C31C8E" w14:textId="37E9584F" w:rsidTr="00081E30">
        <w:tc>
          <w:tcPr>
            <w:tcW w:w="4788" w:type="dxa"/>
            <w:shd w:val="clear" w:color="auto" w:fill="auto"/>
          </w:tcPr>
          <w:p w14:paraId="137C4DD8"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75.-</w:t>
            </w:r>
            <w:r w:rsidRPr="00081E30">
              <w:rPr>
                <w:rFonts w:ascii="Verdana" w:hAnsi="Verdana"/>
                <w:bCs/>
                <w:sz w:val="16"/>
                <w:szCs w:val="16"/>
              </w:rPr>
              <w:t xml:space="preserve"> Para efectos del artículo 105 de la Ley, el Asignatario o Contratista presentará por escrito ante el órgano jurisdiccional competente y ante la Secretaría de Desarrollo Agrario, Territorial y Urbano, el acuerdo alcanzado a que se refiere dicha disposición, dentro de los treinta días naturales siguientes a que se haya suscrito éste.</w:t>
            </w:r>
          </w:p>
        </w:tc>
        <w:tc>
          <w:tcPr>
            <w:tcW w:w="4788" w:type="dxa"/>
            <w:shd w:val="clear" w:color="auto" w:fill="auto"/>
          </w:tcPr>
          <w:p w14:paraId="0DED9CDA" w14:textId="1C1DECCB"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75.-</w:t>
            </w:r>
            <w:r w:rsidRPr="00081E30">
              <w:rPr>
                <w:rFonts w:ascii="Verdana" w:hAnsi="Verdana" w:cs="Times New Roman"/>
                <w:bCs/>
                <w:sz w:val="16"/>
                <w:szCs w:val="16"/>
                <w:lang w:val="en-US"/>
              </w:rPr>
              <w:t xml:space="preserve"> For the purposes of article 105 of the Law,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submit in writing before the </w:t>
            </w:r>
            <w:r>
              <w:rPr>
                <w:rFonts w:ascii="Verdana" w:hAnsi="Verdana" w:cs="Times New Roman"/>
                <w:bCs/>
                <w:sz w:val="16"/>
                <w:szCs w:val="16"/>
                <w:lang w:val="en-US"/>
              </w:rPr>
              <w:t>appropriate</w:t>
            </w:r>
            <w:r w:rsidRPr="00081E30">
              <w:rPr>
                <w:rFonts w:ascii="Verdana" w:hAnsi="Verdana" w:cs="Times New Roman"/>
                <w:bCs/>
                <w:sz w:val="16"/>
                <w:szCs w:val="16"/>
                <w:lang w:val="en-US"/>
              </w:rPr>
              <w:t xml:space="preserve"> jurisdictional body and before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the agreement reached to which said provision refers, within the thirty calendar days following the subscription.</w:t>
            </w:r>
          </w:p>
        </w:tc>
      </w:tr>
      <w:tr w:rsidR="002C5E29" w:rsidRPr="000A5335" w14:paraId="3F3E0330" w14:textId="6FA71BFA" w:rsidTr="00081E30">
        <w:tc>
          <w:tcPr>
            <w:tcW w:w="4788" w:type="dxa"/>
            <w:shd w:val="clear" w:color="auto" w:fill="auto"/>
          </w:tcPr>
          <w:p w14:paraId="322B393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8E93C47" w14:textId="6F3D025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7DD4FFC" w14:textId="26BA76BE" w:rsidTr="00081E30">
        <w:tc>
          <w:tcPr>
            <w:tcW w:w="4788" w:type="dxa"/>
            <w:shd w:val="clear" w:color="auto" w:fill="auto"/>
          </w:tcPr>
          <w:p w14:paraId="490D21FA"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76.-</w:t>
            </w:r>
            <w:r w:rsidRPr="00081E30">
              <w:rPr>
                <w:rFonts w:ascii="Verdana" w:hAnsi="Verdana"/>
                <w:bCs/>
                <w:sz w:val="16"/>
                <w:szCs w:val="16"/>
              </w:rPr>
              <w:t xml:space="preserve"> La Secretaría de Desarrollo Agrario, Territorial y Urbano emitirá los lineamientos que regularán los procesos de mediación a que se refiere la fracción II del artículo 106 de la Ley, los cuales deberán prever, además de lo establecido en el artículo 107 de la Ley, lo siguiente:</w:t>
            </w:r>
          </w:p>
        </w:tc>
        <w:tc>
          <w:tcPr>
            <w:tcW w:w="4788" w:type="dxa"/>
            <w:shd w:val="clear" w:color="auto" w:fill="auto"/>
          </w:tcPr>
          <w:p w14:paraId="5A6A0FBE" w14:textId="455EDAA0"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76.-</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issue the guidelines that will regulate the mediation processes referred to in section II of article 106 of the Law, which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provide, in addition to what is established in article 107 of the Law, the following:</w:t>
            </w:r>
          </w:p>
        </w:tc>
      </w:tr>
      <w:tr w:rsidR="002C5E29" w:rsidRPr="000A5335" w14:paraId="0D8A1E2E" w14:textId="31EAD91F" w:rsidTr="00081E30">
        <w:tc>
          <w:tcPr>
            <w:tcW w:w="4788" w:type="dxa"/>
            <w:shd w:val="clear" w:color="auto" w:fill="auto"/>
          </w:tcPr>
          <w:p w14:paraId="20523A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9983FB9" w14:textId="2B097B1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559C91C" w14:textId="00D15E4C" w:rsidTr="00081E30">
        <w:tc>
          <w:tcPr>
            <w:tcW w:w="4788" w:type="dxa"/>
            <w:shd w:val="clear" w:color="auto" w:fill="auto"/>
          </w:tcPr>
          <w:p w14:paraId="06B47E31" w14:textId="4E2E839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Los mediadores de la Secretaría de Desarrollo Agrario, Territorial y Urbano tendrán a su cago la substanciación del procedimiento de mediación y presentarán las propuestas correspondientes en términos de las disposiciones jurídicas aplicables;</w:t>
            </w:r>
          </w:p>
        </w:tc>
        <w:tc>
          <w:tcPr>
            <w:tcW w:w="4788" w:type="dxa"/>
            <w:shd w:val="clear" w:color="auto" w:fill="auto"/>
          </w:tcPr>
          <w:p w14:paraId="7B1B4506" w14:textId="3A4FE48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mediators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will be subject to the substantiation of the mediation procedure and will present the corresponding proposals in terms of the applicable legal provisions;</w:t>
            </w:r>
          </w:p>
        </w:tc>
      </w:tr>
      <w:tr w:rsidR="002C5E29" w:rsidRPr="000A5335" w14:paraId="3BD9328A" w14:textId="6033F8F4" w:rsidTr="00081E30">
        <w:tc>
          <w:tcPr>
            <w:tcW w:w="4788" w:type="dxa"/>
            <w:shd w:val="clear" w:color="auto" w:fill="auto"/>
          </w:tcPr>
          <w:p w14:paraId="7085108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4E2A519" w14:textId="6AA25DA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3C00772" w14:textId="45E47E9B" w:rsidTr="00081E30">
        <w:tc>
          <w:tcPr>
            <w:tcW w:w="4788" w:type="dxa"/>
            <w:shd w:val="clear" w:color="auto" w:fill="auto"/>
          </w:tcPr>
          <w:p w14:paraId="1674A3E3" w14:textId="133BE7F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Los mediadores deben notificar a las partes la propuesta de acuerdo para efectos de su formalización o para que se proceda en términos de lo establecido en el artículo 108 de la Ley, y</w:t>
            </w:r>
          </w:p>
        </w:tc>
        <w:tc>
          <w:tcPr>
            <w:tcW w:w="4788" w:type="dxa"/>
            <w:shd w:val="clear" w:color="auto" w:fill="auto"/>
          </w:tcPr>
          <w:p w14:paraId="69D9E7EF" w14:textId="0CE9BA0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mediators must notify the parties of the proposed agreement for the purpose of its formalization or to proceed in accordance with the provisions of article 108 of the Law, and</w:t>
            </w:r>
          </w:p>
        </w:tc>
      </w:tr>
      <w:tr w:rsidR="002C5E29" w:rsidRPr="000A5335" w14:paraId="61AF5757" w14:textId="67A39DAE" w:rsidTr="00081E30">
        <w:tc>
          <w:tcPr>
            <w:tcW w:w="4788" w:type="dxa"/>
            <w:shd w:val="clear" w:color="auto" w:fill="auto"/>
          </w:tcPr>
          <w:p w14:paraId="48EA5AE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E4FE98" w14:textId="2F25056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3C721D" w14:textId="0E07D3A8" w:rsidTr="00081E30">
        <w:tc>
          <w:tcPr>
            <w:tcW w:w="4788" w:type="dxa"/>
            <w:shd w:val="clear" w:color="auto" w:fill="auto"/>
          </w:tcPr>
          <w:p w14:paraId="1EB6A09D" w14:textId="32B18BB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Secretaría de Desarrollo Agrario, Territorial y Urbano notificará a la Secretaría el resultado de la mediación para los efectos procedentes dentro de los diez días hábiles siguientes al que haya concluido el proceso de mediación.</w:t>
            </w:r>
          </w:p>
        </w:tc>
        <w:tc>
          <w:tcPr>
            <w:tcW w:w="4788" w:type="dxa"/>
            <w:shd w:val="clear" w:color="auto" w:fill="auto"/>
          </w:tcPr>
          <w:p w14:paraId="5D4F7D9D" w14:textId="651E4B5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will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the result of the mediation for the effects coming within ten business days following the conclusion of the mediation process.</w:t>
            </w:r>
          </w:p>
        </w:tc>
      </w:tr>
      <w:tr w:rsidR="002C5E29" w:rsidRPr="000A5335" w14:paraId="726BA049" w14:textId="4D92E8F8" w:rsidTr="00081E30">
        <w:tc>
          <w:tcPr>
            <w:tcW w:w="4788" w:type="dxa"/>
            <w:shd w:val="clear" w:color="auto" w:fill="auto"/>
          </w:tcPr>
          <w:p w14:paraId="2CF29C8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8005261" w14:textId="39DB745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ACDE9F5" w14:textId="5F65165F" w:rsidTr="00081E30">
        <w:tc>
          <w:tcPr>
            <w:tcW w:w="4788" w:type="dxa"/>
            <w:shd w:val="clear" w:color="auto" w:fill="auto"/>
          </w:tcPr>
          <w:p w14:paraId="25F10808"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77.-</w:t>
            </w:r>
            <w:r w:rsidRPr="00081E30">
              <w:rPr>
                <w:rFonts w:ascii="Verdana" w:hAnsi="Verdana"/>
                <w:bCs/>
                <w:sz w:val="16"/>
                <w:szCs w:val="16"/>
              </w:rPr>
              <w:t xml:space="preserve"> La solicitud que realice la Secretaría a la Secretaría de Desarrollo Agrario, Territorial y Urbano en términos del artículo 108 de la Ley se regirá conforme a los lineamientos que para tal efecto emita la Secretaría de Desarrollo Agrario, Territorial y Urbano, los cuales deberán observar además de lo previsto en el artículo 109 de la Ley, por lo menos lo siguiente:</w:t>
            </w:r>
          </w:p>
        </w:tc>
        <w:tc>
          <w:tcPr>
            <w:tcW w:w="4788" w:type="dxa"/>
            <w:shd w:val="clear" w:color="auto" w:fill="auto"/>
          </w:tcPr>
          <w:p w14:paraId="44183120" w14:textId="13C5811A"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77.-</w:t>
            </w:r>
            <w:r w:rsidRPr="00081E30">
              <w:rPr>
                <w:rFonts w:ascii="Verdana" w:hAnsi="Verdana" w:cs="Times New Roman"/>
                <w:bCs/>
                <w:sz w:val="16"/>
                <w:szCs w:val="16"/>
                <w:lang w:val="en-US"/>
              </w:rPr>
              <w:t xml:space="preserve"> The request made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in terms of article 108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governed in accordance with the guidelines issued for this purpose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which must observe in addition to the provisions of article 109 of the Law, at least the following:</w:t>
            </w:r>
          </w:p>
        </w:tc>
      </w:tr>
      <w:tr w:rsidR="002C5E29" w:rsidRPr="000A5335" w14:paraId="4D202995" w14:textId="6F2160B4" w:rsidTr="00081E30">
        <w:tc>
          <w:tcPr>
            <w:tcW w:w="4788" w:type="dxa"/>
            <w:shd w:val="clear" w:color="auto" w:fill="auto"/>
          </w:tcPr>
          <w:p w14:paraId="389527A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E87CF8D" w14:textId="2F619B0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4D8D280" w14:textId="6B323F4B" w:rsidTr="00081E30">
        <w:tc>
          <w:tcPr>
            <w:tcW w:w="4788" w:type="dxa"/>
            <w:shd w:val="clear" w:color="auto" w:fill="auto"/>
          </w:tcPr>
          <w:p w14:paraId="65E81E21" w14:textId="29DF72F6"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En un plazo de quince días hábiles, contado a partir de la solicitud de la Secretaría, la Secretaría de Desarrollo Agrario, Territorial y Urbano emitirá un dictamen preliminar sobre la procedencia de decretar la servidumbre legal de hidrocarburos, debiendo notificarlo de inmediato a la Secretaría, al Asignatario o Contratista y al titular de la tierra, bien o derecho de que se trate, para que en el plazo de diez días hábiles contado a partir de la fecha de la notificación del dictamen preliminar manifiesten lo que a su derecho corresponda;</w:t>
            </w:r>
          </w:p>
        </w:tc>
        <w:tc>
          <w:tcPr>
            <w:tcW w:w="4788" w:type="dxa"/>
            <w:shd w:val="clear" w:color="auto" w:fill="auto"/>
          </w:tcPr>
          <w:p w14:paraId="01B30FD2" w14:textId="52FF791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Within fifteen business days, counted from the request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will issue a preliminary ruling on the origin of decreeing the legal easement of hydrocarbons, and must immediately notify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or </w:t>
            </w:r>
            <w:r>
              <w:rPr>
                <w:rFonts w:ascii="Verdana" w:hAnsi="Verdana" w:cs="Times New Roman"/>
                <w:bCs/>
                <w:sz w:val="16"/>
                <w:szCs w:val="16"/>
                <w:lang w:val="en-US"/>
              </w:rPr>
              <w:t>c</w:t>
            </w:r>
            <w:r w:rsidRPr="00081E30">
              <w:rPr>
                <w:rFonts w:ascii="Verdana" w:hAnsi="Verdana" w:cs="Times New Roman"/>
                <w:bCs/>
                <w:sz w:val="16"/>
                <w:szCs w:val="16"/>
                <w:lang w:val="en-US"/>
              </w:rPr>
              <w:t>ontractor and the owner of the land, good or right in question, so that within ten working days from the date of notification of the preliminary ruling they state what corresponds to their right;</w:t>
            </w:r>
          </w:p>
        </w:tc>
      </w:tr>
      <w:tr w:rsidR="002C5E29" w:rsidRPr="000A5335" w14:paraId="505A08A8" w14:textId="4D728A3C" w:rsidTr="00081E30">
        <w:tc>
          <w:tcPr>
            <w:tcW w:w="4788" w:type="dxa"/>
            <w:shd w:val="clear" w:color="auto" w:fill="auto"/>
          </w:tcPr>
          <w:p w14:paraId="5D102B4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E2DFA50" w14:textId="59BC1F4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3895A9" w14:textId="04E8A9BB" w:rsidTr="00081E30">
        <w:tc>
          <w:tcPr>
            <w:tcW w:w="4788" w:type="dxa"/>
            <w:shd w:val="clear" w:color="auto" w:fill="auto"/>
          </w:tcPr>
          <w:p w14:paraId="290AED26" w14:textId="27C2D87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Mientras se substancia el procedimiento de servidumbre legal de Hidrocarburos y hasta en tanto se dicte la resolución definitiva, si las partes llegaren a un acuerdo definitivo en términos de las disposiciones jurídicas aplicables, la solicitud de la Secretaría quedará sin efectos, y</w:t>
            </w:r>
          </w:p>
        </w:tc>
        <w:tc>
          <w:tcPr>
            <w:tcW w:w="4788" w:type="dxa"/>
            <w:shd w:val="clear" w:color="auto" w:fill="auto"/>
          </w:tcPr>
          <w:p w14:paraId="6CC4162A" w14:textId="0D8BAA36"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While the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 legal easement procedure is substantiated and until the final resolution is issued, if the parties reach a definitive agreement in terms of the applicable legal provisions, the request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void, and</w:t>
            </w:r>
          </w:p>
        </w:tc>
      </w:tr>
      <w:tr w:rsidR="002C5E29" w:rsidRPr="000A5335" w14:paraId="37F3E94B" w14:textId="3993420B" w:rsidTr="00081E30">
        <w:tc>
          <w:tcPr>
            <w:tcW w:w="4788" w:type="dxa"/>
            <w:shd w:val="clear" w:color="auto" w:fill="auto"/>
          </w:tcPr>
          <w:p w14:paraId="4CD2397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1597257" w14:textId="645D805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D48DA9B" w14:textId="3F846559" w:rsidTr="00081E30">
        <w:tc>
          <w:tcPr>
            <w:tcW w:w="4788" w:type="dxa"/>
            <w:shd w:val="clear" w:color="auto" w:fill="auto"/>
          </w:tcPr>
          <w:p w14:paraId="2349B246" w14:textId="000F1BB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Transcurrido el plazo para que los interesados manifiesten lo que a su derecho convenga la Secretaría de Desarrollo Agrario, Territorial y Urbano contará con un plazo de quince días hábiles para emitir el dictamen definitivo sobre las condiciones en que deberá </w:t>
            </w:r>
            <w:r w:rsidRPr="00081E30">
              <w:rPr>
                <w:rFonts w:ascii="Verdana" w:hAnsi="Verdana"/>
                <w:bCs/>
                <w:sz w:val="16"/>
                <w:szCs w:val="16"/>
              </w:rPr>
              <w:lastRenderedPageBreak/>
              <w:t>constituirse la servidumbre legal de Hidrocarburos por vía administrativa.</w:t>
            </w:r>
          </w:p>
        </w:tc>
        <w:tc>
          <w:tcPr>
            <w:tcW w:w="4788" w:type="dxa"/>
            <w:shd w:val="clear" w:color="auto" w:fill="auto"/>
          </w:tcPr>
          <w:p w14:paraId="5530D6D4" w14:textId="34ACD10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lastRenderedPageBreak/>
              <w:t>III.</w:t>
            </w:r>
            <w:r w:rsidRPr="00081E30">
              <w:rPr>
                <w:rFonts w:ascii="Verdana" w:hAnsi="Verdana" w:cs="Times New Roman"/>
                <w:bCs/>
                <w:sz w:val="16"/>
                <w:szCs w:val="16"/>
                <w:lang w:val="en-US"/>
              </w:rPr>
              <w:t xml:space="preserve"> After the deadline for interested parties to express what is </w:t>
            </w:r>
            <w:r>
              <w:rPr>
                <w:rFonts w:ascii="Verdana" w:hAnsi="Verdana" w:cs="Times New Roman"/>
                <w:bCs/>
                <w:sz w:val="16"/>
                <w:szCs w:val="16"/>
                <w:lang w:val="en-US"/>
              </w:rPr>
              <w:t xml:space="preserve">within their rights, </w:t>
            </w: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w:t>
            </w:r>
            <w:r>
              <w:rPr>
                <w:rFonts w:ascii="Verdana" w:hAnsi="Verdana" w:cs="Times New Roman"/>
                <w:bCs/>
                <w:sz w:val="16"/>
                <w:szCs w:val="16"/>
                <w:lang w:val="en-US"/>
              </w:rPr>
              <w:t xml:space="preserve"> </w:t>
            </w:r>
            <w:r w:rsidRPr="00081E30">
              <w:rPr>
                <w:rFonts w:ascii="Verdana" w:hAnsi="Verdana" w:cs="Times New Roman"/>
                <w:bCs/>
                <w:sz w:val="16"/>
                <w:szCs w:val="16"/>
                <w:lang w:val="en-US"/>
              </w:rPr>
              <w:t xml:space="preserve">will have a period of fifteen working days to issue the final opinion on the conditions under which the legal easement of </w:t>
            </w:r>
            <w:r>
              <w:rPr>
                <w:rFonts w:ascii="Verdana" w:hAnsi="Verdana" w:cs="Times New Roman"/>
                <w:bCs/>
                <w:sz w:val="16"/>
                <w:szCs w:val="16"/>
                <w:lang w:val="en-US"/>
              </w:rPr>
              <w:lastRenderedPageBreak/>
              <w:t>h</w:t>
            </w:r>
            <w:r w:rsidRPr="00081E30">
              <w:rPr>
                <w:rFonts w:ascii="Verdana" w:hAnsi="Verdana" w:cs="Times New Roman"/>
                <w:bCs/>
                <w:sz w:val="16"/>
                <w:szCs w:val="16"/>
                <w:lang w:val="en-US"/>
              </w:rPr>
              <w:t xml:space="preserve">ydrocarbons must be constituted </w:t>
            </w:r>
            <w:r>
              <w:rPr>
                <w:rFonts w:ascii="Verdana" w:hAnsi="Verdana" w:cs="Times New Roman"/>
                <w:bCs/>
                <w:sz w:val="16"/>
                <w:szCs w:val="16"/>
                <w:lang w:val="en-US"/>
              </w:rPr>
              <w:t xml:space="preserve">by </w:t>
            </w:r>
            <w:r w:rsidRPr="00081E30">
              <w:rPr>
                <w:rFonts w:ascii="Verdana" w:hAnsi="Verdana" w:cs="Times New Roman"/>
                <w:bCs/>
                <w:sz w:val="16"/>
                <w:szCs w:val="16"/>
                <w:lang w:val="en-US"/>
              </w:rPr>
              <w:t>administrative</w:t>
            </w:r>
            <w:r>
              <w:rPr>
                <w:rFonts w:ascii="Verdana" w:hAnsi="Verdana" w:cs="Times New Roman"/>
                <w:bCs/>
                <w:sz w:val="16"/>
                <w:szCs w:val="16"/>
                <w:lang w:val="en-US"/>
              </w:rPr>
              <w:t xml:space="preserve"> procedure. </w:t>
            </w:r>
          </w:p>
        </w:tc>
      </w:tr>
      <w:tr w:rsidR="002C5E29" w:rsidRPr="000A5335" w14:paraId="7FA40D77" w14:textId="4DAE7881" w:rsidTr="00081E30">
        <w:tc>
          <w:tcPr>
            <w:tcW w:w="4788" w:type="dxa"/>
            <w:shd w:val="clear" w:color="auto" w:fill="auto"/>
          </w:tcPr>
          <w:p w14:paraId="4EF7487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951BF83" w14:textId="378D105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F5F00A2" w14:textId="102CC57B" w:rsidTr="00081E30">
        <w:tc>
          <w:tcPr>
            <w:tcW w:w="4788" w:type="dxa"/>
            <w:shd w:val="clear" w:color="auto" w:fill="auto"/>
          </w:tcPr>
          <w:p w14:paraId="53A58152"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 dispuesto en el presente Capítulo será aplicable para actividades de transporte por medio de ductos y Reconocimiento y Exploración Superficial, salvo la constitución de servidumbres legales.</w:t>
            </w:r>
          </w:p>
        </w:tc>
        <w:tc>
          <w:tcPr>
            <w:tcW w:w="4788" w:type="dxa"/>
            <w:shd w:val="clear" w:color="auto" w:fill="auto"/>
          </w:tcPr>
          <w:p w14:paraId="20A0BEB3" w14:textId="7AD0A9C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provisions of this Chapter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apply to transport activities through pipelines and surface recognition and exploration, except for the constitution of legal easements.</w:t>
            </w:r>
          </w:p>
        </w:tc>
      </w:tr>
      <w:tr w:rsidR="002C5E29" w:rsidRPr="000A5335" w14:paraId="2801E849" w14:textId="51C0A9A6" w:rsidTr="00081E30">
        <w:tc>
          <w:tcPr>
            <w:tcW w:w="4788" w:type="dxa"/>
            <w:shd w:val="clear" w:color="auto" w:fill="auto"/>
          </w:tcPr>
          <w:p w14:paraId="4AA7F229" w14:textId="77777777" w:rsidR="002C5E29" w:rsidRPr="00081E30" w:rsidRDefault="002C5E29" w:rsidP="002C5E29">
            <w:pPr>
              <w:pStyle w:val="Texto"/>
              <w:spacing w:after="0" w:line="240" w:lineRule="auto"/>
              <w:ind w:firstLine="0"/>
              <w:rPr>
                <w:rFonts w:ascii="Verdana" w:hAnsi="Verdana"/>
                <w:bCs/>
                <w:strike/>
                <w:sz w:val="16"/>
                <w:szCs w:val="16"/>
                <w:lang w:val="en-US"/>
              </w:rPr>
            </w:pPr>
          </w:p>
        </w:tc>
        <w:tc>
          <w:tcPr>
            <w:tcW w:w="4788" w:type="dxa"/>
            <w:shd w:val="clear" w:color="auto" w:fill="auto"/>
          </w:tcPr>
          <w:p w14:paraId="6739303A" w14:textId="5500C3CC" w:rsidR="002C5E29" w:rsidRPr="00081E30" w:rsidRDefault="002C5E29" w:rsidP="002C5E29">
            <w:pPr>
              <w:pStyle w:val="Texto"/>
              <w:spacing w:after="0" w:line="240" w:lineRule="auto"/>
              <w:ind w:firstLine="0"/>
              <w:rPr>
                <w:rFonts w:ascii="Verdana" w:hAnsi="Verdana"/>
                <w:bCs/>
                <w:strike/>
                <w:sz w:val="16"/>
                <w:szCs w:val="16"/>
                <w:lang w:val="en-US"/>
              </w:rPr>
            </w:pPr>
            <w:r w:rsidRPr="00081E30">
              <w:rPr>
                <w:rFonts w:ascii="Verdana" w:hAnsi="Verdana" w:cs="Times New Roman"/>
                <w:bCs/>
                <w:sz w:val="16"/>
                <w:szCs w:val="16"/>
                <w:lang w:val="en-US"/>
              </w:rPr>
              <w:t> </w:t>
            </w:r>
          </w:p>
        </w:tc>
      </w:tr>
      <w:tr w:rsidR="002C5E29" w:rsidRPr="003C1F6B" w14:paraId="62C49923" w14:textId="17FC02A1" w:rsidTr="00081E30">
        <w:tc>
          <w:tcPr>
            <w:tcW w:w="4788" w:type="dxa"/>
            <w:shd w:val="clear" w:color="auto" w:fill="auto"/>
          </w:tcPr>
          <w:p w14:paraId="6C3906BE" w14:textId="77777777" w:rsidR="002C5E29" w:rsidRPr="004F6EDA" w:rsidRDefault="002C5E29" w:rsidP="002C5E29">
            <w:pPr>
              <w:pStyle w:val="ANOTACION"/>
              <w:spacing w:before="0" w:after="0" w:line="240" w:lineRule="auto"/>
              <w:rPr>
                <w:rFonts w:ascii="Verdana" w:hAnsi="Verdana" w:cs="Arial"/>
                <w:sz w:val="16"/>
                <w:szCs w:val="16"/>
              </w:rPr>
            </w:pPr>
            <w:r w:rsidRPr="004F6EDA">
              <w:rPr>
                <w:rFonts w:ascii="Verdana" w:hAnsi="Verdana" w:cs="Arial"/>
                <w:sz w:val="16"/>
                <w:szCs w:val="16"/>
              </w:rPr>
              <w:t>Capítulo IV</w:t>
            </w:r>
          </w:p>
        </w:tc>
        <w:tc>
          <w:tcPr>
            <w:tcW w:w="4788" w:type="dxa"/>
            <w:shd w:val="clear" w:color="auto" w:fill="auto"/>
          </w:tcPr>
          <w:p w14:paraId="39FDA0FF" w14:textId="1964487F" w:rsidR="002C5E29" w:rsidRPr="004F6EDA" w:rsidRDefault="002C5E29" w:rsidP="002C5E29">
            <w:pPr>
              <w:pStyle w:val="ANOTACION"/>
              <w:spacing w:before="0" w:after="0" w:line="240" w:lineRule="auto"/>
              <w:rPr>
                <w:rFonts w:ascii="Verdana" w:hAnsi="Verdana" w:cs="Arial"/>
                <w:sz w:val="16"/>
                <w:szCs w:val="16"/>
                <w:lang w:val="en-US"/>
              </w:rPr>
            </w:pPr>
            <w:r w:rsidRPr="004F6EDA">
              <w:rPr>
                <w:rFonts w:ascii="Verdana" w:hAnsi="Verdana"/>
                <w:sz w:val="16"/>
                <w:szCs w:val="16"/>
                <w:lang w:val="en-US"/>
              </w:rPr>
              <w:t>Chapter IV</w:t>
            </w:r>
          </w:p>
        </w:tc>
      </w:tr>
      <w:tr w:rsidR="002C5E29" w:rsidRPr="000A5335" w14:paraId="7C44C7D6" w14:textId="52162D8E" w:rsidTr="00081E30">
        <w:tc>
          <w:tcPr>
            <w:tcW w:w="4788" w:type="dxa"/>
            <w:shd w:val="clear" w:color="auto" w:fill="auto"/>
          </w:tcPr>
          <w:p w14:paraId="2B33C622" w14:textId="77777777" w:rsidR="002C5E29" w:rsidRPr="004F6EDA" w:rsidRDefault="002C5E29" w:rsidP="002C5E29">
            <w:pPr>
              <w:pStyle w:val="ANOTACION"/>
              <w:spacing w:before="0" w:after="0" w:line="240" w:lineRule="auto"/>
              <w:rPr>
                <w:rFonts w:ascii="Verdana" w:hAnsi="Verdana" w:cs="Arial"/>
                <w:sz w:val="16"/>
                <w:szCs w:val="16"/>
              </w:rPr>
            </w:pPr>
            <w:r w:rsidRPr="004F6EDA">
              <w:rPr>
                <w:rFonts w:ascii="Verdana" w:hAnsi="Verdana" w:cs="Arial"/>
                <w:sz w:val="16"/>
                <w:szCs w:val="16"/>
              </w:rPr>
              <w:t>De la Evaluación de Impacto Social y la Consulta Previa</w:t>
            </w:r>
          </w:p>
        </w:tc>
        <w:tc>
          <w:tcPr>
            <w:tcW w:w="4788" w:type="dxa"/>
            <w:shd w:val="clear" w:color="auto" w:fill="auto"/>
          </w:tcPr>
          <w:p w14:paraId="37DE6F09" w14:textId="0FC07796" w:rsidR="002C5E29" w:rsidRPr="004F6EDA"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 Evaluation of Social Impact and prior consultation</w:t>
            </w:r>
          </w:p>
        </w:tc>
      </w:tr>
      <w:tr w:rsidR="002C5E29" w:rsidRPr="000A5335" w14:paraId="7B9751F4" w14:textId="6B568CED" w:rsidTr="00081E30">
        <w:tc>
          <w:tcPr>
            <w:tcW w:w="4788" w:type="dxa"/>
            <w:shd w:val="clear" w:color="auto" w:fill="auto"/>
          </w:tcPr>
          <w:p w14:paraId="75B35380" w14:textId="77777777" w:rsidR="002C5E29" w:rsidRPr="004F6EDA" w:rsidRDefault="002C5E29" w:rsidP="002C5E29">
            <w:pPr>
              <w:pStyle w:val="ANOTACION"/>
              <w:spacing w:before="0" w:after="0" w:line="240" w:lineRule="auto"/>
              <w:rPr>
                <w:rFonts w:ascii="Verdana" w:hAnsi="Verdana" w:cs="Arial"/>
                <w:sz w:val="16"/>
                <w:szCs w:val="16"/>
                <w:lang w:val="en-US"/>
              </w:rPr>
            </w:pPr>
          </w:p>
        </w:tc>
        <w:tc>
          <w:tcPr>
            <w:tcW w:w="4788" w:type="dxa"/>
            <w:shd w:val="clear" w:color="auto" w:fill="auto"/>
          </w:tcPr>
          <w:p w14:paraId="72694613" w14:textId="5DA22093" w:rsidR="002C5E29" w:rsidRPr="004F6EDA" w:rsidRDefault="002C5E29" w:rsidP="002C5E29">
            <w:pPr>
              <w:pStyle w:val="ANOTACION"/>
              <w:spacing w:before="0" w:after="0" w:line="240" w:lineRule="auto"/>
              <w:rPr>
                <w:rFonts w:ascii="Verdana" w:hAnsi="Verdana" w:cs="Arial"/>
                <w:sz w:val="16"/>
                <w:szCs w:val="16"/>
                <w:lang w:val="en-US"/>
              </w:rPr>
            </w:pPr>
            <w:r w:rsidRPr="004F6EDA">
              <w:rPr>
                <w:rFonts w:ascii="Verdana" w:hAnsi="Verdana"/>
                <w:sz w:val="16"/>
                <w:szCs w:val="16"/>
                <w:lang w:val="en-US"/>
              </w:rPr>
              <w:t> </w:t>
            </w:r>
          </w:p>
        </w:tc>
      </w:tr>
      <w:tr w:rsidR="002C5E29" w:rsidRPr="003C1F6B" w14:paraId="057AEC9E" w14:textId="4BB228FC" w:rsidTr="00081E30">
        <w:tc>
          <w:tcPr>
            <w:tcW w:w="4788" w:type="dxa"/>
            <w:shd w:val="clear" w:color="auto" w:fill="auto"/>
          </w:tcPr>
          <w:p w14:paraId="772FF29A" w14:textId="77777777" w:rsidR="002C5E29" w:rsidRPr="004F6EDA" w:rsidRDefault="002C5E29" w:rsidP="002C5E29">
            <w:pPr>
              <w:pStyle w:val="ANOTACION"/>
              <w:spacing w:before="0" w:after="0" w:line="240" w:lineRule="auto"/>
              <w:rPr>
                <w:rFonts w:ascii="Verdana" w:hAnsi="Verdana" w:cs="Arial"/>
                <w:sz w:val="16"/>
                <w:szCs w:val="16"/>
              </w:rPr>
            </w:pPr>
            <w:r w:rsidRPr="004F6EDA">
              <w:rPr>
                <w:rFonts w:ascii="Verdana" w:hAnsi="Verdana" w:cs="Arial"/>
                <w:sz w:val="16"/>
                <w:szCs w:val="16"/>
              </w:rPr>
              <w:t>Sección Primera</w:t>
            </w:r>
          </w:p>
        </w:tc>
        <w:tc>
          <w:tcPr>
            <w:tcW w:w="4788" w:type="dxa"/>
            <w:shd w:val="clear" w:color="auto" w:fill="auto"/>
          </w:tcPr>
          <w:p w14:paraId="0CDB1C8C" w14:textId="2FC8915A" w:rsidR="002C5E29" w:rsidRPr="004F6EDA" w:rsidRDefault="002C5E29" w:rsidP="002C5E29">
            <w:pPr>
              <w:pStyle w:val="ANOTACION"/>
              <w:spacing w:before="0" w:after="0" w:line="240" w:lineRule="auto"/>
              <w:rPr>
                <w:rFonts w:ascii="Verdana" w:hAnsi="Verdana" w:cs="Arial"/>
                <w:sz w:val="16"/>
                <w:szCs w:val="16"/>
                <w:lang w:val="en-US"/>
              </w:rPr>
            </w:pPr>
            <w:r w:rsidRPr="004F6EDA">
              <w:rPr>
                <w:rFonts w:ascii="Verdana" w:hAnsi="Verdana"/>
                <w:sz w:val="16"/>
                <w:szCs w:val="16"/>
                <w:lang w:val="en-US"/>
              </w:rPr>
              <w:t>First Section</w:t>
            </w:r>
          </w:p>
        </w:tc>
      </w:tr>
      <w:tr w:rsidR="002C5E29" w:rsidRPr="000A5335" w14:paraId="01083C2B" w14:textId="4CE2E7E6" w:rsidTr="00081E30">
        <w:tc>
          <w:tcPr>
            <w:tcW w:w="4788" w:type="dxa"/>
            <w:shd w:val="clear" w:color="auto" w:fill="auto"/>
          </w:tcPr>
          <w:p w14:paraId="57D427D0" w14:textId="77777777" w:rsidR="002C5E29" w:rsidRPr="004F6EDA" w:rsidRDefault="002C5E29" w:rsidP="002C5E29">
            <w:pPr>
              <w:pStyle w:val="ANOTACION"/>
              <w:spacing w:before="0" w:after="0" w:line="240" w:lineRule="auto"/>
              <w:rPr>
                <w:rFonts w:ascii="Verdana" w:hAnsi="Verdana" w:cs="Arial"/>
                <w:sz w:val="16"/>
                <w:szCs w:val="16"/>
              </w:rPr>
            </w:pPr>
            <w:r w:rsidRPr="004F6EDA">
              <w:rPr>
                <w:rFonts w:ascii="Verdana" w:hAnsi="Verdana" w:cs="Arial"/>
                <w:sz w:val="16"/>
                <w:szCs w:val="16"/>
              </w:rPr>
              <w:t>De la Evaluación de Impacto Social</w:t>
            </w:r>
          </w:p>
        </w:tc>
        <w:tc>
          <w:tcPr>
            <w:tcW w:w="4788" w:type="dxa"/>
            <w:shd w:val="clear" w:color="auto" w:fill="auto"/>
          </w:tcPr>
          <w:p w14:paraId="37E72F82" w14:textId="790ED054" w:rsidR="002C5E29" w:rsidRPr="004F6EDA"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The Evaluation of Social Impact</w:t>
            </w:r>
          </w:p>
        </w:tc>
      </w:tr>
      <w:tr w:rsidR="002C5E29" w:rsidRPr="000A5335" w14:paraId="72068994" w14:textId="3B16569C" w:rsidTr="00081E30">
        <w:tc>
          <w:tcPr>
            <w:tcW w:w="4788" w:type="dxa"/>
            <w:shd w:val="clear" w:color="auto" w:fill="auto"/>
          </w:tcPr>
          <w:p w14:paraId="33F8FCC9"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630563FB" w14:textId="2211BB0C"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E3A94FB" w14:textId="60D96EB2" w:rsidTr="00081E30">
        <w:tc>
          <w:tcPr>
            <w:tcW w:w="4788" w:type="dxa"/>
            <w:shd w:val="clear" w:color="auto" w:fill="auto"/>
          </w:tcPr>
          <w:p w14:paraId="7FD8E0F2"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78.-</w:t>
            </w:r>
            <w:r w:rsidRPr="00081E30">
              <w:rPr>
                <w:rFonts w:ascii="Verdana" w:hAnsi="Verdana"/>
                <w:bCs/>
                <w:sz w:val="16"/>
                <w:szCs w:val="16"/>
              </w:rPr>
              <w:t xml:space="preserve"> La Secretaría realizará, en coordinación con la Secretaría de Gobernación y demás dependencias y entidades de la Administración Pública Federal competentes, el estudio de impacto social a que hace referencia el artículo 119 de la Ley. No podrá otorgarse una Asignación o publicarse una convocatoria para la licitación de un Contrato para la Exploración y Extracción sin que se cuente con el estudio referido.</w:t>
            </w:r>
          </w:p>
        </w:tc>
        <w:tc>
          <w:tcPr>
            <w:tcW w:w="4788" w:type="dxa"/>
            <w:shd w:val="clear" w:color="auto" w:fill="auto"/>
          </w:tcPr>
          <w:p w14:paraId="10788CB1" w14:textId="7294DD85"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78.-</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carry out, in coordination with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the Interior and other </w:t>
            </w:r>
            <w:r>
              <w:rPr>
                <w:rFonts w:ascii="Verdana" w:hAnsi="Verdana" w:cs="Times New Roman"/>
                <w:bCs/>
                <w:sz w:val="16"/>
                <w:szCs w:val="16"/>
                <w:lang w:val="en-US"/>
              </w:rPr>
              <w:t>appropriate</w:t>
            </w:r>
            <w:r w:rsidRPr="00081E30">
              <w:rPr>
                <w:rFonts w:ascii="Verdana" w:hAnsi="Verdana" w:cs="Times New Roman"/>
                <w:bCs/>
                <w:sz w:val="16"/>
                <w:szCs w:val="16"/>
                <w:lang w:val="en-US"/>
              </w:rPr>
              <w:t xml:space="preserve"> agencies and entities of the Federal Public Administration, the social impact study referred to in article 119 of the Law.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may not be granted or a call for </w:t>
            </w:r>
            <w:r>
              <w:rPr>
                <w:rFonts w:ascii="Verdana" w:hAnsi="Verdana" w:cs="Times New Roman"/>
                <w:bCs/>
                <w:sz w:val="16"/>
                <w:szCs w:val="16"/>
                <w:lang w:val="en-US"/>
              </w:rPr>
              <w:t>bidding be published</w:t>
            </w:r>
            <w:r w:rsidRPr="00081E30">
              <w:rPr>
                <w:rFonts w:ascii="Verdana" w:hAnsi="Verdana" w:cs="Times New Roman"/>
                <w:bCs/>
                <w:sz w:val="16"/>
                <w:szCs w:val="16"/>
                <w:lang w:val="en-US"/>
              </w:rPr>
              <w:t xml:space="preserve"> of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without the referred to study.</w:t>
            </w:r>
          </w:p>
        </w:tc>
      </w:tr>
      <w:tr w:rsidR="002C5E29" w:rsidRPr="000A5335" w14:paraId="01DEE064" w14:textId="7BBA1699" w:rsidTr="00081E30">
        <w:tc>
          <w:tcPr>
            <w:tcW w:w="4788" w:type="dxa"/>
            <w:shd w:val="clear" w:color="auto" w:fill="auto"/>
          </w:tcPr>
          <w:p w14:paraId="68723EC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D01E38B" w14:textId="76DAA4A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15EBCDC" w14:textId="3C831DFE" w:rsidTr="00081E30">
        <w:tc>
          <w:tcPr>
            <w:tcW w:w="4788" w:type="dxa"/>
            <w:shd w:val="clear" w:color="auto" w:fill="auto"/>
          </w:tcPr>
          <w:p w14:paraId="5E53011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estudio de impacto social contendrá, sobre las Áreas de Asignación o Áreas Contractuales, al menos lo siguiente:</w:t>
            </w:r>
          </w:p>
        </w:tc>
        <w:tc>
          <w:tcPr>
            <w:tcW w:w="4788" w:type="dxa"/>
            <w:shd w:val="clear" w:color="auto" w:fill="auto"/>
          </w:tcPr>
          <w:p w14:paraId="0D227297" w14:textId="242E852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social impact study will contain, at least, the following:</w:t>
            </w:r>
            <w:r>
              <w:rPr>
                <w:rFonts w:ascii="Verdana" w:hAnsi="Verdana" w:cs="Times New Roman"/>
                <w:bCs/>
                <w:sz w:val="16"/>
                <w:szCs w:val="16"/>
                <w:lang w:val="en-US"/>
              </w:rPr>
              <w:t xml:space="preserve"> </w:t>
            </w:r>
          </w:p>
        </w:tc>
      </w:tr>
      <w:tr w:rsidR="002C5E29" w:rsidRPr="000A5335" w14:paraId="3DF48B2E" w14:textId="7D92D21C" w:rsidTr="00081E30">
        <w:tc>
          <w:tcPr>
            <w:tcW w:w="4788" w:type="dxa"/>
            <w:shd w:val="clear" w:color="auto" w:fill="auto"/>
          </w:tcPr>
          <w:p w14:paraId="1A80100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493726A" w14:textId="2B0D689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219D34D" w14:textId="2798F1E6" w:rsidTr="00081E30">
        <w:tc>
          <w:tcPr>
            <w:tcW w:w="4788" w:type="dxa"/>
            <w:shd w:val="clear" w:color="auto" w:fill="auto"/>
          </w:tcPr>
          <w:p w14:paraId="698C2FFC" w14:textId="2E63FA0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caracterización sociodemográfica de las áreas y las regiones donde se ubican;</w:t>
            </w:r>
          </w:p>
        </w:tc>
        <w:tc>
          <w:tcPr>
            <w:tcW w:w="4788" w:type="dxa"/>
            <w:shd w:val="clear" w:color="auto" w:fill="auto"/>
          </w:tcPr>
          <w:p w14:paraId="3184D088" w14:textId="514F21A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sociodemographic characterization of the areas and regions where they are located;</w:t>
            </w:r>
          </w:p>
        </w:tc>
      </w:tr>
      <w:tr w:rsidR="002C5E29" w:rsidRPr="000A5335" w14:paraId="7842E2A6" w14:textId="4F40D24A" w:rsidTr="00081E30">
        <w:tc>
          <w:tcPr>
            <w:tcW w:w="4788" w:type="dxa"/>
            <w:shd w:val="clear" w:color="auto" w:fill="auto"/>
          </w:tcPr>
          <w:p w14:paraId="73CC1B5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4D03568" w14:textId="7D09C4D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3F00E6C" w14:textId="429D8610" w:rsidTr="00081E30">
        <w:tc>
          <w:tcPr>
            <w:tcW w:w="4788" w:type="dxa"/>
            <w:shd w:val="clear" w:color="auto" w:fill="auto"/>
          </w:tcPr>
          <w:p w14:paraId="38FE0419" w14:textId="1DD19D4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identificación de grupos en situación de vulnerabilidad;</w:t>
            </w:r>
          </w:p>
        </w:tc>
        <w:tc>
          <w:tcPr>
            <w:tcW w:w="4788" w:type="dxa"/>
            <w:shd w:val="clear" w:color="auto" w:fill="auto"/>
          </w:tcPr>
          <w:p w14:paraId="302CDEE4" w14:textId="38A8355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identification of vulnerable groups;</w:t>
            </w:r>
          </w:p>
        </w:tc>
      </w:tr>
      <w:tr w:rsidR="002C5E29" w:rsidRPr="000A5335" w14:paraId="046D33FD" w14:textId="446FAAD1" w:rsidTr="00081E30">
        <w:tc>
          <w:tcPr>
            <w:tcW w:w="4788" w:type="dxa"/>
            <w:shd w:val="clear" w:color="auto" w:fill="auto"/>
          </w:tcPr>
          <w:p w14:paraId="2B6608D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AF8F38A" w14:textId="4A1EBF1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492A2C0" w14:textId="0BA39FEC" w:rsidTr="00081E30">
        <w:tc>
          <w:tcPr>
            <w:tcW w:w="4788" w:type="dxa"/>
            <w:shd w:val="clear" w:color="auto" w:fill="auto"/>
          </w:tcPr>
          <w:p w14:paraId="6C702043" w14:textId="347DE24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descripción del estatus que guardan los terrenos donde se llevará a cabo el proyecto, y</w:t>
            </w:r>
          </w:p>
        </w:tc>
        <w:tc>
          <w:tcPr>
            <w:tcW w:w="4788" w:type="dxa"/>
            <w:shd w:val="clear" w:color="auto" w:fill="auto"/>
          </w:tcPr>
          <w:p w14:paraId="1F3AC959" w14:textId="3739248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description of the status of the land where the project will be carried out, and</w:t>
            </w:r>
          </w:p>
        </w:tc>
      </w:tr>
      <w:tr w:rsidR="002C5E29" w:rsidRPr="000A5335" w14:paraId="7D01EE40" w14:textId="2D4B200B" w:rsidTr="00081E30">
        <w:tc>
          <w:tcPr>
            <w:tcW w:w="4788" w:type="dxa"/>
            <w:shd w:val="clear" w:color="auto" w:fill="auto"/>
          </w:tcPr>
          <w:p w14:paraId="287A75B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6190F21" w14:textId="5884D8F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844914" w14:textId="7A662340" w:rsidTr="00081E30">
        <w:tc>
          <w:tcPr>
            <w:tcW w:w="4788" w:type="dxa"/>
            <w:shd w:val="clear" w:color="auto" w:fill="auto"/>
          </w:tcPr>
          <w:p w14:paraId="4E1DFD1E" w14:textId="583108B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 estimación preliminar de los impactos sociales.</w:t>
            </w:r>
          </w:p>
        </w:tc>
        <w:tc>
          <w:tcPr>
            <w:tcW w:w="4788" w:type="dxa"/>
            <w:shd w:val="clear" w:color="auto" w:fill="auto"/>
          </w:tcPr>
          <w:p w14:paraId="3B634C48" w14:textId="05455C2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preliminary estimate of social impacts.</w:t>
            </w:r>
          </w:p>
        </w:tc>
      </w:tr>
      <w:tr w:rsidR="002C5E29" w:rsidRPr="000A5335" w14:paraId="7D2C3C8D" w14:textId="6B722DB6" w:rsidTr="00081E30">
        <w:tc>
          <w:tcPr>
            <w:tcW w:w="4788" w:type="dxa"/>
            <w:shd w:val="clear" w:color="auto" w:fill="auto"/>
          </w:tcPr>
          <w:p w14:paraId="40F474A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6508ADE" w14:textId="7D12D87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9737750" w14:textId="2AEC21EB" w:rsidTr="00081E30">
        <w:tc>
          <w:tcPr>
            <w:tcW w:w="4788" w:type="dxa"/>
            <w:shd w:val="clear" w:color="auto" w:fill="auto"/>
          </w:tcPr>
          <w:p w14:paraId="251BE02A" w14:textId="77777777" w:rsidR="002C5E29" w:rsidRPr="00081E30" w:rsidRDefault="002C5E29" w:rsidP="002C5E29">
            <w:pPr>
              <w:pStyle w:val="Texto"/>
              <w:spacing w:after="0" w:line="240" w:lineRule="auto"/>
              <w:ind w:firstLine="0"/>
              <w:rPr>
                <w:rFonts w:ascii="Verdana" w:hAnsi="Verdana"/>
                <w:bCs/>
                <w:sz w:val="16"/>
                <w:szCs w:val="16"/>
              </w:rPr>
            </w:pPr>
            <w:r w:rsidRPr="004F6EDA">
              <w:rPr>
                <w:rFonts w:ascii="Verdana" w:hAnsi="Verdana"/>
                <w:b/>
                <w:sz w:val="16"/>
                <w:szCs w:val="16"/>
              </w:rPr>
              <w:t>Artículo 79.-</w:t>
            </w:r>
            <w:r w:rsidRPr="00081E30">
              <w:rPr>
                <w:rFonts w:ascii="Verdana" w:hAnsi="Verdana"/>
                <w:bCs/>
                <w:sz w:val="16"/>
                <w:szCs w:val="16"/>
              </w:rPr>
              <w:t xml:space="preserve"> Los Asignatarios o Contratistas, así como los interesados en obtener un permiso o una autorización para desarrollar proyectos en la Industria de Hidrocarburos deberán presentar a la Secretaría, la Evaluación de Impacto Social a que se refiere el artículo 121 de la Ley.</w:t>
            </w:r>
          </w:p>
        </w:tc>
        <w:tc>
          <w:tcPr>
            <w:tcW w:w="4788" w:type="dxa"/>
            <w:shd w:val="clear" w:color="auto" w:fill="auto"/>
          </w:tcPr>
          <w:p w14:paraId="3FDE01D9" w14:textId="2F6EA579" w:rsidR="002C5E29" w:rsidRPr="00081E30" w:rsidRDefault="002C5E29" w:rsidP="002C5E29">
            <w:pPr>
              <w:pStyle w:val="Texto"/>
              <w:spacing w:after="0" w:line="240" w:lineRule="auto"/>
              <w:ind w:firstLine="0"/>
              <w:rPr>
                <w:rFonts w:ascii="Verdana" w:hAnsi="Verdana"/>
                <w:bCs/>
                <w:sz w:val="16"/>
                <w:szCs w:val="16"/>
                <w:lang w:val="en-US"/>
              </w:rPr>
            </w:pPr>
            <w:r w:rsidRPr="004F6EDA">
              <w:rPr>
                <w:rFonts w:ascii="Verdana" w:hAnsi="Verdana" w:cs="Times New Roman"/>
                <w:b/>
                <w:sz w:val="16"/>
                <w:szCs w:val="16"/>
                <w:lang w:val="en-US"/>
              </w:rPr>
              <w:t>Article 79.-</w:t>
            </w:r>
            <w:r w:rsidRPr="00081E30">
              <w:rPr>
                <w:rFonts w:ascii="Verdana" w:hAnsi="Verdana" w:cs="Times New Roman"/>
                <w:bCs/>
                <w:sz w:val="16"/>
                <w:szCs w:val="16"/>
                <w:lang w:val="en-US"/>
              </w:rPr>
              <w:t xml:space="preserve"> The Assignees or Contractors, as well as those interested in obtaining a permit or authorization to develop projects in the Hydrocarbons Industry must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the </w:t>
            </w:r>
            <w:r>
              <w:rPr>
                <w:rFonts w:ascii="Verdana" w:hAnsi="Verdana" w:cs="Times New Roman"/>
                <w:bCs/>
                <w:sz w:val="16"/>
                <w:szCs w:val="16"/>
                <w:lang w:val="en-US"/>
              </w:rPr>
              <w:t xml:space="preserve">Evaluation of </w:t>
            </w:r>
            <w:r w:rsidRPr="00081E30">
              <w:rPr>
                <w:rFonts w:ascii="Verdana" w:hAnsi="Verdana" w:cs="Times New Roman"/>
                <w:bCs/>
                <w:sz w:val="16"/>
                <w:szCs w:val="16"/>
                <w:lang w:val="en-US"/>
              </w:rPr>
              <w:t>Social Impact referred to in article 121 of the Law.</w:t>
            </w:r>
          </w:p>
        </w:tc>
      </w:tr>
      <w:tr w:rsidR="002C5E29" w:rsidRPr="000A5335" w14:paraId="42D6669F" w14:textId="42F9B4A1" w:rsidTr="00081E30">
        <w:tc>
          <w:tcPr>
            <w:tcW w:w="4788" w:type="dxa"/>
            <w:shd w:val="clear" w:color="auto" w:fill="auto"/>
          </w:tcPr>
          <w:p w14:paraId="1DB4F98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0935351" w14:textId="47DD360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6363B36" w14:textId="2EF00133" w:rsidTr="00081E30">
        <w:tc>
          <w:tcPr>
            <w:tcW w:w="4788" w:type="dxa"/>
            <w:shd w:val="clear" w:color="auto" w:fill="auto"/>
          </w:tcPr>
          <w:p w14:paraId="362BB7C8"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Evaluación de Impacto Social tendrá validez durante la vigencia del proyecto, siempre y cuando este último no sufra modificaciones sustanciales.</w:t>
            </w:r>
          </w:p>
        </w:tc>
        <w:tc>
          <w:tcPr>
            <w:tcW w:w="4788" w:type="dxa"/>
            <w:shd w:val="clear" w:color="auto" w:fill="auto"/>
          </w:tcPr>
          <w:p w14:paraId="486AD2E7" w14:textId="1529AFF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 xml:space="preserve">Evaluation of </w:t>
            </w:r>
            <w:r w:rsidRPr="00081E30">
              <w:rPr>
                <w:rFonts w:ascii="Verdana" w:hAnsi="Verdana" w:cs="Times New Roman"/>
                <w:bCs/>
                <w:sz w:val="16"/>
                <w:szCs w:val="16"/>
                <w:lang w:val="en-US"/>
              </w:rPr>
              <w:t>Social Impact will be valid for the duration of the project, as long as the latter does not undergo substantial modifications.</w:t>
            </w:r>
            <w:r>
              <w:rPr>
                <w:rFonts w:ascii="Verdana" w:hAnsi="Verdana" w:cs="Times New Roman"/>
                <w:bCs/>
                <w:sz w:val="16"/>
                <w:szCs w:val="16"/>
                <w:lang w:val="en-US"/>
              </w:rPr>
              <w:t xml:space="preserve"> </w:t>
            </w:r>
          </w:p>
        </w:tc>
      </w:tr>
      <w:tr w:rsidR="002C5E29" w:rsidRPr="000A5335" w14:paraId="3F523B44" w14:textId="4529B0F0" w:rsidTr="00081E30">
        <w:tc>
          <w:tcPr>
            <w:tcW w:w="4788" w:type="dxa"/>
            <w:shd w:val="clear" w:color="auto" w:fill="auto"/>
          </w:tcPr>
          <w:p w14:paraId="298A725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B75AE38" w14:textId="6E732E4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EA6658" w14:textId="1CA97BAE" w:rsidTr="00081E30">
        <w:tc>
          <w:tcPr>
            <w:tcW w:w="4788" w:type="dxa"/>
            <w:shd w:val="clear" w:color="auto" w:fill="auto"/>
          </w:tcPr>
          <w:p w14:paraId="50B8859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Las autorizaciones que soliciten los Asignatarios y Contratistas para realizar actividades dentro del Área de Asignación o el Área Contractual, no estarán sujetas a lo previsto en el presente artículo.</w:t>
            </w:r>
          </w:p>
        </w:tc>
        <w:tc>
          <w:tcPr>
            <w:tcW w:w="4788" w:type="dxa"/>
            <w:shd w:val="clear" w:color="auto" w:fill="auto"/>
          </w:tcPr>
          <w:p w14:paraId="2CFA73E4" w14:textId="09DBD13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authorizations requested by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and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to carry out activities within the </w:t>
            </w:r>
            <w:r>
              <w:rPr>
                <w:rFonts w:ascii="Verdana" w:hAnsi="Verdana" w:cs="Times New Roman"/>
                <w:bCs/>
                <w:sz w:val="16"/>
                <w:szCs w:val="16"/>
                <w:lang w:val="en-US"/>
              </w:rPr>
              <w:t>area of assignment</w:t>
            </w:r>
            <w:r w:rsidRPr="00081E30">
              <w:rPr>
                <w:rFonts w:ascii="Verdana" w:hAnsi="Verdana" w:cs="Times New Roman"/>
                <w:bCs/>
                <w:sz w:val="16"/>
                <w:szCs w:val="16"/>
                <w:lang w:val="en-US"/>
              </w:rPr>
              <w:t xml:space="preserve"> or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rea, will not be subject to the provisions of this article.</w:t>
            </w:r>
          </w:p>
        </w:tc>
      </w:tr>
      <w:tr w:rsidR="002C5E29" w:rsidRPr="000A5335" w14:paraId="4D4BA3F6" w14:textId="1F3CB5B7" w:rsidTr="00081E30">
        <w:tc>
          <w:tcPr>
            <w:tcW w:w="4788" w:type="dxa"/>
            <w:shd w:val="clear" w:color="auto" w:fill="auto"/>
          </w:tcPr>
          <w:p w14:paraId="2865326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713F6AF" w14:textId="21C398E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130A2A1" w14:textId="53EB832C" w:rsidTr="00081E30">
        <w:tc>
          <w:tcPr>
            <w:tcW w:w="4788" w:type="dxa"/>
            <w:shd w:val="clear" w:color="auto" w:fill="auto"/>
          </w:tcPr>
          <w:p w14:paraId="69DDE89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interesados en obtener un permiso para realizar las actividades de comercialización de Hidrocarburos, Petrolíferos y Petroquímicos, no estarán sujetos a lo previsto en el presente artículo, siempre que no realicen obras o desarrollo de infraestructura.</w:t>
            </w:r>
          </w:p>
        </w:tc>
        <w:tc>
          <w:tcPr>
            <w:tcW w:w="4788" w:type="dxa"/>
            <w:shd w:val="clear" w:color="auto" w:fill="auto"/>
          </w:tcPr>
          <w:p w14:paraId="0D140288" w14:textId="1F42BDE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Those interested in obtaining a permit to carry out the marketing activities of </w:t>
            </w:r>
            <w:r>
              <w:rPr>
                <w:rFonts w:ascii="Verdana" w:hAnsi="Verdana" w:cs="Times New Roman"/>
                <w:bCs/>
                <w:sz w:val="16"/>
                <w:szCs w:val="16"/>
                <w:lang w:val="en-US"/>
              </w:rPr>
              <w:t>hydrocarbons, petroleum products and petrochemicals</w:t>
            </w:r>
            <w:r w:rsidRPr="00081E30">
              <w:rPr>
                <w:rFonts w:ascii="Verdana" w:hAnsi="Verdana" w:cs="Times New Roman"/>
                <w:bCs/>
                <w:sz w:val="16"/>
                <w:szCs w:val="16"/>
                <w:lang w:val="en-US"/>
              </w:rPr>
              <w:t>, will not be subject to the provisions of this article, provided they do not carry out works or infrastructure development.</w:t>
            </w:r>
          </w:p>
        </w:tc>
      </w:tr>
      <w:tr w:rsidR="002C5E29" w:rsidRPr="000A5335" w14:paraId="23EFCB6E" w14:textId="53B1E330" w:rsidTr="00081E30">
        <w:tc>
          <w:tcPr>
            <w:tcW w:w="4788" w:type="dxa"/>
            <w:shd w:val="clear" w:color="auto" w:fill="auto"/>
          </w:tcPr>
          <w:p w14:paraId="41DBAFB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A6582B9" w14:textId="597A900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3889A4E" w14:textId="5354EEB0" w:rsidTr="00081E30">
        <w:tc>
          <w:tcPr>
            <w:tcW w:w="4788" w:type="dxa"/>
            <w:shd w:val="clear" w:color="auto" w:fill="auto"/>
          </w:tcPr>
          <w:p w14:paraId="415C0DC2"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80.-</w:t>
            </w:r>
            <w:r w:rsidRPr="00081E30">
              <w:rPr>
                <w:rFonts w:ascii="Verdana" w:hAnsi="Verdana"/>
                <w:bCs/>
                <w:sz w:val="16"/>
                <w:szCs w:val="16"/>
              </w:rPr>
              <w:t xml:space="preserve"> La resolución y las recomendaciones que emita la Secretaría sobre la Evaluación de Impacto Social serán un requisito para que los Asignatarios, Contratistas, Permisionarios y Autorizados inicien las actividades de que se trate.</w:t>
            </w:r>
          </w:p>
        </w:tc>
        <w:tc>
          <w:tcPr>
            <w:tcW w:w="4788" w:type="dxa"/>
            <w:shd w:val="clear" w:color="auto" w:fill="auto"/>
          </w:tcPr>
          <w:p w14:paraId="7C55BCF6" w14:textId="3D7F5942"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80.-</w:t>
            </w:r>
            <w:r w:rsidRPr="00081E30">
              <w:rPr>
                <w:rFonts w:ascii="Verdana" w:hAnsi="Verdana" w:cs="Times New Roman"/>
                <w:bCs/>
                <w:sz w:val="16"/>
                <w:szCs w:val="16"/>
                <w:lang w:val="en-US"/>
              </w:rPr>
              <w:t xml:space="preserve"> The resolution and recommendations issued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on </w:t>
            </w:r>
            <w:r>
              <w:rPr>
                <w:rFonts w:ascii="Verdana" w:hAnsi="Verdana" w:cs="Times New Roman"/>
                <w:bCs/>
                <w:sz w:val="16"/>
                <w:szCs w:val="16"/>
                <w:lang w:val="en-US"/>
              </w:rPr>
              <w:t xml:space="preserve">Evaluation of Social Impact </w:t>
            </w:r>
            <w:r w:rsidRPr="00081E30">
              <w:rPr>
                <w:rFonts w:ascii="Verdana" w:hAnsi="Verdana" w:cs="Times New Roman"/>
                <w:bCs/>
                <w:sz w:val="16"/>
                <w:szCs w:val="16"/>
                <w:lang w:val="en-US"/>
              </w:rPr>
              <w:t xml:space="preserve"> will be a requirement for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ontractors, </w:t>
            </w:r>
            <w:r>
              <w:rPr>
                <w:rFonts w:ascii="Verdana" w:hAnsi="Verdana" w:cs="Times New Roman"/>
                <w:bCs/>
                <w:sz w:val="16"/>
                <w:szCs w:val="16"/>
                <w:lang w:val="en-US"/>
              </w:rPr>
              <w:t>permit holders</w:t>
            </w:r>
            <w:r w:rsidRPr="00081E30">
              <w:rPr>
                <w:rFonts w:ascii="Verdana" w:hAnsi="Verdana" w:cs="Times New Roman"/>
                <w:bCs/>
                <w:sz w:val="16"/>
                <w:szCs w:val="16"/>
                <w:lang w:val="en-US"/>
              </w:rPr>
              <w:t xml:space="preserve"> and </w:t>
            </w:r>
            <w:r>
              <w:rPr>
                <w:rFonts w:ascii="Verdana" w:hAnsi="Verdana" w:cs="Times New Roman"/>
                <w:bCs/>
                <w:sz w:val="16"/>
                <w:szCs w:val="16"/>
                <w:lang w:val="en-US"/>
              </w:rPr>
              <w:t>persons a</w:t>
            </w:r>
            <w:r w:rsidRPr="00081E30">
              <w:rPr>
                <w:rFonts w:ascii="Verdana" w:hAnsi="Verdana" w:cs="Times New Roman"/>
                <w:bCs/>
                <w:sz w:val="16"/>
                <w:szCs w:val="16"/>
                <w:lang w:val="en-US"/>
              </w:rPr>
              <w:t xml:space="preserve">uthorized </w:t>
            </w:r>
            <w:r>
              <w:rPr>
                <w:rFonts w:ascii="Verdana" w:hAnsi="Verdana" w:cs="Times New Roman"/>
                <w:bCs/>
                <w:sz w:val="16"/>
                <w:szCs w:val="16"/>
                <w:lang w:val="en-US"/>
              </w:rPr>
              <w:t>for initiating</w:t>
            </w:r>
            <w:r w:rsidRPr="00081E30">
              <w:rPr>
                <w:rFonts w:ascii="Verdana" w:hAnsi="Verdana" w:cs="Times New Roman"/>
                <w:bCs/>
                <w:sz w:val="16"/>
                <w:szCs w:val="16"/>
                <w:lang w:val="en-US"/>
              </w:rPr>
              <w:t xml:space="preserve"> the activities in question.</w:t>
            </w:r>
          </w:p>
        </w:tc>
      </w:tr>
      <w:tr w:rsidR="002C5E29" w:rsidRPr="000A5335" w14:paraId="182B588C" w14:textId="003F2035" w:rsidTr="00081E30">
        <w:tc>
          <w:tcPr>
            <w:tcW w:w="4788" w:type="dxa"/>
            <w:shd w:val="clear" w:color="auto" w:fill="auto"/>
          </w:tcPr>
          <w:p w14:paraId="2A94591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0C34808" w14:textId="38CC758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9AB3196" w14:textId="2EAF05EB" w:rsidTr="00081E30">
        <w:tc>
          <w:tcPr>
            <w:tcW w:w="4788" w:type="dxa"/>
            <w:shd w:val="clear" w:color="auto" w:fill="auto"/>
          </w:tcPr>
          <w:p w14:paraId="51F0B060"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81.-</w:t>
            </w:r>
            <w:r w:rsidRPr="00081E30">
              <w:rPr>
                <w:rFonts w:ascii="Verdana" w:hAnsi="Verdana"/>
                <w:bCs/>
                <w:sz w:val="16"/>
                <w:szCs w:val="16"/>
              </w:rPr>
              <w:t xml:space="preserve"> La Evaluación de Impacto Social deberá presentarse de acuerdo con la guía y el formato que establezca la Secretaría. La responsabilidad respecto del contenido de la Evaluación de Impacto Social corresponderá al Asignatario, Contratista, Permisionario o Autorizado, según corresponda.</w:t>
            </w:r>
          </w:p>
        </w:tc>
        <w:tc>
          <w:tcPr>
            <w:tcW w:w="4788" w:type="dxa"/>
            <w:shd w:val="clear" w:color="auto" w:fill="auto"/>
          </w:tcPr>
          <w:p w14:paraId="0B82D442" w14:textId="268221A4"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81.-</w:t>
            </w:r>
            <w:r w:rsidRPr="00081E30">
              <w:rPr>
                <w:rFonts w:ascii="Verdana" w:hAnsi="Verdana" w:cs="Times New Roman"/>
                <w:bCs/>
                <w:sz w:val="16"/>
                <w:szCs w:val="16"/>
                <w:lang w:val="en-US"/>
              </w:rPr>
              <w:t xml:space="preserve"> The </w:t>
            </w:r>
            <w:r>
              <w:rPr>
                <w:rFonts w:ascii="Verdana" w:hAnsi="Verdana" w:cs="Times New Roman"/>
                <w:bCs/>
                <w:sz w:val="16"/>
                <w:szCs w:val="16"/>
                <w:lang w:val="en-US"/>
              </w:rPr>
              <w:t xml:space="preserve">Evaluation of Social Impact </w:t>
            </w:r>
            <w:r w:rsidRPr="00081E30">
              <w:rPr>
                <w:rFonts w:ascii="Verdana" w:hAnsi="Verdana" w:cs="Times New Roman"/>
                <w:bCs/>
                <w:sz w:val="16"/>
                <w:szCs w:val="16"/>
                <w:lang w:val="en-US"/>
              </w:rPr>
              <w:t xml:space="preserve"> must be presented in accordance with the guide and the format established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Responsibility for the content of the </w:t>
            </w:r>
            <w:r>
              <w:rPr>
                <w:rFonts w:ascii="Verdana" w:hAnsi="Verdana" w:cs="Times New Roman"/>
                <w:bCs/>
                <w:sz w:val="16"/>
                <w:szCs w:val="16"/>
                <w:lang w:val="en-US"/>
              </w:rPr>
              <w:t xml:space="preserve">Evaluation of Social Impact </w:t>
            </w:r>
            <w:r w:rsidRPr="00081E30">
              <w:rPr>
                <w:rFonts w:ascii="Verdana" w:hAnsi="Verdana" w:cs="Times New Roman"/>
                <w:bCs/>
                <w:sz w:val="16"/>
                <w:szCs w:val="16"/>
                <w:lang w:val="en-US"/>
              </w:rPr>
              <w:t xml:space="preserve"> will correspond to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ontractor, </w:t>
            </w:r>
            <w:r>
              <w:rPr>
                <w:rFonts w:ascii="Verdana" w:hAnsi="Verdana" w:cs="Times New Roman"/>
                <w:bCs/>
                <w:sz w:val="16"/>
                <w:szCs w:val="16"/>
                <w:lang w:val="en-US"/>
              </w:rPr>
              <w:t>p</w:t>
            </w:r>
            <w:r w:rsidRPr="00081E30">
              <w:rPr>
                <w:rFonts w:ascii="Verdana" w:hAnsi="Verdana" w:cs="Times New Roman"/>
                <w:bCs/>
                <w:sz w:val="16"/>
                <w:szCs w:val="16"/>
                <w:lang w:val="en-US"/>
              </w:rPr>
              <w:t>ermit</w:t>
            </w:r>
            <w:r>
              <w:rPr>
                <w:rFonts w:ascii="Verdana" w:hAnsi="Verdana" w:cs="Times New Roman"/>
                <w:bCs/>
                <w:sz w:val="16"/>
                <w:szCs w:val="16"/>
                <w:lang w:val="en-US"/>
              </w:rPr>
              <w:t xml:space="preserve"> holders</w:t>
            </w:r>
            <w:r w:rsidRPr="00081E30">
              <w:rPr>
                <w:rFonts w:ascii="Verdana" w:hAnsi="Verdana" w:cs="Times New Roman"/>
                <w:bCs/>
                <w:sz w:val="16"/>
                <w:szCs w:val="16"/>
                <w:lang w:val="en-US"/>
              </w:rPr>
              <w:t xml:space="preserve"> or </w:t>
            </w:r>
            <w:r>
              <w:rPr>
                <w:rFonts w:ascii="Verdana" w:hAnsi="Verdana" w:cs="Times New Roman"/>
                <w:bCs/>
                <w:sz w:val="16"/>
                <w:szCs w:val="16"/>
                <w:lang w:val="en-US"/>
              </w:rPr>
              <w:t>a</w:t>
            </w:r>
            <w:r w:rsidRPr="00081E30">
              <w:rPr>
                <w:rFonts w:ascii="Verdana" w:hAnsi="Verdana" w:cs="Times New Roman"/>
                <w:bCs/>
                <w:sz w:val="16"/>
                <w:szCs w:val="16"/>
                <w:lang w:val="en-US"/>
              </w:rPr>
              <w:t>uthorized</w:t>
            </w:r>
            <w:r>
              <w:rPr>
                <w:rFonts w:ascii="Verdana" w:hAnsi="Verdana" w:cs="Times New Roman"/>
                <w:bCs/>
                <w:sz w:val="16"/>
                <w:szCs w:val="16"/>
                <w:lang w:val="en-US"/>
              </w:rPr>
              <w:t xml:space="preserve"> parties</w:t>
            </w:r>
            <w:r w:rsidRPr="00081E30">
              <w:rPr>
                <w:rFonts w:ascii="Verdana" w:hAnsi="Verdana" w:cs="Times New Roman"/>
                <w:bCs/>
                <w:sz w:val="16"/>
                <w:szCs w:val="16"/>
                <w:lang w:val="en-US"/>
              </w:rPr>
              <w:t>, as appropriate.</w:t>
            </w:r>
          </w:p>
        </w:tc>
      </w:tr>
      <w:tr w:rsidR="002C5E29" w:rsidRPr="000A5335" w14:paraId="4CA7A673" w14:textId="3515A365" w:rsidTr="00081E30">
        <w:tc>
          <w:tcPr>
            <w:tcW w:w="4788" w:type="dxa"/>
            <w:shd w:val="clear" w:color="auto" w:fill="auto"/>
          </w:tcPr>
          <w:p w14:paraId="579A11B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A2A351B" w14:textId="49AE837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D482016" w14:textId="6044175C" w:rsidTr="00081E30">
        <w:tc>
          <w:tcPr>
            <w:tcW w:w="4788" w:type="dxa"/>
            <w:shd w:val="clear" w:color="auto" w:fill="auto"/>
          </w:tcPr>
          <w:p w14:paraId="56A9705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Evaluación de Impacto Social deberá contener, al menos:</w:t>
            </w:r>
          </w:p>
        </w:tc>
        <w:tc>
          <w:tcPr>
            <w:tcW w:w="4788" w:type="dxa"/>
            <w:shd w:val="clear" w:color="auto" w:fill="auto"/>
          </w:tcPr>
          <w:p w14:paraId="2F411A5C" w14:textId="7038B12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 xml:space="preserve">Evaluation of Social Impact </w:t>
            </w:r>
            <w:r w:rsidRPr="00081E30">
              <w:rPr>
                <w:rFonts w:ascii="Verdana" w:hAnsi="Verdana" w:cs="Times New Roman"/>
                <w:bCs/>
                <w:sz w:val="16"/>
                <w:szCs w:val="16"/>
                <w:lang w:val="en-US"/>
              </w:rPr>
              <w:t xml:space="preserve"> must contain at least:</w:t>
            </w:r>
          </w:p>
        </w:tc>
      </w:tr>
      <w:tr w:rsidR="002C5E29" w:rsidRPr="000A5335" w14:paraId="1136E029" w14:textId="6F9D1183" w:rsidTr="00081E30">
        <w:tc>
          <w:tcPr>
            <w:tcW w:w="4788" w:type="dxa"/>
            <w:shd w:val="clear" w:color="auto" w:fill="auto"/>
          </w:tcPr>
          <w:p w14:paraId="1303BB5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7B5C37A" w14:textId="6A6A9D1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4A1A45F" w14:textId="131906F3" w:rsidTr="00081E30">
        <w:tc>
          <w:tcPr>
            <w:tcW w:w="4788" w:type="dxa"/>
            <w:shd w:val="clear" w:color="auto" w:fill="auto"/>
          </w:tcPr>
          <w:p w14:paraId="0142396C" w14:textId="5DABAE1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descripción del proyecto y de su área de influencia;</w:t>
            </w:r>
          </w:p>
        </w:tc>
        <w:tc>
          <w:tcPr>
            <w:tcW w:w="4788" w:type="dxa"/>
            <w:shd w:val="clear" w:color="auto" w:fill="auto"/>
          </w:tcPr>
          <w:p w14:paraId="422C53D8" w14:textId="1750875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description of the project and its area of </w:t>
            </w:r>
            <w:r w:rsidRPr="00081E30">
              <w:rPr>
                <w:bCs/>
                <w:sz w:val="16"/>
                <w:szCs w:val="16"/>
                <w:lang w:val="en-US"/>
              </w:rPr>
              <w:t>​​</w:t>
            </w:r>
            <w:r w:rsidRPr="00081E30">
              <w:rPr>
                <w:rFonts w:ascii="Verdana" w:hAnsi="Verdana" w:cs="Times New Roman"/>
                <w:bCs/>
                <w:sz w:val="16"/>
                <w:szCs w:val="16"/>
                <w:lang w:val="en-US"/>
              </w:rPr>
              <w:t>influence;</w:t>
            </w:r>
          </w:p>
        </w:tc>
      </w:tr>
      <w:tr w:rsidR="002C5E29" w:rsidRPr="000A5335" w14:paraId="30FBFBC2" w14:textId="39996ED2" w:rsidTr="00081E30">
        <w:tc>
          <w:tcPr>
            <w:tcW w:w="4788" w:type="dxa"/>
            <w:shd w:val="clear" w:color="auto" w:fill="auto"/>
          </w:tcPr>
          <w:p w14:paraId="282BBCF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3D309A" w14:textId="42F744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64EDAEA" w14:textId="1C7E5445" w:rsidTr="00081E30">
        <w:tc>
          <w:tcPr>
            <w:tcW w:w="4788" w:type="dxa"/>
            <w:shd w:val="clear" w:color="auto" w:fill="auto"/>
          </w:tcPr>
          <w:p w14:paraId="4DF620A3" w14:textId="257B7CB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identificación y caracterización de las comunidades y pueblos que se ubican en el área de influencia del proyecto;</w:t>
            </w:r>
          </w:p>
        </w:tc>
        <w:tc>
          <w:tcPr>
            <w:tcW w:w="4788" w:type="dxa"/>
            <w:shd w:val="clear" w:color="auto" w:fill="auto"/>
          </w:tcPr>
          <w:p w14:paraId="3573AA1E" w14:textId="3B720CB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identification and characterization of the communities and towns that are located in the area of </w:t>
            </w:r>
            <w:r w:rsidRPr="00081E30">
              <w:rPr>
                <w:bCs/>
                <w:sz w:val="16"/>
                <w:szCs w:val="16"/>
                <w:lang w:val="en-US"/>
              </w:rPr>
              <w:t>​​</w:t>
            </w:r>
            <w:r w:rsidRPr="00081E30">
              <w:rPr>
                <w:rFonts w:ascii="Verdana" w:hAnsi="Verdana" w:cs="Times New Roman"/>
                <w:bCs/>
                <w:sz w:val="16"/>
                <w:szCs w:val="16"/>
                <w:lang w:val="en-US"/>
              </w:rPr>
              <w:t>influence of the project;</w:t>
            </w:r>
          </w:p>
        </w:tc>
      </w:tr>
      <w:tr w:rsidR="002C5E29" w:rsidRPr="000A5335" w14:paraId="5B404A94" w14:textId="31520C94" w:rsidTr="00081E30">
        <w:tc>
          <w:tcPr>
            <w:tcW w:w="4788" w:type="dxa"/>
            <w:shd w:val="clear" w:color="auto" w:fill="auto"/>
          </w:tcPr>
          <w:p w14:paraId="4A312AB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B94EC7" w14:textId="5DC2B8D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CAD4959" w14:textId="670FE6EE" w:rsidTr="00081E30">
        <w:tc>
          <w:tcPr>
            <w:tcW w:w="4788" w:type="dxa"/>
            <w:shd w:val="clear" w:color="auto" w:fill="auto"/>
          </w:tcPr>
          <w:p w14:paraId="4C79EE06" w14:textId="2517D9D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identificación, caracterización, predicción y valoración de los impactos sociales positivos y negativos que podrían derivarse del proyecto, y</w:t>
            </w:r>
          </w:p>
        </w:tc>
        <w:tc>
          <w:tcPr>
            <w:tcW w:w="4788" w:type="dxa"/>
            <w:shd w:val="clear" w:color="auto" w:fill="auto"/>
          </w:tcPr>
          <w:p w14:paraId="681B32F7" w14:textId="22B86AC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identification, characterization, prediction and assessment of the positive and negative social impacts that could be derived from the project, and</w:t>
            </w:r>
          </w:p>
        </w:tc>
      </w:tr>
      <w:tr w:rsidR="002C5E29" w:rsidRPr="000A5335" w14:paraId="24675F98" w14:textId="767F2D41" w:rsidTr="00081E30">
        <w:tc>
          <w:tcPr>
            <w:tcW w:w="4788" w:type="dxa"/>
            <w:shd w:val="clear" w:color="auto" w:fill="auto"/>
          </w:tcPr>
          <w:p w14:paraId="1EE3CE2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7F81CAA" w14:textId="524F606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3B278FC" w14:textId="54705796" w:rsidTr="00081E30">
        <w:tc>
          <w:tcPr>
            <w:tcW w:w="4788" w:type="dxa"/>
            <w:shd w:val="clear" w:color="auto" w:fill="auto"/>
          </w:tcPr>
          <w:p w14:paraId="2CCB0603" w14:textId="1D8C02E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Las medidas de prevención y mitigación, y los planes de gestión social propuestos por los Asignatarios, Contratistas, Permisionarios o Autorizados.</w:t>
            </w:r>
          </w:p>
        </w:tc>
        <w:tc>
          <w:tcPr>
            <w:tcW w:w="4788" w:type="dxa"/>
            <w:shd w:val="clear" w:color="auto" w:fill="auto"/>
          </w:tcPr>
          <w:p w14:paraId="74DCE750" w14:textId="7D7AD44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prevention and mitigation measures, and social management plans proposed by the </w:t>
            </w:r>
            <w:r>
              <w:rPr>
                <w:rFonts w:ascii="Verdana" w:hAnsi="Verdana" w:cs="Times New Roman"/>
                <w:bCs/>
                <w:sz w:val="16"/>
                <w:szCs w:val="16"/>
                <w:lang w:val="en-US"/>
              </w:rPr>
              <w:t>assignees, contractors, permit holders or authorized persons</w:t>
            </w:r>
            <w:r w:rsidRPr="00081E30">
              <w:rPr>
                <w:rFonts w:ascii="Verdana" w:hAnsi="Verdana" w:cs="Times New Roman"/>
                <w:bCs/>
                <w:sz w:val="16"/>
                <w:szCs w:val="16"/>
                <w:lang w:val="en-US"/>
              </w:rPr>
              <w:t>.</w:t>
            </w:r>
          </w:p>
        </w:tc>
      </w:tr>
      <w:tr w:rsidR="002C5E29" w:rsidRPr="000A5335" w14:paraId="2C240696" w14:textId="59A2CF63" w:rsidTr="00081E30">
        <w:tc>
          <w:tcPr>
            <w:tcW w:w="4788" w:type="dxa"/>
            <w:shd w:val="clear" w:color="auto" w:fill="auto"/>
          </w:tcPr>
          <w:p w14:paraId="70D8117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5FAF563" w14:textId="061FC43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CED6D47" w14:textId="17A4AA70" w:rsidTr="00081E30">
        <w:tc>
          <w:tcPr>
            <w:tcW w:w="4788" w:type="dxa"/>
            <w:shd w:val="clear" w:color="auto" w:fill="auto"/>
          </w:tcPr>
          <w:p w14:paraId="7D1D6D0C"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emitirá las disposiciones de carácter general que contendrán la metodología para la definición del área de influencia de acuerdo al tipo de proyecto en materia de Hidrocarburos, a que se refiere la fracción II de este artículo.</w:t>
            </w:r>
          </w:p>
        </w:tc>
        <w:tc>
          <w:tcPr>
            <w:tcW w:w="4788" w:type="dxa"/>
            <w:shd w:val="clear" w:color="auto" w:fill="auto"/>
          </w:tcPr>
          <w:p w14:paraId="232B4B81" w14:textId="7F89D79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issue the general provisions that will contain the methodology for the definition of the area of </w:t>
            </w:r>
            <w:r w:rsidRPr="00081E30">
              <w:rPr>
                <w:bCs/>
                <w:sz w:val="16"/>
                <w:szCs w:val="16"/>
                <w:lang w:val="en-US"/>
              </w:rPr>
              <w:t>​​</w:t>
            </w:r>
            <w:r w:rsidRPr="00081E30">
              <w:rPr>
                <w:rFonts w:ascii="Verdana" w:hAnsi="Verdana" w:cs="Times New Roman"/>
                <w:bCs/>
                <w:sz w:val="16"/>
                <w:szCs w:val="16"/>
                <w:lang w:val="en-US"/>
              </w:rPr>
              <w:t>influence according to the type of hydrocarbons project, referred to in section II of this article.</w:t>
            </w:r>
          </w:p>
        </w:tc>
      </w:tr>
      <w:tr w:rsidR="002C5E29" w:rsidRPr="000A5335" w14:paraId="14FEF57E" w14:textId="4EFC4BE9" w:rsidTr="00081E30">
        <w:tc>
          <w:tcPr>
            <w:tcW w:w="4788" w:type="dxa"/>
            <w:shd w:val="clear" w:color="auto" w:fill="auto"/>
          </w:tcPr>
          <w:p w14:paraId="6B8629D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FF8FE64" w14:textId="7F497F4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B99BA6F" w14:textId="4E440683" w:rsidTr="00081E30">
        <w:tc>
          <w:tcPr>
            <w:tcW w:w="4788" w:type="dxa"/>
            <w:shd w:val="clear" w:color="auto" w:fill="auto"/>
          </w:tcPr>
          <w:p w14:paraId="141CB00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Para la identificación, caracterización, predicción y valoración de los impactos sociales, la Secretaría emitirá disposiciones de carácter general que contendrán las metodologías para su determinación.</w:t>
            </w:r>
          </w:p>
        </w:tc>
        <w:tc>
          <w:tcPr>
            <w:tcW w:w="4788" w:type="dxa"/>
            <w:shd w:val="clear" w:color="auto" w:fill="auto"/>
          </w:tcPr>
          <w:p w14:paraId="22BAB4AC" w14:textId="32515BC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For the identification, characterization, prediction and valuation of social impacts,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issue general provisions that will contain the methodologies for its determination.</w:t>
            </w:r>
          </w:p>
        </w:tc>
      </w:tr>
      <w:tr w:rsidR="002C5E29" w:rsidRPr="000A5335" w14:paraId="5569F09A" w14:textId="6FB1DF3B" w:rsidTr="00081E30">
        <w:tc>
          <w:tcPr>
            <w:tcW w:w="4788" w:type="dxa"/>
            <w:shd w:val="clear" w:color="auto" w:fill="auto"/>
          </w:tcPr>
          <w:p w14:paraId="43920F8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CDD5D8" w14:textId="4120A6B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13F613" w14:textId="1491793E" w:rsidTr="00081E30">
        <w:tc>
          <w:tcPr>
            <w:tcW w:w="4788" w:type="dxa"/>
            <w:shd w:val="clear" w:color="auto" w:fill="auto"/>
          </w:tcPr>
          <w:p w14:paraId="5C401FE2"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82.-</w:t>
            </w:r>
            <w:r w:rsidRPr="00081E30">
              <w:rPr>
                <w:rFonts w:ascii="Verdana" w:hAnsi="Verdana"/>
                <w:bCs/>
                <w:sz w:val="16"/>
                <w:szCs w:val="16"/>
              </w:rPr>
              <w:t xml:space="preserve"> La Secretaría, en un plazo de noventa días hábiles, contado a partir de la presentación de la Evaluación de Impacto Social, emitirá una resolución sobre dicha Evaluación e incluirá en su caso, las recomendaciones sobre las medidas y los planes a que hace referencia el artículo anterior.</w:t>
            </w:r>
          </w:p>
        </w:tc>
        <w:tc>
          <w:tcPr>
            <w:tcW w:w="4788" w:type="dxa"/>
            <w:shd w:val="clear" w:color="auto" w:fill="auto"/>
          </w:tcPr>
          <w:p w14:paraId="2BE4F4B9" w14:textId="22229F88"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within a period of ninety business days, counted from the presentation of the </w:t>
            </w:r>
            <w:r>
              <w:rPr>
                <w:rFonts w:ascii="Verdana" w:hAnsi="Verdana" w:cs="Times New Roman"/>
                <w:bCs/>
                <w:sz w:val="16"/>
                <w:szCs w:val="16"/>
                <w:lang w:val="en-US"/>
              </w:rPr>
              <w:t>Evaluation of Social Impact</w:t>
            </w:r>
            <w:r w:rsidRPr="00081E30">
              <w:rPr>
                <w:rFonts w:ascii="Verdana" w:hAnsi="Verdana" w:cs="Times New Roman"/>
                <w:bCs/>
                <w:sz w:val="16"/>
                <w:szCs w:val="16"/>
                <w:lang w:val="en-US"/>
              </w:rPr>
              <w:t xml:space="preserve"> will issue a resolution on said </w:t>
            </w:r>
            <w:r>
              <w:rPr>
                <w:rFonts w:ascii="Verdana" w:hAnsi="Verdana" w:cs="Times New Roman"/>
                <w:bCs/>
                <w:sz w:val="16"/>
                <w:szCs w:val="16"/>
                <w:lang w:val="en-US"/>
              </w:rPr>
              <w:t>e</w:t>
            </w:r>
            <w:r w:rsidRPr="00081E30">
              <w:rPr>
                <w:rFonts w:ascii="Verdana" w:hAnsi="Verdana" w:cs="Times New Roman"/>
                <w:bCs/>
                <w:sz w:val="16"/>
                <w:szCs w:val="16"/>
                <w:lang w:val="en-US"/>
              </w:rPr>
              <w:t xml:space="preserve">valuation and will include, where appropriate, recommendations on the measures and plans to which </w:t>
            </w:r>
            <w:r>
              <w:rPr>
                <w:rFonts w:ascii="Verdana" w:hAnsi="Verdana" w:cs="Times New Roman"/>
                <w:bCs/>
                <w:sz w:val="16"/>
                <w:szCs w:val="16"/>
                <w:lang w:val="en-US"/>
              </w:rPr>
              <w:t>t</w:t>
            </w:r>
            <w:r w:rsidRPr="00081E30">
              <w:rPr>
                <w:rFonts w:ascii="Verdana" w:hAnsi="Verdana" w:cs="Times New Roman"/>
                <w:bCs/>
                <w:sz w:val="16"/>
                <w:szCs w:val="16"/>
                <w:lang w:val="en-US"/>
              </w:rPr>
              <w:t xml:space="preserve">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refers.</w:t>
            </w:r>
          </w:p>
        </w:tc>
      </w:tr>
      <w:tr w:rsidR="002C5E29" w:rsidRPr="000A5335" w14:paraId="0FB69E35" w14:textId="098D35B3" w:rsidTr="00081E30">
        <w:tc>
          <w:tcPr>
            <w:tcW w:w="4788" w:type="dxa"/>
            <w:shd w:val="clear" w:color="auto" w:fill="auto"/>
          </w:tcPr>
          <w:p w14:paraId="4FD3E9A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951DB5D" w14:textId="0E904E7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D647578" w14:textId="24592F44" w:rsidTr="00081E30">
        <w:tc>
          <w:tcPr>
            <w:tcW w:w="4788" w:type="dxa"/>
            <w:shd w:val="clear" w:color="auto" w:fill="auto"/>
          </w:tcPr>
          <w:p w14:paraId="6BE00D20"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83.-</w:t>
            </w:r>
            <w:r w:rsidRPr="00081E30">
              <w:rPr>
                <w:rFonts w:ascii="Verdana" w:hAnsi="Verdana"/>
                <w:bCs/>
                <w:sz w:val="16"/>
                <w:szCs w:val="16"/>
              </w:rPr>
              <w:t xml:space="preserve"> En el supuesto de que la Evaluación de Impacto Social no cumpla con los requisitos y criterios previstos en el presente ordenamiento y en la guía y el formato a que se refiere el artículo 81 de este Reglamento, la Secretaría prevendrá al Asignatario, Contratista, Permisionario o Autorizado para que en un plazo de veinte días hábiles subsane dicha prevención. La prevención suspenderá el plazo a que se refiere el último párrafo del artículo anterior, hasta en tanto no se atiende con la prevención realizada por la Secretaría.</w:t>
            </w:r>
          </w:p>
        </w:tc>
        <w:tc>
          <w:tcPr>
            <w:tcW w:w="4788" w:type="dxa"/>
            <w:shd w:val="clear" w:color="auto" w:fill="auto"/>
          </w:tcPr>
          <w:p w14:paraId="0C770B30" w14:textId="0675D15C"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83.-</w:t>
            </w:r>
            <w:r w:rsidRPr="00081E30">
              <w:rPr>
                <w:rFonts w:ascii="Verdana" w:hAnsi="Verdana" w:cs="Times New Roman"/>
                <w:bCs/>
                <w:sz w:val="16"/>
                <w:szCs w:val="16"/>
                <w:lang w:val="en-US"/>
              </w:rPr>
              <w:t xml:space="preserve"> In the event that the </w:t>
            </w:r>
            <w:r>
              <w:rPr>
                <w:rFonts w:ascii="Verdana" w:hAnsi="Verdana" w:cs="Times New Roman"/>
                <w:bCs/>
                <w:sz w:val="16"/>
                <w:szCs w:val="16"/>
                <w:lang w:val="en-US"/>
              </w:rPr>
              <w:t xml:space="preserve">Evaluation of Social Impact </w:t>
            </w:r>
            <w:r w:rsidRPr="00081E30">
              <w:rPr>
                <w:rFonts w:ascii="Verdana" w:hAnsi="Verdana" w:cs="Times New Roman"/>
                <w:bCs/>
                <w:sz w:val="16"/>
                <w:szCs w:val="16"/>
                <w:lang w:val="en-US"/>
              </w:rPr>
              <w:t xml:space="preserve"> does not comply with the requirements and criteria provided for in this regulation and in the guide and format referred to in article 81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prevent the </w:t>
            </w:r>
            <w:r>
              <w:rPr>
                <w:rFonts w:ascii="Verdana" w:hAnsi="Verdana" w:cs="Times New Roman"/>
                <w:bCs/>
                <w:sz w:val="16"/>
                <w:szCs w:val="16"/>
                <w:lang w:val="en-US"/>
              </w:rPr>
              <w:t>assignee, contractor, permit holder or authorized person</w:t>
            </w:r>
            <w:r w:rsidRPr="00081E30">
              <w:rPr>
                <w:rFonts w:ascii="Verdana" w:hAnsi="Verdana" w:cs="Times New Roman"/>
                <w:bCs/>
                <w:sz w:val="16"/>
                <w:szCs w:val="16"/>
                <w:lang w:val="en-US"/>
              </w:rPr>
              <w:t xml:space="preserve"> to remedy such prevention within twenty business days. </w:t>
            </w:r>
            <w:r>
              <w:rPr>
                <w:rFonts w:ascii="Verdana" w:hAnsi="Verdana" w:cs="Times New Roman"/>
                <w:bCs/>
                <w:sz w:val="16"/>
                <w:szCs w:val="16"/>
                <w:lang w:val="en-US"/>
              </w:rPr>
              <w:t>The p</w:t>
            </w:r>
            <w:r w:rsidRPr="00081E30">
              <w:rPr>
                <w:rFonts w:ascii="Verdana" w:hAnsi="Verdana" w:cs="Times New Roman"/>
                <w:bCs/>
                <w:sz w:val="16"/>
                <w:szCs w:val="16"/>
                <w:lang w:val="en-US"/>
              </w:rPr>
              <w:t xml:space="preserve">revention will suspend the period referred to in the last paragraph of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until it is not met with the prevention </w:t>
            </w:r>
            <w:r>
              <w:rPr>
                <w:rFonts w:ascii="Verdana" w:hAnsi="Verdana" w:cs="Times New Roman"/>
                <w:bCs/>
                <w:sz w:val="16"/>
                <w:szCs w:val="16"/>
                <w:lang w:val="en-US"/>
              </w:rPr>
              <w:t>made</w:t>
            </w:r>
            <w:r w:rsidRPr="00081E30">
              <w:rPr>
                <w:rFonts w:ascii="Verdana" w:hAnsi="Verdana" w:cs="Times New Roman"/>
                <w:bCs/>
                <w:sz w:val="16"/>
                <w:szCs w:val="16"/>
                <w:lang w:val="en-US"/>
              </w:rPr>
              <w:t xml:space="preserve"> by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7FA04F7B" w14:textId="4DF4EEDA" w:rsidTr="00081E30">
        <w:tc>
          <w:tcPr>
            <w:tcW w:w="4788" w:type="dxa"/>
            <w:shd w:val="clear" w:color="auto" w:fill="auto"/>
          </w:tcPr>
          <w:p w14:paraId="61FB455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87C06CC" w14:textId="12E8EE0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D22359D" w14:textId="591DA5A3" w:rsidTr="00081E30">
        <w:tc>
          <w:tcPr>
            <w:tcW w:w="4788" w:type="dxa"/>
            <w:shd w:val="clear" w:color="auto" w:fill="auto"/>
          </w:tcPr>
          <w:p w14:paraId="44160DF4"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84.-</w:t>
            </w:r>
            <w:r w:rsidRPr="00081E30">
              <w:rPr>
                <w:rFonts w:ascii="Verdana" w:hAnsi="Verdana"/>
                <w:bCs/>
                <w:sz w:val="16"/>
                <w:szCs w:val="16"/>
              </w:rPr>
              <w:t xml:space="preserve"> Para la emisión de la resolución y las recomendaciones sobre la Evaluación de Impacto Social, la Secretaría podrá solicitar la opinión técnica de las dependencias o entidades competentes de la Administración Pública Federal, así como de expertos, cuando por las características del proyecto se estime que sus opiniones pueden proveer de mejores elementos para la formulación de las mismas.</w:t>
            </w:r>
          </w:p>
        </w:tc>
        <w:tc>
          <w:tcPr>
            <w:tcW w:w="4788" w:type="dxa"/>
            <w:shd w:val="clear" w:color="auto" w:fill="auto"/>
          </w:tcPr>
          <w:p w14:paraId="61683CC6" w14:textId="11FD6325"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84.-</w:t>
            </w:r>
            <w:r w:rsidRPr="00081E30">
              <w:rPr>
                <w:rFonts w:ascii="Verdana" w:hAnsi="Verdana" w:cs="Times New Roman"/>
                <w:bCs/>
                <w:sz w:val="16"/>
                <w:szCs w:val="16"/>
                <w:lang w:val="en-US"/>
              </w:rPr>
              <w:t xml:space="preserve"> For the issuance of the resolution and the recommendations on the </w:t>
            </w:r>
            <w:r>
              <w:rPr>
                <w:rFonts w:ascii="Verdana" w:hAnsi="Verdana" w:cs="Times New Roman"/>
                <w:bCs/>
                <w:sz w:val="16"/>
                <w:szCs w:val="16"/>
                <w:lang w:val="en-US"/>
              </w:rPr>
              <w:t>Evaluation of Social Impact</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may request the technical opinion of the </w:t>
            </w:r>
            <w:r>
              <w:rPr>
                <w:rFonts w:ascii="Verdana" w:hAnsi="Verdana" w:cs="Times New Roman"/>
                <w:bCs/>
                <w:sz w:val="16"/>
                <w:szCs w:val="16"/>
                <w:lang w:val="en-US"/>
              </w:rPr>
              <w:t>appropriate</w:t>
            </w:r>
            <w:r w:rsidRPr="00081E30">
              <w:rPr>
                <w:rFonts w:ascii="Verdana" w:hAnsi="Verdana" w:cs="Times New Roman"/>
                <w:bCs/>
                <w:sz w:val="16"/>
                <w:szCs w:val="16"/>
                <w:lang w:val="en-US"/>
              </w:rPr>
              <w:t xml:space="preserve"> agencies or entities of the Federal Public Administration, as well as experts, when due to the characteristics of the project. It is estimated that their opinions can provide better elements for their formulation.</w:t>
            </w:r>
          </w:p>
        </w:tc>
      </w:tr>
      <w:tr w:rsidR="002C5E29" w:rsidRPr="000A5335" w14:paraId="082950FE" w14:textId="76F05A9B" w:rsidTr="00081E30">
        <w:tc>
          <w:tcPr>
            <w:tcW w:w="4788" w:type="dxa"/>
            <w:shd w:val="clear" w:color="auto" w:fill="auto"/>
          </w:tcPr>
          <w:p w14:paraId="446F98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DD0F4F9" w14:textId="037A8A7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1E655A6A" w14:textId="545300A6" w:rsidTr="00081E30">
        <w:tc>
          <w:tcPr>
            <w:tcW w:w="4788" w:type="dxa"/>
            <w:shd w:val="clear" w:color="auto" w:fill="auto"/>
          </w:tcPr>
          <w:p w14:paraId="3414D613" w14:textId="77777777" w:rsidR="002C5E29" w:rsidRPr="00195F4A" w:rsidRDefault="002C5E29" w:rsidP="002C5E29">
            <w:pPr>
              <w:pStyle w:val="ANOTACION"/>
              <w:spacing w:before="0" w:after="0" w:line="240" w:lineRule="auto"/>
              <w:rPr>
                <w:rFonts w:ascii="Verdana" w:hAnsi="Verdana" w:cs="Arial"/>
                <w:sz w:val="16"/>
                <w:szCs w:val="16"/>
              </w:rPr>
            </w:pPr>
            <w:r w:rsidRPr="00195F4A">
              <w:rPr>
                <w:rFonts w:ascii="Verdana" w:hAnsi="Verdana" w:cs="Arial"/>
                <w:sz w:val="16"/>
                <w:szCs w:val="16"/>
              </w:rPr>
              <w:t>Sección Segunda</w:t>
            </w:r>
          </w:p>
        </w:tc>
        <w:tc>
          <w:tcPr>
            <w:tcW w:w="4788" w:type="dxa"/>
            <w:shd w:val="clear" w:color="auto" w:fill="auto"/>
          </w:tcPr>
          <w:p w14:paraId="0F4CB474" w14:textId="0F1E9ECC" w:rsidR="002C5E29" w:rsidRPr="00195F4A" w:rsidRDefault="002C5E29" w:rsidP="002C5E29">
            <w:pPr>
              <w:pStyle w:val="ANOTACION"/>
              <w:spacing w:before="0" w:after="0" w:line="240" w:lineRule="auto"/>
              <w:rPr>
                <w:rFonts w:ascii="Verdana" w:hAnsi="Verdana" w:cs="Arial"/>
                <w:sz w:val="16"/>
                <w:szCs w:val="16"/>
                <w:lang w:val="en-US"/>
              </w:rPr>
            </w:pPr>
            <w:r w:rsidRPr="00195F4A">
              <w:rPr>
                <w:rFonts w:ascii="Verdana" w:hAnsi="Verdana"/>
                <w:sz w:val="16"/>
                <w:szCs w:val="16"/>
                <w:lang w:val="en-US"/>
              </w:rPr>
              <w:t>Second Section</w:t>
            </w:r>
          </w:p>
        </w:tc>
      </w:tr>
      <w:tr w:rsidR="002C5E29" w:rsidRPr="003C1F6B" w14:paraId="0D8114A4" w14:textId="0CB378F2" w:rsidTr="00081E30">
        <w:tc>
          <w:tcPr>
            <w:tcW w:w="4788" w:type="dxa"/>
            <w:shd w:val="clear" w:color="auto" w:fill="auto"/>
          </w:tcPr>
          <w:p w14:paraId="314A613C" w14:textId="77777777" w:rsidR="002C5E29" w:rsidRPr="00195F4A" w:rsidRDefault="002C5E29" w:rsidP="002C5E29">
            <w:pPr>
              <w:pStyle w:val="ANOTACION"/>
              <w:spacing w:before="0" w:after="0" w:line="240" w:lineRule="auto"/>
              <w:rPr>
                <w:rFonts w:ascii="Verdana" w:hAnsi="Verdana" w:cs="Arial"/>
                <w:sz w:val="16"/>
                <w:szCs w:val="16"/>
              </w:rPr>
            </w:pPr>
            <w:r w:rsidRPr="00195F4A">
              <w:rPr>
                <w:rFonts w:ascii="Verdana" w:hAnsi="Verdana" w:cs="Arial"/>
                <w:sz w:val="16"/>
                <w:szCs w:val="16"/>
              </w:rPr>
              <w:t>De la Consulta Previa</w:t>
            </w:r>
          </w:p>
        </w:tc>
        <w:tc>
          <w:tcPr>
            <w:tcW w:w="4788" w:type="dxa"/>
            <w:shd w:val="clear" w:color="auto" w:fill="auto"/>
          </w:tcPr>
          <w:p w14:paraId="5C33953C" w14:textId="3EA2240B" w:rsidR="002C5E29" w:rsidRPr="00195F4A" w:rsidRDefault="002C5E29" w:rsidP="002C5E29">
            <w:pPr>
              <w:pStyle w:val="ANOTACION"/>
              <w:spacing w:before="0" w:after="0" w:line="240" w:lineRule="auto"/>
              <w:rPr>
                <w:rFonts w:ascii="Verdana" w:hAnsi="Verdana" w:cs="Arial"/>
                <w:sz w:val="16"/>
                <w:szCs w:val="16"/>
                <w:lang w:val="en-US"/>
              </w:rPr>
            </w:pPr>
            <w:r>
              <w:rPr>
                <w:rFonts w:ascii="Verdana" w:hAnsi="Verdana"/>
                <w:sz w:val="16"/>
                <w:szCs w:val="16"/>
                <w:lang w:val="en-US"/>
              </w:rPr>
              <w:t>Prior Consultation</w:t>
            </w:r>
          </w:p>
        </w:tc>
      </w:tr>
      <w:tr w:rsidR="002C5E29" w:rsidRPr="003C1F6B" w14:paraId="510717DB" w14:textId="41F0F6EA" w:rsidTr="00081E30">
        <w:tc>
          <w:tcPr>
            <w:tcW w:w="4788" w:type="dxa"/>
            <w:shd w:val="clear" w:color="auto" w:fill="auto"/>
          </w:tcPr>
          <w:p w14:paraId="2C0182E3"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543D39DC" w14:textId="413F715F"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3E3BCC6" w14:textId="4BE1985E" w:rsidTr="00081E30">
        <w:tc>
          <w:tcPr>
            <w:tcW w:w="4788" w:type="dxa"/>
            <w:shd w:val="clear" w:color="auto" w:fill="auto"/>
          </w:tcPr>
          <w:p w14:paraId="182AFAC9"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85.-</w:t>
            </w:r>
            <w:r w:rsidRPr="00081E30">
              <w:rPr>
                <w:rFonts w:ascii="Verdana" w:hAnsi="Verdana"/>
                <w:bCs/>
                <w:sz w:val="16"/>
                <w:szCs w:val="16"/>
              </w:rPr>
              <w:t xml:space="preserve"> La Secretaría será la responsable de los procedimientos de Consulta Previa a que se refiere el artículo 120 de la Ley y emitirá las disposiciones administrativas de carácter general para su desarrollo, conforme a las fases que establece el artículo 87 del presente Reglamento.</w:t>
            </w:r>
          </w:p>
        </w:tc>
        <w:tc>
          <w:tcPr>
            <w:tcW w:w="4788" w:type="dxa"/>
            <w:shd w:val="clear" w:color="auto" w:fill="auto"/>
          </w:tcPr>
          <w:p w14:paraId="289F3A1F" w14:textId="75A47B58"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responsible for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rior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onsultation procedures referred to in article 120 of the Law and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issue the administrative provisions of a general nature for its development, in accordance with the phases established in article 87 of this Regulation.</w:t>
            </w:r>
          </w:p>
        </w:tc>
      </w:tr>
      <w:tr w:rsidR="002C5E29" w:rsidRPr="000A5335" w14:paraId="7AE17C29" w14:textId="7F858748" w:rsidTr="00081E30">
        <w:tc>
          <w:tcPr>
            <w:tcW w:w="4788" w:type="dxa"/>
            <w:shd w:val="clear" w:color="auto" w:fill="auto"/>
          </w:tcPr>
          <w:p w14:paraId="12CDC3E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0A3D50F" w14:textId="5A46BBC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4D46F0" w14:textId="68317CAF" w:rsidTr="00081E30">
        <w:tc>
          <w:tcPr>
            <w:tcW w:w="4788" w:type="dxa"/>
            <w:shd w:val="clear" w:color="auto" w:fill="auto"/>
          </w:tcPr>
          <w:p w14:paraId="37652BC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el caso de proyectos desarrollados por las empresas productivas del Estado, éstas llevarán a cabo los procedimientos de Consulta Previa en términos de las disposiciones administrativas referidas en el párrafo anterior.</w:t>
            </w:r>
          </w:p>
        </w:tc>
        <w:tc>
          <w:tcPr>
            <w:tcW w:w="4788" w:type="dxa"/>
            <w:shd w:val="clear" w:color="auto" w:fill="auto"/>
          </w:tcPr>
          <w:p w14:paraId="4D89366A" w14:textId="1448718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the case of projects developed by the State productive companies, they will carry out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rior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onsultation procedures in terms of the administrative provisions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paragraph.</w:t>
            </w:r>
          </w:p>
        </w:tc>
      </w:tr>
      <w:tr w:rsidR="002C5E29" w:rsidRPr="000A5335" w14:paraId="32F37AB1" w14:textId="23F96F7B" w:rsidTr="00081E30">
        <w:tc>
          <w:tcPr>
            <w:tcW w:w="4788" w:type="dxa"/>
            <w:shd w:val="clear" w:color="auto" w:fill="auto"/>
          </w:tcPr>
          <w:p w14:paraId="12A7304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367589" w14:textId="0AAA6B5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9BA36CB" w14:textId="4B47D6EB" w:rsidTr="00081E30">
        <w:tc>
          <w:tcPr>
            <w:tcW w:w="4788" w:type="dxa"/>
            <w:shd w:val="clear" w:color="auto" w:fill="auto"/>
          </w:tcPr>
          <w:p w14:paraId="41B6B7E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realizará la Consulta Previa en coordinación con la Secretaría de Gobernación, la Comisión Nacional para el Desarrollo de los Pueblos Indígenas y la Agencia.</w:t>
            </w:r>
          </w:p>
        </w:tc>
        <w:tc>
          <w:tcPr>
            <w:tcW w:w="4788" w:type="dxa"/>
            <w:shd w:val="clear" w:color="auto" w:fill="auto"/>
          </w:tcPr>
          <w:p w14:paraId="1E0CE085" w14:textId="6A3E0A3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conduct the </w:t>
            </w:r>
            <w:r>
              <w:rPr>
                <w:rFonts w:ascii="Verdana" w:hAnsi="Verdana" w:cs="Times New Roman"/>
                <w:bCs/>
                <w:sz w:val="16"/>
                <w:szCs w:val="16"/>
                <w:lang w:val="en-US"/>
              </w:rPr>
              <w:t>prior consultation</w:t>
            </w:r>
            <w:r w:rsidRPr="00081E30">
              <w:rPr>
                <w:rFonts w:ascii="Verdana" w:hAnsi="Verdana" w:cs="Times New Roman"/>
                <w:bCs/>
                <w:sz w:val="16"/>
                <w:szCs w:val="16"/>
                <w:lang w:val="en-US"/>
              </w:rPr>
              <w:t xml:space="preserve"> in coordination with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the Interior, the National Commission for the Development of Indigenous Peoples and the Agency.</w:t>
            </w:r>
          </w:p>
        </w:tc>
      </w:tr>
      <w:tr w:rsidR="002C5E29" w:rsidRPr="000A5335" w14:paraId="5B8AF5EA" w14:textId="6F0E1E6A" w:rsidTr="00081E30">
        <w:tc>
          <w:tcPr>
            <w:tcW w:w="4788" w:type="dxa"/>
            <w:shd w:val="clear" w:color="auto" w:fill="auto"/>
          </w:tcPr>
          <w:p w14:paraId="17D4D8B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BB1A905" w14:textId="72971E6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D8B7021" w14:textId="39ADD67F" w:rsidTr="00081E30">
        <w:tc>
          <w:tcPr>
            <w:tcW w:w="4788" w:type="dxa"/>
            <w:shd w:val="clear" w:color="auto" w:fill="auto"/>
          </w:tcPr>
          <w:p w14:paraId="7D09017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 anterior, sin perjuicio de que la Secretaría determine que deban participar otras dependencias o entidades federales, estatales o municipales en el ámbito de sus respectivas competencias y considerando la naturaleza del proyecto a consultar.</w:t>
            </w:r>
          </w:p>
        </w:tc>
        <w:tc>
          <w:tcPr>
            <w:tcW w:w="4788" w:type="dxa"/>
            <w:shd w:val="clear" w:color="auto" w:fill="auto"/>
          </w:tcPr>
          <w:p w14:paraId="5D0A8A05" w14:textId="5942B30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foregoing, notwithstanding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determines that other federal, state or municipal agencies or entities must participate </w:t>
            </w:r>
            <w:r>
              <w:rPr>
                <w:rFonts w:ascii="Verdana" w:hAnsi="Verdana" w:cs="Times New Roman"/>
                <w:bCs/>
                <w:sz w:val="16"/>
                <w:szCs w:val="16"/>
                <w:lang w:val="en-US"/>
              </w:rPr>
              <w:t>within</w:t>
            </w:r>
            <w:r w:rsidRPr="00081E30">
              <w:rPr>
                <w:rFonts w:ascii="Verdana" w:hAnsi="Verdana" w:cs="Times New Roman"/>
                <w:bCs/>
                <w:sz w:val="16"/>
                <w:szCs w:val="16"/>
                <w:lang w:val="en-US"/>
              </w:rPr>
              <w:t xml:space="preserve"> the scope of their respective </w:t>
            </w:r>
            <w:r>
              <w:rPr>
                <w:rFonts w:ascii="Verdana" w:hAnsi="Verdana" w:cs="Times New Roman"/>
                <w:bCs/>
                <w:sz w:val="16"/>
                <w:szCs w:val="16"/>
                <w:lang w:val="en-US"/>
              </w:rPr>
              <w:t>authority</w:t>
            </w:r>
            <w:r w:rsidRPr="00081E30">
              <w:rPr>
                <w:rFonts w:ascii="Verdana" w:hAnsi="Verdana" w:cs="Times New Roman"/>
                <w:bCs/>
                <w:sz w:val="16"/>
                <w:szCs w:val="16"/>
                <w:lang w:val="en-US"/>
              </w:rPr>
              <w:t xml:space="preserve"> and considering the nature of the project to be consulted.</w:t>
            </w:r>
          </w:p>
        </w:tc>
      </w:tr>
      <w:tr w:rsidR="002C5E29" w:rsidRPr="000A5335" w14:paraId="089FC950" w14:textId="785DD162" w:rsidTr="00081E30">
        <w:tc>
          <w:tcPr>
            <w:tcW w:w="4788" w:type="dxa"/>
            <w:shd w:val="clear" w:color="auto" w:fill="auto"/>
          </w:tcPr>
          <w:p w14:paraId="495979B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2368833" w14:textId="11D4D62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0D8110" w14:textId="4113E013" w:rsidTr="00081E30">
        <w:tc>
          <w:tcPr>
            <w:tcW w:w="4788" w:type="dxa"/>
            <w:shd w:val="clear" w:color="auto" w:fill="auto"/>
          </w:tcPr>
          <w:p w14:paraId="74FAB563"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86.-</w:t>
            </w:r>
            <w:r w:rsidRPr="00081E30">
              <w:rPr>
                <w:rFonts w:ascii="Verdana" w:hAnsi="Verdana"/>
                <w:bCs/>
                <w:sz w:val="16"/>
                <w:szCs w:val="16"/>
              </w:rPr>
              <w:t xml:space="preserve"> La Consulta Previa a comunidades y pueblos indígenas se realizará a través de sus instituciones representativas y mediante procedimientos apropiados, con el fin de alcanzar un acuerdo u obtener el consentimiento libre e informado.</w:t>
            </w:r>
          </w:p>
        </w:tc>
        <w:tc>
          <w:tcPr>
            <w:tcW w:w="4788" w:type="dxa"/>
            <w:shd w:val="clear" w:color="auto" w:fill="auto"/>
          </w:tcPr>
          <w:p w14:paraId="328800AF" w14:textId="6C0756F0"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86.-</w:t>
            </w:r>
            <w:r w:rsidRPr="00081E30">
              <w:rPr>
                <w:rFonts w:ascii="Verdana" w:hAnsi="Verdana" w:cs="Times New Roman"/>
                <w:bCs/>
                <w:sz w:val="16"/>
                <w:szCs w:val="16"/>
                <w:lang w:val="en-US"/>
              </w:rPr>
              <w:t xml:space="preserve"> </w:t>
            </w:r>
            <w:r>
              <w:rPr>
                <w:rFonts w:ascii="Verdana" w:hAnsi="Verdana" w:cs="Times New Roman"/>
                <w:bCs/>
                <w:sz w:val="16"/>
                <w:szCs w:val="16"/>
                <w:lang w:val="en-US"/>
              </w:rPr>
              <w:t>The prior consultation</w:t>
            </w:r>
            <w:r w:rsidRPr="00081E30">
              <w:rPr>
                <w:rFonts w:ascii="Verdana" w:hAnsi="Verdana" w:cs="Times New Roman"/>
                <w:bCs/>
                <w:sz w:val="16"/>
                <w:szCs w:val="16"/>
                <w:lang w:val="en-US"/>
              </w:rPr>
              <w:t xml:space="preserve"> to indigenous communities and peoples will be carried out through their representative institutions and through appropriate procedures, in order to reach an agreement or obtain free and informed consent.</w:t>
            </w:r>
          </w:p>
        </w:tc>
      </w:tr>
      <w:tr w:rsidR="002C5E29" w:rsidRPr="000A5335" w14:paraId="0F0BF6E5" w14:textId="268F13DD" w:rsidTr="00081E30">
        <w:tc>
          <w:tcPr>
            <w:tcW w:w="4788" w:type="dxa"/>
            <w:shd w:val="clear" w:color="auto" w:fill="auto"/>
          </w:tcPr>
          <w:p w14:paraId="0E1D247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9F9DA67" w14:textId="22138CB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C6D7F4" w14:textId="613C8871" w:rsidTr="00081E30">
        <w:tc>
          <w:tcPr>
            <w:tcW w:w="4788" w:type="dxa"/>
            <w:shd w:val="clear" w:color="auto" w:fill="auto"/>
          </w:tcPr>
          <w:p w14:paraId="590B5B9F"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Consulta Previa observará los principios rectores de buena fe, libertad, información, pertinencia cultural, transparencia, acomodo y razonabilidad. Asimismo, seguirá los estándares nacionales e internacionales en la materia.</w:t>
            </w:r>
          </w:p>
        </w:tc>
        <w:tc>
          <w:tcPr>
            <w:tcW w:w="4788" w:type="dxa"/>
            <w:shd w:val="clear" w:color="auto" w:fill="auto"/>
          </w:tcPr>
          <w:p w14:paraId="6A4B4DE3" w14:textId="6859D2C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prior consultation</w:t>
            </w:r>
            <w:r w:rsidRPr="00081E30">
              <w:rPr>
                <w:rFonts w:ascii="Verdana" w:hAnsi="Verdana" w:cs="Times New Roman"/>
                <w:bCs/>
                <w:sz w:val="16"/>
                <w:szCs w:val="16"/>
                <w:lang w:val="en-US"/>
              </w:rPr>
              <w:t xml:space="preserve"> will observe the guiding principles of good faith, freedom, information, cultural relevance, transparency, accommodation and reasonableness. It will also follow national and international standards in the matter.</w:t>
            </w:r>
          </w:p>
        </w:tc>
      </w:tr>
      <w:tr w:rsidR="002C5E29" w:rsidRPr="000A5335" w14:paraId="19674DE2" w14:textId="65F7DA73" w:rsidTr="00081E30">
        <w:tc>
          <w:tcPr>
            <w:tcW w:w="4788" w:type="dxa"/>
            <w:shd w:val="clear" w:color="auto" w:fill="auto"/>
          </w:tcPr>
          <w:p w14:paraId="1E57626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0845793" w14:textId="756BD63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F09501C" w14:textId="20208E87" w:rsidTr="00081E30">
        <w:tc>
          <w:tcPr>
            <w:tcW w:w="4788" w:type="dxa"/>
            <w:shd w:val="clear" w:color="auto" w:fill="auto"/>
          </w:tcPr>
          <w:p w14:paraId="2B23949F" w14:textId="77777777" w:rsidR="002C5E29" w:rsidRPr="00081E30" w:rsidRDefault="002C5E29" w:rsidP="002C5E29">
            <w:pPr>
              <w:pStyle w:val="Texto"/>
              <w:spacing w:after="0" w:line="240" w:lineRule="auto"/>
              <w:ind w:firstLine="0"/>
              <w:rPr>
                <w:rFonts w:ascii="Verdana" w:hAnsi="Verdana"/>
                <w:bCs/>
                <w:sz w:val="16"/>
                <w:szCs w:val="16"/>
              </w:rPr>
            </w:pPr>
            <w:r w:rsidRPr="00195F4A">
              <w:rPr>
                <w:rFonts w:ascii="Verdana" w:hAnsi="Verdana"/>
                <w:b/>
                <w:sz w:val="16"/>
                <w:szCs w:val="16"/>
              </w:rPr>
              <w:t>Artículo 87.-</w:t>
            </w:r>
            <w:r w:rsidRPr="00081E30">
              <w:rPr>
                <w:rFonts w:ascii="Verdana" w:hAnsi="Verdana"/>
                <w:bCs/>
                <w:sz w:val="16"/>
                <w:szCs w:val="16"/>
              </w:rPr>
              <w:t xml:space="preserve"> La Consulta Previa comprenderá, al menos, las siguientes fases generales:</w:t>
            </w:r>
          </w:p>
        </w:tc>
        <w:tc>
          <w:tcPr>
            <w:tcW w:w="4788" w:type="dxa"/>
            <w:shd w:val="clear" w:color="auto" w:fill="auto"/>
          </w:tcPr>
          <w:p w14:paraId="1C0888B8" w14:textId="23CDFAD8" w:rsidR="002C5E29" w:rsidRPr="00081E30" w:rsidRDefault="002C5E29" w:rsidP="002C5E29">
            <w:pPr>
              <w:pStyle w:val="Texto"/>
              <w:spacing w:after="0" w:line="240" w:lineRule="auto"/>
              <w:ind w:firstLine="0"/>
              <w:rPr>
                <w:rFonts w:ascii="Verdana" w:hAnsi="Verdana"/>
                <w:bCs/>
                <w:sz w:val="16"/>
                <w:szCs w:val="16"/>
                <w:lang w:val="en-US"/>
              </w:rPr>
            </w:pPr>
            <w:r w:rsidRPr="00195F4A">
              <w:rPr>
                <w:rFonts w:ascii="Verdana" w:hAnsi="Verdana" w:cs="Times New Roman"/>
                <w:b/>
                <w:sz w:val="16"/>
                <w:szCs w:val="16"/>
                <w:lang w:val="en-US"/>
              </w:rPr>
              <w:t>Article 87.- The</w:t>
            </w:r>
            <w:r w:rsidRPr="00081E30">
              <w:rPr>
                <w:rFonts w:ascii="Verdana" w:hAnsi="Verdana" w:cs="Times New Roman"/>
                <w:bCs/>
                <w:sz w:val="16"/>
                <w:szCs w:val="16"/>
                <w:lang w:val="en-US"/>
              </w:rPr>
              <w:t xml:space="preserve"> </w:t>
            </w:r>
            <w:r>
              <w:rPr>
                <w:rFonts w:ascii="Verdana" w:hAnsi="Verdana" w:cs="Times New Roman"/>
                <w:bCs/>
                <w:sz w:val="16"/>
                <w:szCs w:val="16"/>
                <w:lang w:val="en-US"/>
              </w:rPr>
              <w:t>prior consultation</w:t>
            </w:r>
            <w:r w:rsidRPr="00081E30">
              <w:rPr>
                <w:rFonts w:ascii="Verdana" w:hAnsi="Verdana" w:cs="Times New Roman"/>
                <w:bCs/>
                <w:sz w:val="16"/>
                <w:szCs w:val="16"/>
                <w:lang w:val="en-US"/>
              </w:rPr>
              <w:t xml:space="preserve"> will include at least the following general phases:</w:t>
            </w:r>
          </w:p>
        </w:tc>
      </w:tr>
      <w:tr w:rsidR="002C5E29" w:rsidRPr="000A5335" w14:paraId="54108BA9" w14:textId="0E71ACC0" w:rsidTr="00081E30">
        <w:tc>
          <w:tcPr>
            <w:tcW w:w="4788" w:type="dxa"/>
            <w:shd w:val="clear" w:color="auto" w:fill="auto"/>
          </w:tcPr>
          <w:p w14:paraId="73530C6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9FCF42D" w14:textId="7DEDEC1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12CB53A" w14:textId="3830458E" w:rsidTr="00081E30">
        <w:tc>
          <w:tcPr>
            <w:tcW w:w="4788" w:type="dxa"/>
            <w:shd w:val="clear" w:color="auto" w:fill="auto"/>
          </w:tcPr>
          <w:p w14:paraId="19CAB920" w14:textId="6D037569"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Plan de consulta: La planeación que lleva a cabo la Secretaría para la realización de la Consulta Previa, y el establecimiento de mecanismos de coordinación con las dependencias y entidades señaladas en el artículo 85 de este Reglamento;</w:t>
            </w:r>
          </w:p>
        </w:tc>
        <w:tc>
          <w:tcPr>
            <w:tcW w:w="4788" w:type="dxa"/>
            <w:shd w:val="clear" w:color="auto" w:fill="auto"/>
          </w:tcPr>
          <w:p w14:paraId="2EE91EF2" w14:textId="60DFDB6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Consultation plan: The planning carried out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to carry out the </w:t>
            </w:r>
            <w:r>
              <w:rPr>
                <w:rFonts w:ascii="Verdana" w:hAnsi="Verdana" w:cs="Times New Roman"/>
                <w:bCs/>
                <w:sz w:val="16"/>
                <w:szCs w:val="16"/>
                <w:lang w:val="en-US"/>
              </w:rPr>
              <w:t>prior consultation</w:t>
            </w:r>
            <w:r w:rsidRPr="00081E30">
              <w:rPr>
                <w:rFonts w:ascii="Verdana" w:hAnsi="Verdana" w:cs="Times New Roman"/>
                <w:bCs/>
                <w:sz w:val="16"/>
                <w:szCs w:val="16"/>
                <w:lang w:val="en-US"/>
              </w:rPr>
              <w:t xml:space="preserve">, and the establishment of coordination mechanisms with the </w:t>
            </w:r>
            <w:r>
              <w:rPr>
                <w:rFonts w:ascii="Verdana" w:hAnsi="Verdana" w:cs="Times New Roman"/>
                <w:bCs/>
                <w:sz w:val="16"/>
                <w:szCs w:val="16"/>
                <w:lang w:val="en-US"/>
              </w:rPr>
              <w:t>departments</w:t>
            </w:r>
            <w:r w:rsidRPr="00081E30">
              <w:rPr>
                <w:rFonts w:ascii="Verdana" w:hAnsi="Verdana" w:cs="Times New Roman"/>
                <w:bCs/>
                <w:sz w:val="16"/>
                <w:szCs w:val="16"/>
                <w:lang w:val="en-US"/>
              </w:rPr>
              <w:t xml:space="preserve"> and entities indicated in article 85 of </w:t>
            </w:r>
            <w:r>
              <w:rPr>
                <w:rFonts w:ascii="Verdana" w:hAnsi="Verdana" w:cs="Times New Roman"/>
                <w:bCs/>
                <w:sz w:val="16"/>
                <w:szCs w:val="16"/>
                <w:lang w:val="en-US"/>
              </w:rPr>
              <w:t>this Regulation</w:t>
            </w:r>
            <w:r w:rsidRPr="00081E30">
              <w:rPr>
                <w:rFonts w:ascii="Verdana" w:hAnsi="Verdana" w:cs="Times New Roman"/>
                <w:bCs/>
                <w:sz w:val="16"/>
                <w:szCs w:val="16"/>
                <w:lang w:val="en-US"/>
              </w:rPr>
              <w:t>;</w:t>
            </w:r>
          </w:p>
        </w:tc>
      </w:tr>
      <w:tr w:rsidR="002C5E29" w:rsidRPr="000A5335" w14:paraId="2A6B5BA6" w14:textId="4054F2E5" w:rsidTr="00081E30">
        <w:tc>
          <w:tcPr>
            <w:tcW w:w="4788" w:type="dxa"/>
            <w:shd w:val="clear" w:color="auto" w:fill="auto"/>
          </w:tcPr>
          <w:p w14:paraId="7B31392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F711E3" w14:textId="24D7403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5F66C77" w14:textId="4275EB03" w:rsidTr="00081E30">
        <w:tc>
          <w:tcPr>
            <w:tcW w:w="4788" w:type="dxa"/>
            <w:shd w:val="clear" w:color="auto" w:fill="auto"/>
          </w:tcPr>
          <w:p w14:paraId="73A7C326" w14:textId="1037A30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Acuerdos previos: Las definiciones que la Secretaría y las autoridades tradicionales o representativas de las comunidades y pueblos indígenas convienen sobre la forma en la que se llevará a cabo la Consulta Previa;</w:t>
            </w:r>
          </w:p>
        </w:tc>
        <w:tc>
          <w:tcPr>
            <w:tcW w:w="4788" w:type="dxa"/>
            <w:shd w:val="clear" w:color="auto" w:fill="auto"/>
          </w:tcPr>
          <w:p w14:paraId="40C598BF" w14:textId="47EE6A4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agreements: The definitions that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traditional or representative authorities of the indigenous communities and peoples agree on the manner in which the </w:t>
            </w:r>
            <w:r>
              <w:rPr>
                <w:rFonts w:ascii="Verdana" w:hAnsi="Verdana" w:cs="Times New Roman"/>
                <w:bCs/>
                <w:sz w:val="16"/>
                <w:szCs w:val="16"/>
                <w:lang w:val="en-US"/>
              </w:rPr>
              <w:t>prior consultation</w:t>
            </w:r>
            <w:r w:rsidRPr="00081E30">
              <w:rPr>
                <w:rFonts w:ascii="Verdana" w:hAnsi="Verdana" w:cs="Times New Roman"/>
                <w:bCs/>
                <w:sz w:val="16"/>
                <w:szCs w:val="16"/>
                <w:lang w:val="en-US"/>
              </w:rPr>
              <w:t xml:space="preserve"> will be carried out;</w:t>
            </w:r>
          </w:p>
        </w:tc>
      </w:tr>
      <w:tr w:rsidR="002C5E29" w:rsidRPr="000A5335" w14:paraId="2B44C0D8" w14:textId="7781BC3D" w:rsidTr="00081E30">
        <w:tc>
          <w:tcPr>
            <w:tcW w:w="4788" w:type="dxa"/>
            <w:shd w:val="clear" w:color="auto" w:fill="auto"/>
          </w:tcPr>
          <w:p w14:paraId="59ABB4D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71F5CBB" w14:textId="0400406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A321027" w14:textId="1935536B" w:rsidTr="00081E30">
        <w:tc>
          <w:tcPr>
            <w:tcW w:w="4788" w:type="dxa"/>
            <w:shd w:val="clear" w:color="auto" w:fill="auto"/>
          </w:tcPr>
          <w:p w14:paraId="07A6EF2C" w14:textId="2F60A28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Informativa: La entrega de información suficiente y culturalmente pertinente a las comunidades y pueblos indígenas sobre el proyecto que se somete a Consulta Previa;</w:t>
            </w:r>
          </w:p>
        </w:tc>
        <w:tc>
          <w:tcPr>
            <w:tcW w:w="4788" w:type="dxa"/>
            <w:shd w:val="clear" w:color="auto" w:fill="auto"/>
          </w:tcPr>
          <w:p w14:paraId="2DCDEF69" w14:textId="1D1D769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Informative: The delivery of sufficient and culturally relevant information to indigenous communities and peoples about the project that is submitted to </w:t>
            </w:r>
            <w:r>
              <w:rPr>
                <w:rFonts w:ascii="Verdana" w:hAnsi="Verdana" w:cs="Times New Roman"/>
                <w:bCs/>
                <w:sz w:val="16"/>
                <w:szCs w:val="16"/>
                <w:lang w:val="en-US"/>
              </w:rPr>
              <w:t>prior consultation</w:t>
            </w:r>
            <w:r w:rsidRPr="00081E30">
              <w:rPr>
                <w:rFonts w:ascii="Verdana" w:hAnsi="Verdana" w:cs="Times New Roman"/>
                <w:bCs/>
                <w:sz w:val="16"/>
                <w:szCs w:val="16"/>
                <w:lang w:val="en-US"/>
              </w:rPr>
              <w:t>;</w:t>
            </w:r>
          </w:p>
        </w:tc>
      </w:tr>
      <w:tr w:rsidR="002C5E29" w:rsidRPr="000A5335" w14:paraId="392C9468" w14:textId="50666A2F" w:rsidTr="00081E30">
        <w:tc>
          <w:tcPr>
            <w:tcW w:w="4788" w:type="dxa"/>
            <w:shd w:val="clear" w:color="auto" w:fill="auto"/>
          </w:tcPr>
          <w:p w14:paraId="5DA25F3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4045B27" w14:textId="53989B4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53FF78E" w14:textId="3629A4FC" w:rsidTr="00081E30">
        <w:tc>
          <w:tcPr>
            <w:tcW w:w="4788" w:type="dxa"/>
            <w:shd w:val="clear" w:color="auto" w:fill="auto"/>
          </w:tcPr>
          <w:p w14:paraId="7E462D2C" w14:textId="4023DCF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Deliberativa: El periodo de diálogo que ocurre al interior de la comunidad o pueblo indígena para la toma de decisiones sobre la aceptación del proyecto sometido a Consulta Previa;</w:t>
            </w:r>
          </w:p>
        </w:tc>
        <w:tc>
          <w:tcPr>
            <w:tcW w:w="4788" w:type="dxa"/>
            <w:shd w:val="clear" w:color="auto" w:fill="auto"/>
          </w:tcPr>
          <w:p w14:paraId="76AB2BC3" w14:textId="70CB650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Deliberative: The period of dialogue that occurs within the indigenous community or town for decision-making on the acceptance of the project submitted to </w:t>
            </w:r>
            <w:r>
              <w:rPr>
                <w:rFonts w:ascii="Verdana" w:hAnsi="Verdana" w:cs="Times New Roman"/>
                <w:bCs/>
                <w:sz w:val="16"/>
                <w:szCs w:val="16"/>
                <w:lang w:val="en-US"/>
              </w:rPr>
              <w:t>prior consultation</w:t>
            </w:r>
            <w:r w:rsidRPr="00081E30">
              <w:rPr>
                <w:rFonts w:ascii="Verdana" w:hAnsi="Verdana" w:cs="Times New Roman"/>
                <w:bCs/>
                <w:sz w:val="16"/>
                <w:szCs w:val="16"/>
                <w:lang w:val="en-US"/>
              </w:rPr>
              <w:t>;</w:t>
            </w:r>
          </w:p>
        </w:tc>
      </w:tr>
      <w:tr w:rsidR="002C5E29" w:rsidRPr="000A5335" w14:paraId="0A4A8445" w14:textId="1FBADE57" w:rsidTr="00081E30">
        <w:tc>
          <w:tcPr>
            <w:tcW w:w="4788" w:type="dxa"/>
            <w:shd w:val="clear" w:color="auto" w:fill="auto"/>
          </w:tcPr>
          <w:p w14:paraId="6208E51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EF064E1" w14:textId="6EB09C6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4FA093F" w14:textId="475AEB32" w:rsidTr="00081E30">
        <w:tc>
          <w:tcPr>
            <w:tcW w:w="4788" w:type="dxa"/>
            <w:shd w:val="clear" w:color="auto" w:fill="auto"/>
          </w:tcPr>
          <w:p w14:paraId="67C112C5" w14:textId="0F99441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Consultiva: La construcción de acuerdos o la obtención del consentimiento libre e informado, según sea el caso, sobre el desarrollo del proyecto sometido a Consulta Previa, y</w:t>
            </w:r>
          </w:p>
        </w:tc>
        <w:tc>
          <w:tcPr>
            <w:tcW w:w="4788" w:type="dxa"/>
            <w:shd w:val="clear" w:color="auto" w:fill="auto"/>
          </w:tcPr>
          <w:p w14:paraId="05FDC6BE" w14:textId="2CE5EA3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Consultative: The construction of agreements or</w:t>
            </w:r>
            <w:r>
              <w:rPr>
                <w:rFonts w:ascii="Verdana" w:hAnsi="Verdana" w:cs="Times New Roman"/>
                <w:bCs/>
                <w:sz w:val="16"/>
                <w:szCs w:val="16"/>
                <w:lang w:val="en-US"/>
              </w:rPr>
              <w:t xml:space="preserve"> the</w:t>
            </w:r>
            <w:r w:rsidRPr="00081E30">
              <w:rPr>
                <w:rFonts w:ascii="Verdana" w:hAnsi="Verdana" w:cs="Times New Roman"/>
                <w:bCs/>
                <w:sz w:val="16"/>
                <w:szCs w:val="16"/>
                <w:lang w:val="en-US"/>
              </w:rPr>
              <w:t xml:space="preserve"> obtaining</w:t>
            </w:r>
            <w:r>
              <w:rPr>
                <w:rFonts w:ascii="Verdana" w:hAnsi="Verdana" w:cs="Times New Roman"/>
                <w:bCs/>
                <w:sz w:val="16"/>
                <w:szCs w:val="16"/>
                <w:lang w:val="en-US"/>
              </w:rPr>
              <w:t xml:space="preserve"> of</w:t>
            </w:r>
            <w:r w:rsidRPr="00081E30">
              <w:rPr>
                <w:rFonts w:ascii="Verdana" w:hAnsi="Verdana" w:cs="Times New Roman"/>
                <w:bCs/>
                <w:sz w:val="16"/>
                <w:szCs w:val="16"/>
                <w:lang w:val="en-US"/>
              </w:rPr>
              <w:t xml:space="preserve"> free and informed consent, as the case may be, on the development of the project submitted to </w:t>
            </w:r>
            <w:r>
              <w:rPr>
                <w:rFonts w:ascii="Verdana" w:hAnsi="Verdana" w:cs="Times New Roman"/>
                <w:bCs/>
                <w:sz w:val="16"/>
                <w:szCs w:val="16"/>
                <w:lang w:val="en-US"/>
              </w:rPr>
              <w:t>prior consultation</w:t>
            </w:r>
            <w:r w:rsidRPr="00081E30">
              <w:rPr>
                <w:rFonts w:ascii="Verdana" w:hAnsi="Verdana" w:cs="Times New Roman"/>
                <w:bCs/>
                <w:sz w:val="16"/>
                <w:szCs w:val="16"/>
                <w:lang w:val="en-US"/>
              </w:rPr>
              <w:t>, and</w:t>
            </w:r>
          </w:p>
        </w:tc>
      </w:tr>
      <w:tr w:rsidR="002C5E29" w:rsidRPr="000A5335" w14:paraId="6EDC6322" w14:textId="73BE17E0" w:rsidTr="00081E30">
        <w:tc>
          <w:tcPr>
            <w:tcW w:w="4788" w:type="dxa"/>
            <w:shd w:val="clear" w:color="auto" w:fill="auto"/>
          </w:tcPr>
          <w:p w14:paraId="3741B57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EA6D6B2" w14:textId="08D3394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D90AA78" w14:textId="41876147" w:rsidTr="00081E30">
        <w:tc>
          <w:tcPr>
            <w:tcW w:w="4788" w:type="dxa"/>
            <w:shd w:val="clear" w:color="auto" w:fill="auto"/>
          </w:tcPr>
          <w:p w14:paraId="17D410AE" w14:textId="08717DD9"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V</w:t>
            </w:r>
            <w:r w:rsidRPr="00030FCB">
              <w:rPr>
                <w:rFonts w:ascii="Verdana" w:hAnsi="Verdana"/>
                <w:b/>
                <w:bCs/>
                <w:sz w:val="16"/>
                <w:szCs w:val="16"/>
              </w:rPr>
              <w:t>I.</w:t>
            </w:r>
            <w:r w:rsidRPr="00081E30">
              <w:rPr>
                <w:rFonts w:ascii="Verdana" w:hAnsi="Verdana"/>
                <w:bCs/>
                <w:sz w:val="16"/>
                <w:szCs w:val="16"/>
              </w:rPr>
              <w:t xml:space="preserve"> Seguimiento de Acuerdos: El monitoreo del cumplimiento de los acuerdos adoptados, utilizando el mecanismo que para tal efecto defina la comunidad o pueblo indígena consultado.</w:t>
            </w:r>
          </w:p>
        </w:tc>
        <w:tc>
          <w:tcPr>
            <w:tcW w:w="4788" w:type="dxa"/>
            <w:shd w:val="clear" w:color="auto" w:fill="auto"/>
          </w:tcPr>
          <w:p w14:paraId="01ABA8E1" w14:textId="60E086D9"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Monitoring of Agreements: Monitoring compliance with the agreements adopted, using the mechanism defined for this purpose by the indigenous community or people consulted.</w:t>
            </w:r>
          </w:p>
        </w:tc>
      </w:tr>
      <w:tr w:rsidR="002C5E29" w:rsidRPr="000A5335" w14:paraId="01880033" w14:textId="317A692D" w:rsidTr="00081E30">
        <w:tc>
          <w:tcPr>
            <w:tcW w:w="4788" w:type="dxa"/>
            <w:shd w:val="clear" w:color="auto" w:fill="auto"/>
          </w:tcPr>
          <w:p w14:paraId="71E88D7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021A7FC" w14:textId="6B5B22D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13E11DAD" w14:textId="663647B6" w:rsidTr="00081E30">
        <w:tc>
          <w:tcPr>
            <w:tcW w:w="4788" w:type="dxa"/>
            <w:shd w:val="clear" w:color="auto" w:fill="auto"/>
          </w:tcPr>
          <w:p w14:paraId="597C62A4"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TÍTULO CUARTO</w:t>
            </w:r>
          </w:p>
        </w:tc>
        <w:tc>
          <w:tcPr>
            <w:tcW w:w="4788" w:type="dxa"/>
            <w:shd w:val="clear" w:color="auto" w:fill="auto"/>
          </w:tcPr>
          <w:p w14:paraId="4B69F0CD" w14:textId="2254A9EA"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FOURTH TITLE</w:t>
            </w:r>
          </w:p>
        </w:tc>
      </w:tr>
      <w:tr w:rsidR="002C5E29" w:rsidRPr="000A5335" w14:paraId="253B04A1" w14:textId="3A47C097" w:rsidTr="00081E30">
        <w:tc>
          <w:tcPr>
            <w:tcW w:w="4788" w:type="dxa"/>
            <w:shd w:val="clear" w:color="auto" w:fill="auto"/>
          </w:tcPr>
          <w:p w14:paraId="3E3C2A99"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DEL CONSEJO CONSULTIVO PARA EL FOMENTO DE LA INDUSTRIA DE HIDROCARBUROS NACIONAL</w:t>
            </w:r>
          </w:p>
        </w:tc>
        <w:tc>
          <w:tcPr>
            <w:tcW w:w="4788" w:type="dxa"/>
            <w:shd w:val="clear" w:color="auto" w:fill="auto"/>
          </w:tcPr>
          <w:p w14:paraId="6DB42BB5" w14:textId="0552A8E4"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THE CONSULTATIVE COUNCIL FOR THE PROMOTION OF THE NATIONAL HYDROCARBON</w:t>
            </w:r>
            <w:r>
              <w:rPr>
                <w:rFonts w:ascii="Verdana" w:hAnsi="Verdana"/>
                <w:sz w:val="16"/>
                <w:szCs w:val="16"/>
                <w:lang w:val="en-US"/>
              </w:rPr>
              <w:t>S</w:t>
            </w:r>
            <w:r w:rsidRPr="00A24D36">
              <w:rPr>
                <w:rFonts w:ascii="Verdana" w:hAnsi="Verdana"/>
                <w:sz w:val="16"/>
                <w:szCs w:val="16"/>
                <w:lang w:val="en-US"/>
              </w:rPr>
              <w:t xml:space="preserve"> INDUSTRY</w:t>
            </w:r>
          </w:p>
        </w:tc>
      </w:tr>
      <w:tr w:rsidR="002C5E29" w:rsidRPr="000A5335" w14:paraId="391D35AB" w14:textId="33FDAA34" w:rsidTr="00081E30">
        <w:tc>
          <w:tcPr>
            <w:tcW w:w="4788" w:type="dxa"/>
            <w:shd w:val="clear" w:color="auto" w:fill="auto"/>
          </w:tcPr>
          <w:p w14:paraId="642D4E2E" w14:textId="77777777" w:rsidR="002C5E29" w:rsidRPr="00A24D36" w:rsidRDefault="002C5E29" w:rsidP="002C5E29">
            <w:pPr>
              <w:pStyle w:val="ANOTACION"/>
              <w:spacing w:before="0" w:after="0" w:line="240" w:lineRule="auto"/>
              <w:rPr>
                <w:rFonts w:ascii="Verdana" w:hAnsi="Verdana" w:cs="Arial"/>
                <w:sz w:val="16"/>
                <w:szCs w:val="16"/>
                <w:lang w:val="en-US"/>
              </w:rPr>
            </w:pPr>
          </w:p>
        </w:tc>
        <w:tc>
          <w:tcPr>
            <w:tcW w:w="4788" w:type="dxa"/>
            <w:shd w:val="clear" w:color="auto" w:fill="auto"/>
          </w:tcPr>
          <w:p w14:paraId="257752A7" w14:textId="1EDACB34"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 </w:t>
            </w:r>
          </w:p>
        </w:tc>
      </w:tr>
      <w:tr w:rsidR="002C5E29" w:rsidRPr="003C1F6B" w14:paraId="219B9C42" w14:textId="6DAA8843" w:rsidTr="00081E30">
        <w:tc>
          <w:tcPr>
            <w:tcW w:w="4788" w:type="dxa"/>
            <w:shd w:val="clear" w:color="auto" w:fill="auto"/>
          </w:tcPr>
          <w:p w14:paraId="30A0BDBC"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Capítulo I</w:t>
            </w:r>
          </w:p>
        </w:tc>
        <w:tc>
          <w:tcPr>
            <w:tcW w:w="4788" w:type="dxa"/>
            <w:shd w:val="clear" w:color="auto" w:fill="auto"/>
          </w:tcPr>
          <w:p w14:paraId="423A6A00" w14:textId="4AB252CC"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Chapter I</w:t>
            </w:r>
          </w:p>
        </w:tc>
      </w:tr>
      <w:tr w:rsidR="002C5E29" w:rsidRPr="000A5335" w14:paraId="762AA9E7" w14:textId="56015EFC" w:rsidTr="00081E30">
        <w:tc>
          <w:tcPr>
            <w:tcW w:w="4788" w:type="dxa"/>
            <w:shd w:val="clear" w:color="auto" w:fill="auto"/>
          </w:tcPr>
          <w:p w14:paraId="69C643F9"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Integración del Consejo Consultivo</w:t>
            </w:r>
          </w:p>
        </w:tc>
        <w:tc>
          <w:tcPr>
            <w:tcW w:w="4788" w:type="dxa"/>
            <w:shd w:val="clear" w:color="auto" w:fill="auto"/>
          </w:tcPr>
          <w:p w14:paraId="0DA5D359" w14:textId="7D208312"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 xml:space="preserve">Integration of the Consultative </w:t>
            </w:r>
            <w:r>
              <w:rPr>
                <w:rFonts w:ascii="Verdana" w:hAnsi="Verdana"/>
                <w:sz w:val="16"/>
                <w:szCs w:val="16"/>
                <w:lang w:val="en-US"/>
              </w:rPr>
              <w:t>C</w:t>
            </w:r>
            <w:r w:rsidRPr="00A24D36">
              <w:rPr>
                <w:rFonts w:ascii="Verdana" w:hAnsi="Verdana"/>
                <w:sz w:val="16"/>
                <w:szCs w:val="16"/>
                <w:lang w:val="en-US"/>
              </w:rPr>
              <w:t>ouncil</w:t>
            </w:r>
          </w:p>
        </w:tc>
      </w:tr>
      <w:tr w:rsidR="002C5E29" w:rsidRPr="000A5335" w14:paraId="6B715E48" w14:textId="2DA9C317" w:rsidTr="00081E30">
        <w:tc>
          <w:tcPr>
            <w:tcW w:w="4788" w:type="dxa"/>
            <w:shd w:val="clear" w:color="auto" w:fill="auto"/>
          </w:tcPr>
          <w:p w14:paraId="5DC50C2F"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64AE2750" w14:textId="64E16E68"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B156BE4" w14:textId="08271FBA" w:rsidTr="00081E30">
        <w:tc>
          <w:tcPr>
            <w:tcW w:w="4788" w:type="dxa"/>
            <w:shd w:val="clear" w:color="auto" w:fill="auto"/>
          </w:tcPr>
          <w:p w14:paraId="773AEFFB"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88.-</w:t>
            </w:r>
            <w:r w:rsidRPr="00081E30">
              <w:rPr>
                <w:rFonts w:ascii="Verdana" w:hAnsi="Verdana"/>
                <w:bCs/>
                <w:sz w:val="16"/>
                <w:szCs w:val="16"/>
              </w:rPr>
              <w:t xml:space="preserve"> El Consejo Consultivo es un órgano colegiado que tiene por objeto apoyar el fomento de las Cadenas Productivas locales relativas a la Industria de Hidrocarburos, el cual se integra por:</w:t>
            </w:r>
          </w:p>
        </w:tc>
        <w:tc>
          <w:tcPr>
            <w:tcW w:w="4788" w:type="dxa"/>
            <w:shd w:val="clear" w:color="auto" w:fill="auto"/>
          </w:tcPr>
          <w:p w14:paraId="5FF8D91E" w14:textId="1D3814C1"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88.-</w:t>
            </w:r>
            <w:r w:rsidRPr="00081E30">
              <w:rPr>
                <w:rFonts w:ascii="Verdana" w:hAnsi="Verdana" w:cs="Times New Roman"/>
                <w:bCs/>
                <w:sz w:val="16"/>
                <w:szCs w:val="16"/>
                <w:lang w:val="en-US"/>
              </w:rPr>
              <w:t xml:space="preserve">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is a collegiate body whose purpose is to support the promotion of local </w:t>
            </w:r>
            <w:r>
              <w:rPr>
                <w:rFonts w:ascii="Verdana" w:hAnsi="Verdana" w:cs="Times New Roman"/>
                <w:bCs/>
                <w:sz w:val="16"/>
                <w:szCs w:val="16"/>
                <w:lang w:val="en-US"/>
              </w:rPr>
              <w:t>p</w:t>
            </w:r>
            <w:r w:rsidRPr="00081E30">
              <w:rPr>
                <w:rFonts w:ascii="Verdana" w:hAnsi="Verdana" w:cs="Times New Roman"/>
                <w:bCs/>
                <w:sz w:val="16"/>
                <w:szCs w:val="16"/>
                <w:lang w:val="en-US"/>
              </w:rPr>
              <w:t xml:space="preserve">roductive </w:t>
            </w:r>
            <w:r>
              <w:rPr>
                <w:rFonts w:ascii="Verdana" w:hAnsi="Verdana" w:cs="Times New Roman"/>
                <w:bCs/>
                <w:sz w:val="16"/>
                <w:szCs w:val="16"/>
                <w:lang w:val="en-US"/>
              </w:rPr>
              <w:t>c</w:t>
            </w:r>
            <w:r w:rsidRPr="00081E30">
              <w:rPr>
                <w:rFonts w:ascii="Verdana" w:hAnsi="Verdana" w:cs="Times New Roman"/>
                <w:bCs/>
                <w:sz w:val="16"/>
                <w:szCs w:val="16"/>
                <w:lang w:val="en-US"/>
              </w:rPr>
              <w:t xml:space="preserve">hains related to the </w:t>
            </w:r>
            <w:r>
              <w:rPr>
                <w:rFonts w:ascii="Verdana" w:hAnsi="Verdana" w:cs="Times New Roman"/>
                <w:bCs/>
                <w:sz w:val="16"/>
                <w:szCs w:val="16"/>
                <w:lang w:val="en-US"/>
              </w:rPr>
              <w:t>h</w:t>
            </w:r>
            <w:r w:rsidRPr="00081E30">
              <w:rPr>
                <w:rFonts w:ascii="Verdana" w:hAnsi="Verdana" w:cs="Times New Roman"/>
                <w:bCs/>
                <w:sz w:val="16"/>
                <w:szCs w:val="16"/>
                <w:lang w:val="en-US"/>
              </w:rPr>
              <w:t>ydrocarbons</w:t>
            </w:r>
            <w:r>
              <w:rPr>
                <w:rFonts w:ascii="Verdana" w:hAnsi="Verdana" w:cs="Times New Roman"/>
                <w:bCs/>
                <w:sz w:val="16"/>
                <w:szCs w:val="16"/>
                <w:lang w:val="en-US"/>
              </w:rPr>
              <w:t xml:space="preserve"> industry</w:t>
            </w:r>
            <w:r w:rsidRPr="00081E30">
              <w:rPr>
                <w:rFonts w:ascii="Verdana" w:hAnsi="Verdana" w:cs="Times New Roman"/>
                <w:bCs/>
                <w:sz w:val="16"/>
                <w:szCs w:val="16"/>
                <w:lang w:val="en-US"/>
              </w:rPr>
              <w:t>, which is composed of:</w:t>
            </w:r>
          </w:p>
        </w:tc>
      </w:tr>
      <w:tr w:rsidR="002C5E29" w:rsidRPr="000A5335" w14:paraId="6E01F008" w14:textId="68AE36BA" w:rsidTr="00081E30">
        <w:tc>
          <w:tcPr>
            <w:tcW w:w="4788" w:type="dxa"/>
            <w:shd w:val="clear" w:color="auto" w:fill="auto"/>
          </w:tcPr>
          <w:p w14:paraId="6FD8DF7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766DCF" w14:textId="64F9D5F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88C7A66" w14:textId="205FA226" w:rsidTr="00081E30">
        <w:tc>
          <w:tcPr>
            <w:tcW w:w="4788" w:type="dxa"/>
            <w:shd w:val="clear" w:color="auto" w:fill="auto"/>
          </w:tcPr>
          <w:p w14:paraId="5B626368" w14:textId="07760A0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Un representante de la Secretaría de Economía, quien lo presidirá;</w:t>
            </w:r>
          </w:p>
        </w:tc>
        <w:tc>
          <w:tcPr>
            <w:tcW w:w="4788" w:type="dxa"/>
            <w:shd w:val="clear" w:color="auto" w:fill="auto"/>
          </w:tcPr>
          <w:p w14:paraId="0FDC60B4" w14:textId="482FFD1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A representative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who will preside;</w:t>
            </w:r>
          </w:p>
        </w:tc>
      </w:tr>
      <w:tr w:rsidR="002C5E29" w:rsidRPr="000A5335" w14:paraId="7812B5D8" w14:textId="14768527" w:rsidTr="00081E30">
        <w:tc>
          <w:tcPr>
            <w:tcW w:w="4788" w:type="dxa"/>
            <w:shd w:val="clear" w:color="auto" w:fill="auto"/>
          </w:tcPr>
          <w:p w14:paraId="7040914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DEDFA5" w14:textId="141C129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97F08DE" w14:textId="7E367270" w:rsidTr="00081E30">
        <w:tc>
          <w:tcPr>
            <w:tcW w:w="4788" w:type="dxa"/>
            <w:shd w:val="clear" w:color="auto" w:fill="auto"/>
          </w:tcPr>
          <w:p w14:paraId="00D72A51" w14:textId="6272278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Un representante de la Secretaría;</w:t>
            </w:r>
          </w:p>
        </w:tc>
        <w:tc>
          <w:tcPr>
            <w:tcW w:w="4788" w:type="dxa"/>
            <w:shd w:val="clear" w:color="auto" w:fill="auto"/>
          </w:tcPr>
          <w:p w14:paraId="09D1270E" w14:textId="1210FCA5"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A representative of the </w:t>
            </w:r>
            <w:r>
              <w:rPr>
                <w:rFonts w:ascii="Verdana" w:hAnsi="Verdana" w:cs="Times New Roman"/>
                <w:bCs/>
                <w:sz w:val="16"/>
                <w:szCs w:val="16"/>
                <w:lang w:val="en-US"/>
              </w:rPr>
              <w:t>Secretary</w:t>
            </w:r>
            <w:r w:rsidRPr="00081E30">
              <w:rPr>
                <w:rFonts w:ascii="Verdana" w:hAnsi="Verdana" w:cs="Times New Roman"/>
                <w:bCs/>
                <w:sz w:val="16"/>
                <w:szCs w:val="16"/>
                <w:lang w:val="en-US"/>
              </w:rPr>
              <w:t>;</w:t>
            </w:r>
          </w:p>
        </w:tc>
      </w:tr>
      <w:tr w:rsidR="002C5E29" w:rsidRPr="000A5335" w14:paraId="587E2C1B" w14:textId="37D3FB02" w:rsidTr="00081E30">
        <w:tc>
          <w:tcPr>
            <w:tcW w:w="4788" w:type="dxa"/>
            <w:shd w:val="clear" w:color="auto" w:fill="auto"/>
          </w:tcPr>
          <w:p w14:paraId="7984034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A515B09" w14:textId="3B6166B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A1DD498" w14:textId="7E1E43E7" w:rsidTr="00081E30">
        <w:tc>
          <w:tcPr>
            <w:tcW w:w="4788" w:type="dxa"/>
            <w:shd w:val="clear" w:color="auto" w:fill="auto"/>
          </w:tcPr>
          <w:p w14:paraId="7B6EF0EE" w14:textId="189A43E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Un representante de la Comisión, y</w:t>
            </w:r>
          </w:p>
        </w:tc>
        <w:tc>
          <w:tcPr>
            <w:tcW w:w="4788" w:type="dxa"/>
            <w:shd w:val="clear" w:color="auto" w:fill="auto"/>
          </w:tcPr>
          <w:p w14:paraId="6A1FFABD" w14:textId="5D22F5F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A representative of the Commission, and</w:t>
            </w:r>
          </w:p>
        </w:tc>
      </w:tr>
      <w:tr w:rsidR="002C5E29" w:rsidRPr="000A5335" w14:paraId="4448FCF3" w14:textId="67E30E62" w:rsidTr="00081E30">
        <w:tc>
          <w:tcPr>
            <w:tcW w:w="4788" w:type="dxa"/>
            <w:shd w:val="clear" w:color="auto" w:fill="auto"/>
          </w:tcPr>
          <w:p w14:paraId="1571A8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CABAAC2" w14:textId="1D2C202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DA2B501" w14:textId="30C29032" w:rsidTr="00081E30">
        <w:tc>
          <w:tcPr>
            <w:tcW w:w="4788" w:type="dxa"/>
            <w:shd w:val="clear" w:color="auto" w:fill="auto"/>
          </w:tcPr>
          <w:p w14:paraId="3F1CC447" w14:textId="386E10B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Un representante de la Comisión Reguladora de Energía.</w:t>
            </w:r>
          </w:p>
        </w:tc>
        <w:tc>
          <w:tcPr>
            <w:tcW w:w="4788" w:type="dxa"/>
            <w:shd w:val="clear" w:color="auto" w:fill="auto"/>
          </w:tcPr>
          <w:p w14:paraId="33229F16" w14:textId="094CBCA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A representative of the Energy Regulatory Commission.</w:t>
            </w:r>
          </w:p>
        </w:tc>
      </w:tr>
      <w:tr w:rsidR="002C5E29" w:rsidRPr="000A5335" w14:paraId="7BF53C25" w14:textId="523DEF6D" w:rsidTr="00081E30">
        <w:tc>
          <w:tcPr>
            <w:tcW w:w="4788" w:type="dxa"/>
            <w:shd w:val="clear" w:color="auto" w:fill="auto"/>
          </w:tcPr>
          <w:p w14:paraId="7606BFB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D16F9AC" w14:textId="0BBDD6A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2B1D60" w14:textId="6575037D" w:rsidTr="00081E30">
        <w:tc>
          <w:tcPr>
            <w:tcW w:w="4788" w:type="dxa"/>
            <w:shd w:val="clear" w:color="auto" w:fill="auto"/>
          </w:tcPr>
          <w:p w14:paraId="0A115D0B"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Asistirán como miembros del Consejo Consultivo, con voz pero sin voto, representantes del sector académico, representantes del sector privado o de la industria, incluyendo al menos tres representantes de las cámaras u organizaciones empresariales que cuenten con presencia a nivel nacional, los cuales serán determinados por el Titular de la Secretaría de Economía.</w:t>
            </w:r>
          </w:p>
        </w:tc>
        <w:tc>
          <w:tcPr>
            <w:tcW w:w="4788" w:type="dxa"/>
            <w:shd w:val="clear" w:color="auto" w:fill="auto"/>
          </w:tcPr>
          <w:p w14:paraId="5513C19A" w14:textId="178C6FC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Representatives of the academic sector, representatives of the private sector or industry, including at least three representatives of the chambers or business organizations that have a national presence, who will be determined as members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with voice but without vote by the Head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w:t>
            </w:r>
          </w:p>
        </w:tc>
      </w:tr>
      <w:tr w:rsidR="002C5E29" w:rsidRPr="000A5335" w14:paraId="69B8D24F" w14:textId="71F72010" w:rsidTr="00081E30">
        <w:tc>
          <w:tcPr>
            <w:tcW w:w="4788" w:type="dxa"/>
            <w:shd w:val="clear" w:color="auto" w:fill="auto"/>
          </w:tcPr>
          <w:p w14:paraId="2C12D66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095EDF7" w14:textId="0ECEDAF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650ED64" w14:textId="02D6E2CB" w:rsidTr="00081E30">
        <w:tc>
          <w:tcPr>
            <w:tcW w:w="4788" w:type="dxa"/>
            <w:shd w:val="clear" w:color="auto" w:fill="auto"/>
          </w:tcPr>
          <w:p w14:paraId="7269222C"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Como invitados permanentes podrán asistir las empresas productivas del Estado en materia de hidrocarburos, así como las dependencias o entidades de la Administración Pública Federal y Estatal y los representantes del sector privado que determine el Presidente del Consejo Consultivo.</w:t>
            </w:r>
          </w:p>
        </w:tc>
        <w:tc>
          <w:tcPr>
            <w:tcW w:w="4788" w:type="dxa"/>
            <w:shd w:val="clear" w:color="auto" w:fill="auto"/>
          </w:tcPr>
          <w:p w14:paraId="08C732DB" w14:textId="6BCA3C7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As permanent guests, the State's productive companies in the field of hydrocarbons may attend, as well as the </w:t>
            </w:r>
            <w:r>
              <w:rPr>
                <w:rFonts w:ascii="Verdana" w:hAnsi="Verdana" w:cs="Times New Roman"/>
                <w:bCs/>
                <w:sz w:val="16"/>
                <w:szCs w:val="16"/>
                <w:lang w:val="en-US"/>
              </w:rPr>
              <w:t>departments</w:t>
            </w:r>
            <w:r w:rsidRPr="00081E30">
              <w:rPr>
                <w:rFonts w:ascii="Verdana" w:hAnsi="Verdana" w:cs="Times New Roman"/>
                <w:bCs/>
                <w:sz w:val="16"/>
                <w:szCs w:val="16"/>
                <w:lang w:val="en-US"/>
              </w:rPr>
              <w:t xml:space="preserve"> or entities of the Federal and State Public Administration and the representatives of the private sector determined by the President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w:t>
            </w:r>
          </w:p>
        </w:tc>
      </w:tr>
      <w:tr w:rsidR="002C5E29" w:rsidRPr="000A5335" w14:paraId="5E688B6E" w14:textId="5CF6BC5F" w:rsidTr="00081E30">
        <w:tc>
          <w:tcPr>
            <w:tcW w:w="4788" w:type="dxa"/>
            <w:shd w:val="clear" w:color="auto" w:fill="auto"/>
          </w:tcPr>
          <w:p w14:paraId="29AFF57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0A57DEB" w14:textId="61633A7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2F1D079" w14:textId="67DC5CC3" w:rsidTr="00081E30">
        <w:tc>
          <w:tcPr>
            <w:tcW w:w="4788" w:type="dxa"/>
            <w:shd w:val="clear" w:color="auto" w:fill="auto"/>
          </w:tcPr>
          <w:p w14:paraId="6BB9D373" w14:textId="77777777" w:rsidR="002C5E29" w:rsidRPr="00081E30" w:rsidRDefault="002C5E29" w:rsidP="002C5E29">
            <w:pPr>
              <w:pStyle w:val="Texto"/>
              <w:spacing w:after="0" w:line="240" w:lineRule="auto"/>
              <w:ind w:firstLine="0"/>
              <w:rPr>
                <w:rFonts w:ascii="Verdana" w:hAnsi="Verdana"/>
                <w:bCs/>
                <w:spacing w:val="-2"/>
                <w:sz w:val="16"/>
                <w:szCs w:val="16"/>
              </w:rPr>
            </w:pPr>
            <w:r w:rsidRPr="00081E30">
              <w:rPr>
                <w:rFonts w:ascii="Verdana" w:hAnsi="Verdana"/>
                <w:bCs/>
                <w:spacing w:val="-2"/>
                <w:sz w:val="16"/>
                <w:szCs w:val="16"/>
              </w:rPr>
              <w:t>El Consejo Consultivo, a propuesta de su Presidente, emitirá los lineamientos que regulen su funcionamiento.</w:t>
            </w:r>
          </w:p>
        </w:tc>
        <w:tc>
          <w:tcPr>
            <w:tcW w:w="4788" w:type="dxa"/>
            <w:shd w:val="clear" w:color="auto" w:fill="auto"/>
          </w:tcPr>
          <w:p w14:paraId="0BDF8E1E" w14:textId="1F58C522" w:rsidR="002C5E29" w:rsidRPr="00081E30" w:rsidRDefault="002C5E29" w:rsidP="002C5E29">
            <w:pPr>
              <w:pStyle w:val="Texto"/>
              <w:spacing w:after="0" w:line="240" w:lineRule="auto"/>
              <w:ind w:firstLine="0"/>
              <w:rPr>
                <w:rFonts w:ascii="Verdana" w:hAnsi="Verdana"/>
                <w:bCs/>
                <w:spacing w:val="-2"/>
                <w:sz w:val="16"/>
                <w:szCs w:val="16"/>
                <w:lang w:val="en-US"/>
              </w:rPr>
            </w:pPr>
            <w:r w:rsidRPr="00081E30">
              <w:rPr>
                <w:rFonts w:ascii="Verdana" w:hAnsi="Verdana" w:cs="Times New Roman"/>
                <w:bCs/>
                <w:spacing w:val="-2"/>
                <w:sz w:val="16"/>
                <w:szCs w:val="16"/>
                <w:lang w:val="en-US"/>
              </w:rPr>
              <w:t xml:space="preserve">The </w:t>
            </w:r>
            <w:r>
              <w:rPr>
                <w:rFonts w:ascii="Verdana" w:hAnsi="Verdana" w:cs="Times New Roman"/>
                <w:bCs/>
                <w:spacing w:val="-2"/>
                <w:sz w:val="16"/>
                <w:szCs w:val="16"/>
                <w:lang w:val="en-US"/>
              </w:rPr>
              <w:t>Consultative Council</w:t>
            </w:r>
            <w:r w:rsidRPr="00081E30">
              <w:rPr>
                <w:rFonts w:ascii="Verdana" w:hAnsi="Verdana" w:cs="Times New Roman"/>
                <w:bCs/>
                <w:spacing w:val="-2"/>
                <w:sz w:val="16"/>
                <w:szCs w:val="16"/>
                <w:lang w:val="en-US"/>
              </w:rPr>
              <w:t>, at the proposal of its President, will issue the guidelines that regulate its operation.</w:t>
            </w:r>
          </w:p>
        </w:tc>
      </w:tr>
      <w:tr w:rsidR="002C5E29" w:rsidRPr="000A5335" w14:paraId="64A7E7F4" w14:textId="1A5BDBB5" w:rsidTr="00081E30">
        <w:tc>
          <w:tcPr>
            <w:tcW w:w="4788" w:type="dxa"/>
            <w:shd w:val="clear" w:color="auto" w:fill="auto"/>
          </w:tcPr>
          <w:p w14:paraId="21D788CD" w14:textId="77777777" w:rsidR="002C5E29" w:rsidRPr="00081E30" w:rsidRDefault="002C5E29" w:rsidP="002C5E29">
            <w:pPr>
              <w:pStyle w:val="Texto"/>
              <w:spacing w:after="0" w:line="240" w:lineRule="auto"/>
              <w:ind w:firstLine="0"/>
              <w:rPr>
                <w:rFonts w:ascii="Verdana" w:hAnsi="Verdana"/>
                <w:bCs/>
                <w:spacing w:val="-2"/>
                <w:sz w:val="16"/>
                <w:szCs w:val="16"/>
                <w:lang w:val="en-US"/>
              </w:rPr>
            </w:pPr>
          </w:p>
        </w:tc>
        <w:tc>
          <w:tcPr>
            <w:tcW w:w="4788" w:type="dxa"/>
            <w:shd w:val="clear" w:color="auto" w:fill="auto"/>
          </w:tcPr>
          <w:p w14:paraId="51087B2E" w14:textId="7A1BDB17" w:rsidR="002C5E29" w:rsidRPr="00081E30" w:rsidRDefault="002C5E29" w:rsidP="002C5E29">
            <w:pPr>
              <w:pStyle w:val="Texto"/>
              <w:spacing w:after="0" w:line="240" w:lineRule="auto"/>
              <w:ind w:firstLine="0"/>
              <w:rPr>
                <w:rFonts w:ascii="Verdana" w:hAnsi="Verdana"/>
                <w:bCs/>
                <w:spacing w:val="-2"/>
                <w:sz w:val="16"/>
                <w:szCs w:val="16"/>
                <w:lang w:val="en-US"/>
              </w:rPr>
            </w:pPr>
            <w:r w:rsidRPr="00081E30">
              <w:rPr>
                <w:rFonts w:ascii="Verdana" w:hAnsi="Verdana" w:cs="Times New Roman"/>
                <w:bCs/>
                <w:spacing w:val="-2"/>
                <w:sz w:val="16"/>
                <w:szCs w:val="16"/>
                <w:lang w:val="en-US"/>
              </w:rPr>
              <w:t> </w:t>
            </w:r>
          </w:p>
        </w:tc>
      </w:tr>
      <w:tr w:rsidR="002C5E29" w:rsidRPr="000A5335" w14:paraId="29D1CE7A" w14:textId="4D6A780A" w:rsidTr="00081E30">
        <w:tc>
          <w:tcPr>
            <w:tcW w:w="4788" w:type="dxa"/>
            <w:shd w:val="clear" w:color="auto" w:fill="auto"/>
          </w:tcPr>
          <w:p w14:paraId="187A606C"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89.-</w:t>
            </w:r>
            <w:r w:rsidRPr="00081E30">
              <w:rPr>
                <w:rFonts w:ascii="Verdana" w:hAnsi="Verdana"/>
                <w:bCs/>
                <w:sz w:val="16"/>
                <w:szCs w:val="16"/>
              </w:rPr>
              <w:t xml:space="preserve"> El Presidente del Consejo Consultivo tendrá nivel mínimo de Subsecretario o su equivalente, quien podrá ser suplido por servidores públicos con nivel mínimo de Director General o equivalente.</w:t>
            </w:r>
          </w:p>
        </w:tc>
        <w:tc>
          <w:tcPr>
            <w:tcW w:w="4788" w:type="dxa"/>
            <w:shd w:val="clear" w:color="auto" w:fill="auto"/>
          </w:tcPr>
          <w:p w14:paraId="088BF9CB" w14:textId="510C881F"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89.-</w:t>
            </w:r>
            <w:r w:rsidRPr="00081E30">
              <w:rPr>
                <w:rFonts w:ascii="Verdana" w:hAnsi="Verdana" w:cs="Times New Roman"/>
                <w:bCs/>
                <w:sz w:val="16"/>
                <w:szCs w:val="16"/>
                <w:lang w:val="en-US"/>
              </w:rPr>
              <w:t xml:space="preserve"> The President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a minimum level of Assistant Secretary or its equivalent, who may be supplied by public servants with a minimum level of General Director or</w:t>
            </w:r>
            <w:r>
              <w:rPr>
                <w:rFonts w:ascii="Verdana" w:hAnsi="Verdana" w:cs="Times New Roman"/>
                <w:bCs/>
                <w:sz w:val="16"/>
                <w:szCs w:val="16"/>
                <w:lang w:val="en-US"/>
              </w:rPr>
              <w:t xml:space="preserve"> the</w:t>
            </w:r>
            <w:r w:rsidRPr="00081E30">
              <w:rPr>
                <w:rFonts w:ascii="Verdana" w:hAnsi="Verdana" w:cs="Times New Roman"/>
                <w:bCs/>
                <w:sz w:val="16"/>
                <w:szCs w:val="16"/>
                <w:lang w:val="en-US"/>
              </w:rPr>
              <w:t xml:space="preserve"> equivalent.</w:t>
            </w:r>
          </w:p>
        </w:tc>
      </w:tr>
      <w:tr w:rsidR="002C5E29" w:rsidRPr="000A5335" w14:paraId="7D3FBC9A" w14:textId="7CFA9245" w:rsidTr="00081E30">
        <w:tc>
          <w:tcPr>
            <w:tcW w:w="4788" w:type="dxa"/>
            <w:shd w:val="clear" w:color="auto" w:fill="auto"/>
          </w:tcPr>
          <w:p w14:paraId="70EADD7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CA63BE" w14:textId="348D542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C555407" w14:textId="76614178" w:rsidTr="00081E30">
        <w:tc>
          <w:tcPr>
            <w:tcW w:w="4788" w:type="dxa"/>
            <w:shd w:val="clear" w:color="auto" w:fill="auto"/>
          </w:tcPr>
          <w:p w14:paraId="11336924"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representantes de la Administración Pública Federal que integren el Consejo Consultivo deberán tener nivel mínimo de Subsecretario o equivalente y podrán ser suplidos por servidores públicos del nivel inmediato inferior.</w:t>
            </w:r>
          </w:p>
        </w:tc>
        <w:tc>
          <w:tcPr>
            <w:tcW w:w="4788" w:type="dxa"/>
            <w:shd w:val="clear" w:color="auto" w:fill="auto"/>
          </w:tcPr>
          <w:p w14:paraId="0C198372" w14:textId="06CD49B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representatives of the Federal Public Administration that make up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must have a minimum level of Assistant Secretary or equivalent and may be supplied by public servants of the lower immediate level.</w:t>
            </w:r>
          </w:p>
        </w:tc>
      </w:tr>
      <w:tr w:rsidR="002C5E29" w:rsidRPr="000A5335" w14:paraId="50A9CEB7" w14:textId="49D460CA" w:rsidTr="00081E30">
        <w:tc>
          <w:tcPr>
            <w:tcW w:w="4788" w:type="dxa"/>
            <w:shd w:val="clear" w:color="auto" w:fill="auto"/>
          </w:tcPr>
          <w:p w14:paraId="70859B7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391FDF2" w14:textId="244F1A7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7BC7FA" w14:textId="42C82194" w:rsidTr="00081E30">
        <w:tc>
          <w:tcPr>
            <w:tcW w:w="4788" w:type="dxa"/>
            <w:shd w:val="clear" w:color="auto" w:fill="auto"/>
          </w:tcPr>
          <w:p w14:paraId="1D6C1C0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representantes de los sectores académico, privado o de la Industria de Hidrocarburos que integran el Consejo Consultivo serán suplidos por las personas que ellos designen.</w:t>
            </w:r>
          </w:p>
        </w:tc>
        <w:tc>
          <w:tcPr>
            <w:tcW w:w="4788" w:type="dxa"/>
            <w:shd w:val="clear" w:color="auto" w:fill="auto"/>
          </w:tcPr>
          <w:p w14:paraId="12BCFD91" w14:textId="35B750B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representatives of the academic, private or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 </w:t>
            </w:r>
            <w:r>
              <w:rPr>
                <w:rFonts w:ascii="Verdana" w:hAnsi="Verdana" w:cs="Times New Roman"/>
                <w:bCs/>
                <w:sz w:val="16"/>
                <w:szCs w:val="16"/>
                <w:lang w:val="en-US"/>
              </w:rPr>
              <w:t>i</w:t>
            </w:r>
            <w:r w:rsidRPr="00081E30">
              <w:rPr>
                <w:rFonts w:ascii="Verdana" w:hAnsi="Verdana" w:cs="Times New Roman"/>
                <w:bCs/>
                <w:sz w:val="16"/>
                <w:szCs w:val="16"/>
                <w:lang w:val="en-US"/>
              </w:rPr>
              <w:t xml:space="preserve">ndustry sectors that make up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will be supplied by the people they designate.</w:t>
            </w:r>
          </w:p>
        </w:tc>
      </w:tr>
      <w:tr w:rsidR="002C5E29" w:rsidRPr="000A5335" w14:paraId="01CE9865" w14:textId="77584C22" w:rsidTr="00081E30">
        <w:tc>
          <w:tcPr>
            <w:tcW w:w="4788" w:type="dxa"/>
            <w:shd w:val="clear" w:color="auto" w:fill="auto"/>
          </w:tcPr>
          <w:p w14:paraId="42B3ABB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16DB7DB" w14:textId="5E85CB1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F61594B" w14:textId="3932F7A5" w:rsidTr="00081E30">
        <w:tc>
          <w:tcPr>
            <w:tcW w:w="4788" w:type="dxa"/>
            <w:shd w:val="clear" w:color="auto" w:fill="auto"/>
          </w:tcPr>
          <w:p w14:paraId="6DB90E2A"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El Consejo Consultivo contará con un Secretario Técnico quien se encargará de emitir las convocatorias para las </w:t>
            </w:r>
            <w:r w:rsidRPr="00081E30">
              <w:rPr>
                <w:rFonts w:ascii="Verdana" w:hAnsi="Verdana"/>
                <w:bCs/>
                <w:sz w:val="16"/>
                <w:szCs w:val="16"/>
              </w:rPr>
              <w:lastRenderedPageBreak/>
              <w:t>sesiones del Consejo Consultivo, levantar actas de las mismas, así como dar seguimiento a los acuerdos que se adopten en el Consejo Consultivo.</w:t>
            </w:r>
          </w:p>
        </w:tc>
        <w:tc>
          <w:tcPr>
            <w:tcW w:w="4788" w:type="dxa"/>
            <w:shd w:val="clear" w:color="auto" w:fill="auto"/>
          </w:tcPr>
          <w:p w14:paraId="7353396C" w14:textId="2205271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lastRenderedPageBreak/>
              <w:t xml:space="preserve">The Consultative Council will have a Technical Secretary who will be in charge of issuing the calls for the sessions </w:t>
            </w:r>
            <w:r w:rsidRPr="00081E30">
              <w:rPr>
                <w:rFonts w:ascii="Verdana" w:hAnsi="Verdana" w:cs="Times New Roman"/>
                <w:bCs/>
                <w:sz w:val="16"/>
                <w:szCs w:val="16"/>
                <w:lang w:val="en-US"/>
              </w:rPr>
              <w:lastRenderedPageBreak/>
              <w:t xml:space="preserve">of the Consultative Council, taking </w:t>
            </w:r>
            <w:r>
              <w:rPr>
                <w:rFonts w:ascii="Verdana" w:hAnsi="Verdana" w:cs="Times New Roman"/>
                <w:bCs/>
                <w:sz w:val="16"/>
                <w:szCs w:val="16"/>
                <w:lang w:val="en-US"/>
              </w:rPr>
              <w:t xml:space="preserve">the </w:t>
            </w:r>
            <w:r w:rsidRPr="00081E30">
              <w:rPr>
                <w:rFonts w:ascii="Verdana" w:hAnsi="Verdana" w:cs="Times New Roman"/>
                <w:bCs/>
                <w:sz w:val="16"/>
                <w:szCs w:val="16"/>
                <w:lang w:val="en-US"/>
              </w:rPr>
              <w:t>minutes of them, as well as following up on the agreements adopted in the Consultative Council.</w:t>
            </w:r>
          </w:p>
        </w:tc>
      </w:tr>
      <w:tr w:rsidR="002C5E29" w:rsidRPr="000A5335" w14:paraId="42C272AF" w14:textId="5ACEE52F" w:rsidTr="00081E30">
        <w:tc>
          <w:tcPr>
            <w:tcW w:w="4788" w:type="dxa"/>
            <w:shd w:val="clear" w:color="auto" w:fill="auto"/>
          </w:tcPr>
          <w:p w14:paraId="04AB82B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E3B2D24" w14:textId="2784AC5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4A668F28" w14:textId="4F3F9B97" w:rsidTr="00081E30">
        <w:tc>
          <w:tcPr>
            <w:tcW w:w="4788" w:type="dxa"/>
            <w:shd w:val="clear" w:color="auto" w:fill="auto"/>
          </w:tcPr>
          <w:p w14:paraId="38B67300"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Capítulo II</w:t>
            </w:r>
          </w:p>
        </w:tc>
        <w:tc>
          <w:tcPr>
            <w:tcW w:w="4788" w:type="dxa"/>
            <w:shd w:val="clear" w:color="auto" w:fill="auto"/>
          </w:tcPr>
          <w:p w14:paraId="5640BDB4" w14:textId="27D547CD"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Chapter II</w:t>
            </w:r>
          </w:p>
        </w:tc>
      </w:tr>
      <w:tr w:rsidR="002C5E29" w:rsidRPr="000A5335" w14:paraId="0FA6F27D" w14:textId="0CBA9808" w:rsidTr="00081E30">
        <w:tc>
          <w:tcPr>
            <w:tcW w:w="4788" w:type="dxa"/>
            <w:shd w:val="clear" w:color="auto" w:fill="auto"/>
          </w:tcPr>
          <w:p w14:paraId="5B8EC84C"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Funcionamiento del Consejo Consultivo</w:t>
            </w:r>
          </w:p>
        </w:tc>
        <w:tc>
          <w:tcPr>
            <w:tcW w:w="4788" w:type="dxa"/>
            <w:shd w:val="clear" w:color="auto" w:fill="auto"/>
          </w:tcPr>
          <w:p w14:paraId="6D672520" w14:textId="4532B50C"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Operation of the Consultative Council</w:t>
            </w:r>
          </w:p>
        </w:tc>
      </w:tr>
      <w:tr w:rsidR="002C5E29" w:rsidRPr="000A5335" w14:paraId="3AED9425" w14:textId="29081BA3" w:rsidTr="00081E30">
        <w:tc>
          <w:tcPr>
            <w:tcW w:w="4788" w:type="dxa"/>
            <w:shd w:val="clear" w:color="auto" w:fill="auto"/>
          </w:tcPr>
          <w:p w14:paraId="12B167F3"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3718FBFB" w14:textId="21095655"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1948CA" w14:textId="548795C3" w:rsidTr="00081E30">
        <w:tc>
          <w:tcPr>
            <w:tcW w:w="4788" w:type="dxa"/>
            <w:shd w:val="clear" w:color="auto" w:fill="auto"/>
          </w:tcPr>
          <w:p w14:paraId="47591221"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90.-</w:t>
            </w:r>
            <w:r w:rsidRPr="00081E30">
              <w:rPr>
                <w:rFonts w:ascii="Verdana" w:hAnsi="Verdana"/>
                <w:bCs/>
                <w:sz w:val="16"/>
                <w:szCs w:val="16"/>
              </w:rPr>
              <w:t xml:space="preserve"> El Consejo Consultivo sesionará válidamente con la presencia de la mayoría de sus miembros y sus decisiones serán adoptadas por mayoría de votos de los presentes, teniendo su Presidente voto de calidad en caso de empate.</w:t>
            </w:r>
          </w:p>
        </w:tc>
        <w:tc>
          <w:tcPr>
            <w:tcW w:w="4788" w:type="dxa"/>
            <w:shd w:val="clear" w:color="auto" w:fill="auto"/>
          </w:tcPr>
          <w:p w14:paraId="708941EA" w14:textId="0A9B9E80"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90.-</w:t>
            </w:r>
            <w:r w:rsidRPr="00081E30">
              <w:rPr>
                <w:rFonts w:ascii="Verdana" w:hAnsi="Verdana" w:cs="Times New Roman"/>
                <w:bCs/>
                <w:sz w:val="16"/>
                <w:szCs w:val="16"/>
                <w:lang w:val="en-US"/>
              </w:rPr>
              <w:t xml:space="preserve">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validly meet with the presence of the majority of its members and its decisions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adopted by a majority vote of those present, with its President having a quali</w:t>
            </w:r>
            <w:r>
              <w:rPr>
                <w:rFonts w:ascii="Verdana" w:hAnsi="Verdana" w:cs="Times New Roman"/>
                <w:bCs/>
                <w:sz w:val="16"/>
                <w:szCs w:val="16"/>
                <w:lang w:val="en-US"/>
              </w:rPr>
              <w:t>fied</w:t>
            </w:r>
            <w:r w:rsidRPr="00081E30">
              <w:rPr>
                <w:rFonts w:ascii="Verdana" w:hAnsi="Verdana" w:cs="Times New Roman"/>
                <w:bCs/>
                <w:sz w:val="16"/>
                <w:szCs w:val="16"/>
                <w:lang w:val="en-US"/>
              </w:rPr>
              <w:t xml:space="preserve"> vote in case of a tie.</w:t>
            </w:r>
          </w:p>
        </w:tc>
      </w:tr>
      <w:tr w:rsidR="002C5E29" w:rsidRPr="000A5335" w14:paraId="4E667B5A" w14:textId="5CB2934F" w:rsidTr="00081E30">
        <w:tc>
          <w:tcPr>
            <w:tcW w:w="4788" w:type="dxa"/>
            <w:shd w:val="clear" w:color="auto" w:fill="auto"/>
          </w:tcPr>
          <w:p w14:paraId="480A4E3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9CA2DB7" w14:textId="38ADEC0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8B94A92" w14:textId="6C48B486" w:rsidTr="00081E30">
        <w:tc>
          <w:tcPr>
            <w:tcW w:w="4788" w:type="dxa"/>
            <w:shd w:val="clear" w:color="auto" w:fill="auto"/>
          </w:tcPr>
          <w:p w14:paraId="4C970575"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Las sesiones podrán ser ordinarias o extraordinarias. Las primeras se llevarán a cabo al menos una vez cada cuatrimestre. Las extraordinarias se llevarán a cabo en cualquier tiempo a juicio del Presidente del Consejo Consultivo.</w:t>
            </w:r>
          </w:p>
        </w:tc>
        <w:tc>
          <w:tcPr>
            <w:tcW w:w="4788" w:type="dxa"/>
            <w:shd w:val="clear" w:color="auto" w:fill="auto"/>
          </w:tcPr>
          <w:p w14:paraId="3C4259DD" w14:textId="3F0B8AF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sessions may be ordinary or </w:t>
            </w:r>
            <w:r>
              <w:rPr>
                <w:rFonts w:ascii="Verdana" w:hAnsi="Verdana" w:cs="Times New Roman"/>
                <w:bCs/>
                <w:sz w:val="16"/>
                <w:szCs w:val="16"/>
                <w:lang w:val="en-US"/>
              </w:rPr>
              <w:t>special</w:t>
            </w:r>
            <w:r w:rsidRPr="00081E30">
              <w:rPr>
                <w:rFonts w:ascii="Verdana" w:hAnsi="Verdana" w:cs="Times New Roman"/>
                <w:bCs/>
                <w:sz w:val="16"/>
                <w:szCs w:val="16"/>
                <w:lang w:val="en-US"/>
              </w:rPr>
              <w:t xml:space="preserve">. The first will be carried out at least once every four months. The </w:t>
            </w:r>
            <w:r>
              <w:rPr>
                <w:rFonts w:ascii="Verdana" w:hAnsi="Verdana" w:cs="Times New Roman"/>
                <w:bCs/>
                <w:sz w:val="16"/>
                <w:szCs w:val="16"/>
                <w:lang w:val="en-US"/>
              </w:rPr>
              <w:t>special</w:t>
            </w:r>
            <w:r w:rsidRPr="00081E30">
              <w:rPr>
                <w:rFonts w:ascii="Verdana" w:hAnsi="Verdana" w:cs="Times New Roman"/>
                <w:bCs/>
                <w:sz w:val="16"/>
                <w:szCs w:val="16"/>
                <w:lang w:val="en-US"/>
              </w:rPr>
              <w:t xml:space="preserve"> ones will be carried out at any time in the opinion of the President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w:t>
            </w:r>
          </w:p>
        </w:tc>
      </w:tr>
      <w:tr w:rsidR="002C5E29" w:rsidRPr="000A5335" w14:paraId="4A120F13" w14:textId="587E3D63" w:rsidTr="00081E30">
        <w:tc>
          <w:tcPr>
            <w:tcW w:w="4788" w:type="dxa"/>
            <w:shd w:val="clear" w:color="auto" w:fill="auto"/>
          </w:tcPr>
          <w:p w14:paraId="576EA08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05F174" w14:textId="75B2995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0F46DED" w14:textId="450CDDF6" w:rsidTr="00081E30">
        <w:tc>
          <w:tcPr>
            <w:tcW w:w="4788" w:type="dxa"/>
            <w:shd w:val="clear" w:color="auto" w:fill="auto"/>
          </w:tcPr>
          <w:p w14:paraId="31D91B2D"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Las convocatorias serán enviadas por lo menos con cinco días hábiles de anticipación para las sesiones ordinarias y con dos días hábiles de anticipación para las extraordinarias.</w:t>
            </w:r>
          </w:p>
        </w:tc>
        <w:tc>
          <w:tcPr>
            <w:tcW w:w="4788" w:type="dxa"/>
            <w:shd w:val="clear" w:color="auto" w:fill="auto"/>
          </w:tcPr>
          <w:p w14:paraId="19ABF2B9" w14:textId="7C19DAF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calls will be sent at least five business days in advance for the ordinary sessions and two business days in advance for the </w:t>
            </w:r>
            <w:r>
              <w:rPr>
                <w:rFonts w:ascii="Verdana" w:hAnsi="Verdana" w:cs="Times New Roman"/>
                <w:bCs/>
                <w:sz w:val="16"/>
                <w:szCs w:val="16"/>
                <w:lang w:val="en-US"/>
              </w:rPr>
              <w:t>special</w:t>
            </w:r>
            <w:r w:rsidRPr="00081E30">
              <w:rPr>
                <w:rFonts w:ascii="Verdana" w:hAnsi="Verdana" w:cs="Times New Roman"/>
                <w:bCs/>
                <w:sz w:val="16"/>
                <w:szCs w:val="16"/>
                <w:lang w:val="en-US"/>
              </w:rPr>
              <w:t xml:space="preserve"> ones.</w:t>
            </w:r>
          </w:p>
        </w:tc>
      </w:tr>
      <w:tr w:rsidR="002C5E29" w:rsidRPr="000A5335" w14:paraId="27793BB9" w14:textId="748B5A34" w:rsidTr="00081E30">
        <w:tc>
          <w:tcPr>
            <w:tcW w:w="4788" w:type="dxa"/>
            <w:shd w:val="clear" w:color="auto" w:fill="auto"/>
          </w:tcPr>
          <w:p w14:paraId="6C2A227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110632C" w14:textId="4510AD3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FEF73F6" w14:textId="0CB94037" w:rsidTr="00081E30">
        <w:tc>
          <w:tcPr>
            <w:tcW w:w="4788" w:type="dxa"/>
            <w:shd w:val="clear" w:color="auto" w:fill="auto"/>
          </w:tcPr>
          <w:p w14:paraId="70F4F1DC"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91.-</w:t>
            </w:r>
            <w:r w:rsidRPr="00081E30">
              <w:rPr>
                <w:rFonts w:ascii="Verdana" w:hAnsi="Verdana"/>
                <w:bCs/>
                <w:sz w:val="16"/>
                <w:szCs w:val="16"/>
              </w:rPr>
              <w:t xml:space="preserve"> A las sesiones sólo podrán asistir los miembros e invitados que se encuentren formalmente acreditados ante el Consejo Consultivo.</w:t>
            </w:r>
          </w:p>
        </w:tc>
        <w:tc>
          <w:tcPr>
            <w:tcW w:w="4788" w:type="dxa"/>
            <w:shd w:val="clear" w:color="auto" w:fill="auto"/>
          </w:tcPr>
          <w:p w14:paraId="39E13E6B" w14:textId="242BB6B6"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91.-</w:t>
            </w:r>
            <w:r w:rsidRPr="00081E30">
              <w:rPr>
                <w:rFonts w:ascii="Verdana" w:hAnsi="Verdana" w:cs="Times New Roman"/>
                <w:bCs/>
                <w:sz w:val="16"/>
                <w:szCs w:val="16"/>
                <w:lang w:val="en-US"/>
              </w:rPr>
              <w:t xml:space="preserve"> The sessions may only be attended by members and guests who are formally accredited before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w:t>
            </w:r>
          </w:p>
        </w:tc>
      </w:tr>
      <w:tr w:rsidR="002C5E29" w:rsidRPr="000A5335" w14:paraId="6C15B9DA" w14:textId="112470CE" w:rsidTr="00081E30">
        <w:tc>
          <w:tcPr>
            <w:tcW w:w="4788" w:type="dxa"/>
            <w:shd w:val="clear" w:color="auto" w:fill="auto"/>
          </w:tcPr>
          <w:p w14:paraId="2040AC1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E0851D3" w14:textId="0A75CB1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C6E40C5" w14:textId="6037CDF6" w:rsidTr="00081E30">
        <w:tc>
          <w:tcPr>
            <w:tcW w:w="4788" w:type="dxa"/>
            <w:shd w:val="clear" w:color="auto" w:fill="auto"/>
          </w:tcPr>
          <w:p w14:paraId="1887CA72"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Para efectos de lo anterior, los titulares de las dependencias de la Administración Pública Federal y representantes del sector académico, privado o de la Industria de Hidrocarburos que integran el Consejo Consultivo, deberán comunicar oficialmente al Presidente del Consejo Consultivo los nombres y cargos de sus representantes y suplentes.</w:t>
            </w:r>
          </w:p>
        </w:tc>
        <w:tc>
          <w:tcPr>
            <w:tcW w:w="4788" w:type="dxa"/>
            <w:shd w:val="clear" w:color="auto" w:fill="auto"/>
          </w:tcPr>
          <w:p w14:paraId="57E54D0D" w14:textId="22394B1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For the purposes of the foregoing, the holders of the Federal Public Administration units and representatives of the academic, private or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 </w:t>
            </w:r>
            <w:r>
              <w:rPr>
                <w:rFonts w:ascii="Verdana" w:hAnsi="Verdana" w:cs="Times New Roman"/>
                <w:bCs/>
                <w:sz w:val="16"/>
                <w:szCs w:val="16"/>
                <w:lang w:val="en-US"/>
              </w:rPr>
              <w:t>i</w:t>
            </w:r>
            <w:r w:rsidRPr="00081E30">
              <w:rPr>
                <w:rFonts w:ascii="Verdana" w:hAnsi="Verdana" w:cs="Times New Roman"/>
                <w:bCs/>
                <w:sz w:val="16"/>
                <w:szCs w:val="16"/>
                <w:lang w:val="en-US"/>
              </w:rPr>
              <w:t xml:space="preserve">ndustry sector that make up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must officially communicate to the President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the names and positions of their representatives and alternates.</w:t>
            </w:r>
          </w:p>
        </w:tc>
      </w:tr>
      <w:tr w:rsidR="002C5E29" w:rsidRPr="000A5335" w14:paraId="4A6B55F6" w14:textId="12C9E123" w:rsidTr="00081E30">
        <w:tc>
          <w:tcPr>
            <w:tcW w:w="4788" w:type="dxa"/>
            <w:shd w:val="clear" w:color="auto" w:fill="auto"/>
          </w:tcPr>
          <w:p w14:paraId="1CB798B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5CEC764" w14:textId="652BC8A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777CB695" w14:textId="48C432B3" w:rsidTr="00081E30">
        <w:tc>
          <w:tcPr>
            <w:tcW w:w="4788" w:type="dxa"/>
            <w:shd w:val="clear" w:color="auto" w:fill="auto"/>
          </w:tcPr>
          <w:p w14:paraId="12CDAD44"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Capítulo III</w:t>
            </w:r>
          </w:p>
        </w:tc>
        <w:tc>
          <w:tcPr>
            <w:tcW w:w="4788" w:type="dxa"/>
            <w:shd w:val="clear" w:color="auto" w:fill="auto"/>
          </w:tcPr>
          <w:p w14:paraId="29D9E208" w14:textId="5BBCF160"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Chapter III</w:t>
            </w:r>
          </w:p>
        </w:tc>
      </w:tr>
      <w:tr w:rsidR="002C5E29" w:rsidRPr="000A5335" w14:paraId="618DA5C3" w14:textId="26C1210D" w:rsidTr="00081E30">
        <w:tc>
          <w:tcPr>
            <w:tcW w:w="4788" w:type="dxa"/>
            <w:shd w:val="clear" w:color="auto" w:fill="auto"/>
          </w:tcPr>
          <w:p w14:paraId="06756AC4"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Funciones del Consejo Consultivo</w:t>
            </w:r>
          </w:p>
        </w:tc>
        <w:tc>
          <w:tcPr>
            <w:tcW w:w="4788" w:type="dxa"/>
            <w:shd w:val="clear" w:color="auto" w:fill="auto"/>
          </w:tcPr>
          <w:p w14:paraId="5A1DC8E3" w14:textId="78C84925"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Functions of the Consultative Council</w:t>
            </w:r>
          </w:p>
        </w:tc>
      </w:tr>
      <w:tr w:rsidR="002C5E29" w:rsidRPr="000A5335" w14:paraId="7F4B0E8F" w14:textId="43B08C26" w:rsidTr="00081E30">
        <w:tc>
          <w:tcPr>
            <w:tcW w:w="4788" w:type="dxa"/>
            <w:shd w:val="clear" w:color="auto" w:fill="auto"/>
          </w:tcPr>
          <w:p w14:paraId="121D0B66" w14:textId="77777777" w:rsidR="002C5E29" w:rsidRPr="00081E30" w:rsidRDefault="002C5E29" w:rsidP="002C5E29">
            <w:pPr>
              <w:pStyle w:val="Texto"/>
              <w:spacing w:after="0" w:line="240" w:lineRule="auto"/>
              <w:ind w:firstLine="0"/>
              <w:jc w:val="center"/>
              <w:rPr>
                <w:rFonts w:ascii="Verdana" w:hAnsi="Verdana"/>
                <w:bCs/>
                <w:sz w:val="16"/>
                <w:szCs w:val="16"/>
                <w:lang w:val="en-US"/>
              </w:rPr>
            </w:pPr>
          </w:p>
        </w:tc>
        <w:tc>
          <w:tcPr>
            <w:tcW w:w="4788" w:type="dxa"/>
            <w:shd w:val="clear" w:color="auto" w:fill="auto"/>
          </w:tcPr>
          <w:p w14:paraId="66FD65EB" w14:textId="55A2677A"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BC82E2" w14:textId="223BD997" w:rsidTr="00081E30">
        <w:tc>
          <w:tcPr>
            <w:tcW w:w="4788" w:type="dxa"/>
            <w:shd w:val="clear" w:color="auto" w:fill="auto"/>
          </w:tcPr>
          <w:p w14:paraId="7D7A813A"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92.-</w:t>
            </w:r>
            <w:r w:rsidRPr="00081E30">
              <w:rPr>
                <w:rFonts w:ascii="Verdana" w:hAnsi="Verdana"/>
                <w:bCs/>
                <w:sz w:val="16"/>
                <w:szCs w:val="16"/>
              </w:rPr>
              <w:t xml:space="preserve"> El Consejo Consultivo llevará a cabo funciones de apoyo respecto de:</w:t>
            </w:r>
          </w:p>
        </w:tc>
        <w:tc>
          <w:tcPr>
            <w:tcW w:w="4788" w:type="dxa"/>
            <w:shd w:val="clear" w:color="auto" w:fill="auto"/>
          </w:tcPr>
          <w:p w14:paraId="6D173AF0" w14:textId="58BEFD50"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92.-</w:t>
            </w:r>
            <w:r w:rsidRPr="00081E30">
              <w:rPr>
                <w:rFonts w:ascii="Verdana" w:hAnsi="Verdana" w:cs="Times New Roman"/>
                <w:bCs/>
                <w:sz w:val="16"/>
                <w:szCs w:val="16"/>
                <w:lang w:val="en-US"/>
              </w:rPr>
              <w:t xml:space="preserve">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will carry out support functions regarding:</w:t>
            </w:r>
          </w:p>
        </w:tc>
      </w:tr>
      <w:tr w:rsidR="002C5E29" w:rsidRPr="000A5335" w14:paraId="4057F053" w14:textId="2F3CF529" w:rsidTr="00081E30">
        <w:tc>
          <w:tcPr>
            <w:tcW w:w="4788" w:type="dxa"/>
            <w:shd w:val="clear" w:color="auto" w:fill="auto"/>
          </w:tcPr>
          <w:p w14:paraId="5DF5F8D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095F5FE" w14:textId="0FFC2F9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60F0FF6" w14:textId="240AF1C8" w:rsidTr="00081E30">
        <w:tc>
          <w:tcPr>
            <w:tcW w:w="4788" w:type="dxa"/>
            <w:shd w:val="clear" w:color="auto" w:fill="auto"/>
          </w:tcPr>
          <w:p w14:paraId="08AB7E0B" w14:textId="74BCC62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definición de políticas, criterios y metodologías para el diagnóstico de la oferta de productos, bienes y servicios de la Industria de Hidrocarburos;</w:t>
            </w:r>
          </w:p>
        </w:tc>
        <w:tc>
          <w:tcPr>
            <w:tcW w:w="4788" w:type="dxa"/>
            <w:shd w:val="clear" w:color="auto" w:fill="auto"/>
          </w:tcPr>
          <w:p w14:paraId="52EA5DB2" w14:textId="048FB5D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definition of policies, criteria and methodologies for the diagnosis of the offer of products, goods and services of the </w:t>
            </w:r>
            <w:r>
              <w:rPr>
                <w:rFonts w:ascii="Verdana" w:hAnsi="Verdana" w:cs="Times New Roman"/>
                <w:bCs/>
                <w:sz w:val="16"/>
                <w:szCs w:val="16"/>
                <w:lang w:val="en-US"/>
              </w:rPr>
              <w:t>h</w:t>
            </w:r>
            <w:r w:rsidRPr="00081E30">
              <w:rPr>
                <w:rFonts w:ascii="Verdana" w:hAnsi="Verdana" w:cs="Times New Roman"/>
                <w:bCs/>
                <w:sz w:val="16"/>
                <w:szCs w:val="16"/>
                <w:lang w:val="en-US"/>
              </w:rPr>
              <w:t xml:space="preserve">ydrocarbons </w:t>
            </w:r>
            <w:r>
              <w:rPr>
                <w:rFonts w:ascii="Verdana" w:hAnsi="Verdana" w:cs="Times New Roman"/>
                <w:bCs/>
                <w:sz w:val="16"/>
                <w:szCs w:val="16"/>
                <w:lang w:val="en-US"/>
              </w:rPr>
              <w:t>i</w:t>
            </w:r>
            <w:r w:rsidRPr="00081E30">
              <w:rPr>
                <w:rFonts w:ascii="Verdana" w:hAnsi="Verdana" w:cs="Times New Roman"/>
                <w:bCs/>
                <w:sz w:val="16"/>
                <w:szCs w:val="16"/>
                <w:lang w:val="en-US"/>
              </w:rPr>
              <w:t>ndustry;</w:t>
            </w:r>
          </w:p>
        </w:tc>
      </w:tr>
      <w:tr w:rsidR="002C5E29" w:rsidRPr="000A5335" w14:paraId="1F47F883" w14:textId="04195FEB" w:rsidTr="00081E30">
        <w:tc>
          <w:tcPr>
            <w:tcW w:w="4788" w:type="dxa"/>
            <w:shd w:val="clear" w:color="auto" w:fill="auto"/>
          </w:tcPr>
          <w:p w14:paraId="7AE4316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C815D36" w14:textId="654B056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FEE49D7" w14:textId="69E1CC36" w:rsidTr="00081E30">
        <w:tc>
          <w:tcPr>
            <w:tcW w:w="4788" w:type="dxa"/>
            <w:shd w:val="clear" w:color="auto" w:fill="auto"/>
          </w:tcPr>
          <w:p w14:paraId="27158724" w14:textId="7C9307B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promoción de la Industria de Hidrocarburos nacional;</w:t>
            </w:r>
          </w:p>
        </w:tc>
        <w:tc>
          <w:tcPr>
            <w:tcW w:w="4788" w:type="dxa"/>
            <w:shd w:val="clear" w:color="auto" w:fill="auto"/>
          </w:tcPr>
          <w:p w14:paraId="16642D87" w14:textId="715920A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promotion of the national </w:t>
            </w:r>
            <w:r>
              <w:rPr>
                <w:rFonts w:ascii="Verdana" w:hAnsi="Verdana" w:cs="Times New Roman"/>
                <w:bCs/>
                <w:sz w:val="16"/>
                <w:szCs w:val="16"/>
                <w:lang w:val="en-US"/>
              </w:rPr>
              <w:t>hydrocarbons industry</w:t>
            </w:r>
            <w:r w:rsidRPr="00081E30">
              <w:rPr>
                <w:rFonts w:ascii="Verdana" w:hAnsi="Verdana" w:cs="Times New Roman"/>
                <w:bCs/>
                <w:sz w:val="16"/>
                <w:szCs w:val="16"/>
                <w:lang w:val="en-US"/>
              </w:rPr>
              <w:t>;</w:t>
            </w:r>
          </w:p>
        </w:tc>
      </w:tr>
      <w:tr w:rsidR="002C5E29" w:rsidRPr="000A5335" w14:paraId="038DAB93" w14:textId="1C335BD4" w:rsidTr="00081E30">
        <w:tc>
          <w:tcPr>
            <w:tcW w:w="4788" w:type="dxa"/>
            <w:shd w:val="clear" w:color="auto" w:fill="auto"/>
          </w:tcPr>
          <w:p w14:paraId="7393AE2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95687F0" w14:textId="4AAEBFF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424A6F3" w14:textId="07A9FDAC" w:rsidTr="00081E30">
        <w:tc>
          <w:tcPr>
            <w:tcW w:w="4788" w:type="dxa"/>
            <w:shd w:val="clear" w:color="auto" w:fill="auto"/>
          </w:tcPr>
          <w:p w14:paraId="6CFBD4EE" w14:textId="22FE980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formación de Cadenas Productivas regionales y nacionales de la Industria de Hidrocarburos, y</w:t>
            </w:r>
          </w:p>
        </w:tc>
        <w:tc>
          <w:tcPr>
            <w:tcW w:w="4788" w:type="dxa"/>
            <w:shd w:val="clear" w:color="auto" w:fill="auto"/>
          </w:tcPr>
          <w:p w14:paraId="1F757026" w14:textId="0FF4D99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formation of regional and national </w:t>
            </w:r>
            <w:r>
              <w:rPr>
                <w:rFonts w:ascii="Verdana" w:hAnsi="Verdana" w:cs="Times New Roman"/>
                <w:bCs/>
                <w:sz w:val="16"/>
                <w:szCs w:val="16"/>
                <w:lang w:val="en-US"/>
              </w:rPr>
              <w:t>p</w:t>
            </w:r>
            <w:r w:rsidRPr="00081E30">
              <w:rPr>
                <w:rFonts w:ascii="Verdana" w:hAnsi="Verdana" w:cs="Times New Roman"/>
                <w:bCs/>
                <w:sz w:val="16"/>
                <w:szCs w:val="16"/>
                <w:lang w:val="en-US"/>
              </w:rPr>
              <w:t xml:space="preserve">roductive </w:t>
            </w:r>
            <w:r>
              <w:rPr>
                <w:rFonts w:ascii="Verdana" w:hAnsi="Verdana" w:cs="Times New Roman"/>
                <w:bCs/>
                <w:sz w:val="16"/>
                <w:szCs w:val="16"/>
                <w:lang w:val="en-US"/>
              </w:rPr>
              <w:t>c</w:t>
            </w:r>
            <w:r w:rsidRPr="00081E30">
              <w:rPr>
                <w:rFonts w:ascii="Verdana" w:hAnsi="Verdana" w:cs="Times New Roman"/>
                <w:bCs/>
                <w:sz w:val="16"/>
                <w:szCs w:val="16"/>
                <w:lang w:val="en-US"/>
              </w:rPr>
              <w:t xml:space="preserve">hains of the </w:t>
            </w:r>
            <w:r>
              <w:rPr>
                <w:rFonts w:ascii="Verdana" w:hAnsi="Verdana" w:cs="Times New Roman"/>
                <w:bCs/>
                <w:sz w:val="16"/>
                <w:szCs w:val="16"/>
                <w:lang w:val="en-US"/>
              </w:rPr>
              <w:t>hydrocarbons industry</w:t>
            </w:r>
            <w:r w:rsidRPr="00081E30">
              <w:rPr>
                <w:rFonts w:ascii="Verdana" w:hAnsi="Verdana" w:cs="Times New Roman"/>
                <w:bCs/>
                <w:sz w:val="16"/>
                <w:szCs w:val="16"/>
                <w:lang w:val="en-US"/>
              </w:rPr>
              <w:t>, and</w:t>
            </w:r>
          </w:p>
        </w:tc>
      </w:tr>
      <w:tr w:rsidR="002C5E29" w:rsidRPr="000A5335" w14:paraId="0016979E" w14:textId="775C3246" w:rsidTr="00081E30">
        <w:tc>
          <w:tcPr>
            <w:tcW w:w="4788" w:type="dxa"/>
            <w:shd w:val="clear" w:color="auto" w:fill="auto"/>
          </w:tcPr>
          <w:p w14:paraId="5D256EC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01AAC8" w14:textId="059368C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416A67B" w14:textId="06017E2C" w:rsidTr="00081E30">
        <w:tc>
          <w:tcPr>
            <w:tcW w:w="4788" w:type="dxa"/>
            <w:shd w:val="clear" w:color="auto" w:fill="auto"/>
          </w:tcPr>
          <w:p w14:paraId="7DC33008" w14:textId="2C93177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El desarrollo del talento de los recursos humanos, la innovación y la tecnología en la Industria de Hidrocarburos.</w:t>
            </w:r>
          </w:p>
        </w:tc>
        <w:tc>
          <w:tcPr>
            <w:tcW w:w="4788" w:type="dxa"/>
            <w:shd w:val="clear" w:color="auto" w:fill="auto"/>
          </w:tcPr>
          <w:p w14:paraId="0252045A" w14:textId="715415D7"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development of human resources talent, innovation and technology in the </w:t>
            </w:r>
            <w:r>
              <w:rPr>
                <w:rFonts w:ascii="Verdana" w:hAnsi="Verdana" w:cs="Times New Roman"/>
                <w:bCs/>
                <w:sz w:val="16"/>
                <w:szCs w:val="16"/>
                <w:lang w:val="en-US"/>
              </w:rPr>
              <w:t>hydrocarbons industry</w:t>
            </w:r>
            <w:r w:rsidRPr="00081E30">
              <w:rPr>
                <w:rFonts w:ascii="Verdana" w:hAnsi="Verdana" w:cs="Times New Roman"/>
                <w:bCs/>
                <w:sz w:val="16"/>
                <w:szCs w:val="16"/>
                <w:lang w:val="en-US"/>
              </w:rPr>
              <w:t>.</w:t>
            </w:r>
          </w:p>
        </w:tc>
      </w:tr>
      <w:tr w:rsidR="002C5E29" w:rsidRPr="000A5335" w14:paraId="245BCF25" w14:textId="1F7DA42C" w:rsidTr="00081E30">
        <w:tc>
          <w:tcPr>
            <w:tcW w:w="4788" w:type="dxa"/>
            <w:shd w:val="clear" w:color="auto" w:fill="auto"/>
          </w:tcPr>
          <w:p w14:paraId="33FDA2D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20FFDA9" w14:textId="0F7E99B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D0F3D78" w14:textId="2A83066D" w:rsidTr="00081E30">
        <w:tc>
          <w:tcPr>
            <w:tcW w:w="4788" w:type="dxa"/>
            <w:shd w:val="clear" w:color="auto" w:fill="auto"/>
          </w:tcPr>
          <w:p w14:paraId="71268027"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93.-</w:t>
            </w:r>
            <w:r w:rsidRPr="00081E30">
              <w:rPr>
                <w:rFonts w:ascii="Verdana" w:hAnsi="Verdana"/>
                <w:bCs/>
                <w:sz w:val="16"/>
                <w:szCs w:val="16"/>
              </w:rPr>
              <w:t xml:space="preserve"> El Presidente del Consejo Consultivo tendrá las siguientes funciones:</w:t>
            </w:r>
          </w:p>
        </w:tc>
        <w:tc>
          <w:tcPr>
            <w:tcW w:w="4788" w:type="dxa"/>
            <w:shd w:val="clear" w:color="auto" w:fill="auto"/>
          </w:tcPr>
          <w:p w14:paraId="7F9A48C1" w14:textId="15496BFF"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93.-</w:t>
            </w:r>
            <w:r w:rsidRPr="00081E30">
              <w:rPr>
                <w:rFonts w:ascii="Verdana" w:hAnsi="Verdana" w:cs="Times New Roman"/>
                <w:bCs/>
                <w:sz w:val="16"/>
                <w:szCs w:val="16"/>
                <w:lang w:val="en-US"/>
              </w:rPr>
              <w:t xml:space="preserve"> The President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have the following functions:</w:t>
            </w:r>
          </w:p>
        </w:tc>
      </w:tr>
      <w:tr w:rsidR="002C5E29" w:rsidRPr="000A5335" w14:paraId="704193CA" w14:textId="5CE6070D" w:rsidTr="00081E30">
        <w:tc>
          <w:tcPr>
            <w:tcW w:w="4788" w:type="dxa"/>
            <w:shd w:val="clear" w:color="auto" w:fill="auto"/>
          </w:tcPr>
          <w:p w14:paraId="7CB6149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FA97022" w14:textId="1EC0CC4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C84F1A0" w14:textId="223FD691" w:rsidTr="00081E30">
        <w:tc>
          <w:tcPr>
            <w:tcW w:w="4788" w:type="dxa"/>
            <w:shd w:val="clear" w:color="auto" w:fill="auto"/>
          </w:tcPr>
          <w:p w14:paraId="1ECF949C" w14:textId="07B44DE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Coordinar las sesiones del Consejo Consultivo;</w:t>
            </w:r>
          </w:p>
        </w:tc>
        <w:tc>
          <w:tcPr>
            <w:tcW w:w="4788" w:type="dxa"/>
            <w:shd w:val="clear" w:color="auto" w:fill="auto"/>
          </w:tcPr>
          <w:p w14:paraId="0617493A" w14:textId="21FCAA0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t>
            </w:r>
            <w:r>
              <w:rPr>
                <w:rFonts w:ascii="Verdana" w:hAnsi="Verdana" w:cs="Times New Roman"/>
                <w:bCs/>
                <w:sz w:val="16"/>
                <w:szCs w:val="16"/>
                <w:lang w:val="en-US"/>
              </w:rPr>
              <w:t>To c</w:t>
            </w:r>
            <w:r w:rsidRPr="00081E30">
              <w:rPr>
                <w:rFonts w:ascii="Verdana" w:hAnsi="Verdana" w:cs="Times New Roman"/>
                <w:bCs/>
                <w:sz w:val="16"/>
                <w:szCs w:val="16"/>
                <w:lang w:val="en-US"/>
              </w:rPr>
              <w:t xml:space="preserve">oordinate the sessions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w:t>
            </w:r>
          </w:p>
        </w:tc>
      </w:tr>
      <w:tr w:rsidR="002C5E29" w:rsidRPr="000A5335" w14:paraId="4594F389" w14:textId="4660F3A9" w:rsidTr="00081E30">
        <w:tc>
          <w:tcPr>
            <w:tcW w:w="4788" w:type="dxa"/>
            <w:shd w:val="clear" w:color="auto" w:fill="auto"/>
          </w:tcPr>
          <w:p w14:paraId="33364F8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0708013" w14:textId="224E29F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1E192E" w14:textId="46EE1F09" w:rsidTr="00081E30">
        <w:tc>
          <w:tcPr>
            <w:tcW w:w="4788" w:type="dxa"/>
            <w:shd w:val="clear" w:color="auto" w:fill="auto"/>
          </w:tcPr>
          <w:p w14:paraId="7E4FA948" w14:textId="592933DA"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Solicitar al Secretario Técnico la elaboración de estudios sobre los asuntos que se presenten a la consideración del Consejo Consultivo, y</w:t>
            </w:r>
          </w:p>
        </w:tc>
        <w:tc>
          <w:tcPr>
            <w:tcW w:w="4788" w:type="dxa"/>
            <w:shd w:val="clear" w:color="auto" w:fill="auto"/>
          </w:tcPr>
          <w:p w14:paraId="382976B5" w14:textId="1982985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w:t>
            </w:r>
            <w:r>
              <w:rPr>
                <w:rFonts w:ascii="Verdana" w:hAnsi="Verdana" w:cs="Times New Roman"/>
                <w:bCs/>
                <w:sz w:val="16"/>
                <w:szCs w:val="16"/>
                <w:lang w:val="en-US"/>
              </w:rPr>
              <w:t>To r</w:t>
            </w:r>
            <w:r w:rsidRPr="00081E30">
              <w:rPr>
                <w:rFonts w:ascii="Verdana" w:hAnsi="Verdana" w:cs="Times New Roman"/>
                <w:bCs/>
                <w:sz w:val="16"/>
                <w:szCs w:val="16"/>
                <w:lang w:val="en-US"/>
              </w:rPr>
              <w:t xml:space="preserve">equest the Technical Secretary to prepare studies on the matters that are submitted for the consideration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 and</w:t>
            </w:r>
          </w:p>
        </w:tc>
      </w:tr>
      <w:tr w:rsidR="002C5E29" w:rsidRPr="000A5335" w14:paraId="6FBB1857" w14:textId="29BBE0D0" w:rsidTr="00081E30">
        <w:tc>
          <w:tcPr>
            <w:tcW w:w="4788" w:type="dxa"/>
            <w:shd w:val="clear" w:color="auto" w:fill="auto"/>
          </w:tcPr>
          <w:p w14:paraId="0AB8D47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AC43FC" w14:textId="14C3F38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1DA47DE" w14:textId="16B8EBC6" w:rsidTr="00081E30">
        <w:tc>
          <w:tcPr>
            <w:tcW w:w="4788" w:type="dxa"/>
            <w:shd w:val="clear" w:color="auto" w:fill="auto"/>
          </w:tcPr>
          <w:p w14:paraId="77A1B644" w14:textId="04ADE77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lastRenderedPageBreak/>
              <w:t>III.</w:t>
            </w:r>
            <w:r w:rsidRPr="00081E30">
              <w:rPr>
                <w:rFonts w:ascii="Verdana" w:hAnsi="Verdana"/>
                <w:bCs/>
                <w:sz w:val="16"/>
                <w:szCs w:val="16"/>
              </w:rPr>
              <w:t xml:space="preserve"> Proponer los lineamientos que regulen el funcionamiento del Consejo Consultivo.</w:t>
            </w:r>
          </w:p>
        </w:tc>
        <w:tc>
          <w:tcPr>
            <w:tcW w:w="4788" w:type="dxa"/>
            <w:shd w:val="clear" w:color="auto" w:fill="auto"/>
          </w:tcPr>
          <w:p w14:paraId="4F39BA82" w14:textId="0E7FA77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Propose the guidelines that regulate the functioning of the </w:t>
            </w:r>
            <w:r>
              <w:rPr>
                <w:rFonts w:ascii="Verdana" w:hAnsi="Verdana" w:cs="Times New Roman"/>
                <w:bCs/>
                <w:sz w:val="16"/>
                <w:szCs w:val="16"/>
                <w:lang w:val="en-US"/>
              </w:rPr>
              <w:t>Consultative Council</w:t>
            </w:r>
            <w:r w:rsidRPr="00081E30">
              <w:rPr>
                <w:rFonts w:ascii="Verdana" w:hAnsi="Verdana" w:cs="Times New Roman"/>
                <w:bCs/>
                <w:sz w:val="16"/>
                <w:szCs w:val="16"/>
                <w:lang w:val="en-US"/>
              </w:rPr>
              <w:t>.</w:t>
            </w:r>
          </w:p>
        </w:tc>
      </w:tr>
      <w:tr w:rsidR="002C5E29" w:rsidRPr="000A5335" w14:paraId="6FBDC72D" w14:textId="74B4F42D" w:rsidTr="00081E30">
        <w:tc>
          <w:tcPr>
            <w:tcW w:w="4788" w:type="dxa"/>
            <w:shd w:val="clear" w:color="auto" w:fill="auto"/>
          </w:tcPr>
          <w:p w14:paraId="7E03B82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D085237" w14:textId="20E8074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2E8B4DB3" w14:textId="2346E92A" w:rsidTr="00081E30">
        <w:tc>
          <w:tcPr>
            <w:tcW w:w="4788" w:type="dxa"/>
            <w:shd w:val="clear" w:color="auto" w:fill="auto"/>
          </w:tcPr>
          <w:p w14:paraId="5E8EFCF6"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TÍTULO QUINTO</w:t>
            </w:r>
          </w:p>
        </w:tc>
        <w:tc>
          <w:tcPr>
            <w:tcW w:w="4788" w:type="dxa"/>
            <w:shd w:val="clear" w:color="auto" w:fill="auto"/>
          </w:tcPr>
          <w:p w14:paraId="726BBA49" w14:textId="006B138C"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FIFTH TITLE</w:t>
            </w:r>
          </w:p>
        </w:tc>
      </w:tr>
      <w:tr w:rsidR="002C5E29" w:rsidRPr="000A5335" w14:paraId="2DD75B2E" w14:textId="29D66E0B" w:rsidTr="00081E30">
        <w:tc>
          <w:tcPr>
            <w:tcW w:w="4788" w:type="dxa"/>
            <w:shd w:val="clear" w:color="auto" w:fill="auto"/>
          </w:tcPr>
          <w:p w14:paraId="313087D2"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DEL CONTENIDO NACIONAL Y DE LAS ESTRATEGIAS PARA EL FOMENTO INDUSTRIAL Y DE LA INVERSIÓN DE LA INDUSTRIA DE HIDROCARBUROS</w:t>
            </w:r>
          </w:p>
        </w:tc>
        <w:tc>
          <w:tcPr>
            <w:tcW w:w="4788" w:type="dxa"/>
            <w:shd w:val="clear" w:color="auto" w:fill="auto"/>
          </w:tcPr>
          <w:p w14:paraId="224868A6" w14:textId="2DA7BFC4"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NATIONAL CONTENT AND STRATEGIES FOR INDUSTRIAL DEVELOPMENT AND INVESTMENT OF THE HYDROCARBON</w:t>
            </w:r>
            <w:r>
              <w:rPr>
                <w:rFonts w:ascii="Verdana" w:hAnsi="Verdana"/>
                <w:sz w:val="16"/>
                <w:szCs w:val="16"/>
                <w:lang w:val="en-US"/>
              </w:rPr>
              <w:t>S</w:t>
            </w:r>
            <w:r w:rsidRPr="00A24D36">
              <w:rPr>
                <w:rFonts w:ascii="Verdana" w:hAnsi="Verdana"/>
                <w:sz w:val="16"/>
                <w:szCs w:val="16"/>
                <w:lang w:val="en-US"/>
              </w:rPr>
              <w:t xml:space="preserve"> INDUSTRY</w:t>
            </w:r>
          </w:p>
        </w:tc>
      </w:tr>
      <w:tr w:rsidR="002C5E29" w:rsidRPr="000A5335" w14:paraId="412647A1" w14:textId="4EE37B2D" w:rsidTr="00081E30">
        <w:tc>
          <w:tcPr>
            <w:tcW w:w="4788" w:type="dxa"/>
            <w:shd w:val="clear" w:color="auto" w:fill="auto"/>
          </w:tcPr>
          <w:p w14:paraId="39D1D006" w14:textId="77777777" w:rsidR="002C5E29" w:rsidRPr="00081E30" w:rsidRDefault="002C5E29" w:rsidP="002C5E29">
            <w:pPr>
              <w:pStyle w:val="ANOTACION"/>
              <w:spacing w:before="0" w:after="0" w:line="240" w:lineRule="auto"/>
              <w:rPr>
                <w:rFonts w:ascii="Verdana" w:hAnsi="Verdana" w:cs="Arial"/>
                <w:b w:val="0"/>
                <w:bCs/>
                <w:sz w:val="16"/>
                <w:szCs w:val="16"/>
                <w:lang w:val="en-US"/>
              </w:rPr>
            </w:pPr>
          </w:p>
        </w:tc>
        <w:tc>
          <w:tcPr>
            <w:tcW w:w="4788" w:type="dxa"/>
            <w:shd w:val="clear" w:color="auto" w:fill="auto"/>
          </w:tcPr>
          <w:p w14:paraId="07F94325" w14:textId="0231EDB7" w:rsidR="002C5E29" w:rsidRPr="00081E30" w:rsidRDefault="002C5E29" w:rsidP="002C5E29">
            <w:pPr>
              <w:pStyle w:val="ANOTACION"/>
              <w:spacing w:before="0" w:after="0" w:line="240" w:lineRule="auto"/>
              <w:rPr>
                <w:rFonts w:ascii="Verdana" w:hAnsi="Verdana" w:cs="Arial"/>
                <w:b w:val="0"/>
                <w:bCs/>
                <w:sz w:val="16"/>
                <w:szCs w:val="16"/>
                <w:lang w:val="en-US"/>
              </w:rPr>
            </w:pPr>
            <w:r w:rsidRPr="00081E30">
              <w:rPr>
                <w:rFonts w:ascii="Verdana" w:hAnsi="Verdana"/>
                <w:b w:val="0"/>
                <w:bCs/>
                <w:sz w:val="16"/>
                <w:szCs w:val="16"/>
                <w:lang w:val="en-US"/>
              </w:rPr>
              <w:t> </w:t>
            </w:r>
          </w:p>
        </w:tc>
      </w:tr>
      <w:tr w:rsidR="002C5E29" w:rsidRPr="000A5335" w14:paraId="53E9BE0B" w14:textId="00919519" w:rsidTr="00081E30">
        <w:tc>
          <w:tcPr>
            <w:tcW w:w="4788" w:type="dxa"/>
            <w:shd w:val="clear" w:color="auto" w:fill="auto"/>
          </w:tcPr>
          <w:p w14:paraId="7496AFF8"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94.-</w:t>
            </w:r>
            <w:r w:rsidRPr="00081E30">
              <w:rPr>
                <w:rFonts w:ascii="Verdana" w:hAnsi="Verdana"/>
                <w:bCs/>
                <w:sz w:val="16"/>
                <w:szCs w:val="16"/>
              </w:rPr>
              <w:t xml:space="preserve"> A efecto de que la Secretaría cuente con los elementos necesarios para determinar el porcentaje mínimo de contenido nacional a que hace referencia el párrafo tercero del artículo 46 de la Ley, la Secretaria y la Secretaría de Economía celebrarán bases de colaboración con el objeto de establecer el mecanismo de intercambio de información necesario para que la Secretaría pueda realizar dicha determinación.</w:t>
            </w:r>
          </w:p>
        </w:tc>
        <w:tc>
          <w:tcPr>
            <w:tcW w:w="4788" w:type="dxa"/>
            <w:shd w:val="clear" w:color="auto" w:fill="auto"/>
          </w:tcPr>
          <w:p w14:paraId="6C118B77" w14:textId="64496E8F"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94.-</w:t>
            </w:r>
            <w:r w:rsidRPr="00081E30">
              <w:rPr>
                <w:rFonts w:ascii="Verdana" w:hAnsi="Verdana" w:cs="Times New Roman"/>
                <w:bCs/>
                <w:sz w:val="16"/>
                <w:szCs w:val="16"/>
                <w:lang w:val="en-US"/>
              </w:rPr>
              <w:t xml:space="preserve"> In order for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to have the necessary elements to determine the minimum percentage of national content referred to in the third paragraph of Article 46 of the Law,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and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establish </w:t>
            </w:r>
            <w:r>
              <w:rPr>
                <w:rFonts w:ascii="Verdana" w:hAnsi="Verdana" w:cs="Times New Roman"/>
                <w:bCs/>
                <w:sz w:val="16"/>
                <w:szCs w:val="16"/>
                <w:lang w:val="en-US"/>
              </w:rPr>
              <w:t>criteria</w:t>
            </w:r>
            <w:r w:rsidRPr="00081E30">
              <w:rPr>
                <w:rFonts w:ascii="Verdana" w:hAnsi="Verdana" w:cs="Times New Roman"/>
                <w:bCs/>
                <w:sz w:val="16"/>
                <w:szCs w:val="16"/>
                <w:lang w:val="en-US"/>
              </w:rPr>
              <w:t xml:space="preserve"> of collaboration in order to establish the mechanism for exchanging information necessary for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to make such determination.</w:t>
            </w:r>
          </w:p>
        </w:tc>
      </w:tr>
      <w:tr w:rsidR="002C5E29" w:rsidRPr="000A5335" w14:paraId="4F924C53" w14:textId="78203496" w:rsidTr="00081E30">
        <w:tc>
          <w:tcPr>
            <w:tcW w:w="4788" w:type="dxa"/>
            <w:shd w:val="clear" w:color="auto" w:fill="auto"/>
          </w:tcPr>
          <w:p w14:paraId="492C9D1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68E5A81" w14:textId="55D9ED1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26627A3" w14:textId="1E32ABA8" w:rsidTr="00081E30">
        <w:tc>
          <w:tcPr>
            <w:tcW w:w="4788" w:type="dxa"/>
            <w:shd w:val="clear" w:color="auto" w:fill="auto"/>
          </w:tcPr>
          <w:p w14:paraId="3A86DA01"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95.-</w:t>
            </w:r>
            <w:r w:rsidRPr="00081E30">
              <w:rPr>
                <w:rFonts w:ascii="Verdana" w:hAnsi="Verdana"/>
                <w:bCs/>
                <w:sz w:val="16"/>
                <w:szCs w:val="16"/>
              </w:rPr>
              <w:t xml:space="preserve"> La Secretaría de Economía informará a la Comisión cuando un Asignatario o Contratista incumpla con el porcentaje de contenido nacional dentro de los cinco días hábiles posteriores a su determinación.</w:t>
            </w:r>
          </w:p>
        </w:tc>
        <w:tc>
          <w:tcPr>
            <w:tcW w:w="4788" w:type="dxa"/>
            <w:shd w:val="clear" w:color="auto" w:fill="auto"/>
          </w:tcPr>
          <w:p w14:paraId="18F006A1" w14:textId="65108DE4"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95.-</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 will inform the Commission when an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 or </w:t>
            </w:r>
            <w:r>
              <w:rPr>
                <w:rFonts w:ascii="Verdana" w:hAnsi="Verdana" w:cs="Times New Roman"/>
                <w:bCs/>
                <w:sz w:val="16"/>
                <w:szCs w:val="16"/>
                <w:lang w:val="en-US"/>
              </w:rPr>
              <w:t>c</w:t>
            </w:r>
            <w:r w:rsidRPr="00081E30">
              <w:rPr>
                <w:rFonts w:ascii="Verdana" w:hAnsi="Verdana" w:cs="Times New Roman"/>
                <w:bCs/>
                <w:sz w:val="16"/>
                <w:szCs w:val="16"/>
                <w:lang w:val="en-US"/>
              </w:rPr>
              <w:t>ontractor fails to comply with the percentage of national content within five business days after its determination.</w:t>
            </w:r>
          </w:p>
        </w:tc>
      </w:tr>
      <w:tr w:rsidR="002C5E29" w:rsidRPr="000A5335" w14:paraId="4726091E" w14:textId="4B3B039D" w:rsidTr="00081E30">
        <w:tc>
          <w:tcPr>
            <w:tcW w:w="4788" w:type="dxa"/>
            <w:shd w:val="clear" w:color="auto" w:fill="auto"/>
          </w:tcPr>
          <w:p w14:paraId="040B78C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2066F8F" w14:textId="291D665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DDF9820" w14:textId="3BF28C67" w:rsidTr="00081E30">
        <w:tc>
          <w:tcPr>
            <w:tcW w:w="4788" w:type="dxa"/>
            <w:shd w:val="clear" w:color="auto" w:fill="auto"/>
          </w:tcPr>
          <w:p w14:paraId="1938AA07"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Comisión impondrá las sanciones correspondientes de conformidad con la Ley, la Asignación o Contrato para la Exploración y Extracción y demás disposiciones jurídicas aplicables.</w:t>
            </w:r>
          </w:p>
        </w:tc>
        <w:tc>
          <w:tcPr>
            <w:tcW w:w="4788" w:type="dxa"/>
            <w:shd w:val="clear" w:color="auto" w:fill="auto"/>
          </w:tcPr>
          <w:p w14:paraId="630121E2" w14:textId="1F863D6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Commission will impose the corresponding sanctions in accordance with the Law, the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ssignment or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xml:space="preserve"> and other applicable legal provisions.</w:t>
            </w:r>
          </w:p>
        </w:tc>
      </w:tr>
      <w:tr w:rsidR="002C5E29" w:rsidRPr="000A5335" w14:paraId="0B2E598C" w14:textId="3D7DCC78" w:rsidTr="00081E30">
        <w:tc>
          <w:tcPr>
            <w:tcW w:w="4788" w:type="dxa"/>
            <w:shd w:val="clear" w:color="auto" w:fill="auto"/>
          </w:tcPr>
          <w:p w14:paraId="75DBC55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E19EA9E" w14:textId="48C9D1E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F95A5A2" w14:textId="634A6CC3" w:rsidTr="00081E30">
        <w:tc>
          <w:tcPr>
            <w:tcW w:w="4788" w:type="dxa"/>
            <w:shd w:val="clear" w:color="auto" w:fill="auto"/>
          </w:tcPr>
          <w:p w14:paraId="0C2E1984"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96.-</w:t>
            </w:r>
            <w:r w:rsidRPr="00081E30">
              <w:rPr>
                <w:rFonts w:ascii="Verdana" w:hAnsi="Verdana"/>
                <w:bCs/>
                <w:sz w:val="16"/>
                <w:szCs w:val="16"/>
              </w:rPr>
              <w:t xml:space="preserve"> La Secretaría emitirá la opinión a la que se refiere el primer párrafo del artículo 125 de la Ley, en un plazo de veinte días hábiles posteriores a la recepción de la propuesta de las estrategias para el fomento industrial de Cadenas Productivas locales y para el fomento de la inversión directa en la industria de hidrocarburos que al efecto proponga la Secretaría de Economía.</w:t>
            </w:r>
          </w:p>
        </w:tc>
        <w:tc>
          <w:tcPr>
            <w:tcW w:w="4788" w:type="dxa"/>
            <w:shd w:val="clear" w:color="auto" w:fill="auto"/>
          </w:tcPr>
          <w:p w14:paraId="393B6BFA" w14:textId="7638FB6D"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96.-</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issue the opinion referred to in the first paragraph of article 125 of the Law, within twenty working days after receipt of the proposal of the strategies for the industrial promotion of local </w:t>
            </w:r>
            <w:r>
              <w:rPr>
                <w:rFonts w:ascii="Verdana" w:hAnsi="Verdana" w:cs="Times New Roman"/>
                <w:bCs/>
                <w:sz w:val="16"/>
                <w:szCs w:val="16"/>
                <w:lang w:val="en-US"/>
              </w:rPr>
              <w:t>p</w:t>
            </w:r>
            <w:r w:rsidRPr="00081E30">
              <w:rPr>
                <w:rFonts w:ascii="Verdana" w:hAnsi="Verdana" w:cs="Times New Roman"/>
                <w:bCs/>
                <w:sz w:val="16"/>
                <w:szCs w:val="16"/>
                <w:lang w:val="en-US"/>
              </w:rPr>
              <w:t xml:space="preserve">roductive </w:t>
            </w:r>
            <w:r>
              <w:rPr>
                <w:rFonts w:ascii="Verdana" w:hAnsi="Verdana" w:cs="Times New Roman"/>
                <w:bCs/>
                <w:sz w:val="16"/>
                <w:szCs w:val="16"/>
                <w:lang w:val="en-US"/>
              </w:rPr>
              <w:t>c</w:t>
            </w:r>
            <w:r w:rsidRPr="00081E30">
              <w:rPr>
                <w:rFonts w:ascii="Verdana" w:hAnsi="Verdana" w:cs="Times New Roman"/>
                <w:bCs/>
                <w:sz w:val="16"/>
                <w:szCs w:val="16"/>
                <w:lang w:val="en-US"/>
              </w:rPr>
              <w:t xml:space="preserve">hains and for the promotion of direct investment in the hydrocarbon industry proposed by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Economy.</w:t>
            </w:r>
          </w:p>
        </w:tc>
      </w:tr>
      <w:tr w:rsidR="002C5E29" w:rsidRPr="000A5335" w14:paraId="1DCD384D" w14:textId="37AA2851" w:rsidTr="00081E30">
        <w:tc>
          <w:tcPr>
            <w:tcW w:w="4788" w:type="dxa"/>
            <w:shd w:val="clear" w:color="auto" w:fill="auto"/>
          </w:tcPr>
          <w:p w14:paraId="0B00190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D984BE" w14:textId="1293A2B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3F198FEE" w14:textId="54C63448" w:rsidTr="00081E30">
        <w:tc>
          <w:tcPr>
            <w:tcW w:w="4788" w:type="dxa"/>
            <w:shd w:val="clear" w:color="auto" w:fill="auto"/>
          </w:tcPr>
          <w:p w14:paraId="64F5A721"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TÍTULO SEXTO</w:t>
            </w:r>
          </w:p>
        </w:tc>
        <w:tc>
          <w:tcPr>
            <w:tcW w:w="4788" w:type="dxa"/>
            <w:shd w:val="clear" w:color="auto" w:fill="auto"/>
          </w:tcPr>
          <w:p w14:paraId="52D07E07" w14:textId="44D60D4A"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SIXTH TITLE</w:t>
            </w:r>
          </w:p>
        </w:tc>
      </w:tr>
      <w:tr w:rsidR="002C5E29" w:rsidRPr="003C1F6B" w14:paraId="47DDEEB3" w14:textId="237FC483" w:rsidTr="00081E30">
        <w:tc>
          <w:tcPr>
            <w:tcW w:w="4788" w:type="dxa"/>
            <w:shd w:val="clear" w:color="auto" w:fill="auto"/>
          </w:tcPr>
          <w:p w14:paraId="52B3695D" w14:textId="77777777" w:rsidR="002C5E29" w:rsidRPr="00A24D36" w:rsidRDefault="002C5E29" w:rsidP="002C5E29">
            <w:pPr>
              <w:pStyle w:val="ANOTACION"/>
              <w:spacing w:before="0" w:after="0" w:line="240" w:lineRule="auto"/>
              <w:rPr>
                <w:rFonts w:ascii="Verdana" w:hAnsi="Verdana" w:cs="Arial"/>
                <w:sz w:val="16"/>
                <w:szCs w:val="16"/>
              </w:rPr>
            </w:pPr>
            <w:r w:rsidRPr="00A24D36">
              <w:rPr>
                <w:rFonts w:ascii="Verdana" w:hAnsi="Verdana" w:cs="Arial"/>
                <w:sz w:val="16"/>
                <w:szCs w:val="16"/>
              </w:rPr>
              <w:t>DE LA SUPERVISIÓN Y VIGILANCIA</w:t>
            </w:r>
          </w:p>
        </w:tc>
        <w:tc>
          <w:tcPr>
            <w:tcW w:w="4788" w:type="dxa"/>
            <w:shd w:val="clear" w:color="auto" w:fill="auto"/>
          </w:tcPr>
          <w:p w14:paraId="77A293A1" w14:textId="03127E36" w:rsidR="002C5E29" w:rsidRPr="00A24D36" w:rsidRDefault="002C5E29" w:rsidP="002C5E29">
            <w:pPr>
              <w:pStyle w:val="ANOTACION"/>
              <w:spacing w:before="0" w:after="0" w:line="240" w:lineRule="auto"/>
              <w:rPr>
                <w:rFonts w:ascii="Verdana" w:hAnsi="Verdana" w:cs="Arial"/>
                <w:sz w:val="16"/>
                <w:szCs w:val="16"/>
                <w:lang w:val="en-US"/>
              </w:rPr>
            </w:pPr>
            <w:r w:rsidRPr="00A24D36">
              <w:rPr>
                <w:rFonts w:ascii="Verdana" w:hAnsi="Verdana"/>
                <w:sz w:val="16"/>
                <w:szCs w:val="16"/>
                <w:lang w:val="en-US"/>
              </w:rPr>
              <w:t>SUPERVISION AND SURVEILLANCE</w:t>
            </w:r>
          </w:p>
        </w:tc>
      </w:tr>
      <w:tr w:rsidR="002C5E29" w:rsidRPr="003C1F6B" w14:paraId="33E77264" w14:textId="3306709D" w:rsidTr="00081E30">
        <w:tc>
          <w:tcPr>
            <w:tcW w:w="4788" w:type="dxa"/>
            <w:shd w:val="clear" w:color="auto" w:fill="auto"/>
          </w:tcPr>
          <w:p w14:paraId="281B21AB" w14:textId="77777777" w:rsidR="002C5E29" w:rsidRPr="00081E30" w:rsidRDefault="002C5E29" w:rsidP="002C5E29">
            <w:pPr>
              <w:pStyle w:val="Texto"/>
              <w:spacing w:after="0" w:line="240" w:lineRule="auto"/>
              <w:ind w:firstLine="0"/>
              <w:jc w:val="center"/>
              <w:rPr>
                <w:rFonts w:ascii="Verdana" w:hAnsi="Verdana"/>
                <w:bCs/>
                <w:sz w:val="16"/>
                <w:szCs w:val="16"/>
              </w:rPr>
            </w:pPr>
          </w:p>
        </w:tc>
        <w:tc>
          <w:tcPr>
            <w:tcW w:w="4788" w:type="dxa"/>
            <w:shd w:val="clear" w:color="auto" w:fill="auto"/>
          </w:tcPr>
          <w:p w14:paraId="191B0AE2" w14:textId="46DAA324" w:rsidR="002C5E29" w:rsidRPr="00081E30" w:rsidRDefault="002C5E29" w:rsidP="002C5E29">
            <w:pPr>
              <w:pStyle w:val="Texto"/>
              <w:spacing w:after="0" w:line="240" w:lineRule="auto"/>
              <w:ind w:firstLine="0"/>
              <w:jc w:val="center"/>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22756B1" w14:textId="3D7D3D65" w:rsidTr="00081E30">
        <w:tc>
          <w:tcPr>
            <w:tcW w:w="4788" w:type="dxa"/>
            <w:shd w:val="clear" w:color="auto" w:fill="auto"/>
          </w:tcPr>
          <w:p w14:paraId="511C34ED" w14:textId="77777777" w:rsidR="002C5E29" w:rsidRPr="00081E30" w:rsidRDefault="002C5E29" w:rsidP="002C5E29">
            <w:pPr>
              <w:pStyle w:val="Texto"/>
              <w:spacing w:after="0" w:line="240" w:lineRule="auto"/>
              <w:ind w:firstLine="0"/>
              <w:rPr>
                <w:rFonts w:ascii="Verdana" w:hAnsi="Verdana"/>
                <w:bCs/>
                <w:sz w:val="16"/>
                <w:szCs w:val="16"/>
              </w:rPr>
            </w:pPr>
            <w:r w:rsidRPr="00A24D36">
              <w:rPr>
                <w:rFonts w:ascii="Verdana" w:hAnsi="Verdana"/>
                <w:b/>
                <w:sz w:val="16"/>
                <w:szCs w:val="16"/>
              </w:rPr>
              <w:t>Artículo 97.-</w:t>
            </w:r>
            <w:r w:rsidRPr="00081E30">
              <w:rPr>
                <w:rFonts w:ascii="Verdana" w:hAnsi="Verdana"/>
                <w:bCs/>
                <w:sz w:val="16"/>
                <w:szCs w:val="16"/>
              </w:rPr>
              <w:t xml:space="preserve"> No se impondrán las sanciones a que se refieren los artículos 85 y 86 de la Ley, cuando los Asignatarios, Contratistas, Autorizados y Permisionarios cumplan con sus obligaciones de manera espontánea y lo hagan del conocimiento de la autoridad competente.</w:t>
            </w:r>
          </w:p>
        </w:tc>
        <w:tc>
          <w:tcPr>
            <w:tcW w:w="4788" w:type="dxa"/>
            <w:shd w:val="clear" w:color="auto" w:fill="auto"/>
          </w:tcPr>
          <w:p w14:paraId="08A91580" w14:textId="47A5B76D" w:rsidR="002C5E29" w:rsidRPr="00081E30" w:rsidRDefault="002C5E29" w:rsidP="002C5E29">
            <w:pPr>
              <w:pStyle w:val="Texto"/>
              <w:spacing w:after="0" w:line="240" w:lineRule="auto"/>
              <w:ind w:firstLine="0"/>
              <w:rPr>
                <w:rFonts w:ascii="Verdana" w:hAnsi="Verdana"/>
                <w:bCs/>
                <w:sz w:val="16"/>
                <w:szCs w:val="16"/>
                <w:lang w:val="en-US"/>
              </w:rPr>
            </w:pPr>
            <w:r w:rsidRPr="00A24D36">
              <w:rPr>
                <w:rFonts w:ascii="Verdana" w:hAnsi="Verdana" w:cs="Times New Roman"/>
                <w:b/>
                <w:sz w:val="16"/>
                <w:szCs w:val="16"/>
                <w:lang w:val="en-US"/>
              </w:rPr>
              <w:t>Article 97.-</w:t>
            </w:r>
            <w:r w:rsidRPr="00081E30">
              <w:rPr>
                <w:rFonts w:ascii="Verdana" w:hAnsi="Verdana" w:cs="Times New Roman"/>
                <w:bCs/>
                <w:sz w:val="16"/>
                <w:szCs w:val="16"/>
                <w:lang w:val="en-US"/>
              </w:rPr>
              <w:t xml:space="preserve"> The sanctions referred to in articles 85 and 86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 be imposed, when the assignees, contractors, authorized</w:t>
            </w:r>
            <w:r>
              <w:rPr>
                <w:rFonts w:ascii="Verdana" w:hAnsi="Verdana" w:cs="Times New Roman"/>
                <w:bCs/>
                <w:sz w:val="16"/>
                <w:szCs w:val="16"/>
                <w:lang w:val="en-US"/>
              </w:rPr>
              <w:t xml:space="preserve"> persons</w:t>
            </w:r>
            <w:r w:rsidRPr="00081E30">
              <w:rPr>
                <w:rFonts w:ascii="Verdana" w:hAnsi="Verdana" w:cs="Times New Roman"/>
                <w:bCs/>
                <w:sz w:val="16"/>
                <w:szCs w:val="16"/>
                <w:lang w:val="en-US"/>
              </w:rPr>
              <w:t xml:space="preserve"> and permit</w:t>
            </w:r>
            <w:r>
              <w:rPr>
                <w:rFonts w:ascii="Verdana" w:hAnsi="Verdana" w:cs="Times New Roman"/>
                <w:bCs/>
                <w:sz w:val="16"/>
                <w:szCs w:val="16"/>
                <w:lang w:val="en-US"/>
              </w:rPr>
              <w:t xml:space="preserve"> holders</w:t>
            </w:r>
            <w:r w:rsidRPr="00081E30">
              <w:rPr>
                <w:rFonts w:ascii="Verdana" w:hAnsi="Verdana" w:cs="Times New Roman"/>
                <w:bCs/>
                <w:sz w:val="16"/>
                <w:szCs w:val="16"/>
                <w:lang w:val="en-US"/>
              </w:rPr>
              <w:t xml:space="preserve"> meet their obligations spontaneously and make it known to the </w:t>
            </w:r>
            <w:r>
              <w:rPr>
                <w:rFonts w:ascii="Verdana" w:hAnsi="Verdana" w:cs="Times New Roman"/>
                <w:bCs/>
                <w:sz w:val="16"/>
                <w:szCs w:val="16"/>
                <w:lang w:val="en-US"/>
              </w:rPr>
              <w:t>appropriate authority</w:t>
            </w:r>
            <w:r w:rsidRPr="00081E30">
              <w:rPr>
                <w:rFonts w:ascii="Verdana" w:hAnsi="Verdana" w:cs="Times New Roman"/>
                <w:bCs/>
                <w:sz w:val="16"/>
                <w:szCs w:val="16"/>
                <w:lang w:val="en-US"/>
              </w:rPr>
              <w:t>.</w:t>
            </w:r>
          </w:p>
        </w:tc>
      </w:tr>
      <w:tr w:rsidR="002C5E29" w:rsidRPr="000A5335" w14:paraId="76961606" w14:textId="59AA7FC1" w:rsidTr="00081E30">
        <w:tc>
          <w:tcPr>
            <w:tcW w:w="4788" w:type="dxa"/>
            <w:shd w:val="clear" w:color="auto" w:fill="auto"/>
          </w:tcPr>
          <w:p w14:paraId="7A35A20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CF3E80D" w14:textId="4CEEE21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FF77CAA" w14:textId="341A2BDE" w:rsidTr="00081E30">
        <w:tc>
          <w:tcPr>
            <w:tcW w:w="4788" w:type="dxa"/>
            <w:shd w:val="clear" w:color="auto" w:fill="auto"/>
          </w:tcPr>
          <w:p w14:paraId="76D7CD9A"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Artículo 98.-</w:t>
            </w:r>
            <w:r w:rsidRPr="00081E30">
              <w:rPr>
                <w:rFonts w:ascii="Verdana" w:hAnsi="Verdana"/>
                <w:bCs/>
                <w:sz w:val="16"/>
                <w:szCs w:val="16"/>
              </w:rPr>
              <w:t xml:space="preserve"> Para efectos del artículo anterior, se considerará que el cumplimiento no es espontáneo cuando:</w:t>
            </w:r>
          </w:p>
        </w:tc>
        <w:tc>
          <w:tcPr>
            <w:tcW w:w="4788" w:type="dxa"/>
            <w:shd w:val="clear" w:color="auto" w:fill="auto"/>
          </w:tcPr>
          <w:p w14:paraId="6B11A1E9" w14:textId="705EDD65"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Article 98.-</w:t>
            </w:r>
            <w:r w:rsidRPr="00081E30">
              <w:rPr>
                <w:rFonts w:ascii="Verdana" w:hAnsi="Verdana" w:cs="Times New Roman"/>
                <w:bCs/>
                <w:sz w:val="16"/>
                <w:szCs w:val="16"/>
                <w:lang w:val="en-US"/>
              </w:rPr>
              <w:t xml:space="preserve"> For the purposes of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article, compliance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not be deemed spontaneous when:</w:t>
            </w:r>
          </w:p>
        </w:tc>
      </w:tr>
      <w:tr w:rsidR="002C5E29" w:rsidRPr="000A5335" w14:paraId="2B414DA3" w14:textId="1E7D65AD" w:rsidTr="00081E30">
        <w:tc>
          <w:tcPr>
            <w:tcW w:w="4788" w:type="dxa"/>
            <w:shd w:val="clear" w:color="auto" w:fill="auto"/>
          </w:tcPr>
          <w:p w14:paraId="6476590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BB26567" w14:textId="4902DB7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C0C0FBF" w14:textId="15E90C2B" w:rsidTr="00081E30">
        <w:tc>
          <w:tcPr>
            <w:tcW w:w="4788" w:type="dxa"/>
            <w:shd w:val="clear" w:color="auto" w:fill="auto"/>
          </w:tcPr>
          <w:p w14:paraId="034C2AA1" w14:textId="1C206F4B"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omisión sea detectada por las autoridades administrativas competentes, o</w:t>
            </w:r>
          </w:p>
        </w:tc>
        <w:tc>
          <w:tcPr>
            <w:tcW w:w="4788" w:type="dxa"/>
            <w:shd w:val="clear" w:color="auto" w:fill="auto"/>
          </w:tcPr>
          <w:p w14:paraId="288488BE" w14:textId="1D47BE4D"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omission is detected by the </w:t>
            </w:r>
            <w:r>
              <w:rPr>
                <w:rFonts w:ascii="Verdana" w:hAnsi="Verdana" w:cs="Times New Roman"/>
                <w:bCs/>
                <w:sz w:val="16"/>
                <w:szCs w:val="16"/>
                <w:lang w:val="en-US"/>
              </w:rPr>
              <w:t>appropriate</w:t>
            </w:r>
            <w:r w:rsidRPr="00081E30">
              <w:rPr>
                <w:rFonts w:ascii="Verdana" w:hAnsi="Verdana" w:cs="Times New Roman"/>
                <w:bCs/>
                <w:sz w:val="16"/>
                <w:szCs w:val="16"/>
                <w:lang w:val="en-US"/>
              </w:rPr>
              <w:t xml:space="preserve"> administrative authorities, or</w:t>
            </w:r>
          </w:p>
        </w:tc>
      </w:tr>
      <w:tr w:rsidR="002C5E29" w:rsidRPr="000A5335" w14:paraId="3CFDE8E3" w14:textId="7F7EA08F" w:rsidTr="00081E30">
        <w:tc>
          <w:tcPr>
            <w:tcW w:w="4788" w:type="dxa"/>
            <w:shd w:val="clear" w:color="auto" w:fill="auto"/>
          </w:tcPr>
          <w:p w14:paraId="15C4E12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7E28F5A" w14:textId="66AC16F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DB3C728" w14:textId="09A23DD9" w:rsidTr="00081E30">
        <w:tc>
          <w:tcPr>
            <w:tcW w:w="4788" w:type="dxa"/>
            <w:shd w:val="clear" w:color="auto" w:fill="auto"/>
          </w:tcPr>
          <w:p w14:paraId="73DC18E4" w14:textId="217F1A62"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omisión haya sido corregida por el posible infractor después de que la autoridad competente hubiese notificado una orden de visita de verificación, el inicio de un procedimiento administrativo de sanción, o haya mediado requerimiento o cualquier otra gestión notificada por la autoridad, tendiente a la comprobación del cumplimiento de las disposiciones jurídicas.</w:t>
            </w:r>
          </w:p>
        </w:tc>
        <w:tc>
          <w:tcPr>
            <w:tcW w:w="4788" w:type="dxa"/>
            <w:shd w:val="clear" w:color="auto" w:fill="auto"/>
          </w:tcPr>
          <w:p w14:paraId="302B729E" w14:textId="7128B763"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omission has been corrected by the possible offender after the </w:t>
            </w:r>
            <w:r>
              <w:rPr>
                <w:rFonts w:ascii="Verdana" w:hAnsi="Verdana" w:cs="Times New Roman"/>
                <w:bCs/>
                <w:sz w:val="16"/>
                <w:szCs w:val="16"/>
                <w:lang w:val="en-US"/>
              </w:rPr>
              <w:t>appropriate authority</w:t>
            </w:r>
            <w:r w:rsidRPr="00081E30">
              <w:rPr>
                <w:rFonts w:ascii="Verdana" w:hAnsi="Verdana" w:cs="Times New Roman"/>
                <w:bCs/>
                <w:sz w:val="16"/>
                <w:szCs w:val="16"/>
                <w:lang w:val="en-US"/>
              </w:rPr>
              <w:t xml:space="preserve"> had notified a verification visit order, the initiation of an administrative sanction procedure, or mediated requirement or any other management notified by the authority, tending to the verification. of compliance with legal provisions.</w:t>
            </w:r>
          </w:p>
        </w:tc>
      </w:tr>
      <w:tr w:rsidR="002C5E29" w:rsidRPr="000A5335" w14:paraId="0357B6B4" w14:textId="0DD8E780" w:rsidTr="00081E30">
        <w:tc>
          <w:tcPr>
            <w:tcW w:w="4788" w:type="dxa"/>
            <w:shd w:val="clear" w:color="auto" w:fill="auto"/>
          </w:tcPr>
          <w:p w14:paraId="54EC2BC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535D3A5" w14:textId="76FEBAF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71C3B2B" w14:textId="0D0538FC" w:rsidTr="00081E30">
        <w:tc>
          <w:tcPr>
            <w:tcW w:w="4788" w:type="dxa"/>
            <w:shd w:val="clear" w:color="auto" w:fill="auto"/>
          </w:tcPr>
          <w:p w14:paraId="5708C938"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Artículo 99.-</w:t>
            </w:r>
            <w:r w:rsidRPr="00081E30">
              <w:rPr>
                <w:rFonts w:ascii="Verdana" w:hAnsi="Verdana"/>
                <w:bCs/>
                <w:sz w:val="16"/>
                <w:szCs w:val="16"/>
              </w:rPr>
              <w:t xml:space="preserve"> Las autoridades administrativas a que se refieren los artículos 85 y 86 de la Ley se sujetarán al siguiente procedimiento para la imposición de multas:</w:t>
            </w:r>
          </w:p>
        </w:tc>
        <w:tc>
          <w:tcPr>
            <w:tcW w:w="4788" w:type="dxa"/>
            <w:shd w:val="clear" w:color="auto" w:fill="auto"/>
          </w:tcPr>
          <w:p w14:paraId="1C67DF6F" w14:textId="142FCFA4"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Article 99.-</w:t>
            </w:r>
            <w:r w:rsidRPr="00081E30">
              <w:rPr>
                <w:rFonts w:ascii="Verdana" w:hAnsi="Verdana" w:cs="Times New Roman"/>
                <w:bCs/>
                <w:sz w:val="16"/>
                <w:szCs w:val="16"/>
                <w:lang w:val="en-US"/>
              </w:rPr>
              <w:t xml:space="preserve"> The administrative authorities referred to in articles 85 and 86 of the Law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be subject to the following procedure for the imposition of fines:</w:t>
            </w:r>
          </w:p>
        </w:tc>
      </w:tr>
      <w:tr w:rsidR="002C5E29" w:rsidRPr="000A5335" w14:paraId="3C41BD7A" w14:textId="57F36E87" w:rsidTr="00081E30">
        <w:tc>
          <w:tcPr>
            <w:tcW w:w="4788" w:type="dxa"/>
            <w:shd w:val="clear" w:color="auto" w:fill="auto"/>
          </w:tcPr>
          <w:p w14:paraId="6116A19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0E41CA4" w14:textId="45749FD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D950C95" w14:textId="3A2B9320" w:rsidTr="00081E30">
        <w:tc>
          <w:tcPr>
            <w:tcW w:w="4788" w:type="dxa"/>
            <w:shd w:val="clear" w:color="auto" w:fill="auto"/>
          </w:tcPr>
          <w:p w14:paraId="410EBDD3" w14:textId="67F4DBFC"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lastRenderedPageBreak/>
              <w:t>I.</w:t>
            </w:r>
            <w:r w:rsidRPr="00081E30">
              <w:rPr>
                <w:rFonts w:ascii="Verdana" w:hAnsi="Verdana"/>
                <w:bCs/>
                <w:sz w:val="16"/>
                <w:szCs w:val="16"/>
              </w:rPr>
              <w:t xml:space="preserve"> Cuando la autoridad administrativa tenga conocimiento de un hecho posiblemente constitutivo de sanción administrativa por parte de las personas que realicen las actividades a que se refiere el artículo 2 de la Ley, podrá requerir al presunto infractor para que en un plazo de quince días hábiles remitan la información y documentación con que cuenten para desvirtuar o solventar la posible irregularidad administrativa;</w:t>
            </w:r>
          </w:p>
        </w:tc>
        <w:tc>
          <w:tcPr>
            <w:tcW w:w="4788" w:type="dxa"/>
            <w:shd w:val="clear" w:color="auto" w:fill="auto"/>
          </w:tcPr>
          <w:p w14:paraId="34B7FA68" w14:textId="30B491D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When the administrative authority becomes aware of a fact possibly constituting an administrative sanction by the persons who carry out the activities referred to in article 2 of the Law, they may require the alleged offender to </w:t>
            </w:r>
            <w:r>
              <w:rPr>
                <w:rFonts w:ascii="Verdana" w:hAnsi="Verdana" w:cs="Times New Roman"/>
                <w:bCs/>
                <w:sz w:val="16"/>
                <w:szCs w:val="16"/>
                <w:lang w:val="en-US"/>
              </w:rPr>
              <w:t>within</w:t>
            </w:r>
            <w:r w:rsidRPr="00081E30">
              <w:rPr>
                <w:rFonts w:ascii="Verdana" w:hAnsi="Verdana" w:cs="Times New Roman"/>
                <w:bCs/>
                <w:sz w:val="16"/>
                <w:szCs w:val="16"/>
                <w:lang w:val="en-US"/>
              </w:rPr>
              <w:t xml:space="preserve"> a period of fifteen business days send the information and documentation available to </w:t>
            </w:r>
            <w:r>
              <w:rPr>
                <w:rFonts w:ascii="Verdana" w:hAnsi="Verdana" w:cs="Times New Roman"/>
                <w:bCs/>
                <w:sz w:val="16"/>
                <w:szCs w:val="16"/>
                <w:lang w:val="en-US"/>
              </w:rPr>
              <w:t>eliminate</w:t>
            </w:r>
            <w:r w:rsidRPr="00081E30">
              <w:rPr>
                <w:rFonts w:ascii="Verdana" w:hAnsi="Verdana" w:cs="Times New Roman"/>
                <w:bCs/>
                <w:sz w:val="16"/>
                <w:szCs w:val="16"/>
                <w:lang w:val="en-US"/>
              </w:rPr>
              <w:t xml:space="preserve"> or resolve the possible administrative irregularity;</w:t>
            </w:r>
          </w:p>
        </w:tc>
      </w:tr>
      <w:tr w:rsidR="002C5E29" w:rsidRPr="000A5335" w14:paraId="3DEA7762" w14:textId="110E4213" w:rsidTr="00081E30">
        <w:tc>
          <w:tcPr>
            <w:tcW w:w="4788" w:type="dxa"/>
            <w:shd w:val="clear" w:color="auto" w:fill="auto"/>
          </w:tcPr>
          <w:p w14:paraId="0A10B48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B0981A8" w14:textId="44CC149A"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171358" w14:paraId="0B4A0A82" w14:textId="66BFF10E" w:rsidTr="00081E30">
        <w:tc>
          <w:tcPr>
            <w:tcW w:w="4788" w:type="dxa"/>
            <w:shd w:val="clear" w:color="auto" w:fill="auto"/>
          </w:tcPr>
          <w:p w14:paraId="66F2CA5C" w14:textId="6845507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Transcurrido el plazo a que se refiere la fracción anterior, la autoridad administrativa determinará si resulta procedente o no el inicio de procedimiento administrativo de sanción al posible infractor en un plazo máximo de quince días hábiles. La autoridad administrativa deberá notificar personalmente su determinación;</w:t>
            </w:r>
          </w:p>
        </w:tc>
        <w:tc>
          <w:tcPr>
            <w:tcW w:w="4788" w:type="dxa"/>
            <w:shd w:val="clear" w:color="auto" w:fill="auto"/>
          </w:tcPr>
          <w:p w14:paraId="6C8F9CFF" w14:textId="46ADD23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After the period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section has elapsed, the administrative authority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determine whether or not the initiation of an administrative sanction procedure is appropriate for the potential offender within a maximum period of fifteen business days. The administrative authority must personally notify its determination;</w:t>
            </w:r>
          </w:p>
        </w:tc>
      </w:tr>
      <w:tr w:rsidR="002C5E29" w:rsidRPr="00171358" w14:paraId="3C1319D4" w14:textId="5C86C697" w:rsidTr="00081E30">
        <w:tc>
          <w:tcPr>
            <w:tcW w:w="4788" w:type="dxa"/>
            <w:shd w:val="clear" w:color="auto" w:fill="auto"/>
          </w:tcPr>
          <w:p w14:paraId="3281E3F6" w14:textId="77777777" w:rsidR="002C5E29" w:rsidRPr="00171358"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97D74AF" w14:textId="64CDBB9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1BB733B" w14:textId="1CF231A5" w:rsidTr="00081E30">
        <w:tc>
          <w:tcPr>
            <w:tcW w:w="4788" w:type="dxa"/>
            <w:shd w:val="clear" w:color="auto" w:fill="auto"/>
          </w:tcPr>
          <w:p w14:paraId="43D29C1A" w14:textId="32EA375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La autoridad administrativa otorgará al posible infractor un plazo de quince días hábiles siguientes a la notificación a que se refiere la fracción anterior, para que exponga lo que a su derecho convenga y en su caso aporte las pruebas con que cuente, y</w:t>
            </w:r>
          </w:p>
        </w:tc>
        <w:tc>
          <w:tcPr>
            <w:tcW w:w="4788" w:type="dxa"/>
            <w:shd w:val="clear" w:color="auto" w:fill="auto"/>
          </w:tcPr>
          <w:p w14:paraId="12675924" w14:textId="16C5F40A"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administrative authority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grant the possible offender a period of fifteen business days following the notification referred to in the preceding section, so that he may explain what is appropriate to his right and, where appropriate, provide the evidence he has, and</w:t>
            </w:r>
          </w:p>
        </w:tc>
      </w:tr>
      <w:tr w:rsidR="002C5E29" w:rsidRPr="000A5335" w14:paraId="31CF869B" w14:textId="21D37786" w:rsidTr="00081E30">
        <w:tc>
          <w:tcPr>
            <w:tcW w:w="4788" w:type="dxa"/>
            <w:shd w:val="clear" w:color="auto" w:fill="auto"/>
          </w:tcPr>
          <w:p w14:paraId="0F40537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89D010F" w14:textId="251CDDB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A2CE9B5" w14:textId="4A3E6AD3" w:rsidTr="00081E30">
        <w:tc>
          <w:tcPr>
            <w:tcW w:w="4788" w:type="dxa"/>
            <w:shd w:val="clear" w:color="auto" w:fill="auto"/>
          </w:tcPr>
          <w:p w14:paraId="016BA887" w14:textId="38C523B5"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Una vez oído al infractor y desahogadas las pruebas ofrecidas y admitidas, se procederá a dictar la resolución que proceda dentro de los diez días hábiles siguientes.</w:t>
            </w:r>
          </w:p>
        </w:tc>
        <w:tc>
          <w:tcPr>
            <w:tcW w:w="4788" w:type="dxa"/>
            <w:shd w:val="clear" w:color="auto" w:fill="auto"/>
          </w:tcPr>
          <w:p w14:paraId="5794FA57" w14:textId="207E1D11"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Once the offender has been heard and the evidence offered and admitted has been released, the corresponding resolution will be issued within ten working days.</w:t>
            </w:r>
          </w:p>
        </w:tc>
      </w:tr>
      <w:tr w:rsidR="002C5E29" w:rsidRPr="000A5335" w14:paraId="72549C7F" w14:textId="0954C5B5" w:rsidTr="00081E30">
        <w:tc>
          <w:tcPr>
            <w:tcW w:w="4788" w:type="dxa"/>
            <w:shd w:val="clear" w:color="auto" w:fill="auto"/>
          </w:tcPr>
          <w:p w14:paraId="480E941B"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4316C06" w14:textId="1FC448B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3C1F6B" w14:paraId="53204676" w14:textId="4709EFA8" w:rsidTr="00081E30">
        <w:tc>
          <w:tcPr>
            <w:tcW w:w="4788" w:type="dxa"/>
            <w:shd w:val="clear" w:color="auto" w:fill="auto"/>
          </w:tcPr>
          <w:p w14:paraId="33049DA3" w14:textId="77777777" w:rsidR="002C5E29" w:rsidRPr="001D1D2A" w:rsidRDefault="002C5E29" w:rsidP="002C5E29">
            <w:pPr>
              <w:pStyle w:val="ANOTACION"/>
              <w:spacing w:before="0" w:after="0" w:line="240" w:lineRule="auto"/>
              <w:rPr>
                <w:rFonts w:ascii="Verdana" w:hAnsi="Verdana" w:cs="Arial"/>
                <w:sz w:val="16"/>
                <w:szCs w:val="16"/>
              </w:rPr>
            </w:pPr>
            <w:r w:rsidRPr="001D1D2A">
              <w:rPr>
                <w:rFonts w:ascii="Verdana" w:hAnsi="Verdana" w:cs="Arial"/>
                <w:sz w:val="16"/>
                <w:szCs w:val="16"/>
              </w:rPr>
              <w:t>TRANSITORIOS</w:t>
            </w:r>
          </w:p>
        </w:tc>
        <w:tc>
          <w:tcPr>
            <w:tcW w:w="4788" w:type="dxa"/>
            <w:shd w:val="clear" w:color="auto" w:fill="auto"/>
          </w:tcPr>
          <w:p w14:paraId="633BD2D3" w14:textId="73D1E7C2" w:rsidR="002C5E29" w:rsidRPr="001D1D2A" w:rsidRDefault="002C5E29" w:rsidP="002C5E29">
            <w:pPr>
              <w:pStyle w:val="ANOTACION"/>
              <w:spacing w:before="0" w:after="0" w:line="240" w:lineRule="auto"/>
              <w:rPr>
                <w:rFonts w:ascii="Verdana" w:hAnsi="Verdana" w:cs="Arial"/>
                <w:sz w:val="16"/>
                <w:szCs w:val="16"/>
                <w:lang w:val="en-US"/>
              </w:rPr>
            </w:pPr>
            <w:r w:rsidRPr="001D1D2A">
              <w:rPr>
                <w:rFonts w:ascii="Verdana" w:hAnsi="Verdana"/>
                <w:sz w:val="16"/>
                <w:szCs w:val="16"/>
                <w:lang w:val="en-US"/>
              </w:rPr>
              <w:t>TRANSITIONAL ARTICLES</w:t>
            </w:r>
          </w:p>
        </w:tc>
      </w:tr>
      <w:tr w:rsidR="002C5E29" w:rsidRPr="003C1F6B" w14:paraId="528ACBDC" w14:textId="0913DDD8" w:rsidTr="00081E30">
        <w:tc>
          <w:tcPr>
            <w:tcW w:w="4788" w:type="dxa"/>
            <w:shd w:val="clear" w:color="auto" w:fill="auto"/>
          </w:tcPr>
          <w:p w14:paraId="183C0B50" w14:textId="77777777" w:rsidR="002C5E29" w:rsidRPr="00081E30" w:rsidRDefault="002C5E29" w:rsidP="002C5E29">
            <w:pPr>
              <w:pStyle w:val="ANOTACION"/>
              <w:spacing w:before="0" w:after="0" w:line="240" w:lineRule="auto"/>
              <w:rPr>
                <w:rFonts w:ascii="Verdana" w:hAnsi="Verdana" w:cs="Arial"/>
                <w:b w:val="0"/>
                <w:bCs/>
                <w:sz w:val="16"/>
                <w:szCs w:val="16"/>
              </w:rPr>
            </w:pPr>
          </w:p>
        </w:tc>
        <w:tc>
          <w:tcPr>
            <w:tcW w:w="4788" w:type="dxa"/>
            <w:shd w:val="clear" w:color="auto" w:fill="auto"/>
          </w:tcPr>
          <w:p w14:paraId="5A325E3D" w14:textId="6DD740A8" w:rsidR="002C5E29" w:rsidRPr="00081E30" w:rsidRDefault="002C5E29" w:rsidP="002C5E29">
            <w:pPr>
              <w:pStyle w:val="ANOTACION"/>
              <w:spacing w:before="0" w:after="0" w:line="240" w:lineRule="auto"/>
              <w:rPr>
                <w:rFonts w:ascii="Verdana" w:hAnsi="Verdana" w:cs="Arial"/>
                <w:b w:val="0"/>
                <w:bCs/>
                <w:sz w:val="16"/>
                <w:szCs w:val="16"/>
                <w:lang w:val="en-US"/>
              </w:rPr>
            </w:pPr>
            <w:r w:rsidRPr="00081E30">
              <w:rPr>
                <w:rFonts w:ascii="Verdana" w:hAnsi="Verdana"/>
                <w:b w:val="0"/>
                <w:bCs/>
                <w:sz w:val="16"/>
                <w:szCs w:val="16"/>
                <w:lang w:val="en-US"/>
              </w:rPr>
              <w:t> </w:t>
            </w:r>
          </w:p>
        </w:tc>
      </w:tr>
      <w:tr w:rsidR="002C5E29" w:rsidRPr="000A5335" w14:paraId="063F9CE6" w14:textId="595641E5" w:rsidTr="00081E30">
        <w:tc>
          <w:tcPr>
            <w:tcW w:w="4788" w:type="dxa"/>
            <w:shd w:val="clear" w:color="auto" w:fill="auto"/>
          </w:tcPr>
          <w:p w14:paraId="31BBA1EC"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Primero.-</w:t>
            </w:r>
            <w:r w:rsidRPr="00081E30">
              <w:rPr>
                <w:rFonts w:ascii="Verdana" w:hAnsi="Verdana"/>
                <w:bCs/>
                <w:sz w:val="16"/>
                <w:szCs w:val="16"/>
              </w:rPr>
              <w:t xml:space="preserve"> El presente Reglamento entrará en vigor al día siguiente de su publicación en el Diario Oficial de la Federación.</w:t>
            </w:r>
          </w:p>
        </w:tc>
        <w:tc>
          <w:tcPr>
            <w:tcW w:w="4788" w:type="dxa"/>
            <w:shd w:val="clear" w:color="auto" w:fill="auto"/>
          </w:tcPr>
          <w:p w14:paraId="5D2AD212" w14:textId="143FDE1B"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First.-</w:t>
            </w:r>
            <w:r w:rsidRPr="00081E30">
              <w:rPr>
                <w:rFonts w:ascii="Verdana" w:hAnsi="Verdana" w:cs="Times New Roman"/>
                <w:bCs/>
                <w:sz w:val="16"/>
                <w:szCs w:val="16"/>
                <w:lang w:val="en-US"/>
              </w:rPr>
              <w:t xml:space="preserve"> This Regulation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enter into force on the day following its publication in the Official </w:t>
            </w:r>
            <w:r>
              <w:rPr>
                <w:rFonts w:ascii="Verdana" w:hAnsi="Verdana" w:cs="Times New Roman"/>
                <w:bCs/>
                <w:sz w:val="16"/>
                <w:szCs w:val="16"/>
                <w:lang w:val="en-US"/>
              </w:rPr>
              <w:t>Daily</w:t>
            </w:r>
            <w:r w:rsidRPr="00081E30">
              <w:rPr>
                <w:rFonts w:ascii="Verdana" w:hAnsi="Verdana" w:cs="Times New Roman"/>
                <w:bCs/>
                <w:sz w:val="16"/>
                <w:szCs w:val="16"/>
                <w:lang w:val="en-US"/>
              </w:rPr>
              <w:t xml:space="preserve"> of the Federation.</w:t>
            </w:r>
          </w:p>
        </w:tc>
      </w:tr>
      <w:tr w:rsidR="002C5E29" w:rsidRPr="000A5335" w14:paraId="3FEC25D8" w14:textId="4EC9DB3F" w:rsidTr="00081E30">
        <w:tc>
          <w:tcPr>
            <w:tcW w:w="4788" w:type="dxa"/>
            <w:shd w:val="clear" w:color="auto" w:fill="auto"/>
          </w:tcPr>
          <w:p w14:paraId="5172E5F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0ECF081" w14:textId="06967A0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154071B" w14:textId="0CD35EEE" w:rsidTr="00081E30">
        <w:tc>
          <w:tcPr>
            <w:tcW w:w="4788" w:type="dxa"/>
            <w:shd w:val="clear" w:color="auto" w:fill="auto"/>
          </w:tcPr>
          <w:p w14:paraId="61749A65"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Segundo.-</w:t>
            </w:r>
            <w:r w:rsidRPr="00081E30">
              <w:rPr>
                <w:rFonts w:ascii="Verdana" w:hAnsi="Verdana"/>
                <w:bCs/>
                <w:sz w:val="16"/>
                <w:szCs w:val="16"/>
              </w:rPr>
              <w:t xml:space="preserve"> Se abroga el Reglamento de la Ley Reglamentaria del Artículo 27 Constitucional en el Ramo del Petróleo, publicado en el Diario Oficial de la Federación el 22 de septiembre de 2009 y las disposiciones jurídicas derivadas del mismo que se opongan a lo establecido en el presente Reglamento.</w:t>
            </w:r>
          </w:p>
        </w:tc>
        <w:tc>
          <w:tcPr>
            <w:tcW w:w="4788" w:type="dxa"/>
            <w:shd w:val="clear" w:color="auto" w:fill="auto"/>
          </w:tcPr>
          <w:p w14:paraId="23ED90AD" w14:textId="52A1CC86"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Second.-</w:t>
            </w:r>
            <w:r w:rsidRPr="00081E30">
              <w:rPr>
                <w:rFonts w:ascii="Verdana" w:hAnsi="Verdana" w:cs="Times New Roman"/>
                <w:bCs/>
                <w:sz w:val="16"/>
                <w:szCs w:val="16"/>
                <w:lang w:val="en-US"/>
              </w:rPr>
              <w:t xml:space="preserve"> The Regulation of the Regulatory Law of the Constitutional Article 27 in the Petroleum Branch, published in the Official </w:t>
            </w:r>
            <w:r>
              <w:rPr>
                <w:rFonts w:ascii="Verdana" w:hAnsi="Verdana" w:cs="Times New Roman"/>
                <w:bCs/>
                <w:sz w:val="16"/>
                <w:szCs w:val="16"/>
                <w:lang w:val="en-US"/>
              </w:rPr>
              <w:t>Daily</w:t>
            </w:r>
            <w:r w:rsidRPr="00081E30">
              <w:rPr>
                <w:rFonts w:ascii="Verdana" w:hAnsi="Verdana" w:cs="Times New Roman"/>
                <w:bCs/>
                <w:sz w:val="16"/>
                <w:szCs w:val="16"/>
                <w:lang w:val="en-US"/>
              </w:rPr>
              <w:t xml:space="preserve"> of the Federation on September 22 , 2009 and the legal provisions derived therefrom that oppose the provisions of the this regulation.</w:t>
            </w:r>
          </w:p>
        </w:tc>
      </w:tr>
      <w:tr w:rsidR="002C5E29" w:rsidRPr="000A5335" w14:paraId="1184E9CC" w14:textId="6BD409DF" w:rsidTr="00081E30">
        <w:tc>
          <w:tcPr>
            <w:tcW w:w="4788" w:type="dxa"/>
            <w:shd w:val="clear" w:color="auto" w:fill="auto"/>
          </w:tcPr>
          <w:p w14:paraId="1FA17EA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08BA5B9" w14:textId="22091FF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DE6B4C3" w14:textId="486191D5" w:rsidTr="00081E30">
        <w:tc>
          <w:tcPr>
            <w:tcW w:w="4788" w:type="dxa"/>
            <w:shd w:val="clear" w:color="auto" w:fill="auto"/>
          </w:tcPr>
          <w:p w14:paraId="3309E6C4"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Tercero.-</w:t>
            </w:r>
            <w:r w:rsidRPr="00081E30">
              <w:rPr>
                <w:rFonts w:ascii="Verdana" w:hAnsi="Verdana"/>
                <w:bCs/>
                <w:sz w:val="16"/>
                <w:szCs w:val="16"/>
              </w:rPr>
              <w:t xml:space="preserve"> A más tardar dentro de los ciento ochenta días hábiles siguientes a la entrada en vigor del presente Reglamento, la Secretaría de Energía y la Comisión Nacional de Hidrocarburos emitirán, en el ámbito de sus respectivas competencias, las metodologías, los lineamientos y las disposiciones administrativas de carácter general en las materias referidas en el presente ordenamiento, salvo por lo señalado en los Transitorios Séptimo a Décimo del presente Reglamento.</w:t>
            </w:r>
          </w:p>
        </w:tc>
        <w:tc>
          <w:tcPr>
            <w:tcW w:w="4788" w:type="dxa"/>
            <w:shd w:val="clear" w:color="auto" w:fill="auto"/>
          </w:tcPr>
          <w:p w14:paraId="62247A3C" w14:textId="73ADB4BD"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Third.-</w:t>
            </w:r>
            <w:r w:rsidRPr="00081E30">
              <w:rPr>
                <w:rFonts w:ascii="Verdana" w:hAnsi="Verdana" w:cs="Times New Roman"/>
                <w:bCs/>
                <w:sz w:val="16"/>
                <w:szCs w:val="16"/>
                <w:lang w:val="en-US"/>
              </w:rPr>
              <w:t xml:space="preserve"> </w:t>
            </w:r>
            <w:r>
              <w:rPr>
                <w:rFonts w:ascii="Verdana" w:hAnsi="Verdana" w:cs="Times New Roman"/>
                <w:bCs/>
                <w:sz w:val="16"/>
                <w:szCs w:val="16"/>
                <w:lang w:val="en-US"/>
              </w:rPr>
              <w:t>No later than</w:t>
            </w:r>
            <w:r w:rsidRPr="00081E30">
              <w:rPr>
                <w:rFonts w:ascii="Verdana" w:hAnsi="Verdana" w:cs="Times New Roman"/>
                <w:bCs/>
                <w:sz w:val="16"/>
                <w:szCs w:val="16"/>
                <w:lang w:val="en-US"/>
              </w:rPr>
              <w:t xml:space="preserve"> one hundred and eighty business days following the entry into force of this Regulation,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and the National Hydrocarbons Commission will issue, within their respective </w:t>
            </w:r>
            <w:r>
              <w:rPr>
                <w:rFonts w:ascii="Verdana" w:hAnsi="Verdana" w:cs="Times New Roman"/>
                <w:bCs/>
                <w:sz w:val="16"/>
                <w:szCs w:val="16"/>
                <w:lang w:val="en-US"/>
              </w:rPr>
              <w:t>authority</w:t>
            </w:r>
            <w:r w:rsidRPr="00081E30">
              <w:rPr>
                <w:rFonts w:ascii="Verdana" w:hAnsi="Verdana" w:cs="Times New Roman"/>
                <w:bCs/>
                <w:sz w:val="16"/>
                <w:szCs w:val="16"/>
                <w:lang w:val="en-US"/>
              </w:rPr>
              <w:t>, the methodologies, guidelines and administrative provisions of a general nature in the matters referred to in this ordinance, except as indicated in the Seventh to Tenth Transit</w:t>
            </w:r>
            <w:r>
              <w:rPr>
                <w:rFonts w:ascii="Verdana" w:hAnsi="Verdana" w:cs="Times New Roman"/>
                <w:bCs/>
                <w:sz w:val="16"/>
                <w:szCs w:val="16"/>
                <w:lang w:val="en-US"/>
              </w:rPr>
              <w:t xml:space="preserve">ional articles </w:t>
            </w:r>
            <w:r w:rsidRPr="00081E30">
              <w:rPr>
                <w:rFonts w:ascii="Verdana" w:hAnsi="Verdana" w:cs="Times New Roman"/>
                <w:bCs/>
                <w:sz w:val="16"/>
                <w:szCs w:val="16"/>
                <w:lang w:val="en-US"/>
              </w:rPr>
              <w:t>of this Regulation.</w:t>
            </w:r>
          </w:p>
        </w:tc>
      </w:tr>
      <w:tr w:rsidR="002C5E29" w:rsidRPr="000A5335" w14:paraId="4E120630" w14:textId="2C72322E" w:rsidTr="00081E30">
        <w:tc>
          <w:tcPr>
            <w:tcW w:w="4788" w:type="dxa"/>
            <w:shd w:val="clear" w:color="auto" w:fill="auto"/>
          </w:tcPr>
          <w:p w14:paraId="36B1623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3FBD525" w14:textId="14075C97"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164F5A6" w14:textId="5F2CBC63" w:rsidTr="00081E30">
        <w:tc>
          <w:tcPr>
            <w:tcW w:w="4788" w:type="dxa"/>
            <w:shd w:val="clear" w:color="auto" w:fill="auto"/>
          </w:tcPr>
          <w:p w14:paraId="24844558"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Los modelos de contrato y las metodologías a que se refieren los artículos 67 y 68 del presente Reglamento, se publicarán en un plazo de noventa días hábiles a partir de la entrada en vigor del presente ordenamiento.</w:t>
            </w:r>
          </w:p>
        </w:tc>
        <w:tc>
          <w:tcPr>
            <w:tcW w:w="4788" w:type="dxa"/>
            <w:shd w:val="clear" w:color="auto" w:fill="auto"/>
          </w:tcPr>
          <w:p w14:paraId="52441AE6" w14:textId="7977CF5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The contract models and the methodologies referred to in articles 67 and 68 of this Regulation will be published within a period of ninety business days from the entry into force of this ordinance.</w:t>
            </w:r>
          </w:p>
        </w:tc>
      </w:tr>
      <w:tr w:rsidR="002C5E29" w:rsidRPr="000A5335" w14:paraId="760542A1" w14:textId="19C8C9D7" w:rsidTr="00081E30">
        <w:tc>
          <w:tcPr>
            <w:tcW w:w="4788" w:type="dxa"/>
            <w:shd w:val="clear" w:color="auto" w:fill="auto"/>
          </w:tcPr>
          <w:p w14:paraId="19308905"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6F4003E" w14:textId="045934B1"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5206FDC" w14:textId="19BA1AC6" w:rsidTr="00081E30">
        <w:tc>
          <w:tcPr>
            <w:tcW w:w="4788" w:type="dxa"/>
            <w:shd w:val="clear" w:color="auto" w:fill="auto"/>
          </w:tcPr>
          <w:p w14:paraId="42DA2093"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Cuarto.-</w:t>
            </w:r>
            <w:r w:rsidRPr="00081E30">
              <w:rPr>
                <w:rFonts w:ascii="Verdana" w:hAnsi="Verdana"/>
                <w:bCs/>
                <w:sz w:val="16"/>
                <w:szCs w:val="16"/>
              </w:rPr>
              <w:t xml:space="preserve"> Las Asignaciones a las que se refiere el Transitorio Sexto del Decreto por el que se reforman y adicionan diversas disposiciones de la Constitución Política de los Estados Unidos Mexicanos en Materia de Energía, publicado el 20 de diciembre de 2013, y demás contratos y actos jurídicos que se hayan otorgado o celebrado con fundamento en el Reglamento de la Ley Reglamentaria del Artículo 27 Constitucional en el Ramo del Petróleo, permanecerán vigentes en todo aquello </w:t>
            </w:r>
            <w:r w:rsidRPr="00081E30">
              <w:rPr>
                <w:rFonts w:ascii="Verdana" w:hAnsi="Verdana"/>
                <w:bCs/>
                <w:sz w:val="16"/>
                <w:szCs w:val="16"/>
              </w:rPr>
              <w:lastRenderedPageBreak/>
              <w:t>que no se oponga a las disposiciones de este ordenamiento.</w:t>
            </w:r>
          </w:p>
        </w:tc>
        <w:tc>
          <w:tcPr>
            <w:tcW w:w="4788" w:type="dxa"/>
            <w:shd w:val="clear" w:color="auto" w:fill="auto"/>
          </w:tcPr>
          <w:p w14:paraId="13A1E604" w14:textId="4B970174"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lastRenderedPageBreak/>
              <w:t>Fourth.-</w:t>
            </w:r>
            <w:r w:rsidRPr="00081E30">
              <w:rPr>
                <w:rFonts w:ascii="Verdana" w:hAnsi="Verdana" w:cs="Times New Roman"/>
                <w:bCs/>
                <w:sz w:val="16"/>
                <w:szCs w:val="16"/>
                <w:lang w:val="en-US"/>
              </w:rPr>
              <w:t xml:space="preserve"> The </w:t>
            </w:r>
            <w:r>
              <w:rPr>
                <w:rFonts w:ascii="Verdana" w:hAnsi="Verdana" w:cs="Times New Roman"/>
                <w:bCs/>
                <w:sz w:val="16"/>
                <w:szCs w:val="16"/>
                <w:lang w:val="en-US"/>
              </w:rPr>
              <w:t>a</w:t>
            </w:r>
            <w:r w:rsidRPr="00081E30">
              <w:rPr>
                <w:rFonts w:ascii="Verdana" w:hAnsi="Verdana" w:cs="Times New Roman"/>
                <w:bCs/>
                <w:sz w:val="16"/>
                <w:szCs w:val="16"/>
                <w:lang w:val="en-US"/>
              </w:rPr>
              <w:t>ssignments referred to in the Sixth Transit</w:t>
            </w:r>
            <w:r>
              <w:rPr>
                <w:rFonts w:ascii="Verdana" w:hAnsi="Verdana" w:cs="Times New Roman"/>
                <w:bCs/>
                <w:sz w:val="16"/>
                <w:szCs w:val="16"/>
                <w:lang w:val="en-US"/>
              </w:rPr>
              <w:t>ional article of the</w:t>
            </w:r>
            <w:r w:rsidRPr="00081E30">
              <w:rPr>
                <w:rFonts w:ascii="Verdana" w:hAnsi="Verdana" w:cs="Times New Roman"/>
                <w:bCs/>
                <w:sz w:val="16"/>
                <w:szCs w:val="16"/>
                <w:lang w:val="en-US"/>
              </w:rPr>
              <w:t xml:space="preserve"> Decree by which various provisions of the Political Constitution of the United States of Mexico in Energy Matters are amended and published, published on December 20, 2013, and other contracts and Legal acts that have been granted or celebrated based on the Regulation of the Regulatory Law of Constitutional Article 27 in the Petroleum </w:t>
            </w:r>
            <w:r w:rsidRPr="00081E30">
              <w:rPr>
                <w:rFonts w:ascii="Verdana" w:hAnsi="Verdana" w:cs="Times New Roman"/>
                <w:bCs/>
                <w:sz w:val="16"/>
                <w:szCs w:val="16"/>
                <w:lang w:val="en-US"/>
              </w:rPr>
              <w:lastRenderedPageBreak/>
              <w:t>Branch, will remain in force in everything that does not oppose the provisions of this ordinance.</w:t>
            </w:r>
          </w:p>
        </w:tc>
      </w:tr>
      <w:tr w:rsidR="002C5E29" w:rsidRPr="000A5335" w14:paraId="4F36D5EB" w14:textId="4501D0E3" w:rsidTr="00081E30">
        <w:tc>
          <w:tcPr>
            <w:tcW w:w="4788" w:type="dxa"/>
            <w:shd w:val="clear" w:color="auto" w:fill="auto"/>
          </w:tcPr>
          <w:p w14:paraId="0870173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1B77F76" w14:textId="5979CD8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8DA96B5" w14:textId="27A1BA65" w:rsidTr="00081E30">
        <w:tc>
          <w:tcPr>
            <w:tcW w:w="4788" w:type="dxa"/>
            <w:shd w:val="clear" w:color="auto" w:fill="auto"/>
          </w:tcPr>
          <w:p w14:paraId="05B982C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Lo anterior, sin perjuicio de que puedan ser adecuados, modificados o sustituidos en términos de la Ley, este Reglamento y demás disposiciones jurídicas aplicables.</w:t>
            </w:r>
          </w:p>
        </w:tc>
        <w:tc>
          <w:tcPr>
            <w:tcW w:w="4788" w:type="dxa"/>
            <w:shd w:val="clear" w:color="auto" w:fill="auto"/>
          </w:tcPr>
          <w:p w14:paraId="02787728" w14:textId="5512554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foregoing, notwithstanding that they may be adequate, modified or substituted in terms of the Law,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and other applicable legal provisions.</w:t>
            </w:r>
          </w:p>
        </w:tc>
      </w:tr>
      <w:tr w:rsidR="002C5E29" w:rsidRPr="000A5335" w14:paraId="5769E377" w14:textId="627FF16D" w:rsidTr="00081E30">
        <w:tc>
          <w:tcPr>
            <w:tcW w:w="4788" w:type="dxa"/>
            <w:shd w:val="clear" w:color="auto" w:fill="auto"/>
          </w:tcPr>
          <w:p w14:paraId="34D4811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15DCFC5" w14:textId="27C0152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0E61B52" w14:textId="66F89BFF" w:rsidTr="00081E30">
        <w:tc>
          <w:tcPr>
            <w:tcW w:w="4788" w:type="dxa"/>
            <w:shd w:val="clear" w:color="auto" w:fill="auto"/>
          </w:tcPr>
          <w:p w14:paraId="1448335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Las solicitudes de contratos, permisos y autorizaciones que se encuentren en trámite a la entrada en vigor del presente Reglamento se resolverán conforme a las disposiciones jurídicas vigentes al momento de la presentación de la solicitud correspondiente.</w:t>
            </w:r>
          </w:p>
        </w:tc>
        <w:tc>
          <w:tcPr>
            <w:tcW w:w="4788" w:type="dxa"/>
            <w:shd w:val="clear" w:color="auto" w:fill="auto"/>
          </w:tcPr>
          <w:p w14:paraId="6A8560E6" w14:textId="0EF781F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Requests for contracts, permits and authorizations that are in process at the entry into force of this Regulation will be resolved in accordance with the legal provisions in force at the time of submission of the corresponding application.</w:t>
            </w:r>
          </w:p>
        </w:tc>
      </w:tr>
      <w:tr w:rsidR="002C5E29" w:rsidRPr="000A5335" w14:paraId="19ED7DD8" w14:textId="19E33A8A" w:rsidTr="00081E30">
        <w:tc>
          <w:tcPr>
            <w:tcW w:w="4788" w:type="dxa"/>
            <w:shd w:val="clear" w:color="auto" w:fill="auto"/>
          </w:tcPr>
          <w:p w14:paraId="06B2F1A8"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D497196" w14:textId="48416E3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10CAE1C" w14:textId="45975CD6" w:rsidTr="00081E30">
        <w:tc>
          <w:tcPr>
            <w:tcW w:w="4788" w:type="dxa"/>
            <w:shd w:val="clear" w:color="auto" w:fill="auto"/>
          </w:tcPr>
          <w:p w14:paraId="470189B5"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El presente Transitorio será aplicable sin menoscabo de lo establecido en los Transitorios Quinto y Décimo de la Ley de Hidrocarburos.</w:t>
            </w:r>
          </w:p>
        </w:tc>
        <w:tc>
          <w:tcPr>
            <w:tcW w:w="4788" w:type="dxa"/>
            <w:shd w:val="clear" w:color="auto" w:fill="auto"/>
          </w:tcPr>
          <w:p w14:paraId="5AD1534F" w14:textId="2013BAB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This Transit</w:t>
            </w:r>
            <w:r>
              <w:rPr>
                <w:rFonts w:ascii="Verdana" w:hAnsi="Verdana" w:cs="Times New Roman"/>
                <w:bCs/>
                <w:sz w:val="16"/>
                <w:szCs w:val="16"/>
                <w:lang w:val="en-US"/>
              </w:rPr>
              <w:t>ional article</w:t>
            </w:r>
            <w:r w:rsidRPr="00081E30">
              <w:rPr>
                <w:rFonts w:ascii="Verdana" w:hAnsi="Verdana" w:cs="Times New Roman"/>
                <w:bCs/>
                <w:sz w:val="16"/>
                <w:szCs w:val="16"/>
                <w:lang w:val="en-US"/>
              </w:rPr>
              <w:t xml:space="preserve"> will be applicable without prejudice to the provisions of the Fifth and Tenth Tran</w:t>
            </w:r>
            <w:r>
              <w:rPr>
                <w:rFonts w:ascii="Verdana" w:hAnsi="Verdana" w:cs="Times New Roman"/>
                <w:bCs/>
                <w:sz w:val="16"/>
                <w:szCs w:val="16"/>
                <w:lang w:val="en-US"/>
              </w:rPr>
              <w:t>sitional articles</w:t>
            </w:r>
            <w:r w:rsidRPr="00081E30">
              <w:rPr>
                <w:rFonts w:ascii="Verdana" w:hAnsi="Verdana" w:cs="Times New Roman"/>
                <w:bCs/>
                <w:sz w:val="16"/>
                <w:szCs w:val="16"/>
                <w:lang w:val="en-US"/>
              </w:rPr>
              <w:t xml:space="preserve"> of the </w:t>
            </w:r>
            <w:r>
              <w:rPr>
                <w:rFonts w:ascii="Verdana" w:hAnsi="Verdana" w:cs="Times New Roman"/>
                <w:bCs/>
                <w:sz w:val="16"/>
                <w:szCs w:val="16"/>
                <w:lang w:val="en-US"/>
              </w:rPr>
              <w:t>Law of Hydrocarbons</w:t>
            </w:r>
            <w:r w:rsidRPr="00081E30">
              <w:rPr>
                <w:rFonts w:ascii="Verdana" w:hAnsi="Verdana" w:cs="Times New Roman"/>
                <w:bCs/>
                <w:sz w:val="16"/>
                <w:szCs w:val="16"/>
                <w:lang w:val="en-US"/>
              </w:rPr>
              <w:t>.</w:t>
            </w:r>
          </w:p>
        </w:tc>
      </w:tr>
      <w:tr w:rsidR="002C5E29" w:rsidRPr="000A5335" w14:paraId="18716A46" w14:textId="2B75E82D" w:rsidTr="00081E30">
        <w:tc>
          <w:tcPr>
            <w:tcW w:w="4788" w:type="dxa"/>
            <w:shd w:val="clear" w:color="auto" w:fill="auto"/>
          </w:tcPr>
          <w:p w14:paraId="7E803B5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558BE18" w14:textId="32D454E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934DB7B" w14:textId="18817DF5" w:rsidTr="00081E30">
        <w:tc>
          <w:tcPr>
            <w:tcW w:w="4788" w:type="dxa"/>
            <w:shd w:val="clear" w:color="auto" w:fill="auto"/>
          </w:tcPr>
          <w:p w14:paraId="5206C809"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Quinto.-</w:t>
            </w:r>
            <w:r w:rsidRPr="00081E30">
              <w:rPr>
                <w:rFonts w:ascii="Verdana" w:hAnsi="Verdana"/>
                <w:bCs/>
                <w:sz w:val="16"/>
                <w:szCs w:val="16"/>
              </w:rPr>
              <w:t xml:space="preserve"> La Secretaría de Energía emitirá el primer Plan Quinquenal a que se refiere el artículo 26 de este Reglamento durante el primer semestre de 2015. Por única ocasión, la Comisión Nacional de Hidrocarburos enviará a la Secretaría la propuesta correspondiente en el mes de abril de 2015.</w:t>
            </w:r>
          </w:p>
        </w:tc>
        <w:tc>
          <w:tcPr>
            <w:tcW w:w="4788" w:type="dxa"/>
            <w:shd w:val="clear" w:color="auto" w:fill="auto"/>
          </w:tcPr>
          <w:p w14:paraId="3AC9CE4F" w14:textId="22CD7027"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Fifth.-</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issue the first Five-Year Plan referred to in article 26 of </w:t>
            </w:r>
            <w:r>
              <w:rPr>
                <w:rFonts w:ascii="Verdana" w:hAnsi="Verdana" w:cs="Times New Roman"/>
                <w:bCs/>
                <w:sz w:val="16"/>
                <w:szCs w:val="16"/>
                <w:lang w:val="en-US"/>
              </w:rPr>
              <w:t>this Regulation</w:t>
            </w:r>
            <w:r w:rsidRPr="00081E30">
              <w:rPr>
                <w:rFonts w:ascii="Verdana" w:hAnsi="Verdana" w:cs="Times New Roman"/>
                <w:bCs/>
                <w:sz w:val="16"/>
                <w:szCs w:val="16"/>
                <w:lang w:val="en-US"/>
              </w:rPr>
              <w:t xml:space="preserve"> during the first half of 2015. </w:t>
            </w:r>
            <w:r>
              <w:rPr>
                <w:rFonts w:ascii="Verdana" w:hAnsi="Verdana" w:cs="Times New Roman"/>
                <w:bCs/>
                <w:sz w:val="16"/>
                <w:szCs w:val="16"/>
                <w:lang w:val="en-US"/>
              </w:rPr>
              <w:t>On</w:t>
            </w:r>
            <w:r w:rsidRPr="00081E30">
              <w:rPr>
                <w:rFonts w:ascii="Verdana" w:hAnsi="Verdana" w:cs="Times New Roman"/>
                <w:bCs/>
                <w:sz w:val="16"/>
                <w:szCs w:val="16"/>
                <w:lang w:val="en-US"/>
              </w:rPr>
              <w:t xml:space="preserve"> one occasion, the National Hydrocarbons Commission will send the corresponding proposal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in April of 2015.</w:t>
            </w:r>
          </w:p>
        </w:tc>
      </w:tr>
      <w:tr w:rsidR="002C5E29" w:rsidRPr="000A5335" w14:paraId="235C5350" w14:textId="6AFC9047" w:rsidTr="00081E30">
        <w:tc>
          <w:tcPr>
            <w:tcW w:w="4788" w:type="dxa"/>
            <w:shd w:val="clear" w:color="auto" w:fill="auto"/>
          </w:tcPr>
          <w:p w14:paraId="2BD4F23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637DCFD" w14:textId="791518E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B47A966" w14:textId="5825D703" w:rsidTr="00081E30">
        <w:tc>
          <w:tcPr>
            <w:tcW w:w="4788" w:type="dxa"/>
            <w:shd w:val="clear" w:color="auto" w:fill="auto"/>
          </w:tcPr>
          <w:p w14:paraId="27F4F42A"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Sexto.-</w:t>
            </w:r>
            <w:r w:rsidRPr="00081E30">
              <w:rPr>
                <w:rFonts w:ascii="Verdana" w:hAnsi="Verdana"/>
                <w:bCs/>
                <w:sz w:val="16"/>
                <w:szCs w:val="16"/>
              </w:rPr>
              <w:t xml:space="preserve"> Respecto de la migración prevista en el Transitorio Vigésimo Octavo de la Ley, las partes de los contratos integrales de exploración y producción y de los contratos de obra pública financiada que quieran optar por la migración deberán presentar conjuntamente a la Secretaría de Energía una solicitud que incluya cuando menos:</w:t>
            </w:r>
          </w:p>
        </w:tc>
        <w:tc>
          <w:tcPr>
            <w:tcW w:w="4788" w:type="dxa"/>
            <w:shd w:val="clear" w:color="auto" w:fill="auto"/>
          </w:tcPr>
          <w:p w14:paraId="3EB666BB" w14:textId="6D5889B3"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Sixth.-</w:t>
            </w:r>
            <w:r w:rsidRPr="00081E30">
              <w:rPr>
                <w:rFonts w:ascii="Verdana" w:hAnsi="Verdana" w:cs="Times New Roman"/>
                <w:bCs/>
                <w:sz w:val="16"/>
                <w:szCs w:val="16"/>
                <w:lang w:val="en-US"/>
              </w:rPr>
              <w:t xml:space="preserve"> Regarding the migration provided for in the Twenty-Eighth Transit</w:t>
            </w:r>
            <w:r>
              <w:rPr>
                <w:rFonts w:ascii="Verdana" w:hAnsi="Verdana" w:cs="Times New Roman"/>
                <w:bCs/>
                <w:sz w:val="16"/>
                <w:szCs w:val="16"/>
                <w:lang w:val="en-US"/>
              </w:rPr>
              <w:t>ional article</w:t>
            </w:r>
            <w:r w:rsidRPr="00081E30">
              <w:rPr>
                <w:rFonts w:ascii="Verdana" w:hAnsi="Verdana" w:cs="Times New Roman"/>
                <w:bCs/>
                <w:sz w:val="16"/>
                <w:szCs w:val="16"/>
                <w:lang w:val="en-US"/>
              </w:rPr>
              <w:t xml:space="preserve"> of the Law, the parties to the integral exploration and production contracts and the publicly funded contracts that want to opt for migration must jointly submit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a request that includes at least:</w:t>
            </w:r>
          </w:p>
        </w:tc>
      </w:tr>
      <w:tr w:rsidR="002C5E29" w:rsidRPr="000A5335" w14:paraId="70F6EED3" w14:textId="768FE933" w:rsidTr="00081E30">
        <w:tc>
          <w:tcPr>
            <w:tcW w:w="4788" w:type="dxa"/>
            <w:shd w:val="clear" w:color="auto" w:fill="auto"/>
          </w:tcPr>
          <w:p w14:paraId="073AAC7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9F23E7E" w14:textId="7C16032F"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9FB1811" w14:textId="2D543015" w:rsidTr="00081E30">
        <w:tc>
          <w:tcPr>
            <w:tcW w:w="4788" w:type="dxa"/>
            <w:shd w:val="clear" w:color="auto" w:fill="auto"/>
          </w:tcPr>
          <w:p w14:paraId="4C350B30" w14:textId="31C4AB50"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La identificación de la Asignación a migrar;</w:t>
            </w:r>
          </w:p>
        </w:tc>
        <w:tc>
          <w:tcPr>
            <w:tcW w:w="4788" w:type="dxa"/>
            <w:shd w:val="clear" w:color="auto" w:fill="auto"/>
          </w:tcPr>
          <w:p w14:paraId="11C553F9" w14:textId="4D6E84E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identification of the </w:t>
            </w:r>
            <w:r>
              <w:rPr>
                <w:rFonts w:ascii="Verdana" w:hAnsi="Verdana" w:cs="Times New Roman"/>
                <w:bCs/>
                <w:sz w:val="16"/>
                <w:szCs w:val="16"/>
                <w:lang w:val="en-US"/>
              </w:rPr>
              <w:t>a</w:t>
            </w:r>
            <w:r w:rsidRPr="00081E30">
              <w:rPr>
                <w:rFonts w:ascii="Verdana" w:hAnsi="Verdana" w:cs="Times New Roman"/>
                <w:bCs/>
                <w:sz w:val="16"/>
                <w:szCs w:val="16"/>
                <w:lang w:val="en-US"/>
              </w:rPr>
              <w:t>ssignment to migrate;</w:t>
            </w:r>
          </w:p>
        </w:tc>
      </w:tr>
      <w:tr w:rsidR="002C5E29" w:rsidRPr="000A5335" w14:paraId="731B2580" w14:textId="5A332FBA" w:rsidTr="00081E30">
        <w:tc>
          <w:tcPr>
            <w:tcW w:w="4788" w:type="dxa"/>
            <w:shd w:val="clear" w:color="auto" w:fill="auto"/>
          </w:tcPr>
          <w:p w14:paraId="20D6FFA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8BADC37" w14:textId="540E004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F650F8F" w14:textId="339F2E88" w:rsidTr="00081E30">
        <w:tc>
          <w:tcPr>
            <w:tcW w:w="4788" w:type="dxa"/>
            <w:shd w:val="clear" w:color="auto" w:fill="auto"/>
          </w:tcPr>
          <w:p w14:paraId="737A8C4B" w14:textId="5E66DD5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justificación de la conveniencia de la migración para la Nación en términos de:</w:t>
            </w:r>
          </w:p>
        </w:tc>
        <w:tc>
          <w:tcPr>
            <w:tcW w:w="4788" w:type="dxa"/>
            <w:shd w:val="clear" w:color="auto" w:fill="auto"/>
          </w:tcPr>
          <w:p w14:paraId="7CC8D751" w14:textId="2EADB52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justification of the convenience of migration for the Nation in terms of:</w:t>
            </w:r>
          </w:p>
        </w:tc>
      </w:tr>
      <w:tr w:rsidR="002C5E29" w:rsidRPr="000A5335" w14:paraId="1F80B579" w14:textId="3FF93C4E" w:rsidTr="00081E30">
        <w:tc>
          <w:tcPr>
            <w:tcW w:w="4788" w:type="dxa"/>
            <w:shd w:val="clear" w:color="auto" w:fill="auto"/>
          </w:tcPr>
          <w:p w14:paraId="2312B399"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78B5C2B" w14:textId="622EA87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7589E14" w14:textId="185BC3AD" w:rsidTr="00081E30">
        <w:tc>
          <w:tcPr>
            <w:tcW w:w="4788" w:type="dxa"/>
            <w:shd w:val="clear" w:color="auto" w:fill="auto"/>
          </w:tcPr>
          <w:p w14:paraId="27BEA1F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a) La producción base e incremental de Hidrocarburos, desglosada en Petróleo, Gas Natural Asociado, Gas Natural no Asociado y condensados;</w:t>
            </w:r>
          </w:p>
        </w:tc>
        <w:tc>
          <w:tcPr>
            <w:tcW w:w="4788" w:type="dxa"/>
            <w:shd w:val="clear" w:color="auto" w:fill="auto"/>
          </w:tcPr>
          <w:p w14:paraId="136E8676" w14:textId="722C078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a) The </w:t>
            </w:r>
            <w:r>
              <w:rPr>
                <w:rFonts w:ascii="Verdana" w:hAnsi="Verdana" w:cs="Times New Roman"/>
                <w:bCs/>
                <w:sz w:val="16"/>
                <w:szCs w:val="16"/>
                <w:lang w:val="en-US"/>
              </w:rPr>
              <w:t>criteria</w:t>
            </w:r>
            <w:r w:rsidRPr="00081E30">
              <w:rPr>
                <w:rFonts w:ascii="Verdana" w:hAnsi="Verdana" w:cs="Times New Roman"/>
                <w:bCs/>
                <w:sz w:val="16"/>
                <w:szCs w:val="16"/>
                <w:lang w:val="en-US"/>
              </w:rPr>
              <w:t xml:space="preserve"> and incremental</w:t>
            </w:r>
            <w:r>
              <w:rPr>
                <w:rFonts w:ascii="Verdana" w:hAnsi="Verdana" w:cs="Times New Roman"/>
                <w:bCs/>
                <w:sz w:val="16"/>
                <w:szCs w:val="16"/>
                <w:lang w:val="en-US"/>
              </w:rPr>
              <w:t xml:space="preserve"> criteria</w:t>
            </w:r>
            <w:r w:rsidRPr="00081E30">
              <w:rPr>
                <w:rFonts w:ascii="Verdana" w:hAnsi="Verdana" w:cs="Times New Roman"/>
                <w:bCs/>
                <w:sz w:val="16"/>
                <w:szCs w:val="16"/>
                <w:lang w:val="en-US"/>
              </w:rPr>
              <w:t xml:space="preserve"> production of Hydrocarbons, broken down into petroleum, associated natural gas, non associated natural gas and condensates;</w:t>
            </w:r>
          </w:p>
        </w:tc>
      </w:tr>
      <w:tr w:rsidR="002C5E29" w:rsidRPr="000A5335" w14:paraId="2FD222FF" w14:textId="122922B4" w:rsidTr="00081E30">
        <w:tc>
          <w:tcPr>
            <w:tcW w:w="4788" w:type="dxa"/>
            <w:shd w:val="clear" w:color="auto" w:fill="auto"/>
          </w:tcPr>
          <w:p w14:paraId="7DB5502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F2511F5" w14:textId="7D111CB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B42BD1A" w14:textId="5C2EB12E" w:rsidTr="00081E30">
        <w:tc>
          <w:tcPr>
            <w:tcW w:w="4788" w:type="dxa"/>
            <w:shd w:val="clear" w:color="auto" w:fill="auto"/>
          </w:tcPr>
          <w:p w14:paraId="2B95574C"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b)</w:t>
            </w:r>
            <w:r w:rsidRPr="00081E30">
              <w:rPr>
                <w:rFonts w:ascii="Verdana" w:hAnsi="Verdana"/>
                <w:bCs/>
                <w:sz w:val="16"/>
                <w:szCs w:val="16"/>
              </w:rPr>
              <w:t xml:space="preserve"> La incorporación de Reservas adicionales;</w:t>
            </w:r>
          </w:p>
        </w:tc>
        <w:tc>
          <w:tcPr>
            <w:tcW w:w="4788" w:type="dxa"/>
            <w:shd w:val="clear" w:color="auto" w:fill="auto"/>
          </w:tcPr>
          <w:p w14:paraId="06500F00" w14:textId="14889A70"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b)</w:t>
            </w:r>
            <w:r w:rsidRPr="00081E30">
              <w:rPr>
                <w:rFonts w:ascii="Verdana" w:hAnsi="Verdana" w:cs="Times New Roman"/>
                <w:bCs/>
                <w:sz w:val="16"/>
                <w:szCs w:val="16"/>
                <w:lang w:val="en-US"/>
              </w:rPr>
              <w:t xml:space="preserve"> The incorporation of additional Reserves;</w:t>
            </w:r>
          </w:p>
        </w:tc>
      </w:tr>
      <w:tr w:rsidR="002C5E29" w:rsidRPr="000A5335" w14:paraId="19856C14" w14:textId="485C2BF2" w:rsidTr="00081E30">
        <w:tc>
          <w:tcPr>
            <w:tcW w:w="4788" w:type="dxa"/>
            <w:shd w:val="clear" w:color="auto" w:fill="auto"/>
          </w:tcPr>
          <w:p w14:paraId="6A5D54A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30EBE8E" w14:textId="5799867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38A37E6" w14:textId="37B106AF" w:rsidTr="00081E30">
        <w:tc>
          <w:tcPr>
            <w:tcW w:w="4788" w:type="dxa"/>
            <w:shd w:val="clear" w:color="auto" w:fill="auto"/>
          </w:tcPr>
          <w:p w14:paraId="2E8FF3D6"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t>c)</w:t>
            </w:r>
            <w:r w:rsidRPr="00081E30">
              <w:rPr>
                <w:rFonts w:ascii="Verdana" w:hAnsi="Verdana"/>
                <w:bCs/>
                <w:sz w:val="16"/>
                <w:szCs w:val="16"/>
              </w:rPr>
              <w:t xml:space="preserve"> El escenario de gastos, costos e inversiones necesarios para un desarrollo eficiente desde un punto de vista técnico, que incluyan un programa adicional de trabajo con respecto al original.</w:t>
            </w:r>
          </w:p>
        </w:tc>
        <w:tc>
          <w:tcPr>
            <w:tcW w:w="4788" w:type="dxa"/>
            <w:shd w:val="clear" w:color="auto" w:fill="auto"/>
          </w:tcPr>
          <w:p w14:paraId="1D5A2ACA" w14:textId="37C76907"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c)</w:t>
            </w:r>
            <w:r w:rsidRPr="00081E30">
              <w:rPr>
                <w:rFonts w:ascii="Verdana" w:hAnsi="Verdana" w:cs="Times New Roman"/>
                <w:bCs/>
                <w:sz w:val="16"/>
                <w:szCs w:val="16"/>
                <w:lang w:val="en-US"/>
              </w:rPr>
              <w:t xml:space="preserve"> The scenario of expenses, costs and investments necessary for efficient development from a technical point of view, including an additional work program with respect to the original.</w:t>
            </w:r>
          </w:p>
        </w:tc>
      </w:tr>
      <w:tr w:rsidR="002C5E29" w:rsidRPr="000A5335" w14:paraId="4060A319" w14:textId="2728383D" w:rsidTr="00081E30">
        <w:tc>
          <w:tcPr>
            <w:tcW w:w="4788" w:type="dxa"/>
            <w:shd w:val="clear" w:color="auto" w:fill="auto"/>
          </w:tcPr>
          <w:p w14:paraId="488F669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D02401F" w14:textId="7815126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A3D488A" w14:textId="6A62B56F" w:rsidTr="00081E30">
        <w:tc>
          <w:tcPr>
            <w:tcW w:w="4788" w:type="dxa"/>
            <w:shd w:val="clear" w:color="auto" w:fill="auto"/>
          </w:tcPr>
          <w:p w14:paraId="565DDEE8" w14:textId="21868EDE"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Los escenarios de precios utilizados;</w:t>
            </w:r>
          </w:p>
        </w:tc>
        <w:tc>
          <w:tcPr>
            <w:tcW w:w="4788" w:type="dxa"/>
            <w:shd w:val="clear" w:color="auto" w:fill="auto"/>
          </w:tcPr>
          <w:p w14:paraId="67D74ACC" w14:textId="69D68A5F"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The price scenarios used;</w:t>
            </w:r>
          </w:p>
        </w:tc>
      </w:tr>
      <w:tr w:rsidR="002C5E29" w:rsidRPr="000A5335" w14:paraId="539553C3" w14:textId="495D6E64" w:rsidTr="00081E30">
        <w:tc>
          <w:tcPr>
            <w:tcW w:w="4788" w:type="dxa"/>
            <w:shd w:val="clear" w:color="auto" w:fill="auto"/>
          </w:tcPr>
          <w:p w14:paraId="4C14C34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060DCF4" w14:textId="0DBAB88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053307C8" w14:textId="3F094253" w:rsidTr="00081E30">
        <w:tc>
          <w:tcPr>
            <w:tcW w:w="4788" w:type="dxa"/>
            <w:shd w:val="clear" w:color="auto" w:fill="auto"/>
          </w:tcPr>
          <w:p w14:paraId="22BB442C" w14:textId="78C74EAD"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Las características geológicas del área;</w:t>
            </w:r>
          </w:p>
        </w:tc>
        <w:tc>
          <w:tcPr>
            <w:tcW w:w="4788" w:type="dxa"/>
            <w:shd w:val="clear" w:color="auto" w:fill="auto"/>
          </w:tcPr>
          <w:p w14:paraId="61424124" w14:textId="68F1ECCC"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geological characteristics of the area;</w:t>
            </w:r>
          </w:p>
        </w:tc>
      </w:tr>
      <w:tr w:rsidR="002C5E29" w:rsidRPr="000A5335" w14:paraId="490B2863" w14:textId="45C9FDDC" w:rsidTr="00081E30">
        <w:tc>
          <w:tcPr>
            <w:tcW w:w="4788" w:type="dxa"/>
            <w:shd w:val="clear" w:color="auto" w:fill="auto"/>
          </w:tcPr>
          <w:p w14:paraId="11BE3530"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11CBD75" w14:textId="5D661C6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D3CB9FD" w14:textId="769D17DA" w:rsidTr="00081E30">
        <w:tc>
          <w:tcPr>
            <w:tcW w:w="4788" w:type="dxa"/>
            <w:shd w:val="clear" w:color="auto" w:fill="auto"/>
          </w:tcPr>
          <w:p w14:paraId="4C192F69" w14:textId="04462194"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w:t>
            </w:r>
            <w:r w:rsidRPr="00081E30">
              <w:rPr>
                <w:rFonts w:ascii="Verdana" w:hAnsi="Verdana"/>
                <w:bCs/>
                <w:sz w:val="16"/>
                <w:szCs w:val="16"/>
              </w:rPr>
              <w:t xml:space="preserve"> La información sobre la calidad, el contenido de azufre y grados API de los Hidrocarburos, según corresponda, desglosada en Petróleo, Gas Natural Asociado, Gas Natural no Asociado y condensados;</w:t>
            </w:r>
          </w:p>
        </w:tc>
        <w:tc>
          <w:tcPr>
            <w:tcW w:w="4788" w:type="dxa"/>
            <w:shd w:val="clear" w:color="auto" w:fill="auto"/>
          </w:tcPr>
          <w:p w14:paraId="03A90B32" w14:textId="644165F2"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w:t>
            </w:r>
            <w:r w:rsidRPr="00081E30">
              <w:rPr>
                <w:rFonts w:ascii="Verdana" w:hAnsi="Verdana" w:cs="Times New Roman"/>
                <w:bCs/>
                <w:sz w:val="16"/>
                <w:szCs w:val="16"/>
                <w:lang w:val="en-US"/>
              </w:rPr>
              <w:t xml:space="preserve"> Information on the quality, sulfur content and API grades of Hydrocarbons, as appropriate, broken down into Petroleum, Associated Natural Gas, Non Associated Natural Gas and condensates;</w:t>
            </w:r>
          </w:p>
        </w:tc>
      </w:tr>
      <w:tr w:rsidR="002C5E29" w:rsidRPr="000A5335" w14:paraId="3BAB2BFD" w14:textId="071F4087" w:rsidTr="00081E30">
        <w:tc>
          <w:tcPr>
            <w:tcW w:w="4788" w:type="dxa"/>
            <w:shd w:val="clear" w:color="auto" w:fill="auto"/>
          </w:tcPr>
          <w:p w14:paraId="1DB81FD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4FB39D5" w14:textId="32A9535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33D0B16" w14:textId="44E68276" w:rsidTr="00081E30">
        <w:tc>
          <w:tcPr>
            <w:tcW w:w="4788" w:type="dxa"/>
            <w:shd w:val="clear" w:color="auto" w:fill="auto"/>
          </w:tcPr>
          <w:p w14:paraId="30C3666C" w14:textId="761B5A25"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V</w:t>
            </w:r>
            <w:r w:rsidRPr="00030FCB">
              <w:rPr>
                <w:rFonts w:ascii="Verdana" w:hAnsi="Verdana"/>
                <w:b/>
                <w:bCs/>
                <w:sz w:val="16"/>
                <w:szCs w:val="16"/>
              </w:rPr>
              <w:t>I.</w:t>
            </w:r>
            <w:r w:rsidRPr="00081E30">
              <w:rPr>
                <w:rFonts w:ascii="Verdana" w:hAnsi="Verdana"/>
                <w:bCs/>
                <w:sz w:val="16"/>
                <w:szCs w:val="16"/>
              </w:rPr>
              <w:t xml:space="preserve"> La descripción de la infraestructura existente dentro y alrededor del Área de Asignación a migrar, y</w:t>
            </w:r>
          </w:p>
        </w:tc>
        <w:tc>
          <w:tcPr>
            <w:tcW w:w="4788" w:type="dxa"/>
            <w:shd w:val="clear" w:color="auto" w:fill="auto"/>
          </w:tcPr>
          <w:p w14:paraId="5A27B9CA" w14:textId="42AF48DD" w:rsidR="002C5E29" w:rsidRPr="00081E30" w:rsidRDefault="002C5E29" w:rsidP="002C5E29">
            <w:pPr>
              <w:pStyle w:val="Texto"/>
              <w:spacing w:after="0" w:line="240" w:lineRule="auto"/>
              <w:ind w:firstLine="0"/>
              <w:rPr>
                <w:rFonts w:ascii="Verdana" w:hAnsi="Verdana"/>
                <w:bCs/>
                <w:sz w:val="16"/>
                <w:szCs w:val="16"/>
                <w:lang w:val="en-US"/>
              </w:rPr>
            </w:pPr>
            <w:r w:rsidRPr="00171358">
              <w:rPr>
                <w:rFonts w:ascii="Verdana" w:hAnsi="Verdana" w:cs="Times New Roman"/>
                <w:b/>
                <w:bCs/>
                <w:sz w:val="16"/>
                <w:szCs w:val="16"/>
                <w:lang w:val="en-US"/>
              </w:rPr>
              <w:t>V</w:t>
            </w: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The description of the existing infrastructure in and around the Allocation Area to be migrated, and</w:t>
            </w:r>
          </w:p>
        </w:tc>
      </w:tr>
      <w:tr w:rsidR="002C5E29" w:rsidRPr="000A5335" w14:paraId="74FF8348" w14:textId="410F5AD1" w:rsidTr="00081E30">
        <w:tc>
          <w:tcPr>
            <w:tcW w:w="4788" w:type="dxa"/>
            <w:shd w:val="clear" w:color="auto" w:fill="auto"/>
          </w:tcPr>
          <w:p w14:paraId="67DF1A44"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051BD501" w14:textId="7A0FFE0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8D62F2C" w14:textId="17C72902" w:rsidTr="00081E30">
        <w:tc>
          <w:tcPr>
            <w:tcW w:w="4788" w:type="dxa"/>
            <w:shd w:val="clear" w:color="auto" w:fill="auto"/>
          </w:tcPr>
          <w:p w14:paraId="095C6688" w14:textId="1FB49FF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VII.</w:t>
            </w:r>
            <w:r w:rsidRPr="00081E30">
              <w:rPr>
                <w:rFonts w:ascii="Verdana" w:hAnsi="Verdana"/>
                <w:bCs/>
                <w:sz w:val="16"/>
                <w:szCs w:val="16"/>
              </w:rPr>
              <w:t xml:space="preserve"> La propuesta de los términos bajo los cuales desean asociarse y del acuerdo de operación conjunta del Área Contractual.</w:t>
            </w:r>
          </w:p>
        </w:tc>
        <w:tc>
          <w:tcPr>
            <w:tcW w:w="4788" w:type="dxa"/>
            <w:shd w:val="clear" w:color="auto" w:fill="auto"/>
          </w:tcPr>
          <w:p w14:paraId="4E7CFA8E" w14:textId="6AAB2144"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VII.</w:t>
            </w:r>
            <w:r w:rsidRPr="00081E30">
              <w:rPr>
                <w:rFonts w:ascii="Verdana" w:hAnsi="Verdana" w:cs="Times New Roman"/>
                <w:bCs/>
                <w:sz w:val="16"/>
                <w:szCs w:val="16"/>
                <w:lang w:val="en-US"/>
              </w:rPr>
              <w:t xml:space="preserve"> The proposal of the terms under which they wish to associate and the joint operation agreement of the Contract Area.</w:t>
            </w:r>
          </w:p>
        </w:tc>
      </w:tr>
      <w:tr w:rsidR="002C5E29" w:rsidRPr="000A5335" w14:paraId="2370A064" w14:textId="2BA508B5" w:rsidTr="00081E30">
        <w:tc>
          <w:tcPr>
            <w:tcW w:w="4788" w:type="dxa"/>
            <w:shd w:val="clear" w:color="auto" w:fill="auto"/>
          </w:tcPr>
          <w:p w14:paraId="0BDC7491"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54BC98A" w14:textId="4C1DAA9C"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6B79AFB8" w14:textId="777F9F67" w:rsidTr="00081E30">
        <w:tc>
          <w:tcPr>
            <w:tcW w:w="4788" w:type="dxa"/>
            <w:shd w:val="clear" w:color="auto" w:fill="auto"/>
          </w:tcPr>
          <w:p w14:paraId="32C5DB45" w14:textId="77777777" w:rsidR="002C5E29" w:rsidRPr="00081E30" w:rsidRDefault="002C5E29" w:rsidP="002C5E29">
            <w:pPr>
              <w:pStyle w:val="Texto"/>
              <w:spacing w:after="0" w:line="240" w:lineRule="auto"/>
              <w:ind w:firstLine="0"/>
              <w:rPr>
                <w:rFonts w:ascii="Verdana" w:hAnsi="Verdana"/>
                <w:bCs/>
                <w:sz w:val="16"/>
                <w:szCs w:val="16"/>
              </w:rPr>
            </w:pPr>
            <w:r w:rsidRPr="001D1D2A">
              <w:rPr>
                <w:rFonts w:ascii="Verdana" w:hAnsi="Verdana"/>
                <w:b/>
                <w:sz w:val="16"/>
                <w:szCs w:val="16"/>
              </w:rPr>
              <w:lastRenderedPageBreak/>
              <w:t>Séptimo.-</w:t>
            </w:r>
            <w:r w:rsidRPr="00081E30">
              <w:rPr>
                <w:rFonts w:ascii="Verdana" w:hAnsi="Verdana"/>
                <w:bCs/>
                <w:sz w:val="16"/>
                <w:szCs w:val="16"/>
              </w:rPr>
              <w:t xml:space="preserve"> La Secretaría de Energía resolverá sobre la procedencia de la solicitud de migración a que se refiere el Transitorio anterior, de conformidad con el procedimiento siguiente:</w:t>
            </w:r>
          </w:p>
        </w:tc>
        <w:tc>
          <w:tcPr>
            <w:tcW w:w="4788" w:type="dxa"/>
            <w:shd w:val="clear" w:color="auto" w:fill="auto"/>
          </w:tcPr>
          <w:p w14:paraId="76131E63" w14:textId="53451A1A" w:rsidR="002C5E29" w:rsidRPr="00081E30" w:rsidRDefault="002C5E29" w:rsidP="002C5E29">
            <w:pPr>
              <w:pStyle w:val="Texto"/>
              <w:spacing w:after="0" w:line="240" w:lineRule="auto"/>
              <w:ind w:firstLine="0"/>
              <w:rPr>
                <w:rFonts w:ascii="Verdana" w:hAnsi="Verdana"/>
                <w:bCs/>
                <w:sz w:val="16"/>
                <w:szCs w:val="16"/>
                <w:lang w:val="en-US"/>
              </w:rPr>
            </w:pPr>
            <w:r w:rsidRPr="001D1D2A">
              <w:rPr>
                <w:rFonts w:ascii="Verdana" w:hAnsi="Verdana" w:cs="Times New Roman"/>
                <w:b/>
                <w:sz w:val="16"/>
                <w:szCs w:val="16"/>
                <w:lang w:val="en-US"/>
              </w:rPr>
              <w:t>Seventh.-</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decide on the origin of the migration request referred to in the </w:t>
            </w:r>
            <w:r>
              <w:rPr>
                <w:rFonts w:ascii="Verdana" w:hAnsi="Verdana" w:cs="Times New Roman"/>
                <w:bCs/>
                <w:sz w:val="16"/>
                <w:szCs w:val="16"/>
                <w:lang w:val="en-US"/>
              </w:rPr>
              <w:t>preceding</w:t>
            </w:r>
            <w:r w:rsidRPr="00081E30">
              <w:rPr>
                <w:rFonts w:ascii="Verdana" w:hAnsi="Verdana" w:cs="Times New Roman"/>
                <w:bCs/>
                <w:sz w:val="16"/>
                <w:szCs w:val="16"/>
                <w:lang w:val="en-US"/>
              </w:rPr>
              <w:t xml:space="preserve"> Transit</w:t>
            </w:r>
            <w:r>
              <w:rPr>
                <w:rFonts w:ascii="Verdana" w:hAnsi="Verdana" w:cs="Times New Roman"/>
                <w:bCs/>
                <w:sz w:val="16"/>
                <w:szCs w:val="16"/>
                <w:lang w:val="en-US"/>
              </w:rPr>
              <w:t>ional article</w:t>
            </w:r>
            <w:r w:rsidRPr="00081E30">
              <w:rPr>
                <w:rFonts w:ascii="Verdana" w:hAnsi="Verdana" w:cs="Times New Roman"/>
                <w:bCs/>
                <w:sz w:val="16"/>
                <w:szCs w:val="16"/>
                <w:lang w:val="en-US"/>
              </w:rPr>
              <w:t>, in accordance with the following procedure:</w:t>
            </w:r>
          </w:p>
        </w:tc>
      </w:tr>
      <w:tr w:rsidR="002C5E29" w:rsidRPr="000A5335" w14:paraId="45C929CC" w14:textId="5681B26D" w:rsidTr="00081E30">
        <w:tc>
          <w:tcPr>
            <w:tcW w:w="4788" w:type="dxa"/>
            <w:shd w:val="clear" w:color="auto" w:fill="auto"/>
          </w:tcPr>
          <w:p w14:paraId="365714E3"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8A6E02E" w14:textId="575EA303"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0C76F2E" w14:textId="44F323B8" w:rsidTr="00081E30">
        <w:tc>
          <w:tcPr>
            <w:tcW w:w="4788" w:type="dxa"/>
            <w:shd w:val="clear" w:color="auto" w:fill="auto"/>
          </w:tcPr>
          <w:p w14:paraId="51554F13" w14:textId="6DB89E18"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w:t>
            </w:r>
            <w:r w:rsidRPr="00081E30">
              <w:rPr>
                <w:rFonts w:ascii="Verdana" w:hAnsi="Verdana"/>
                <w:bCs/>
                <w:sz w:val="16"/>
                <w:szCs w:val="16"/>
              </w:rPr>
              <w:t xml:space="preserve"> En un plazo de quince días hábiles, remitirá a Petróleos Mexicanos la propuesta de lineamientos que regularán las etapas del procedimiento de migración de los contratos referidos. Petróleos Mexicanos deberá emitir su opinión sobre dichos lineamientos en un plazo de cinco días hábiles. La Secretaría emitirá la versión final de los lineamientos que regularán las etapas del procedimiento de migración de los contratos referidos en un periodo de cinco días hábiles.</w:t>
            </w:r>
          </w:p>
        </w:tc>
        <w:tc>
          <w:tcPr>
            <w:tcW w:w="4788" w:type="dxa"/>
            <w:shd w:val="clear" w:color="auto" w:fill="auto"/>
          </w:tcPr>
          <w:p w14:paraId="3EAE2FF9" w14:textId="262F0EAB"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w:t>
            </w:r>
            <w:r w:rsidRPr="00081E30">
              <w:rPr>
                <w:rFonts w:ascii="Verdana" w:hAnsi="Verdana" w:cs="Times New Roman"/>
                <w:bCs/>
                <w:sz w:val="16"/>
                <w:szCs w:val="16"/>
                <w:lang w:val="en-US"/>
              </w:rPr>
              <w:t xml:space="preserve"> Within a period of fifteen business days, it will send </w:t>
            </w:r>
            <w:r>
              <w:rPr>
                <w:rFonts w:ascii="Verdana" w:hAnsi="Verdana" w:cs="Times New Roman"/>
                <w:bCs/>
                <w:sz w:val="16"/>
                <w:szCs w:val="16"/>
                <w:lang w:val="en-US"/>
              </w:rPr>
              <w:t>Pemex</w:t>
            </w:r>
            <w:r w:rsidRPr="00081E30">
              <w:rPr>
                <w:rFonts w:ascii="Verdana" w:hAnsi="Verdana" w:cs="Times New Roman"/>
                <w:bCs/>
                <w:sz w:val="16"/>
                <w:szCs w:val="16"/>
                <w:lang w:val="en-US"/>
              </w:rPr>
              <w:t xml:space="preserve"> the proposal of guidelines that will regulate the stages of the migration procedure of the referred contracts. </w:t>
            </w:r>
            <w:r>
              <w:rPr>
                <w:rFonts w:ascii="Verdana" w:hAnsi="Verdana" w:cs="Times New Roman"/>
                <w:bCs/>
                <w:sz w:val="16"/>
                <w:szCs w:val="16"/>
                <w:lang w:val="en-US"/>
              </w:rPr>
              <w:t>Pemex</w:t>
            </w:r>
            <w:r w:rsidRPr="00081E30">
              <w:rPr>
                <w:rFonts w:ascii="Verdana" w:hAnsi="Verdana" w:cs="Times New Roman"/>
                <w:bCs/>
                <w:sz w:val="16"/>
                <w:szCs w:val="16"/>
                <w:lang w:val="en-US"/>
              </w:rPr>
              <w:t xml:space="preserve"> must express its opinion on these guidelines within five business days.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will issue the final version of the guidelines that will regulate the stages of the migration procedure of the referred contracts in a period of five business days.</w:t>
            </w:r>
          </w:p>
        </w:tc>
      </w:tr>
      <w:tr w:rsidR="002C5E29" w:rsidRPr="000A5335" w14:paraId="5DEAD347" w14:textId="3B732D0A" w:rsidTr="00081E30">
        <w:tc>
          <w:tcPr>
            <w:tcW w:w="4788" w:type="dxa"/>
            <w:shd w:val="clear" w:color="auto" w:fill="auto"/>
          </w:tcPr>
          <w:p w14:paraId="0E012B6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C939A58" w14:textId="7D8A6C46"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6F7D14E" w14:textId="55950745" w:rsidTr="00081E30">
        <w:tc>
          <w:tcPr>
            <w:tcW w:w="4788" w:type="dxa"/>
            <w:shd w:val="clear" w:color="auto" w:fill="auto"/>
          </w:tcPr>
          <w:p w14:paraId="14B821DD" w14:textId="1DB53B31"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w:t>
            </w:r>
            <w:r w:rsidRPr="00081E30">
              <w:rPr>
                <w:rFonts w:ascii="Verdana" w:hAnsi="Verdana"/>
                <w:bCs/>
                <w:sz w:val="16"/>
                <w:szCs w:val="16"/>
              </w:rPr>
              <w:t xml:space="preserve"> La Secretaría de Energía remitirá a la Secretaría de Hacienda y Crédito Público y a la Comisión Nacional de Hidrocarburos, en un plazo de quince días hábiles, la solicitud de migración completa, los lineamientos que regularán las etapas del procedimiento de migración de los contratos referidos, la propuesta de Modelo de Contratación que corresponderá al Área Contractual y la información soporte que se determine en los convenios de coordinación que al efecto suscriban dichas dependencias.</w:t>
            </w:r>
          </w:p>
        </w:tc>
        <w:tc>
          <w:tcPr>
            <w:tcW w:w="4788" w:type="dxa"/>
            <w:shd w:val="clear" w:color="auto" w:fill="auto"/>
          </w:tcPr>
          <w:p w14:paraId="5144D215" w14:textId="42D14870"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send to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National Hydrocarbons Commission, within a period of fifteen business days, the application for complete migration, the guidelines that will regulate the stages of the migration procedure of the referred contracts,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roposal for a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ontracting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that will correspond to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w:t>
            </w:r>
            <w:r>
              <w:rPr>
                <w:rFonts w:ascii="Verdana" w:hAnsi="Verdana" w:cs="Times New Roman"/>
                <w:bCs/>
                <w:sz w:val="16"/>
                <w:szCs w:val="16"/>
                <w:lang w:val="en-US"/>
              </w:rPr>
              <w:t>a</w:t>
            </w:r>
            <w:r w:rsidRPr="00081E30">
              <w:rPr>
                <w:rFonts w:ascii="Verdana" w:hAnsi="Verdana" w:cs="Times New Roman"/>
                <w:bCs/>
                <w:sz w:val="16"/>
                <w:szCs w:val="16"/>
                <w:lang w:val="en-US"/>
              </w:rPr>
              <w:t xml:space="preserve">rea and the support information determined in the coordination agreements signed by said </w:t>
            </w:r>
            <w:r>
              <w:rPr>
                <w:rFonts w:ascii="Verdana" w:hAnsi="Verdana" w:cs="Times New Roman"/>
                <w:bCs/>
                <w:sz w:val="16"/>
                <w:szCs w:val="16"/>
                <w:lang w:val="en-US"/>
              </w:rPr>
              <w:t>departments</w:t>
            </w:r>
            <w:r w:rsidRPr="00081E30">
              <w:rPr>
                <w:rFonts w:ascii="Verdana" w:hAnsi="Verdana" w:cs="Times New Roman"/>
                <w:bCs/>
                <w:sz w:val="16"/>
                <w:szCs w:val="16"/>
                <w:lang w:val="en-US"/>
              </w:rPr>
              <w:t>.</w:t>
            </w:r>
          </w:p>
        </w:tc>
      </w:tr>
      <w:tr w:rsidR="002C5E29" w:rsidRPr="000A5335" w14:paraId="69E2EB42" w14:textId="583C5EAC" w:rsidTr="00081E30">
        <w:tc>
          <w:tcPr>
            <w:tcW w:w="4788" w:type="dxa"/>
            <w:shd w:val="clear" w:color="auto" w:fill="auto"/>
          </w:tcPr>
          <w:p w14:paraId="1C259C1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F08CDAB" w14:textId="48585A25"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8112B71" w14:textId="2FC6E327" w:rsidTr="00081E30">
        <w:tc>
          <w:tcPr>
            <w:tcW w:w="4788" w:type="dxa"/>
            <w:shd w:val="clear" w:color="auto" w:fill="auto"/>
          </w:tcPr>
          <w:p w14:paraId="4168444E"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La Secretaría de Hacienda y Crédito Público y la Comisión Nacional de Hidrocarburos emitirán su opinión sobre la propuesta de Modelo de Contratación, en un plazo de cinco días hábiles. En el mismo plazo, la Secretaría de Hacienda y Crédito Público emitirá opinión respecto de la información prevista en la fracción VII del Transitorio Sexto.</w:t>
            </w:r>
          </w:p>
        </w:tc>
        <w:tc>
          <w:tcPr>
            <w:tcW w:w="4788" w:type="dxa"/>
            <w:shd w:val="clear" w:color="auto" w:fill="auto"/>
          </w:tcPr>
          <w:p w14:paraId="7C051453" w14:textId="52D5C34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and the National Hydrocarbons Commission will issue their opinion on the </w:t>
            </w:r>
            <w:r>
              <w:rPr>
                <w:rFonts w:ascii="Verdana" w:hAnsi="Verdana" w:cs="Times New Roman"/>
                <w:bCs/>
                <w:sz w:val="16"/>
                <w:szCs w:val="16"/>
                <w:lang w:val="en-US"/>
              </w:rPr>
              <w:t>p</w:t>
            </w:r>
            <w:r w:rsidRPr="00081E30">
              <w:rPr>
                <w:rFonts w:ascii="Verdana" w:hAnsi="Verdana" w:cs="Times New Roman"/>
                <w:bCs/>
                <w:sz w:val="16"/>
                <w:szCs w:val="16"/>
                <w:lang w:val="en-US"/>
              </w:rPr>
              <w:t xml:space="preserve">rocurement </w:t>
            </w:r>
            <w:r>
              <w:rPr>
                <w:rFonts w:ascii="Verdana" w:hAnsi="Verdana" w:cs="Times New Roman"/>
                <w:bCs/>
                <w:sz w:val="16"/>
                <w:szCs w:val="16"/>
                <w:lang w:val="en-US"/>
              </w:rPr>
              <w:t>m</w:t>
            </w:r>
            <w:r w:rsidRPr="00081E30">
              <w:rPr>
                <w:rFonts w:ascii="Verdana" w:hAnsi="Verdana" w:cs="Times New Roman"/>
                <w:bCs/>
                <w:sz w:val="16"/>
                <w:szCs w:val="16"/>
                <w:lang w:val="en-US"/>
              </w:rPr>
              <w:t xml:space="preserve">odel proposal, within five business days. In the same period,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will issue an opinion regarding the information provided for in section VII of the Sixth Trans</w:t>
            </w:r>
            <w:r>
              <w:rPr>
                <w:rFonts w:ascii="Verdana" w:hAnsi="Verdana" w:cs="Times New Roman"/>
                <w:bCs/>
                <w:sz w:val="16"/>
                <w:szCs w:val="16"/>
                <w:lang w:val="en-US"/>
              </w:rPr>
              <w:t>itional article</w:t>
            </w:r>
            <w:r w:rsidRPr="00081E30">
              <w:rPr>
                <w:rFonts w:ascii="Verdana" w:hAnsi="Verdana" w:cs="Times New Roman"/>
                <w:bCs/>
                <w:sz w:val="16"/>
                <w:szCs w:val="16"/>
                <w:lang w:val="en-US"/>
              </w:rPr>
              <w:t>.</w:t>
            </w:r>
          </w:p>
        </w:tc>
      </w:tr>
      <w:tr w:rsidR="002C5E29" w:rsidRPr="000A5335" w14:paraId="4A152E8A" w14:textId="69E9A717" w:rsidTr="00081E30">
        <w:tc>
          <w:tcPr>
            <w:tcW w:w="4788" w:type="dxa"/>
            <w:shd w:val="clear" w:color="auto" w:fill="auto"/>
          </w:tcPr>
          <w:p w14:paraId="25BC765A"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3BC0FC5" w14:textId="5A558E2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179DA31" w14:textId="20B5E06B" w:rsidTr="00081E30">
        <w:tc>
          <w:tcPr>
            <w:tcW w:w="4788" w:type="dxa"/>
            <w:shd w:val="clear" w:color="auto" w:fill="auto"/>
          </w:tcPr>
          <w:p w14:paraId="29A747CA" w14:textId="6FD9A037"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III.</w:t>
            </w:r>
            <w:r w:rsidRPr="00081E30">
              <w:rPr>
                <w:rFonts w:ascii="Verdana" w:hAnsi="Verdana"/>
                <w:bCs/>
                <w:sz w:val="16"/>
                <w:szCs w:val="16"/>
              </w:rPr>
              <w:t xml:space="preserve"> Una vez determinado el Modelo de Contratación, la Secretaría de Energía contará con un plazo de veinte días hábiles para determinar los Términos y Condiciones Técnicos y solicitar a la Secretaría de Hacienda y Crédito Público que establezca las condiciones económicas relativas a los términos fiscales conforme a la Ley de Ingresos sobre Hidrocarburos y su Reglamento.</w:t>
            </w:r>
          </w:p>
        </w:tc>
        <w:tc>
          <w:tcPr>
            <w:tcW w:w="4788" w:type="dxa"/>
            <w:shd w:val="clear" w:color="auto" w:fill="auto"/>
          </w:tcPr>
          <w:p w14:paraId="7C6F3944" w14:textId="495BD85E"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III.</w:t>
            </w:r>
            <w:r w:rsidRPr="00081E30">
              <w:rPr>
                <w:rFonts w:ascii="Verdana" w:hAnsi="Verdana" w:cs="Times New Roman"/>
                <w:bCs/>
                <w:sz w:val="16"/>
                <w:szCs w:val="16"/>
                <w:lang w:val="en-US"/>
              </w:rPr>
              <w:t xml:space="preserve"> Once the Contract Model has been determined,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have a period of twenty working days to determine the Technical Terms and Conditions and request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Finance and Public Credit to establish the economic conditions related to the fiscal terms in accordance with </w:t>
            </w:r>
            <w:r>
              <w:rPr>
                <w:rFonts w:ascii="Verdana" w:hAnsi="Verdana"/>
                <w:bCs/>
                <w:sz w:val="16"/>
                <w:szCs w:val="16"/>
                <w:lang w:val="en-US"/>
              </w:rPr>
              <w:t>the Law of Income from Hydrocarbons and its Regulation.</w:t>
            </w:r>
          </w:p>
        </w:tc>
      </w:tr>
      <w:tr w:rsidR="002C5E29" w:rsidRPr="000A5335" w14:paraId="3F240407" w14:textId="51F4E215" w:rsidTr="00081E30">
        <w:tc>
          <w:tcPr>
            <w:tcW w:w="4788" w:type="dxa"/>
            <w:shd w:val="clear" w:color="auto" w:fill="auto"/>
          </w:tcPr>
          <w:p w14:paraId="0AB43A0F"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3A922D8D" w14:textId="5051F90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3456D45" w14:textId="14EA3F9C" w:rsidTr="00081E30">
        <w:tc>
          <w:tcPr>
            <w:tcW w:w="4788" w:type="dxa"/>
            <w:shd w:val="clear" w:color="auto" w:fill="auto"/>
          </w:tcPr>
          <w:p w14:paraId="63BB4B52" w14:textId="20D0ECEF" w:rsidR="002C5E29" w:rsidRPr="00081E30" w:rsidRDefault="002C5E29" w:rsidP="002C5E29">
            <w:pPr>
              <w:pStyle w:val="Texto"/>
              <w:spacing w:after="0" w:line="240" w:lineRule="auto"/>
              <w:ind w:firstLine="0"/>
              <w:rPr>
                <w:rFonts w:ascii="Verdana" w:hAnsi="Verdana"/>
                <w:bCs/>
                <w:sz w:val="16"/>
                <w:szCs w:val="16"/>
              </w:rPr>
            </w:pPr>
            <w:r w:rsidRPr="00030FCB">
              <w:rPr>
                <w:rFonts w:ascii="Verdana" w:hAnsi="Verdana"/>
                <w:b/>
                <w:bCs/>
                <w:sz w:val="16"/>
                <w:szCs w:val="16"/>
              </w:rPr>
              <w:t>IV.</w:t>
            </w:r>
            <w:r w:rsidRPr="00081E30">
              <w:rPr>
                <w:rFonts w:ascii="Verdana" w:hAnsi="Verdana"/>
                <w:bCs/>
                <w:sz w:val="16"/>
                <w:szCs w:val="16"/>
              </w:rPr>
              <w:t xml:space="preserve"> La Secretaría de Energía enviará a las partes de los contratos integrales de exploración y producción y de los contratos de obra pública financiada los Términos y Condiciones Técnicos y las condiciones económicas relativas a los términos fiscales que al efecto se hayan establecido para que manifiesten la aceptación o rechazo de los mismos, en un plazo de diez días hábiles.</w:t>
            </w:r>
          </w:p>
        </w:tc>
        <w:tc>
          <w:tcPr>
            <w:tcW w:w="4788" w:type="dxa"/>
            <w:shd w:val="clear" w:color="auto" w:fill="auto"/>
          </w:tcPr>
          <w:p w14:paraId="7996FECA" w14:textId="0A2B6518" w:rsidR="002C5E29" w:rsidRPr="00081E30" w:rsidRDefault="002C5E29" w:rsidP="002C5E29">
            <w:pPr>
              <w:pStyle w:val="Texto"/>
              <w:spacing w:after="0" w:line="240" w:lineRule="auto"/>
              <w:ind w:firstLine="0"/>
              <w:rPr>
                <w:rFonts w:ascii="Verdana" w:hAnsi="Verdana"/>
                <w:bCs/>
                <w:sz w:val="16"/>
                <w:szCs w:val="16"/>
                <w:lang w:val="en-US"/>
              </w:rPr>
            </w:pPr>
            <w:r w:rsidRPr="00030FCB">
              <w:rPr>
                <w:rFonts w:ascii="Verdana" w:hAnsi="Verdana" w:cs="Times New Roman"/>
                <w:b/>
                <w:bCs/>
                <w:sz w:val="16"/>
                <w:szCs w:val="16"/>
                <w:lang w:val="en-US"/>
              </w:rPr>
              <w:t>IV.</w:t>
            </w:r>
            <w:r w:rsidRPr="00081E30">
              <w:rPr>
                <w:rFonts w:ascii="Verdana" w:hAnsi="Verdana" w:cs="Times New Roman"/>
                <w:bCs/>
                <w:sz w:val="16"/>
                <w:szCs w:val="16"/>
                <w:lang w:val="en-US"/>
              </w:rPr>
              <w:t xml:space="preserv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send to the parties of the integral exploration and production contracts and of the public works contracts financed the technical terms and conditions and the economic conditions relative to the fiscal terms that have been established for this purpose to express acceptance or rejection thereof, within ten business days.</w:t>
            </w:r>
          </w:p>
        </w:tc>
      </w:tr>
      <w:tr w:rsidR="002C5E29" w:rsidRPr="000A5335" w14:paraId="274D96C3" w14:textId="30B97149" w:rsidTr="00081E30">
        <w:tc>
          <w:tcPr>
            <w:tcW w:w="4788" w:type="dxa"/>
            <w:shd w:val="clear" w:color="auto" w:fill="auto"/>
          </w:tcPr>
          <w:p w14:paraId="397DB9CC"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553BD88E" w14:textId="054E2EA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40801189" w14:textId="73EFB406" w:rsidTr="00081E30">
        <w:tc>
          <w:tcPr>
            <w:tcW w:w="4788" w:type="dxa"/>
            <w:shd w:val="clear" w:color="auto" w:fill="auto"/>
          </w:tcPr>
          <w:p w14:paraId="669D6D89"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caso de rechazo, las partes de los contratos integrales de exploración y producción y de los contratos de obra pública financiada tendrán el derecho de mantener su relación contractual en sus términos originales.</w:t>
            </w:r>
          </w:p>
        </w:tc>
        <w:tc>
          <w:tcPr>
            <w:tcW w:w="4788" w:type="dxa"/>
            <w:shd w:val="clear" w:color="auto" w:fill="auto"/>
          </w:tcPr>
          <w:p w14:paraId="4DDA2E5C" w14:textId="236107C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In case of rejection, the parties of the integral exploration and production contracts and of the financed public works contracts will have the right to maintain their contractual relationship in their original terms.</w:t>
            </w:r>
          </w:p>
        </w:tc>
      </w:tr>
      <w:tr w:rsidR="002C5E29" w:rsidRPr="000A5335" w14:paraId="4CE40FE7" w14:textId="463153B7" w:rsidTr="00081E30">
        <w:tc>
          <w:tcPr>
            <w:tcW w:w="4788" w:type="dxa"/>
            <w:shd w:val="clear" w:color="auto" w:fill="auto"/>
          </w:tcPr>
          <w:p w14:paraId="0C2D9CC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6D657A94" w14:textId="5C75075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74661AF8" w14:textId="691C7D91" w:rsidTr="00081E30">
        <w:tc>
          <w:tcPr>
            <w:tcW w:w="4788" w:type="dxa"/>
            <w:shd w:val="clear" w:color="auto" w:fill="auto"/>
          </w:tcPr>
          <w:p w14:paraId="6442DEB1"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En caso de que a las partes de los contratos integrales de exploración y producción y de los contratos de obra pública financiada manifiesten su aceptación, la Secretaría de Energía enviará a la Comisión Nacional de Hidrocarburos la información necesaria para la suscripción del Contrato para la Exploración y Extracción, en un plazo de diez días hábiles.</w:t>
            </w:r>
          </w:p>
        </w:tc>
        <w:tc>
          <w:tcPr>
            <w:tcW w:w="4788" w:type="dxa"/>
            <w:shd w:val="clear" w:color="auto" w:fill="auto"/>
          </w:tcPr>
          <w:p w14:paraId="050A22FC" w14:textId="3C52B42E"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xml:space="preserve">In the event that the parties of the integral exploration and production contracts and the financed public works contracts express their acceptance,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send to the National Hydrocarbons Commission the necessary information for the subscription of the </w:t>
            </w:r>
            <w:r>
              <w:rPr>
                <w:rFonts w:ascii="Verdana" w:hAnsi="Verdana" w:cs="Times New Roman"/>
                <w:bCs/>
                <w:sz w:val="16"/>
                <w:szCs w:val="16"/>
                <w:lang w:val="en-US"/>
              </w:rPr>
              <w:t>c</w:t>
            </w:r>
            <w:r w:rsidRPr="00081E30">
              <w:rPr>
                <w:rFonts w:ascii="Verdana" w:hAnsi="Verdana" w:cs="Times New Roman"/>
                <w:bCs/>
                <w:sz w:val="16"/>
                <w:szCs w:val="16"/>
                <w:lang w:val="en-US"/>
              </w:rPr>
              <w:t xml:space="preserve">ontract for </w:t>
            </w:r>
            <w:r>
              <w:rPr>
                <w:rFonts w:ascii="Verdana" w:hAnsi="Verdana" w:cs="Times New Roman"/>
                <w:bCs/>
                <w:sz w:val="16"/>
                <w:szCs w:val="16"/>
                <w:lang w:val="en-US"/>
              </w:rPr>
              <w:t>exploration and extraction</w:t>
            </w:r>
            <w:r w:rsidRPr="00081E30">
              <w:rPr>
                <w:rFonts w:ascii="Verdana" w:hAnsi="Verdana" w:cs="Times New Roman"/>
                <w:bCs/>
                <w:sz w:val="16"/>
                <w:szCs w:val="16"/>
                <w:lang w:val="en-US"/>
              </w:rPr>
              <w:t>, within ten business days.</w:t>
            </w:r>
          </w:p>
        </w:tc>
      </w:tr>
      <w:tr w:rsidR="002C5E29" w:rsidRPr="000A5335" w14:paraId="15CAF0BF" w14:textId="70ECC1F6" w:rsidTr="00081E30">
        <w:tc>
          <w:tcPr>
            <w:tcW w:w="4788" w:type="dxa"/>
            <w:shd w:val="clear" w:color="auto" w:fill="auto"/>
          </w:tcPr>
          <w:p w14:paraId="0C2580CD"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5D9DED9" w14:textId="1C856EB9"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1D41AEAC" w14:textId="5246F4A3" w:rsidTr="00081E30">
        <w:tc>
          <w:tcPr>
            <w:tcW w:w="4788" w:type="dxa"/>
            <w:shd w:val="clear" w:color="auto" w:fill="auto"/>
          </w:tcPr>
          <w:p w14:paraId="258292AD"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Octavo.-</w:t>
            </w:r>
            <w:r w:rsidRPr="00081E30">
              <w:rPr>
                <w:rFonts w:ascii="Verdana" w:hAnsi="Verdana"/>
                <w:bCs/>
                <w:sz w:val="16"/>
                <w:szCs w:val="16"/>
              </w:rPr>
              <w:t xml:space="preserve"> A más tardar el último día hábil de mayo de 2015, la Secretaría de Energía emitirá las metodologías, </w:t>
            </w:r>
            <w:r w:rsidRPr="00081E30">
              <w:rPr>
                <w:rFonts w:ascii="Verdana" w:hAnsi="Verdana"/>
                <w:bCs/>
                <w:sz w:val="16"/>
                <w:szCs w:val="16"/>
              </w:rPr>
              <w:lastRenderedPageBreak/>
              <w:t>parámetros y lineamientos a que se refiere el inciso c) de la fracción VI del artículo 101 de la Ley, para lo cual podrá ser asistida técnicamente por la Comisión Nacional de Hidrocarburos.</w:t>
            </w:r>
          </w:p>
        </w:tc>
        <w:tc>
          <w:tcPr>
            <w:tcW w:w="4788" w:type="dxa"/>
            <w:shd w:val="clear" w:color="auto" w:fill="auto"/>
          </w:tcPr>
          <w:p w14:paraId="0723E7D6" w14:textId="1D148C33"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lastRenderedPageBreak/>
              <w:t>Eighth.-</w:t>
            </w:r>
            <w:r w:rsidRPr="00081E30">
              <w:rPr>
                <w:rFonts w:ascii="Verdana" w:hAnsi="Verdana" w:cs="Times New Roman"/>
                <w:bCs/>
                <w:sz w:val="16"/>
                <w:szCs w:val="16"/>
                <w:lang w:val="en-US"/>
              </w:rPr>
              <w:t xml:space="preserve"> </w:t>
            </w:r>
            <w:r>
              <w:rPr>
                <w:rFonts w:ascii="Verdana" w:hAnsi="Verdana" w:cs="Times New Roman"/>
                <w:bCs/>
                <w:sz w:val="16"/>
                <w:szCs w:val="16"/>
                <w:lang w:val="en-US"/>
              </w:rPr>
              <w:t xml:space="preserve">No later than </w:t>
            </w:r>
            <w:r w:rsidRPr="00081E30">
              <w:rPr>
                <w:rFonts w:ascii="Verdana" w:hAnsi="Verdana" w:cs="Times New Roman"/>
                <w:bCs/>
                <w:sz w:val="16"/>
                <w:szCs w:val="16"/>
                <w:lang w:val="en-US"/>
              </w:rPr>
              <w:t xml:space="preserve">the last business day of May 2015,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will issue the </w:t>
            </w:r>
            <w:r w:rsidRPr="00081E30">
              <w:rPr>
                <w:rFonts w:ascii="Verdana" w:hAnsi="Verdana" w:cs="Times New Roman"/>
                <w:bCs/>
                <w:sz w:val="16"/>
                <w:szCs w:val="16"/>
                <w:lang w:val="en-US"/>
              </w:rPr>
              <w:lastRenderedPageBreak/>
              <w:t>methodologies, parameters and guidelines referred to in subsection c) of section VI of Article 101 of the Law, for which it may be technically assisted by the National Hydrocarbons Commission.</w:t>
            </w:r>
          </w:p>
        </w:tc>
      </w:tr>
      <w:tr w:rsidR="002C5E29" w:rsidRPr="000A5335" w14:paraId="78038CB2" w14:textId="0781AF53" w:rsidTr="00081E30">
        <w:tc>
          <w:tcPr>
            <w:tcW w:w="4788" w:type="dxa"/>
            <w:shd w:val="clear" w:color="auto" w:fill="auto"/>
          </w:tcPr>
          <w:p w14:paraId="7BD6BC5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52FA792" w14:textId="76A5EDE4"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2ACB6CCF" w14:textId="603C4A27" w:rsidTr="00081E30">
        <w:tc>
          <w:tcPr>
            <w:tcW w:w="4788" w:type="dxa"/>
            <w:shd w:val="clear" w:color="auto" w:fill="auto"/>
          </w:tcPr>
          <w:p w14:paraId="3B39930F"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Noveno.-</w:t>
            </w:r>
            <w:r w:rsidRPr="00081E30">
              <w:rPr>
                <w:rFonts w:ascii="Verdana" w:hAnsi="Verdana"/>
                <w:bCs/>
                <w:sz w:val="16"/>
                <w:szCs w:val="16"/>
              </w:rPr>
              <w:t xml:space="preserve"> Dentro de los noventa días naturales siguientes a la entrada en vigor del presente Reglamento, la Secretaría de Energía emitirá los lineamientos a que se refiere el artículo 69 de este ordenamiento.</w:t>
            </w:r>
          </w:p>
        </w:tc>
        <w:tc>
          <w:tcPr>
            <w:tcW w:w="4788" w:type="dxa"/>
            <w:shd w:val="clear" w:color="auto" w:fill="auto"/>
          </w:tcPr>
          <w:p w14:paraId="03F5AA44" w14:textId="1B8413D7"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t>Ninth.-</w:t>
            </w:r>
            <w:r w:rsidRPr="00081E30">
              <w:rPr>
                <w:rFonts w:ascii="Verdana" w:hAnsi="Verdana" w:cs="Times New Roman"/>
                <w:bCs/>
                <w:sz w:val="16"/>
                <w:szCs w:val="16"/>
                <w:lang w:val="en-US"/>
              </w:rPr>
              <w:t xml:space="preserve"> Within ninety calendar days following the entry into force of this Regulation,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issue the guidelines referred to in article 69 of this system.</w:t>
            </w:r>
          </w:p>
        </w:tc>
      </w:tr>
      <w:tr w:rsidR="002C5E29" w:rsidRPr="000A5335" w14:paraId="57055D67" w14:textId="02919BFE" w:rsidTr="00081E30">
        <w:tc>
          <w:tcPr>
            <w:tcW w:w="4788" w:type="dxa"/>
            <w:shd w:val="clear" w:color="auto" w:fill="auto"/>
          </w:tcPr>
          <w:p w14:paraId="591A0A2E"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271A15F9" w14:textId="76E3F7E0"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3FB152C" w14:textId="2EC9BBDD" w:rsidTr="00081E30">
        <w:tc>
          <w:tcPr>
            <w:tcW w:w="4788" w:type="dxa"/>
            <w:shd w:val="clear" w:color="auto" w:fill="auto"/>
          </w:tcPr>
          <w:p w14:paraId="03DD1855"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Décimo.-</w:t>
            </w:r>
            <w:r w:rsidRPr="00081E30">
              <w:rPr>
                <w:rFonts w:ascii="Verdana" w:hAnsi="Verdana"/>
                <w:bCs/>
                <w:sz w:val="16"/>
                <w:szCs w:val="16"/>
              </w:rPr>
              <w:t xml:space="preserve"> En un plazo de noventa días hábiles contado a partir de la entrada en vigor del presente Reglamento, la Secretaría de Energía publicará las disposiciones administrativas de carácter general, la guía y el formato a que se refiere el artículo 81 de este ordenamiento.</w:t>
            </w:r>
          </w:p>
        </w:tc>
        <w:tc>
          <w:tcPr>
            <w:tcW w:w="4788" w:type="dxa"/>
            <w:shd w:val="clear" w:color="auto" w:fill="auto"/>
          </w:tcPr>
          <w:p w14:paraId="0C38E5EE" w14:textId="72188CE1"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t>Tenth.-</w:t>
            </w:r>
            <w:r w:rsidRPr="00081E30">
              <w:rPr>
                <w:rFonts w:ascii="Verdana" w:hAnsi="Verdana" w:cs="Times New Roman"/>
                <w:bCs/>
                <w:sz w:val="16"/>
                <w:szCs w:val="16"/>
                <w:lang w:val="en-US"/>
              </w:rPr>
              <w:t xml:space="preserve"> Within a period of ninety business days from the entry into force of this Regulation,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publish the general administrative provisions, the guide and the format referred to in article 81 of this ordinance.</w:t>
            </w:r>
          </w:p>
        </w:tc>
      </w:tr>
      <w:tr w:rsidR="002C5E29" w:rsidRPr="000A5335" w14:paraId="4F4D8750" w14:textId="7DD98A5D" w:rsidTr="00081E30">
        <w:tc>
          <w:tcPr>
            <w:tcW w:w="4788" w:type="dxa"/>
            <w:shd w:val="clear" w:color="auto" w:fill="auto"/>
          </w:tcPr>
          <w:p w14:paraId="62681DD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1D9E06C0" w14:textId="51311ADD"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DA57F87" w14:textId="5275BC0E" w:rsidTr="00081E30">
        <w:tc>
          <w:tcPr>
            <w:tcW w:w="4788" w:type="dxa"/>
            <w:shd w:val="clear" w:color="auto" w:fill="auto"/>
          </w:tcPr>
          <w:p w14:paraId="6C4CE978"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Décimo Primero.-</w:t>
            </w:r>
            <w:r w:rsidRPr="00081E30">
              <w:rPr>
                <w:rFonts w:ascii="Verdana" w:hAnsi="Verdana"/>
                <w:bCs/>
                <w:sz w:val="16"/>
                <w:szCs w:val="16"/>
              </w:rPr>
              <w:t xml:space="preserve"> Dentro de los sesenta días naturales posteriores a la entrada en vigor del presente Reglamento y a solicitud de la Secretaría de Energía, el Instituto de Administración y Avalúos de Bienes Nacionales emitirá los tabuladores sobre los valores promedio de la tierra conforme a la normativa del mismo y, en su caso, de sus accesorios para su uso, ocupación o adquisición a que se refiere el artículo 103 de la Ley.</w:t>
            </w:r>
          </w:p>
        </w:tc>
        <w:tc>
          <w:tcPr>
            <w:tcW w:w="4788" w:type="dxa"/>
            <w:shd w:val="clear" w:color="auto" w:fill="auto"/>
          </w:tcPr>
          <w:p w14:paraId="09BC49CB" w14:textId="50578D31"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t>Eleventh.-</w:t>
            </w:r>
            <w:r w:rsidRPr="00081E30">
              <w:rPr>
                <w:rFonts w:ascii="Verdana" w:hAnsi="Verdana" w:cs="Times New Roman"/>
                <w:bCs/>
                <w:sz w:val="16"/>
                <w:szCs w:val="16"/>
                <w:lang w:val="en-US"/>
              </w:rPr>
              <w:t xml:space="preserve"> Within sixty calendar days after the entry into force of this Regulation and at the request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Energy, the Institute of Administration and Appraisals of National Assets will issue the tabulators on the average values </w:t>
            </w:r>
            <w:r w:rsidRPr="00081E30">
              <w:rPr>
                <w:bCs/>
                <w:sz w:val="16"/>
                <w:szCs w:val="16"/>
                <w:lang w:val="en-US"/>
              </w:rPr>
              <w:t>​​</w:t>
            </w:r>
            <w:r w:rsidRPr="00081E30">
              <w:rPr>
                <w:rFonts w:ascii="Verdana" w:hAnsi="Verdana" w:cs="Times New Roman"/>
                <w:bCs/>
                <w:sz w:val="16"/>
                <w:szCs w:val="16"/>
                <w:lang w:val="en-US"/>
              </w:rPr>
              <w:t>of the land in accordance with the regulations of the same and, where appropriate, of its accessories for use, occupation or acquisition referred to in article 103 of the Law.</w:t>
            </w:r>
          </w:p>
        </w:tc>
      </w:tr>
      <w:tr w:rsidR="002C5E29" w:rsidRPr="000A5335" w14:paraId="56ADA176" w14:textId="1767A905" w:rsidTr="00081E30">
        <w:tc>
          <w:tcPr>
            <w:tcW w:w="4788" w:type="dxa"/>
            <w:shd w:val="clear" w:color="auto" w:fill="auto"/>
          </w:tcPr>
          <w:p w14:paraId="311A3D47"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7ECBE819" w14:textId="33DB3938"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5C15719D" w14:textId="6F940BA1" w:rsidTr="00081E30">
        <w:tc>
          <w:tcPr>
            <w:tcW w:w="4788" w:type="dxa"/>
            <w:shd w:val="clear" w:color="auto" w:fill="auto"/>
          </w:tcPr>
          <w:p w14:paraId="5E180F72"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Décimo Segundo.-</w:t>
            </w:r>
            <w:r w:rsidRPr="00081E30">
              <w:rPr>
                <w:rFonts w:ascii="Verdana" w:hAnsi="Verdana"/>
                <w:bCs/>
                <w:sz w:val="16"/>
                <w:szCs w:val="16"/>
              </w:rPr>
              <w:t xml:space="preserve"> Dentro de los ciento ochenta días naturales siguientes a la entrada en vigor del presente Reglamento la Secretaría de Desarrollo Agrario, Territorial y Urbano publicará los lineamientos que regularán el proceso de mediación a que se refiere el artículo 76 de este Reglamento.</w:t>
            </w:r>
          </w:p>
        </w:tc>
        <w:tc>
          <w:tcPr>
            <w:tcW w:w="4788" w:type="dxa"/>
            <w:shd w:val="clear" w:color="auto" w:fill="auto"/>
          </w:tcPr>
          <w:p w14:paraId="1D8F05C5" w14:textId="5F68CE29"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t>Twelfth.-</w:t>
            </w:r>
            <w:r w:rsidRPr="00081E30">
              <w:rPr>
                <w:rFonts w:ascii="Verdana" w:hAnsi="Verdana" w:cs="Times New Roman"/>
                <w:bCs/>
                <w:sz w:val="16"/>
                <w:szCs w:val="16"/>
                <w:lang w:val="en-US"/>
              </w:rPr>
              <w:t xml:space="preserve"> Within one hundred and eighty calendar days following the entry into force of this Regulation,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Agrarian, Territorial and Urban Development </w:t>
            </w:r>
            <w:r>
              <w:rPr>
                <w:rFonts w:ascii="Verdana" w:hAnsi="Verdana" w:cs="Times New Roman"/>
                <w:bCs/>
                <w:sz w:val="16"/>
                <w:szCs w:val="16"/>
                <w:lang w:val="en-US"/>
              </w:rPr>
              <w:t>will</w:t>
            </w:r>
            <w:r w:rsidRPr="00081E30">
              <w:rPr>
                <w:rFonts w:ascii="Verdana" w:hAnsi="Verdana" w:cs="Times New Roman"/>
                <w:bCs/>
                <w:sz w:val="16"/>
                <w:szCs w:val="16"/>
                <w:lang w:val="en-US"/>
              </w:rPr>
              <w:t xml:space="preserve"> publish the guidelines that will regulate the mediation process referred to in article 76 of </w:t>
            </w:r>
            <w:r>
              <w:rPr>
                <w:rFonts w:ascii="Verdana" w:hAnsi="Verdana" w:cs="Times New Roman"/>
                <w:bCs/>
                <w:sz w:val="16"/>
                <w:szCs w:val="16"/>
                <w:lang w:val="en-US"/>
              </w:rPr>
              <w:t>this Regulation</w:t>
            </w:r>
            <w:r w:rsidRPr="00081E30">
              <w:rPr>
                <w:rFonts w:ascii="Verdana" w:hAnsi="Verdana" w:cs="Times New Roman"/>
                <w:bCs/>
                <w:sz w:val="16"/>
                <w:szCs w:val="16"/>
                <w:lang w:val="en-US"/>
              </w:rPr>
              <w:t>.</w:t>
            </w:r>
          </w:p>
        </w:tc>
      </w:tr>
      <w:tr w:rsidR="002C5E29" w:rsidRPr="000A5335" w14:paraId="4E0A7A7F" w14:textId="12DD07CC" w:rsidTr="00081E30">
        <w:tc>
          <w:tcPr>
            <w:tcW w:w="4788" w:type="dxa"/>
            <w:shd w:val="clear" w:color="auto" w:fill="auto"/>
          </w:tcPr>
          <w:p w14:paraId="3DB46EC6"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480DD8C" w14:textId="2FDB07C2"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0A5335" w14:paraId="37BE2369" w14:textId="1EC025CB" w:rsidTr="00081E30">
        <w:tc>
          <w:tcPr>
            <w:tcW w:w="4788" w:type="dxa"/>
            <w:shd w:val="clear" w:color="auto" w:fill="auto"/>
          </w:tcPr>
          <w:p w14:paraId="030A2871" w14:textId="77777777" w:rsidR="002C5E29" w:rsidRPr="00081E30" w:rsidRDefault="002C5E29" w:rsidP="002C5E29">
            <w:pPr>
              <w:pStyle w:val="Texto"/>
              <w:spacing w:after="0" w:line="240" w:lineRule="auto"/>
              <w:ind w:firstLine="0"/>
              <w:rPr>
                <w:rFonts w:ascii="Verdana" w:hAnsi="Verdana"/>
                <w:bCs/>
                <w:sz w:val="16"/>
                <w:szCs w:val="16"/>
              </w:rPr>
            </w:pPr>
            <w:r w:rsidRPr="006D0005">
              <w:rPr>
                <w:rFonts w:ascii="Verdana" w:hAnsi="Verdana"/>
                <w:b/>
                <w:sz w:val="16"/>
                <w:szCs w:val="16"/>
              </w:rPr>
              <w:t>Décimo Tercero.-</w:t>
            </w:r>
            <w:r w:rsidRPr="00081E30">
              <w:rPr>
                <w:rFonts w:ascii="Verdana" w:hAnsi="Verdana"/>
                <w:bCs/>
                <w:sz w:val="16"/>
                <w:szCs w:val="16"/>
              </w:rPr>
              <w:t xml:space="preserve"> Para efectos de lo dispuesto en el artículo 65 del presente Reglamento, se otorgará a los Asignatarios y Contratistas, un plazo de ciento ochenta días hábiles para adecuar su infraestructura, de tal forma que cuenten con los equipos que les permitan la adecuada medición de los Hidrocarburos.</w:t>
            </w:r>
          </w:p>
        </w:tc>
        <w:tc>
          <w:tcPr>
            <w:tcW w:w="4788" w:type="dxa"/>
            <w:shd w:val="clear" w:color="auto" w:fill="auto"/>
          </w:tcPr>
          <w:p w14:paraId="4C769FBB" w14:textId="06338EA6" w:rsidR="002C5E29" w:rsidRPr="00081E30" w:rsidRDefault="002C5E29" w:rsidP="002C5E29">
            <w:pPr>
              <w:pStyle w:val="Texto"/>
              <w:spacing w:after="0" w:line="240" w:lineRule="auto"/>
              <w:ind w:firstLine="0"/>
              <w:rPr>
                <w:rFonts w:ascii="Verdana" w:hAnsi="Verdana"/>
                <w:bCs/>
                <w:sz w:val="16"/>
                <w:szCs w:val="16"/>
                <w:lang w:val="en-US"/>
              </w:rPr>
            </w:pPr>
            <w:r w:rsidRPr="006D0005">
              <w:rPr>
                <w:rFonts w:ascii="Verdana" w:hAnsi="Verdana" w:cs="Times New Roman"/>
                <w:b/>
                <w:sz w:val="16"/>
                <w:szCs w:val="16"/>
                <w:lang w:val="en-US"/>
              </w:rPr>
              <w:t>Thirteenth.-</w:t>
            </w:r>
            <w:r w:rsidRPr="00081E30">
              <w:rPr>
                <w:rFonts w:ascii="Verdana" w:hAnsi="Verdana" w:cs="Times New Roman"/>
                <w:bCs/>
                <w:sz w:val="16"/>
                <w:szCs w:val="16"/>
                <w:lang w:val="en-US"/>
              </w:rPr>
              <w:t xml:space="preserve"> For the purposes of the provisions of article 65 of this Regulation, </w:t>
            </w:r>
            <w:r>
              <w:rPr>
                <w:rFonts w:ascii="Verdana" w:hAnsi="Verdana" w:cs="Times New Roman"/>
                <w:bCs/>
                <w:sz w:val="16"/>
                <w:szCs w:val="16"/>
                <w:lang w:val="en-US"/>
              </w:rPr>
              <w:t>a</w:t>
            </w:r>
            <w:r w:rsidRPr="00081E30">
              <w:rPr>
                <w:rFonts w:ascii="Verdana" w:hAnsi="Verdana" w:cs="Times New Roman"/>
                <w:bCs/>
                <w:sz w:val="16"/>
                <w:szCs w:val="16"/>
                <w:lang w:val="en-US"/>
              </w:rPr>
              <w:t xml:space="preserve">ssignees and </w:t>
            </w:r>
            <w:r>
              <w:rPr>
                <w:rFonts w:ascii="Verdana" w:hAnsi="Verdana" w:cs="Times New Roman"/>
                <w:bCs/>
                <w:sz w:val="16"/>
                <w:szCs w:val="16"/>
                <w:lang w:val="en-US"/>
              </w:rPr>
              <w:t>c</w:t>
            </w:r>
            <w:r w:rsidRPr="00081E30">
              <w:rPr>
                <w:rFonts w:ascii="Verdana" w:hAnsi="Verdana" w:cs="Times New Roman"/>
                <w:bCs/>
                <w:sz w:val="16"/>
                <w:szCs w:val="16"/>
                <w:lang w:val="en-US"/>
              </w:rPr>
              <w:t>ontractors will be granted a period of one hundred and eighty business days to adapt their infrastructure, so that they have the equipment that allows them adequate Hydrocarbons measurement.</w:t>
            </w:r>
          </w:p>
        </w:tc>
      </w:tr>
      <w:tr w:rsidR="002C5E29" w:rsidRPr="000A5335" w14:paraId="71216742" w14:textId="7DDAB19B" w:rsidTr="00081E30">
        <w:tc>
          <w:tcPr>
            <w:tcW w:w="4788" w:type="dxa"/>
            <w:shd w:val="clear" w:color="auto" w:fill="auto"/>
          </w:tcPr>
          <w:p w14:paraId="14613B02" w14:textId="77777777" w:rsidR="002C5E29" w:rsidRPr="00081E30" w:rsidRDefault="002C5E29" w:rsidP="002C5E29">
            <w:pPr>
              <w:pStyle w:val="Texto"/>
              <w:spacing w:after="0" w:line="240" w:lineRule="auto"/>
              <w:ind w:firstLine="0"/>
              <w:rPr>
                <w:rFonts w:ascii="Verdana" w:hAnsi="Verdana"/>
                <w:bCs/>
                <w:sz w:val="16"/>
                <w:szCs w:val="16"/>
                <w:lang w:val="en-US"/>
              </w:rPr>
            </w:pPr>
          </w:p>
        </w:tc>
        <w:tc>
          <w:tcPr>
            <w:tcW w:w="4788" w:type="dxa"/>
            <w:shd w:val="clear" w:color="auto" w:fill="auto"/>
          </w:tcPr>
          <w:p w14:paraId="49DC7DFF" w14:textId="2E96DD1B" w:rsidR="002C5E29" w:rsidRPr="00081E30" w:rsidRDefault="002C5E29" w:rsidP="002C5E29">
            <w:pPr>
              <w:pStyle w:val="Texto"/>
              <w:spacing w:after="0" w:line="240" w:lineRule="auto"/>
              <w:ind w:firstLine="0"/>
              <w:rPr>
                <w:rFonts w:ascii="Verdana" w:hAnsi="Verdana"/>
                <w:bCs/>
                <w:sz w:val="16"/>
                <w:szCs w:val="16"/>
                <w:lang w:val="en-US"/>
              </w:rPr>
            </w:pPr>
            <w:r w:rsidRPr="00081E30">
              <w:rPr>
                <w:rFonts w:ascii="Verdana" w:hAnsi="Verdana" w:cs="Times New Roman"/>
                <w:bCs/>
                <w:sz w:val="16"/>
                <w:szCs w:val="16"/>
                <w:lang w:val="en-US"/>
              </w:rPr>
              <w:t> </w:t>
            </w:r>
          </w:p>
        </w:tc>
      </w:tr>
      <w:tr w:rsidR="002C5E29" w:rsidRPr="00171358" w14:paraId="2AD2684B" w14:textId="2ADA6EB0" w:rsidTr="00081E30">
        <w:tc>
          <w:tcPr>
            <w:tcW w:w="4788" w:type="dxa"/>
            <w:shd w:val="clear" w:color="auto" w:fill="auto"/>
          </w:tcPr>
          <w:p w14:paraId="29833D46" w14:textId="77777777" w:rsidR="002C5E29" w:rsidRPr="00081E30" w:rsidRDefault="002C5E29" w:rsidP="002C5E29">
            <w:pPr>
              <w:pStyle w:val="Texto"/>
              <w:spacing w:after="0" w:line="240" w:lineRule="auto"/>
              <w:ind w:firstLine="0"/>
              <w:rPr>
                <w:rFonts w:ascii="Verdana" w:hAnsi="Verdana"/>
                <w:bCs/>
                <w:sz w:val="16"/>
                <w:szCs w:val="16"/>
              </w:rPr>
            </w:pPr>
            <w:r w:rsidRPr="00081E30">
              <w:rPr>
                <w:rFonts w:ascii="Verdana" w:hAnsi="Verdana"/>
                <w:bCs/>
                <w:sz w:val="16"/>
                <w:szCs w:val="16"/>
              </w:rPr>
              <w:t xml:space="preserve">Dado en la Residencia del Poder Ejecutivo Federal, en la Ciudad de México, a veintinueve de octubre de dos mil catorce.- Enrique Peña Nieto.- Rúbrica.- El Secretario de Hacienda y Crédito Público, Luis Videgaray Caso.- Rúbrica.- El Secretario de Medio Ambiente y Recursos Naturales, Juan José Guerra Abud.- Rúbrica.- El Secretario de Energía, Pedro Joaquín Coldwell.- Rúbrica.- El Secretario de Economía, Ildefonso Guajardo Villarreal.- Rúbrica.- </w:t>
            </w:r>
            <w:r w:rsidRPr="00081E30">
              <w:rPr>
                <w:rFonts w:ascii="Verdana" w:hAnsi="Verdana"/>
                <w:bCs/>
                <w:sz w:val="16"/>
                <w:szCs w:val="16"/>
                <w:lang w:val="es-MX"/>
              </w:rPr>
              <w:t xml:space="preserve">El Secretario de Desarrollo Agrario, Territorial y Urbano, Jorge Carlos Ramírez Marín.- Rúbrica.- </w:t>
            </w:r>
            <w:r w:rsidRPr="00081E30">
              <w:rPr>
                <w:rFonts w:ascii="Verdana" w:hAnsi="Verdana"/>
                <w:bCs/>
                <w:sz w:val="16"/>
                <w:szCs w:val="16"/>
              </w:rPr>
              <w:t>En ausencia del Secretario de la Función Pública, en términos de lo dispuesto por los artículos 18 de la Ley Orgánica de la Administración Pública Federal; 7, fracción XII, y 86 del Reglamento Interior de la Secretaría de la Función Pública, el Subsecretario de Responsabilidades Administrativas y Contrataciones Públicas, Julián Alfonso Olivas Ugalde.- Rúbrica.</w:t>
            </w:r>
          </w:p>
        </w:tc>
        <w:tc>
          <w:tcPr>
            <w:tcW w:w="4788" w:type="dxa"/>
            <w:shd w:val="clear" w:color="auto" w:fill="auto"/>
          </w:tcPr>
          <w:p w14:paraId="18D5219E" w14:textId="0D58805A" w:rsidR="002C5E29" w:rsidRPr="00081E30" w:rsidRDefault="002C5E29" w:rsidP="002C5E29">
            <w:pPr>
              <w:pStyle w:val="Texto"/>
              <w:spacing w:after="0" w:line="240" w:lineRule="auto"/>
              <w:ind w:firstLine="0"/>
              <w:rPr>
                <w:rFonts w:ascii="Verdana" w:hAnsi="Verdana"/>
                <w:bCs/>
                <w:sz w:val="16"/>
                <w:szCs w:val="16"/>
                <w:lang w:val="en-US"/>
              </w:rPr>
            </w:pPr>
            <w:r>
              <w:rPr>
                <w:rFonts w:ascii="Verdana" w:hAnsi="Verdana" w:cs="Times New Roman"/>
                <w:bCs/>
                <w:sz w:val="16"/>
                <w:szCs w:val="16"/>
                <w:lang w:val="en-US"/>
              </w:rPr>
              <w:t>Issued</w:t>
            </w:r>
            <w:r w:rsidRPr="00081E30">
              <w:rPr>
                <w:rFonts w:ascii="Verdana" w:hAnsi="Verdana" w:cs="Times New Roman"/>
                <w:bCs/>
                <w:sz w:val="16"/>
                <w:szCs w:val="16"/>
                <w:lang w:val="en-US"/>
              </w:rPr>
              <w:t xml:space="preserve"> at the Residence of the Federal Executive Power, in Mexico City, on the twenty-ninth October of two thousand fourteen.- Enrique Peña Nieto.-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The Secretary of Finance and Public Credit, Luis </w:t>
            </w:r>
            <w:proofErr w:type="spellStart"/>
            <w:r w:rsidRPr="00081E30">
              <w:rPr>
                <w:rFonts w:ascii="Verdana" w:hAnsi="Verdana" w:cs="Times New Roman"/>
                <w:bCs/>
                <w:sz w:val="16"/>
                <w:szCs w:val="16"/>
                <w:lang w:val="en-US"/>
              </w:rPr>
              <w:t>Videgaray</w:t>
            </w:r>
            <w:proofErr w:type="spellEnd"/>
            <w:r w:rsidRPr="00081E30">
              <w:rPr>
                <w:rFonts w:ascii="Verdana" w:hAnsi="Verdana" w:cs="Times New Roman"/>
                <w:bCs/>
                <w:sz w:val="16"/>
                <w:szCs w:val="16"/>
                <w:lang w:val="en-US"/>
              </w:rPr>
              <w:t xml:space="preserve"> Case.-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The Secretary of Environment and Natural Resources, Juan José Guerra Abud.-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The Secretary of Energy, Pedro Joaquín Coldwell .-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The Secretary of Economy, Ildefonso Guajardo Villarreal.-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The Secretary of Agrarian, Territorial Development and Urban, Jorge Carlos Ramírez Marín.- </w:t>
            </w:r>
            <w:r>
              <w:rPr>
                <w:rFonts w:ascii="Verdana" w:hAnsi="Verdana" w:cs="Times New Roman"/>
                <w:bCs/>
                <w:sz w:val="16"/>
                <w:szCs w:val="16"/>
                <w:lang w:val="en-US"/>
              </w:rPr>
              <w:t>Signed.</w:t>
            </w:r>
            <w:r w:rsidRPr="00081E30">
              <w:rPr>
                <w:rFonts w:ascii="Verdana" w:hAnsi="Verdana" w:cs="Times New Roman"/>
                <w:bCs/>
                <w:sz w:val="16"/>
                <w:szCs w:val="16"/>
                <w:lang w:val="en-US"/>
              </w:rPr>
              <w:t xml:space="preserve"> In the absence of the Secretary of the Public Function, in terms of the provisions of articles 18 of the Organic Law of the Federal Public Administration; 7, section XII, and 86 of the Internal Regulation of the </w:t>
            </w:r>
            <w:r>
              <w:rPr>
                <w:rFonts w:ascii="Verdana" w:hAnsi="Verdana" w:cs="Times New Roman"/>
                <w:bCs/>
                <w:sz w:val="16"/>
                <w:szCs w:val="16"/>
                <w:lang w:val="en-US"/>
              </w:rPr>
              <w:t>Secretary</w:t>
            </w:r>
            <w:r w:rsidRPr="00081E30">
              <w:rPr>
                <w:rFonts w:ascii="Verdana" w:hAnsi="Verdana" w:cs="Times New Roman"/>
                <w:bCs/>
                <w:sz w:val="16"/>
                <w:szCs w:val="16"/>
                <w:lang w:val="en-US"/>
              </w:rPr>
              <w:t xml:space="preserve"> of Public Administration, the Undersecretary of Administrative Responsibilities and Public Procurement, Julián Alfonso Olivas Ugalde .- </w:t>
            </w:r>
            <w:r>
              <w:rPr>
                <w:rFonts w:ascii="Verdana" w:hAnsi="Verdana" w:cs="Times New Roman"/>
                <w:bCs/>
                <w:sz w:val="16"/>
                <w:szCs w:val="16"/>
                <w:lang w:val="en-US"/>
              </w:rPr>
              <w:t>Signed</w:t>
            </w:r>
            <w:r w:rsidRPr="00081E30">
              <w:rPr>
                <w:rFonts w:ascii="Verdana" w:hAnsi="Verdana" w:cs="Times New Roman"/>
                <w:bCs/>
                <w:sz w:val="16"/>
                <w:szCs w:val="16"/>
                <w:lang w:val="en-US"/>
              </w:rPr>
              <w:t>.</w:t>
            </w:r>
          </w:p>
        </w:tc>
      </w:tr>
    </w:tbl>
    <w:p w14:paraId="341B8AD7" w14:textId="15075148" w:rsidR="00DB316A" w:rsidRPr="00171358" w:rsidRDefault="00DB316A" w:rsidP="006E3D13">
      <w:pPr>
        <w:pStyle w:val="Texto"/>
        <w:spacing w:after="0" w:line="240" w:lineRule="auto"/>
        <w:ind w:firstLine="0"/>
        <w:rPr>
          <w:rFonts w:ascii="Verdana" w:hAnsi="Verdana"/>
          <w:sz w:val="16"/>
          <w:szCs w:val="16"/>
          <w:lang w:val="en-US"/>
        </w:rPr>
      </w:pPr>
    </w:p>
    <w:sectPr w:rsidR="00DB316A" w:rsidRPr="00171358" w:rsidSect="006E3D13">
      <w:headerReference w:type="even" r:id="rId8"/>
      <w:headerReference w:type="default" r:id="rId9"/>
      <w:footerReference w:type="default" r:id="rId10"/>
      <w:footerReference w:type="first" r:id="rId11"/>
      <w:pgSz w:w="12240" w:h="15840" w:code="1"/>
      <w:pgMar w:top="1440" w:right="1440" w:bottom="1440" w:left="1440"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58DE6" w14:textId="77777777" w:rsidR="00154413" w:rsidRDefault="00154413">
      <w:r>
        <w:separator/>
      </w:r>
    </w:p>
  </w:endnote>
  <w:endnote w:type="continuationSeparator" w:id="0">
    <w:p w14:paraId="6ED32D2E" w14:textId="77777777" w:rsidR="00154413" w:rsidRDefault="0015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0BD84" w14:textId="4D6CE945" w:rsidR="000A3C31" w:rsidRPr="000C4C0F" w:rsidRDefault="000A3C31" w:rsidP="000C4C0F">
    <w:pPr>
      <w:pStyle w:val="Footer"/>
      <w:rPr>
        <w:rFonts w:ascii="Verdana" w:hAnsi="Verdana"/>
        <w:b/>
        <w:bCs/>
        <w:sz w:val="16"/>
        <w:szCs w:val="16"/>
      </w:rPr>
    </w:pPr>
    <w:r w:rsidRPr="000C4C0F">
      <w:rPr>
        <w:rFonts w:ascii="Verdana" w:hAnsi="Verdana"/>
        <w:b/>
        <w:bCs/>
        <w:sz w:val="16"/>
        <w:szCs w:val="16"/>
      </w:rPr>
      <w:t xml:space="preserve">Derechos Reservados © 2020 Lic. Glenn Louis McBride   </w:t>
    </w:r>
    <w:r>
      <w:rPr>
        <w:rFonts w:ascii="Verdana" w:hAnsi="Verdana"/>
        <w:b/>
        <w:bCs/>
        <w:sz w:val="16"/>
        <w:szCs w:val="16"/>
      </w:rPr>
      <w:t xml:space="preserve">                                                              </w:t>
    </w:r>
    <w:r w:rsidRPr="000C4C0F">
      <w:rPr>
        <w:rFonts w:ascii="Verdana" w:hAnsi="Verdana"/>
        <w:b/>
        <w:bCs/>
        <w:sz w:val="16"/>
        <w:szCs w:val="16"/>
      </w:rPr>
      <w:t xml:space="preserve"> </w:t>
    </w:r>
    <w:r w:rsidRPr="000C4C0F">
      <w:rPr>
        <w:rFonts w:ascii="Verdana" w:hAnsi="Verdana"/>
        <w:b/>
        <w:bCs/>
        <w:sz w:val="16"/>
        <w:szCs w:val="16"/>
      </w:rPr>
      <w:fldChar w:fldCharType="begin"/>
    </w:r>
    <w:r w:rsidRPr="000C4C0F">
      <w:rPr>
        <w:rFonts w:ascii="Verdana" w:hAnsi="Verdana"/>
        <w:b/>
        <w:bCs/>
        <w:sz w:val="16"/>
        <w:szCs w:val="16"/>
      </w:rPr>
      <w:instrText>PAGE</w:instrText>
    </w:r>
    <w:r w:rsidRPr="000C4C0F">
      <w:rPr>
        <w:rFonts w:ascii="Verdana" w:hAnsi="Verdana"/>
        <w:b/>
        <w:bCs/>
        <w:sz w:val="16"/>
        <w:szCs w:val="16"/>
      </w:rPr>
      <w:fldChar w:fldCharType="separate"/>
    </w:r>
    <w:r w:rsidRPr="000C4C0F">
      <w:rPr>
        <w:rFonts w:ascii="Verdana" w:hAnsi="Verdana"/>
        <w:b/>
        <w:bCs/>
        <w:noProof/>
        <w:sz w:val="16"/>
        <w:szCs w:val="16"/>
      </w:rPr>
      <w:t>1</w:t>
    </w:r>
    <w:r w:rsidRPr="000C4C0F">
      <w:rPr>
        <w:rFonts w:ascii="Verdana" w:hAnsi="Verdana"/>
        <w:b/>
        <w:bCs/>
        <w:sz w:val="16"/>
        <w:szCs w:val="16"/>
      </w:rPr>
      <w:fldChar w:fldCharType="end"/>
    </w:r>
    <w:r>
      <w:rPr>
        <w:rFonts w:ascii="Verdana" w:hAnsi="Verdana"/>
        <w:b/>
        <w:bCs/>
        <w:sz w:val="16"/>
        <w:szCs w:val="16"/>
      </w:rPr>
      <w:t>/</w:t>
    </w:r>
    <w:r w:rsidRPr="000C4C0F">
      <w:rPr>
        <w:rFonts w:ascii="Verdana" w:hAnsi="Verdana"/>
        <w:b/>
        <w:bCs/>
        <w:sz w:val="16"/>
        <w:szCs w:val="16"/>
      </w:rPr>
      <w:t xml:space="preserve"> </w:t>
    </w:r>
    <w:r w:rsidRPr="000C4C0F">
      <w:rPr>
        <w:rFonts w:ascii="Verdana" w:hAnsi="Verdana"/>
        <w:b/>
        <w:bCs/>
        <w:sz w:val="16"/>
        <w:szCs w:val="16"/>
      </w:rPr>
      <w:fldChar w:fldCharType="begin"/>
    </w:r>
    <w:r w:rsidRPr="000C4C0F">
      <w:rPr>
        <w:rFonts w:ascii="Verdana" w:hAnsi="Verdana"/>
        <w:b/>
        <w:bCs/>
        <w:sz w:val="16"/>
        <w:szCs w:val="16"/>
      </w:rPr>
      <w:instrText>NUMPAGES</w:instrText>
    </w:r>
    <w:r w:rsidRPr="000C4C0F">
      <w:rPr>
        <w:rFonts w:ascii="Verdana" w:hAnsi="Verdana"/>
        <w:b/>
        <w:bCs/>
        <w:sz w:val="16"/>
        <w:szCs w:val="16"/>
      </w:rPr>
      <w:fldChar w:fldCharType="separate"/>
    </w:r>
    <w:r w:rsidRPr="000C4C0F">
      <w:rPr>
        <w:rFonts w:ascii="Verdana" w:hAnsi="Verdana"/>
        <w:b/>
        <w:bCs/>
        <w:noProof/>
        <w:sz w:val="16"/>
        <w:szCs w:val="16"/>
      </w:rPr>
      <w:t>30</w:t>
    </w:r>
    <w:r w:rsidRPr="000C4C0F">
      <w:rPr>
        <w:rFonts w:ascii="Verdana" w:hAnsi="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209BF" w14:textId="77777777" w:rsidR="000A3C31" w:rsidRDefault="000A3C31">
    <w:pPr>
      <w:pStyle w:val="Footer"/>
      <w:jc w:val="right"/>
    </w:pPr>
  </w:p>
  <w:p w14:paraId="5B8CCDE2" w14:textId="77777777" w:rsidR="000A3C31" w:rsidRDefault="000A3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8C378" w14:textId="77777777" w:rsidR="00154413" w:rsidRDefault="00154413">
      <w:r>
        <w:separator/>
      </w:r>
    </w:p>
  </w:footnote>
  <w:footnote w:type="continuationSeparator" w:id="0">
    <w:p w14:paraId="6FAFF548" w14:textId="77777777" w:rsidR="00154413" w:rsidRDefault="00154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6B183" w14:textId="77777777" w:rsidR="000A3C31" w:rsidRDefault="000A3C31" w:rsidP="009F3C58">
    <w:pPr>
      <w:pStyle w:val="Fechas"/>
    </w:pPr>
    <w:r>
      <w:fldChar w:fldCharType="begin"/>
    </w:r>
    <w:r>
      <w:instrText>PAGE   \* MERGEFORMAT</w:instrText>
    </w:r>
    <w:r>
      <w:fldChar w:fldCharType="separate"/>
    </w:r>
    <w:r>
      <w:rPr>
        <w:noProof/>
      </w:rPr>
      <w:t>16</w:t>
    </w:r>
    <w:r>
      <w:fldChar w:fldCharType="end"/>
    </w:r>
    <w:r>
      <w:t xml:space="preserve">     (Cuarta Sección)</w:t>
    </w:r>
    <w:r>
      <w:tab/>
      <w:t>DIARIO OFICIAL</w:t>
    </w:r>
    <w:r>
      <w:tab/>
      <w:t>Viernes 31 de octubre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744E8" w14:textId="08A2BC72" w:rsidR="000A3C31" w:rsidRDefault="000A3C31" w:rsidP="000C4C0F">
    <w:pPr>
      <w:pStyle w:val="Header"/>
      <w:rPr>
        <w:rFonts w:ascii="Verdana" w:hAnsi="Verdana"/>
        <w:b/>
        <w:bCs/>
        <w:sz w:val="16"/>
        <w:szCs w:val="16"/>
        <w:lang w:val="en-US"/>
      </w:rPr>
    </w:pPr>
    <w:r w:rsidRPr="000C4C0F">
      <w:rPr>
        <w:rFonts w:ascii="Verdana" w:hAnsi="Verdana"/>
        <w:b/>
        <w:bCs/>
        <w:sz w:val="16"/>
        <w:szCs w:val="16"/>
        <w:lang w:val="en-US"/>
      </w:rPr>
      <w:t xml:space="preserve">REGULATION OF THE LAW OF HYDROCARBONS </w:t>
    </w:r>
  </w:p>
  <w:p w14:paraId="66241171" w14:textId="44D8E841" w:rsidR="000A3C31" w:rsidRPr="000C4C0F" w:rsidRDefault="000A3C31" w:rsidP="000C4C0F">
    <w:pPr>
      <w:pStyle w:val="Header"/>
      <w:rPr>
        <w:rFonts w:ascii="Verdana" w:hAnsi="Verdana"/>
        <w:sz w:val="16"/>
        <w:szCs w:val="16"/>
        <w:lang w:val="en-US"/>
      </w:rPr>
    </w:pPr>
    <w:r w:rsidRPr="000C4C0F">
      <w:rPr>
        <w:rFonts w:ascii="Verdana" w:hAnsi="Verdana"/>
        <w:sz w:val="16"/>
        <w:szCs w:val="16"/>
        <w:lang w:val="en-US"/>
      </w:rPr>
      <w:t>Published in the DOF on October 31,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45"/>
    <w:rsid w:val="0000179E"/>
    <w:rsid w:val="00007D5B"/>
    <w:rsid w:val="00023FDE"/>
    <w:rsid w:val="00025505"/>
    <w:rsid w:val="00026A41"/>
    <w:rsid w:val="00030FCB"/>
    <w:rsid w:val="000468AF"/>
    <w:rsid w:val="00047A71"/>
    <w:rsid w:val="00070CDB"/>
    <w:rsid w:val="00081E30"/>
    <w:rsid w:val="0008366A"/>
    <w:rsid w:val="00083B96"/>
    <w:rsid w:val="00085CFF"/>
    <w:rsid w:val="00090755"/>
    <w:rsid w:val="000934C4"/>
    <w:rsid w:val="000A3C31"/>
    <w:rsid w:val="000A5335"/>
    <w:rsid w:val="000A7A17"/>
    <w:rsid w:val="000B42E5"/>
    <w:rsid w:val="000B698E"/>
    <w:rsid w:val="000C4C0F"/>
    <w:rsid w:val="000C50D4"/>
    <w:rsid w:val="000E5DEB"/>
    <w:rsid w:val="000E6BF1"/>
    <w:rsid w:val="000F0FA3"/>
    <w:rsid w:val="000F3ABE"/>
    <w:rsid w:val="000F706A"/>
    <w:rsid w:val="0010703B"/>
    <w:rsid w:val="001144C4"/>
    <w:rsid w:val="00121A5E"/>
    <w:rsid w:val="001303A7"/>
    <w:rsid w:val="00134EA3"/>
    <w:rsid w:val="00140A5C"/>
    <w:rsid w:val="0014662F"/>
    <w:rsid w:val="00154413"/>
    <w:rsid w:val="00155A7E"/>
    <w:rsid w:val="001574EC"/>
    <w:rsid w:val="001642EF"/>
    <w:rsid w:val="00171358"/>
    <w:rsid w:val="00173E9D"/>
    <w:rsid w:val="001748E8"/>
    <w:rsid w:val="00176B02"/>
    <w:rsid w:val="00181964"/>
    <w:rsid w:val="00195422"/>
    <w:rsid w:val="00195F4A"/>
    <w:rsid w:val="001B1144"/>
    <w:rsid w:val="001B6981"/>
    <w:rsid w:val="001B6B59"/>
    <w:rsid w:val="001C18BE"/>
    <w:rsid w:val="001C1DC9"/>
    <w:rsid w:val="001D1D2A"/>
    <w:rsid w:val="001E3BF4"/>
    <w:rsid w:val="001E538A"/>
    <w:rsid w:val="001E6CB1"/>
    <w:rsid w:val="001F09BB"/>
    <w:rsid w:val="001F1A7D"/>
    <w:rsid w:val="001F6325"/>
    <w:rsid w:val="0020245C"/>
    <w:rsid w:val="00207085"/>
    <w:rsid w:val="002214D8"/>
    <w:rsid w:val="0025082C"/>
    <w:rsid w:val="00255299"/>
    <w:rsid w:val="0026107B"/>
    <w:rsid w:val="002765D9"/>
    <w:rsid w:val="00282554"/>
    <w:rsid w:val="00285BE5"/>
    <w:rsid w:val="00286668"/>
    <w:rsid w:val="00286818"/>
    <w:rsid w:val="00287F78"/>
    <w:rsid w:val="00290296"/>
    <w:rsid w:val="0029033A"/>
    <w:rsid w:val="00291CA7"/>
    <w:rsid w:val="002940B6"/>
    <w:rsid w:val="002A0B02"/>
    <w:rsid w:val="002B00EE"/>
    <w:rsid w:val="002B127D"/>
    <w:rsid w:val="002B37B4"/>
    <w:rsid w:val="002B3857"/>
    <w:rsid w:val="002C3644"/>
    <w:rsid w:val="002C5E29"/>
    <w:rsid w:val="002D476D"/>
    <w:rsid w:val="002E0094"/>
    <w:rsid w:val="002F6279"/>
    <w:rsid w:val="002F666A"/>
    <w:rsid w:val="0030321A"/>
    <w:rsid w:val="00306951"/>
    <w:rsid w:val="00323864"/>
    <w:rsid w:val="0032394E"/>
    <w:rsid w:val="003264DE"/>
    <w:rsid w:val="00326B04"/>
    <w:rsid w:val="00330780"/>
    <w:rsid w:val="003340A4"/>
    <w:rsid w:val="00357A6B"/>
    <w:rsid w:val="00363307"/>
    <w:rsid w:val="0036410B"/>
    <w:rsid w:val="003656C6"/>
    <w:rsid w:val="00373DFE"/>
    <w:rsid w:val="003843E8"/>
    <w:rsid w:val="00387D7A"/>
    <w:rsid w:val="0039202C"/>
    <w:rsid w:val="003958AA"/>
    <w:rsid w:val="003967FE"/>
    <w:rsid w:val="003B2214"/>
    <w:rsid w:val="003B46F2"/>
    <w:rsid w:val="003C1F6B"/>
    <w:rsid w:val="003C5EB9"/>
    <w:rsid w:val="003D6457"/>
    <w:rsid w:val="003E5783"/>
    <w:rsid w:val="003E7472"/>
    <w:rsid w:val="003F6AF8"/>
    <w:rsid w:val="00410B8C"/>
    <w:rsid w:val="00412ED6"/>
    <w:rsid w:val="004142D5"/>
    <w:rsid w:val="004162EA"/>
    <w:rsid w:val="004273D0"/>
    <w:rsid w:val="0042779F"/>
    <w:rsid w:val="004352A9"/>
    <w:rsid w:val="00440349"/>
    <w:rsid w:val="00444E94"/>
    <w:rsid w:val="0046400A"/>
    <w:rsid w:val="00464085"/>
    <w:rsid w:val="004652D9"/>
    <w:rsid w:val="00465E99"/>
    <w:rsid w:val="00471B61"/>
    <w:rsid w:val="00475BE2"/>
    <w:rsid w:val="0048286F"/>
    <w:rsid w:val="00491FF9"/>
    <w:rsid w:val="004A2080"/>
    <w:rsid w:val="004A7426"/>
    <w:rsid w:val="004B2F2C"/>
    <w:rsid w:val="004C174C"/>
    <w:rsid w:val="004C49C6"/>
    <w:rsid w:val="004C593F"/>
    <w:rsid w:val="004D4A72"/>
    <w:rsid w:val="004D6AB7"/>
    <w:rsid w:val="004E6B1F"/>
    <w:rsid w:val="004E77FB"/>
    <w:rsid w:val="004F3FE9"/>
    <w:rsid w:val="004F6559"/>
    <w:rsid w:val="004F6EDA"/>
    <w:rsid w:val="00502367"/>
    <w:rsid w:val="00512CDB"/>
    <w:rsid w:val="00514993"/>
    <w:rsid w:val="00522551"/>
    <w:rsid w:val="00534337"/>
    <w:rsid w:val="0053581A"/>
    <w:rsid w:val="00535845"/>
    <w:rsid w:val="0054345D"/>
    <w:rsid w:val="005438AB"/>
    <w:rsid w:val="0054733E"/>
    <w:rsid w:val="0055349C"/>
    <w:rsid w:val="00567317"/>
    <w:rsid w:val="005724B9"/>
    <w:rsid w:val="00595401"/>
    <w:rsid w:val="005A0268"/>
    <w:rsid w:val="005A0954"/>
    <w:rsid w:val="005B2FCC"/>
    <w:rsid w:val="005C4019"/>
    <w:rsid w:val="005C75DE"/>
    <w:rsid w:val="005D2A65"/>
    <w:rsid w:val="005D7D14"/>
    <w:rsid w:val="005E5B0E"/>
    <w:rsid w:val="005F0FD7"/>
    <w:rsid w:val="005F1CD9"/>
    <w:rsid w:val="005F4AC0"/>
    <w:rsid w:val="00617123"/>
    <w:rsid w:val="006231E1"/>
    <w:rsid w:val="00627360"/>
    <w:rsid w:val="00627D1A"/>
    <w:rsid w:val="0063495E"/>
    <w:rsid w:val="00634C63"/>
    <w:rsid w:val="00656CFF"/>
    <w:rsid w:val="00670946"/>
    <w:rsid w:val="006711A8"/>
    <w:rsid w:val="00674139"/>
    <w:rsid w:val="00681BC5"/>
    <w:rsid w:val="00685655"/>
    <w:rsid w:val="00686752"/>
    <w:rsid w:val="00691836"/>
    <w:rsid w:val="0069357B"/>
    <w:rsid w:val="00697B7C"/>
    <w:rsid w:val="006A0E8E"/>
    <w:rsid w:val="006A44A9"/>
    <w:rsid w:val="006B7539"/>
    <w:rsid w:val="006D0005"/>
    <w:rsid w:val="006D2E40"/>
    <w:rsid w:val="006E2487"/>
    <w:rsid w:val="006E3D13"/>
    <w:rsid w:val="006E4EE3"/>
    <w:rsid w:val="006E66EC"/>
    <w:rsid w:val="006F785A"/>
    <w:rsid w:val="0070415B"/>
    <w:rsid w:val="00717A6D"/>
    <w:rsid w:val="00724703"/>
    <w:rsid w:val="00735E9D"/>
    <w:rsid w:val="00737435"/>
    <w:rsid w:val="00741ABD"/>
    <w:rsid w:val="00746FC8"/>
    <w:rsid w:val="007517FE"/>
    <w:rsid w:val="007570C1"/>
    <w:rsid w:val="007578BE"/>
    <w:rsid w:val="00787F4B"/>
    <w:rsid w:val="00797AB4"/>
    <w:rsid w:val="007A0956"/>
    <w:rsid w:val="007B6EAE"/>
    <w:rsid w:val="007C1FD2"/>
    <w:rsid w:val="007C7733"/>
    <w:rsid w:val="007D00B8"/>
    <w:rsid w:val="007D0C3B"/>
    <w:rsid w:val="007D286A"/>
    <w:rsid w:val="00816C4D"/>
    <w:rsid w:val="00827CE1"/>
    <w:rsid w:val="0083080F"/>
    <w:rsid w:val="00832E88"/>
    <w:rsid w:val="008412BC"/>
    <w:rsid w:val="00842BE6"/>
    <w:rsid w:val="00842FB8"/>
    <w:rsid w:val="0084616E"/>
    <w:rsid w:val="008651ED"/>
    <w:rsid w:val="0086619E"/>
    <w:rsid w:val="00875A59"/>
    <w:rsid w:val="008772DD"/>
    <w:rsid w:val="00877B39"/>
    <w:rsid w:val="008918DC"/>
    <w:rsid w:val="0089558E"/>
    <w:rsid w:val="008A0F8C"/>
    <w:rsid w:val="008A23F3"/>
    <w:rsid w:val="008B5BD2"/>
    <w:rsid w:val="008C46C1"/>
    <w:rsid w:val="008D06EA"/>
    <w:rsid w:val="008D17A5"/>
    <w:rsid w:val="008E2D96"/>
    <w:rsid w:val="008E35DF"/>
    <w:rsid w:val="008F5142"/>
    <w:rsid w:val="008F7A18"/>
    <w:rsid w:val="009047E6"/>
    <w:rsid w:val="00913D77"/>
    <w:rsid w:val="009167A0"/>
    <w:rsid w:val="009200A2"/>
    <w:rsid w:val="009329FB"/>
    <w:rsid w:val="00945F33"/>
    <w:rsid w:val="00947152"/>
    <w:rsid w:val="00966B42"/>
    <w:rsid w:val="00975511"/>
    <w:rsid w:val="009855BF"/>
    <w:rsid w:val="009932CA"/>
    <w:rsid w:val="009A7654"/>
    <w:rsid w:val="009B4D75"/>
    <w:rsid w:val="009C02DA"/>
    <w:rsid w:val="009E1274"/>
    <w:rsid w:val="009E1AC6"/>
    <w:rsid w:val="009E3B35"/>
    <w:rsid w:val="009E63EA"/>
    <w:rsid w:val="009F050F"/>
    <w:rsid w:val="009F3C58"/>
    <w:rsid w:val="009F4574"/>
    <w:rsid w:val="00A04ACF"/>
    <w:rsid w:val="00A24D36"/>
    <w:rsid w:val="00A31E9B"/>
    <w:rsid w:val="00A333DC"/>
    <w:rsid w:val="00A34D62"/>
    <w:rsid w:val="00A4113B"/>
    <w:rsid w:val="00A53D31"/>
    <w:rsid w:val="00A7010C"/>
    <w:rsid w:val="00A73F8A"/>
    <w:rsid w:val="00A76032"/>
    <w:rsid w:val="00A8099D"/>
    <w:rsid w:val="00A81D62"/>
    <w:rsid w:val="00A84922"/>
    <w:rsid w:val="00A971BB"/>
    <w:rsid w:val="00AA7550"/>
    <w:rsid w:val="00AB5707"/>
    <w:rsid w:val="00AC2AA2"/>
    <w:rsid w:val="00AC557D"/>
    <w:rsid w:val="00AD24D5"/>
    <w:rsid w:val="00AD54E0"/>
    <w:rsid w:val="00B00632"/>
    <w:rsid w:val="00B073A2"/>
    <w:rsid w:val="00B14C29"/>
    <w:rsid w:val="00B170E8"/>
    <w:rsid w:val="00B17DFA"/>
    <w:rsid w:val="00B27F9B"/>
    <w:rsid w:val="00B3769E"/>
    <w:rsid w:val="00B60B5B"/>
    <w:rsid w:val="00B6351C"/>
    <w:rsid w:val="00B63531"/>
    <w:rsid w:val="00B66E02"/>
    <w:rsid w:val="00B7008A"/>
    <w:rsid w:val="00B717B3"/>
    <w:rsid w:val="00BA3619"/>
    <w:rsid w:val="00BB1CCD"/>
    <w:rsid w:val="00BC4182"/>
    <w:rsid w:val="00BF091C"/>
    <w:rsid w:val="00C01B5D"/>
    <w:rsid w:val="00C05491"/>
    <w:rsid w:val="00C258E4"/>
    <w:rsid w:val="00C32BA9"/>
    <w:rsid w:val="00C563D2"/>
    <w:rsid w:val="00C67621"/>
    <w:rsid w:val="00C7152E"/>
    <w:rsid w:val="00C72810"/>
    <w:rsid w:val="00C72F0B"/>
    <w:rsid w:val="00C9060E"/>
    <w:rsid w:val="00C91B84"/>
    <w:rsid w:val="00C95E50"/>
    <w:rsid w:val="00C96371"/>
    <w:rsid w:val="00C968A5"/>
    <w:rsid w:val="00C97590"/>
    <w:rsid w:val="00CA0BAE"/>
    <w:rsid w:val="00CA2FDC"/>
    <w:rsid w:val="00CA3BBA"/>
    <w:rsid w:val="00CB6995"/>
    <w:rsid w:val="00CC0602"/>
    <w:rsid w:val="00CC39A6"/>
    <w:rsid w:val="00CC6453"/>
    <w:rsid w:val="00CC71C5"/>
    <w:rsid w:val="00CD6850"/>
    <w:rsid w:val="00CE06BF"/>
    <w:rsid w:val="00CE1386"/>
    <w:rsid w:val="00CF3B2E"/>
    <w:rsid w:val="00CF42BD"/>
    <w:rsid w:val="00CF6193"/>
    <w:rsid w:val="00D00518"/>
    <w:rsid w:val="00D04785"/>
    <w:rsid w:val="00D32C7D"/>
    <w:rsid w:val="00D34588"/>
    <w:rsid w:val="00D3478E"/>
    <w:rsid w:val="00D34D1C"/>
    <w:rsid w:val="00D35A71"/>
    <w:rsid w:val="00D36C73"/>
    <w:rsid w:val="00D42FD2"/>
    <w:rsid w:val="00D44237"/>
    <w:rsid w:val="00D54C2F"/>
    <w:rsid w:val="00D64953"/>
    <w:rsid w:val="00D87572"/>
    <w:rsid w:val="00DB316A"/>
    <w:rsid w:val="00DB4A71"/>
    <w:rsid w:val="00DE4C7A"/>
    <w:rsid w:val="00DF1545"/>
    <w:rsid w:val="00DF6036"/>
    <w:rsid w:val="00DF6BC3"/>
    <w:rsid w:val="00E21F6A"/>
    <w:rsid w:val="00E30B22"/>
    <w:rsid w:val="00E3798A"/>
    <w:rsid w:val="00E42835"/>
    <w:rsid w:val="00E460F3"/>
    <w:rsid w:val="00E50177"/>
    <w:rsid w:val="00E5027B"/>
    <w:rsid w:val="00E5626A"/>
    <w:rsid w:val="00E73FA0"/>
    <w:rsid w:val="00E76353"/>
    <w:rsid w:val="00E772E5"/>
    <w:rsid w:val="00E82585"/>
    <w:rsid w:val="00E8621C"/>
    <w:rsid w:val="00EA0ABD"/>
    <w:rsid w:val="00EA46E7"/>
    <w:rsid w:val="00EA6075"/>
    <w:rsid w:val="00EB1636"/>
    <w:rsid w:val="00EB3C2A"/>
    <w:rsid w:val="00EC373B"/>
    <w:rsid w:val="00EE6353"/>
    <w:rsid w:val="00EF1962"/>
    <w:rsid w:val="00EF226B"/>
    <w:rsid w:val="00F007E0"/>
    <w:rsid w:val="00F00937"/>
    <w:rsid w:val="00F0429A"/>
    <w:rsid w:val="00F22399"/>
    <w:rsid w:val="00F315C9"/>
    <w:rsid w:val="00F31F2D"/>
    <w:rsid w:val="00F42E31"/>
    <w:rsid w:val="00F4652B"/>
    <w:rsid w:val="00F512E2"/>
    <w:rsid w:val="00F51E5E"/>
    <w:rsid w:val="00F64B32"/>
    <w:rsid w:val="00F70C4B"/>
    <w:rsid w:val="00F808C0"/>
    <w:rsid w:val="00F83712"/>
    <w:rsid w:val="00F84AC0"/>
    <w:rsid w:val="00F859B1"/>
    <w:rsid w:val="00F85CA3"/>
    <w:rsid w:val="00F95604"/>
    <w:rsid w:val="00F95C77"/>
    <w:rsid w:val="00FA672D"/>
    <w:rsid w:val="00FB2AB3"/>
    <w:rsid w:val="00FC03A2"/>
    <w:rsid w:val="00FC3E3F"/>
    <w:rsid w:val="00FC5DD1"/>
    <w:rsid w:val="00FC7CB6"/>
    <w:rsid w:val="00FD0D2C"/>
    <w:rsid w:val="00FD44E8"/>
    <w:rsid w:val="00FD7200"/>
    <w:rsid w:val="00FE5F30"/>
    <w:rsid w:val="00FE6ABD"/>
    <w:rsid w:val="00FE7FAE"/>
    <w:rsid w:val="00FF73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34826"/>
  <w15:chartTrackingRefBased/>
  <w15:docId w15:val="{F8AB0387-4671-4AE1-AF24-CD61CA56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9F3C58"/>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ListParagraph">
    <w:name w:val="List Paragraph"/>
    <w:basedOn w:val="Normal"/>
    <w:qFormat/>
    <w:rsid w:val="00DF1545"/>
    <w:pPr>
      <w:spacing w:after="200" w:line="276" w:lineRule="atLeast"/>
      <w:ind w:left="720"/>
    </w:pPr>
    <w:rPr>
      <w:rFonts w:ascii="Calibri" w:hAnsi="Calibri" w:cs="Calibri"/>
      <w:sz w:val="22"/>
      <w:szCs w:val="20"/>
      <w:lang w:val="es-MX" w:eastAsia="es-MX"/>
    </w:rPr>
  </w:style>
  <w:style w:type="paragraph" w:styleId="BalloonText">
    <w:name w:val="Balloon Text"/>
    <w:basedOn w:val="Normal"/>
    <w:link w:val="BalloonTextChar"/>
    <w:uiPriority w:val="99"/>
    <w:semiHidden/>
    <w:unhideWhenUsed/>
    <w:rsid w:val="002765D9"/>
    <w:rPr>
      <w:rFonts w:ascii="Tahoma" w:hAnsi="Tahoma"/>
      <w:sz w:val="16"/>
      <w:szCs w:val="16"/>
    </w:rPr>
  </w:style>
  <w:style w:type="character" w:customStyle="1" w:styleId="BalloonTextChar">
    <w:name w:val="Balloon Text Char"/>
    <w:link w:val="BalloonText"/>
    <w:uiPriority w:val="99"/>
    <w:semiHidden/>
    <w:rsid w:val="002765D9"/>
    <w:rPr>
      <w:rFonts w:ascii="Tahoma" w:hAnsi="Tahoma" w:cs="Tahoma"/>
      <w:sz w:val="16"/>
      <w:szCs w:val="16"/>
      <w:lang w:val="es-ES" w:eastAsia="es-ES"/>
    </w:rPr>
  </w:style>
  <w:style w:type="paragraph" w:customStyle="1" w:styleId="western">
    <w:name w:val="western"/>
    <w:basedOn w:val="Normal"/>
    <w:rsid w:val="0026107B"/>
    <w:pPr>
      <w:spacing w:before="100" w:beforeAutospacing="1" w:after="100" w:afterAutospacing="1"/>
    </w:pPr>
    <w:rPr>
      <w:rFonts w:ascii="Arial Unicode MS" w:eastAsia="Arial Unicode MS" w:hAnsi="Arial Unicode MS" w:cs="Arial Unicode MS"/>
    </w:rPr>
  </w:style>
  <w:style w:type="character" w:customStyle="1" w:styleId="FooterChar">
    <w:name w:val="Footer Char"/>
    <w:link w:val="Footer"/>
    <w:uiPriority w:val="99"/>
    <w:rsid w:val="0026107B"/>
    <w:rPr>
      <w:sz w:val="24"/>
      <w:szCs w:val="24"/>
      <w:lang w:val="es-ES" w:eastAsia="es-ES"/>
    </w:rPr>
  </w:style>
  <w:style w:type="character" w:customStyle="1" w:styleId="HeaderChar">
    <w:name w:val="Header Char"/>
    <w:link w:val="Header"/>
    <w:rsid w:val="004A2080"/>
    <w:rPr>
      <w:sz w:val="24"/>
      <w:szCs w:val="24"/>
      <w:lang w:val="es-ES" w:eastAsia="es-ES"/>
    </w:rPr>
  </w:style>
  <w:style w:type="table" w:styleId="TableGrid">
    <w:name w:val="Table Grid"/>
    <w:basedOn w:val="TableNormal"/>
    <w:uiPriority w:val="59"/>
    <w:rsid w:val="006E3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CDB3E-1F22-4C64-8458-73D7C9D9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37</Pages>
  <Words>27020</Words>
  <Characters>154019</Characters>
  <Application>Microsoft Office Word</Application>
  <DocSecurity>0</DocSecurity>
  <Lines>1283</Lines>
  <Paragraphs>361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Regulation of the Law of Hydrocarbons</vt:lpstr>
      <vt:lpstr>Reglamento de la Ley de Hidrocarburos</vt:lpstr>
    </vt:vector>
  </TitlesOfParts>
  <Company>Cámara de Diputados del H. Congreso de la Unión</Company>
  <LinksUpToDate>false</LinksUpToDate>
  <CharactersWithSpaces>180678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Hydrocarbons</dc:title>
  <dc:subject/>
  <dc:creator>TRANSLATED BY LIC. GLENN LOUIS MCBRIDE</dc:creator>
  <cp:keywords/>
  <dc:description/>
  <cp:lastModifiedBy>GLENN MCBRIDE</cp:lastModifiedBy>
  <cp:revision>3</cp:revision>
  <cp:lastPrinted>2020-03-28T20:26:00Z</cp:lastPrinted>
  <dcterms:created xsi:type="dcterms:W3CDTF">2020-03-28T20:26:00Z</dcterms:created>
  <dcterms:modified xsi:type="dcterms:W3CDTF">2020-03-28T21:11:00Z</dcterms:modified>
</cp:coreProperties>
</file>