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4389"/>
      </w:tblGrid>
      <w:tr w:rsidR="00FE496B" w14:paraId="230F67AA" w14:textId="77777777" w:rsidTr="00FE496B">
        <w:trPr>
          <w:trHeight w:val="1494"/>
        </w:trPr>
        <w:tc>
          <w:tcPr>
            <w:tcW w:w="4443" w:type="dxa"/>
            <w:hideMark/>
          </w:tcPr>
          <w:p w14:paraId="3024B169" w14:textId="74404996" w:rsidR="00FE496B" w:rsidRDefault="00FE496B">
            <w:pPr>
              <w:pStyle w:val="Titulo1"/>
              <w:pBdr>
                <w:bottom w:val="none" w:sz="0" w:space="0" w:color="auto"/>
              </w:pBdr>
              <w:rPr>
                <w:rFonts w:ascii="Verdana" w:hAnsi="Verdana" w:cs="Times New Roman"/>
                <w:sz w:val="16"/>
                <w:szCs w:val="16"/>
              </w:rPr>
            </w:pPr>
            <w:r>
              <w:rPr>
                <w:rFonts w:ascii="Verdana" w:hAnsi="Verdana" w:cs="Times New Roman"/>
                <w:sz w:val="16"/>
                <w:szCs w:val="16"/>
              </w:rPr>
              <w:t>ACUERDO CNH.E.09.06</w:t>
            </w:r>
            <w:r>
              <w:rPr>
                <w:rFonts w:ascii="Verdana" w:hAnsi="Verdana" w:cs="Times New Roman"/>
                <w:sz w:val="16"/>
                <w:szCs w:val="16"/>
              </w:rPr>
              <w:t>-</w:t>
            </w:r>
            <w:r>
              <w:rPr>
                <w:rFonts w:ascii="Verdana" w:hAnsi="Verdana" w:cs="Times New Roman"/>
                <w:sz w:val="16"/>
                <w:szCs w:val="16"/>
              </w:rPr>
              <w:t>2023 por el que la Comisión Nacional de Hidrocarburos interpreta para efectos administrativos los artículos 27, 29 y 35 de los Lineamientos que regulan los Planes de Exploración y de Desarrollo para la Extracción de Hidrocarburos.</w:t>
            </w:r>
          </w:p>
        </w:tc>
        <w:tc>
          <w:tcPr>
            <w:tcW w:w="4389" w:type="dxa"/>
            <w:hideMark/>
          </w:tcPr>
          <w:p w14:paraId="0AB6D4D3" w14:textId="5D33207D" w:rsidR="00FE496B" w:rsidRDefault="00FE496B">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AGREEMENT CNH.E.09.06</w:t>
            </w:r>
            <w:r>
              <w:rPr>
                <w:rFonts w:ascii="Verdana" w:hAnsi="Verdana" w:cs="Times New Roman"/>
                <w:sz w:val="16"/>
                <w:szCs w:val="16"/>
                <w:lang w:val="en-US"/>
              </w:rPr>
              <w:t>-</w:t>
            </w:r>
            <w:r>
              <w:rPr>
                <w:rFonts w:ascii="Verdana" w:hAnsi="Verdana" w:cs="Times New Roman"/>
                <w:sz w:val="16"/>
                <w:szCs w:val="16"/>
                <w:lang w:val="en-US"/>
              </w:rPr>
              <w:t>2023 by which the National Hydrocarbons Commission interprets for administrative purposes articles 27, 29 and 35 of the Guidelines that regulate the Exploration and Development Plans for the Extraction of Hydrocarbons.</w:t>
            </w:r>
          </w:p>
        </w:tc>
      </w:tr>
      <w:tr w:rsidR="00FE496B" w14:paraId="0DB801B2" w14:textId="77777777" w:rsidTr="00FE496B">
        <w:tc>
          <w:tcPr>
            <w:tcW w:w="4443" w:type="dxa"/>
            <w:hideMark/>
          </w:tcPr>
          <w:p w14:paraId="2108A366" w14:textId="77777777" w:rsidR="00FE496B" w:rsidRDefault="00FE496B">
            <w:pPr>
              <w:pStyle w:val="Titulo2"/>
              <w:pBdr>
                <w:top w:val="none" w:sz="0" w:space="0" w:color="auto"/>
              </w:pBdr>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Comisión Nacional de Hidrocarburos.</w:t>
            </w:r>
          </w:p>
        </w:tc>
        <w:tc>
          <w:tcPr>
            <w:tcW w:w="4389" w:type="dxa"/>
            <w:hideMark/>
          </w:tcPr>
          <w:p w14:paraId="63715433" w14:textId="77777777" w:rsidR="00FE496B" w:rsidRDefault="00FE496B">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United Mexican States. - National Hydrocarbons Commission.</w:t>
            </w:r>
          </w:p>
        </w:tc>
      </w:tr>
      <w:tr w:rsidR="00FE496B" w14:paraId="1A69E59D" w14:textId="77777777" w:rsidTr="00FE496B">
        <w:tc>
          <w:tcPr>
            <w:tcW w:w="4443" w:type="dxa"/>
            <w:hideMark/>
          </w:tcPr>
          <w:p w14:paraId="6725C2FB" w14:textId="77777777" w:rsidR="00FE496B" w:rsidRDefault="00FE496B">
            <w:pPr>
              <w:pStyle w:val="texto"/>
              <w:spacing w:line="268" w:lineRule="exact"/>
              <w:ind w:firstLine="0"/>
              <w:rPr>
                <w:rFonts w:ascii="Verdana" w:hAnsi="Verdana"/>
                <w:b/>
                <w:bCs/>
                <w:color w:val="000000"/>
                <w:sz w:val="16"/>
                <w:szCs w:val="16"/>
              </w:rPr>
            </w:pPr>
            <w:r>
              <w:rPr>
                <w:rFonts w:ascii="Verdana" w:hAnsi="Verdana"/>
                <w:b/>
                <w:bCs/>
                <w:color w:val="000000"/>
                <w:sz w:val="16"/>
                <w:szCs w:val="16"/>
              </w:rPr>
              <w:t>ACUERDO CNH.E.09.06/2023 POR EL QUE LA COMISIÓN NACIONAL DE HIDROCARBUROS INTERPRETA PARA EFECTOS ADMINISTRATIVOS LOS ARTÍCULOS 27, 29 Y 35 DE LOS LINEAMIENTOS QUE REGULAN LOS PLANES DE EXPLORACIÓN Y DE DESARROLLO PARA LA EXTRACCIÓN DE HIDROCARBUROS.</w:t>
            </w:r>
          </w:p>
        </w:tc>
        <w:tc>
          <w:tcPr>
            <w:tcW w:w="4389" w:type="dxa"/>
            <w:hideMark/>
          </w:tcPr>
          <w:p w14:paraId="2EB615AA" w14:textId="77777777" w:rsidR="00FE496B" w:rsidRDefault="00FE496B">
            <w:pPr>
              <w:pStyle w:val="texto"/>
              <w:spacing w:line="268" w:lineRule="exact"/>
              <w:ind w:firstLine="0"/>
              <w:rPr>
                <w:rFonts w:ascii="Verdana" w:hAnsi="Verdana"/>
                <w:b/>
                <w:bCs/>
                <w:color w:val="000000"/>
                <w:sz w:val="16"/>
                <w:szCs w:val="16"/>
                <w:lang w:val="en-US"/>
              </w:rPr>
            </w:pPr>
            <w:r>
              <w:rPr>
                <w:rFonts w:ascii="Verdana" w:hAnsi="Verdana"/>
                <w:b/>
                <w:bCs/>
                <w:color w:val="000000"/>
                <w:sz w:val="16"/>
                <w:szCs w:val="16"/>
                <w:lang w:val="en-US"/>
              </w:rPr>
              <w:t>AGREEMENT CNH.E.09.06/2023 BY WHICH THE NATIONAL HYDROCARBONS COMMISSION INTERPRETS FOR ADMINISTRATIVE PURPOSES ARTICLES 27, 29 AND 35 OF THE GUIDELINES THAT REGULATE EXPLORATION AND DEVELOPMENT PLANS FOR THE EXTRACTION OF HYDROCARBONS.</w:t>
            </w:r>
          </w:p>
        </w:tc>
      </w:tr>
      <w:tr w:rsidR="00FE496B" w14:paraId="53D2E21C" w14:textId="77777777" w:rsidTr="00FE496B">
        <w:tc>
          <w:tcPr>
            <w:tcW w:w="4443" w:type="dxa"/>
            <w:hideMark/>
          </w:tcPr>
          <w:p w14:paraId="6B9A7D1E" w14:textId="77777777" w:rsidR="00FE496B" w:rsidRDefault="00FE496B">
            <w:pPr>
              <w:pStyle w:val="ANOTACION"/>
              <w:spacing w:line="268" w:lineRule="exact"/>
              <w:rPr>
                <w:rFonts w:ascii="Verdana" w:hAnsi="Verdana"/>
                <w:sz w:val="16"/>
                <w:szCs w:val="16"/>
              </w:rPr>
            </w:pPr>
            <w:r>
              <w:rPr>
                <w:rFonts w:ascii="Verdana" w:hAnsi="Verdana"/>
                <w:sz w:val="16"/>
                <w:szCs w:val="16"/>
              </w:rPr>
              <w:t>RESULTANDO</w:t>
            </w:r>
          </w:p>
        </w:tc>
        <w:tc>
          <w:tcPr>
            <w:tcW w:w="4389" w:type="dxa"/>
            <w:hideMark/>
          </w:tcPr>
          <w:p w14:paraId="20BED3DF" w14:textId="77777777" w:rsidR="00FE496B" w:rsidRDefault="00FE496B">
            <w:pPr>
              <w:pStyle w:val="ANOTACION"/>
              <w:spacing w:line="268" w:lineRule="exact"/>
              <w:rPr>
                <w:rFonts w:ascii="Verdana" w:hAnsi="Verdana"/>
                <w:sz w:val="16"/>
                <w:szCs w:val="16"/>
                <w:lang w:val="en-US"/>
              </w:rPr>
            </w:pPr>
            <w:r>
              <w:rPr>
                <w:rFonts w:ascii="Verdana" w:hAnsi="Verdana"/>
                <w:sz w:val="16"/>
                <w:szCs w:val="16"/>
                <w:lang w:val="en-US"/>
              </w:rPr>
              <w:t>RESULTING</w:t>
            </w:r>
          </w:p>
        </w:tc>
      </w:tr>
      <w:tr w:rsidR="00FE496B" w14:paraId="317B6C80" w14:textId="77777777" w:rsidTr="00FE496B">
        <w:tc>
          <w:tcPr>
            <w:tcW w:w="4443" w:type="dxa"/>
            <w:hideMark/>
          </w:tcPr>
          <w:p w14:paraId="5C392CAE"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rPr>
              <w:t>PRIMERO.</w:t>
            </w:r>
            <w:r>
              <w:rPr>
                <w:rFonts w:ascii="Verdana" w:hAnsi="Verdana"/>
                <w:color w:val="000000"/>
                <w:sz w:val="16"/>
                <w:szCs w:val="16"/>
              </w:rPr>
              <w:t xml:space="preserve"> </w:t>
            </w:r>
            <w:r>
              <w:rPr>
                <w:rFonts w:ascii="Verdana" w:hAnsi="Verdana"/>
                <w:color w:val="000000"/>
                <w:sz w:val="16"/>
                <w:szCs w:val="16"/>
                <w:lang w:val="es-ES_tradnl"/>
              </w:rPr>
              <w:t>Que el 11 de agosto del 2014, se publicaron en el Diario Oficial de la Federación (en adelante, DOF) entre otras disposiciones, los decretos por los que se expidieron la Ley de Hidrocarburos y la Ley de los Órganos Reguladores Coordinados en Materia Energética, así como aquel por el que se reforman, adicionan y derogan diversas disposiciones de la Ley Orgánica de la Administración Pública Federal.</w:t>
            </w:r>
          </w:p>
        </w:tc>
        <w:tc>
          <w:tcPr>
            <w:tcW w:w="4389" w:type="dxa"/>
            <w:hideMark/>
          </w:tcPr>
          <w:p w14:paraId="1873E741"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FIRST.</w:t>
            </w:r>
            <w:r>
              <w:rPr>
                <w:rFonts w:ascii="Verdana" w:hAnsi="Verdana"/>
                <w:color w:val="000000"/>
                <w:sz w:val="16"/>
                <w:szCs w:val="16"/>
                <w:lang w:val="en-US"/>
              </w:rPr>
              <w:t xml:space="preserve"> That on August 11, 2014, the decrees that issued the Law of Hydrocarbons and the Law of Coordinated Regulatory Bodies in Energy Matters were published in the Official Daily of the Federation (hereinafter, DOF), among other provisions, as well as the one by which various provisions of the Organic Law of the Federal Public Administration are reformed, added and repealed.</w:t>
            </w:r>
          </w:p>
        </w:tc>
      </w:tr>
      <w:tr w:rsidR="00FE496B" w14:paraId="7AC59C74" w14:textId="77777777" w:rsidTr="00FE496B">
        <w:tc>
          <w:tcPr>
            <w:tcW w:w="4443" w:type="dxa"/>
            <w:hideMark/>
          </w:tcPr>
          <w:p w14:paraId="66FE33B4" w14:textId="77777777" w:rsidR="00FE496B" w:rsidRDefault="00FE496B">
            <w:pPr>
              <w:pStyle w:val="texto"/>
              <w:spacing w:line="268" w:lineRule="exact"/>
              <w:ind w:firstLine="0"/>
              <w:rPr>
                <w:rFonts w:ascii="Verdana" w:hAnsi="Verdana"/>
                <w:sz w:val="16"/>
                <w:szCs w:val="16"/>
                <w:lang w:val="es-ES_tradnl"/>
              </w:rPr>
            </w:pPr>
            <w:r>
              <w:rPr>
                <w:rFonts w:ascii="Verdana" w:hAnsi="Verdana"/>
                <w:b/>
                <w:color w:val="000000"/>
                <w:sz w:val="16"/>
                <w:szCs w:val="16"/>
                <w:lang w:val="es-ES_tradnl"/>
              </w:rPr>
              <w:t>SEGUNDO.</w:t>
            </w:r>
            <w:r>
              <w:rPr>
                <w:rFonts w:ascii="Verdana" w:hAnsi="Verdana"/>
                <w:color w:val="000000"/>
                <w:sz w:val="16"/>
                <w:szCs w:val="16"/>
                <w:lang w:val="es-ES_tradnl"/>
              </w:rPr>
              <w:t xml:space="preserve"> </w:t>
            </w:r>
            <w:proofErr w:type="gramStart"/>
            <w:r>
              <w:rPr>
                <w:rFonts w:ascii="Verdana" w:hAnsi="Verdana"/>
                <w:sz w:val="16"/>
                <w:szCs w:val="16"/>
              </w:rPr>
              <w:t>Que</w:t>
            </w:r>
            <w:proofErr w:type="gramEnd"/>
            <w:r>
              <w:rPr>
                <w:rFonts w:ascii="Verdana" w:hAnsi="Verdana"/>
                <w:sz w:val="16"/>
                <w:szCs w:val="16"/>
              </w:rPr>
              <w:t xml:space="preserve"> a partir de la entrada en vigor de las leyes referidas en el Resultando anterior, a la Comisión Nacional de Hidrocarburos (en adelante, Comisión) se le confirieron nuevas atribuciones entre las que se encuentran administrar y supervisar en materia técnica</w:t>
            </w:r>
            <w:r>
              <w:rPr>
                <w:rFonts w:ascii="Verdana" w:hAnsi="Verdana"/>
                <w:sz w:val="16"/>
                <w:szCs w:val="16"/>
                <w:lang w:val="es-ES_tradnl"/>
              </w:rPr>
              <w:t xml:space="preserve"> las Asignaciones y los Contratos </w:t>
            </w:r>
            <w:r>
              <w:rPr>
                <w:rFonts w:ascii="Verdana" w:hAnsi="Verdana"/>
                <w:sz w:val="16"/>
                <w:szCs w:val="16"/>
              </w:rPr>
              <w:t xml:space="preserve">para la Exploración y Extracción de Hidrocarburos (en adelante, Contratos) así como la aprobación de los planes </w:t>
            </w:r>
            <w:r>
              <w:rPr>
                <w:rFonts w:ascii="Verdana" w:hAnsi="Verdana"/>
                <w:sz w:val="16"/>
                <w:szCs w:val="16"/>
                <w:lang w:val="es-ES_tradnl"/>
              </w:rPr>
              <w:t>de Exploración o de Desarrollo para la Extracción de los Asignatarios y Contratistas.</w:t>
            </w:r>
          </w:p>
        </w:tc>
        <w:tc>
          <w:tcPr>
            <w:tcW w:w="4389" w:type="dxa"/>
            <w:hideMark/>
          </w:tcPr>
          <w:p w14:paraId="41126BFD"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SECOND.</w:t>
            </w:r>
            <w:r>
              <w:rPr>
                <w:rFonts w:ascii="Verdana" w:hAnsi="Verdana"/>
                <w:color w:val="000000"/>
                <w:sz w:val="16"/>
                <w:szCs w:val="16"/>
                <w:lang w:val="en-US"/>
              </w:rPr>
              <w:t xml:space="preserve"> </w:t>
            </w:r>
            <w:r>
              <w:rPr>
                <w:rFonts w:ascii="Verdana" w:hAnsi="Verdana"/>
                <w:sz w:val="16"/>
                <w:szCs w:val="16"/>
                <w:lang w:val="en-US"/>
              </w:rPr>
              <w:t>That as of the entry into force of the laws referred to in the previous Result, the National Hydrocarbons Commission (hereinafter, Commission) was conferred new powers, among which are to manage and supervise the Assignments and Contracts in technical matters for the Exploration and Extraction of Hydrocarbons (hereinafter, Contracts) as well as the approval of the Exploration or Development plans for the Extraction of the Assignees and Contractors.</w:t>
            </w:r>
          </w:p>
        </w:tc>
      </w:tr>
      <w:tr w:rsidR="00FE496B" w14:paraId="326AD80F" w14:textId="77777777" w:rsidTr="00FE496B">
        <w:tc>
          <w:tcPr>
            <w:tcW w:w="4443" w:type="dxa"/>
            <w:hideMark/>
          </w:tcPr>
          <w:p w14:paraId="0A0FFC4A"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lang w:val="es-ES_tradnl"/>
              </w:rPr>
              <w:t>TERCERO.</w:t>
            </w:r>
            <w:r>
              <w:rPr>
                <w:rFonts w:ascii="Verdana" w:hAnsi="Verdana"/>
                <w:color w:val="000000"/>
                <w:sz w:val="16"/>
                <w:szCs w:val="16"/>
                <w:lang w:val="es-ES_tradnl"/>
              </w:rPr>
              <w:t xml:space="preserve"> Que el </w:t>
            </w:r>
            <w:r>
              <w:rPr>
                <w:rFonts w:ascii="Verdana" w:hAnsi="Verdana"/>
                <w:sz w:val="16"/>
                <w:szCs w:val="16"/>
                <w:lang w:val="es-ES_tradnl"/>
              </w:rPr>
              <w:t xml:space="preserve">12 de abril del 2019, se publicaron en el DOF los </w:t>
            </w:r>
            <w:r>
              <w:rPr>
                <w:rFonts w:ascii="Verdana" w:hAnsi="Verdana"/>
                <w:i/>
                <w:sz w:val="16"/>
                <w:szCs w:val="16"/>
                <w:lang w:val="es-ES_tradnl"/>
              </w:rPr>
              <w:t>Lineamientos que regulan los Planes de Exploración y de Desarrollo para la Extracción de Hidrocarburos</w:t>
            </w:r>
            <w:r>
              <w:rPr>
                <w:rFonts w:ascii="Verdana" w:hAnsi="Verdana"/>
                <w:sz w:val="16"/>
                <w:szCs w:val="16"/>
                <w:lang w:val="es-ES_tradnl"/>
              </w:rPr>
              <w:t xml:space="preserve"> (en adelante, Lineamientos).</w:t>
            </w:r>
          </w:p>
        </w:tc>
        <w:tc>
          <w:tcPr>
            <w:tcW w:w="4389" w:type="dxa"/>
            <w:hideMark/>
          </w:tcPr>
          <w:p w14:paraId="224E56F6"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 xml:space="preserve">That on </w:t>
            </w:r>
            <w:r>
              <w:rPr>
                <w:rFonts w:ascii="Verdana" w:hAnsi="Verdana"/>
                <w:sz w:val="16"/>
                <w:szCs w:val="16"/>
                <w:lang w:val="en-US"/>
              </w:rPr>
              <w:t xml:space="preserve">April 12, 2019, the </w:t>
            </w:r>
            <w:r>
              <w:rPr>
                <w:rFonts w:ascii="Verdana" w:hAnsi="Verdana"/>
                <w:i/>
                <w:sz w:val="16"/>
                <w:szCs w:val="16"/>
                <w:lang w:val="en-US"/>
              </w:rPr>
              <w:t xml:space="preserve">Guidelines that regulate the Exploration and Development Plans for the Extraction of Hydrocarbons </w:t>
            </w:r>
            <w:r>
              <w:rPr>
                <w:rFonts w:ascii="Verdana" w:hAnsi="Verdana"/>
                <w:sz w:val="16"/>
                <w:szCs w:val="16"/>
                <w:lang w:val="en-US"/>
              </w:rPr>
              <w:t>(hereinafter, Guidelines) were published in the DOF.</w:t>
            </w:r>
          </w:p>
        </w:tc>
      </w:tr>
      <w:tr w:rsidR="00FE496B" w14:paraId="758E8EC2" w14:textId="77777777" w:rsidTr="00FE496B">
        <w:tc>
          <w:tcPr>
            <w:tcW w:w="4443" w:type="dxa"/>
            <w:hideMark/>
          </w:tcPr>
          <w:p w14:paraId="47EF963C" w14:textId="77777777" w:rsidR="00FE496B" w:rsidRDefault="00FE496B">
            <w:pPr>
              <w:pStyle w:val="texto"/>
              <w:spacing w:line="268" w:lineRule="exact"/>
              <w:ind w:firstLine="0"/>
              <w:rPr>
                <w:rFonts w:ascii="Verdana" w:hAnsi="Verdana"/>
                <w:sz w:val="16"/>
                <w:szCs w:val="16"/>
                <w:lang w:val="es-ES_tradnl"/>
              </w:rPr>
            </w:pPr>
            <w:r>
              <w:rPr>
                <w:rFonts w:ascii="Verdana" w:hAnsi="Verdana"/>
                <w:sz w:val="16"/>
                <w:szCs w:val="16"/>
                <w:lang w:val="es-ES_tradnl"/>
              </w:rPr>
              <w:t xml:space="preserve">Asimismo, el Órgano de Gobierno de la Comisión modificó los Lineamientos mediante Acuerdos </w:t>
            </w:r>
            <w:r>
              <w:rPr>
                <w:rFonts w:ascii="Verdana" w:hAnsi="Verdana"/>
                <w:sz w:val="16"/>
                <w:szCs w:val="16"/>
                <w:lang w:val="es-ES_tradnl"/>
              </w:rPr>
              <w:lastRenderedPageBreak/>
              <w:t>CNH.E.67.008/2020 y CNH.E.22.008/2021, publicados en el DOF los días 31 de marzo y 20 de agosto, ambos del 2021.</w:t>
            </w:r>
          </w:p>
        </w:tc>
        <w:tc>
          <w:tcPr>
            <w:tcW w:w="4389" w:type="dxa"/>
            <w:hideMark/>
          </w:tcPr>
          <w:p w14:paraId="4D634D05" w14:textId="77777777" w:rsidR="00FE496B" w:rsidRDefault="00FE496B">
            <w:pPr>
              <w:pStyle w:val="texto"/>
              <w:spacing w:line="268" w:lineRule="exact"/>
              <w:ind w:firstLine="0"/>
              <w:rPr>
                <w:rFonts w:ascii="Verdana" w:hAnsi="Verdana"/>
                <w:sz w:val="16"/>
                <w:szCs w:val="16"/>
                <w:lang w:val="en-US"/>
              </w:rPr>
            </w:pPr>
            <w:r>
              <w:rPr>
                <w:rFonts w:ascii="Verdana" w:hAnsi="Verdana"/>
                <w:sz w:val="16"/>
                <w:szCs w:val="16"/>
                <w:lang w:val="en-US"/>
              </w:rPr>
              <w:lastRenderedPageBreak/>
              <w:t xml:space="preserve">Likewise, the Governing Body of the Commission modified the Guidelines through Agreements </w:t>
            </w:r>
            <w:r>
              <w:rPr>
                <w:rFonts w:ascii="Verdana" w:hAnsi="Verdana"/>
                <w:sz w:val="16"/>
                <w:szCs w:val="16"/>
                <w:lang w:val="en-US"/>
              </w:rPr>
              <w:lastRenderedPageBreak/>
              <w:t>CNH.E.67.008/2020 and CNH.E.22.008/2021, published in the DOF on March 31 and August 20, both of 2021.</w:t>
            </w:r>
          </w:p>
        </w:tc>
      </w:tr>
      <w:tr w:rsidR="00FE496B" w14:paraId="1986CE28" w14:textId="77777777" w:rsidTr="00FE496B">
        <w:tc>
          <w:tcPr>
            <w:tcW w:w="4443" w:type="dxa"/>
            <w:hideMark/>
          </w:tcPr>
          <w:p w14:paraId="79078F6D" w14:textId="77777777" w:rsidR="00FE496B" w:rsidRDefault="00FE496B">
            <w:pPr>
              <w:pStyle w:val="texto"/>
              <w:spacing w:line="268" w:lineRule="exact"/>
              <w:ind w:firstLine="0"/>
              <w:rPr>
                <w:rFonts w:ascii="Verdana" w:hAnsi="Verdana"/>
                <w:sz w:val="16"/>
                <w:szCs w:val="16"/>
                <w:lang w:val="es-ES_tradnl"/>
              </w:rPr>
            </w:pPr>
            <w:r>
              <w:rPr>
                <w:rFonts w:ascii="Verdana" w:hAnsi="Verdana"/>
                <w:b/>
                <w:color w:val="000000"/>
                <w:sz w:val="16"/>
                <w:szCs w:val="16"/>
                <w:lang w:val="es-ES_tradnl"/>
              </w:rPr>
              <w:lastRenderedPageBreak/>
              <w:t>CUARTO.</w:t>
            </w:r>
            <w:r>
              <w:rPr>
                <w:rFonts w:ascii="Verdana" w:hAnsi="Verdana"/>
                <w:color w:val="000000"/>
                <w:sz w:val="16"/>
                <w:szCs w:val="16"/>
                <w:lang w:val="es-ES_tradnl"/>
              </w:rPr>
              <w:t xml:space="preserve"> </w:t>
            </w:r>
            <w:r>
              <w:rPr>
                <w:rFonts w:ascii="Verdana" w:hAnsi="Verdana"/>
                <w:sz w:val="16"/>
                <w:szCs w:val="16"/>
              </w:rPr>
              <w:t>En términos del artículo 2 de los Lineamientos, corresponde a la Comisión la interpretación y aplicación de dicho ordenamiento, así como, resolver consultas específicas, o bien, emitir acuerdos de interpretación y criterios generales para armonizar dichos Lineamientos con los términos y condiciones de los Contratos y con la demás Normativa aplicable.</w:t>
            </w:r>
          </w:p>
        </w:tc>
        <w:tc>
          <w:tcPr>
            <w:tcW w:w="4389" w:type="dxa"/>
            <w:hideMark/>
          </w:tcPr>
          <w:p w14:paraId="3216389E"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FOURTH.</w:t>
            </w:r>
            <w:r>
              <w:rPr>
                <w:rFonts w:ascii="Verdana" w:hAnsi="Verdana"/>
                <w:color w:val="000000"/>
                <w:sz w:val="16"/>
                <w:szCs w:val="16"/>
                <w:lang w:val="en-US"/>
              </w:rPr>
              <w:t xml:space="preserve"> </w:t>
            </w:r>
            <w:r>
              <w:rPr>
                <w:rFonts w:ascii="Verdana" w:hAnsi="Verdana"/>
                <w:sz w:val="16"/>
                <w:szCs w:val="16"/>
                <w:lang w:val="en-US"/>
              </w:rPr>
              <w:t>In terms of article 2 of the Guidelines, the Commission is responsible for the interpretation and application of said ordinance, as well as to resolve specific queries, or to issue interpretation agreements and general criteria to harmonize said Guidelines with the terms and conditions of the Contracts. and with the other applicable Regulations.</w:t>
            </w:r>
          </w:p>
        </w:tc>
      </w:tr>
      <w:tr w:rsidR="00FE496B" w14:paraId="1F86D190" w14:textId="77777777" w:rsidTr="00FE496B">
        <w:tc>
          <w:tcPr>
            <w:tcW w:w="4443" w:type="dxa"/>
            <w:hideMark/>
          </w:tcPr>
          <w:p w14:paraId="639F9651" w14:textId="77777777" w:rsidR="00FE496B" w:rsidRDefault="00FE496B">
            <w:pPr>
              <w:pStyle w:val="ANOTACION"/>
              <w:spacing w:line="268" w:lineRule="exact"/>
              <w:rPr>
                <w:rFonts w:ascii="Verdana" w:hAnsi="Verdana"/>
                <w:sz w:val="16"/>
                <w:szCs w:val="16"/>
              </w:rPr>
            </w:pPr>
            <w:r>
              <w:rPr>
                <w:rFonts w:ascii="Verdana" w:hAnsi="Verdana"/>
                <w:sz w:val="16"/>
                <w:szCs w:val="16"/>
              </w:rPr>
              <w:t>CONSIDERANDOS</w:t>
            </w:r>
          </w:p>
        </w:tc>
        <w:tc>
          <w:tcPr>
            <w:tcW w:w="4389" w:type="dxa"/>
            <w:hideMark/>
          </w:tcPr>
          <w:p w14:paraId="7C568DB2" w14:textId="77777777" w:rsidR="00FE496B" w:rsidRDefault="00FE496B">
            <w:pPr>
              <w:pStyle w:val="ANOTACION"/>
              <w:spacing w:line="268" w:lineRule="exact"/>
              <w:rPr>
                <w:rFonts w:ascii="Verdana" w:hAnsi="Verdana"/>
                <w:sz w:val="16"/>
                <w:szCs w:val="16"/>
                <w:lang w:val="en-US"/>
              </w:rPr>
            </w:pPr>
            <w:r>
              <w:rPr>
                <w:rFonts w:ascii="Verdana" w:hAnsi="Verdana"/>
                <w:sz w:val="16"/>
                <w:szCs w:val="16"/>
                <w:lang w:val="en-US"/>
              </w:rPr>
              <w:t>CONSIDERING</w:t>
            </w:r>
          </w:p>
        </w:tc>
      </w:tr>
      <w:tr w:rsidR="00FE496B" w14:paraId="379641FD" w14:textId="77777777" w:rsidTr="00FE496B">
        <w:tc>
          <w:tcPr>
            <w:tcW w:w="4443" w:type="dxa"/>
            <w:hideMark/>
          </w:tcPr>
          <w:p w14:paraId="12224A5F" w14:textId="77777777" w:rsidR="00FE496B" w:rsidRDefault="00FE496B">
            <w:pPr>
              <w:pStyle w:val="texto"/>
              <w:spacing w:line="268" w:lineRule="exact"/>
              <w:ind w:firstLine="0"/>
              <w:rPr>
                <w:rFonts w:ascii="Verdana" w:hAnsi="Verdana"/>
                <w:sz w:val="16"/>
                <w:szCs w:val="16"/>
              </w:rPr>
            </w:pPr>
            <w:r>
              <w:rPr>
                <w:rFonts w:ascii="Verdana" w:hAnsi="Verdana"/>
                <w:b/>
                <w:color w:val="000000"/>
                <w:sz w:val="16"/>
                <w:szCs w:val="16"/>
                <w:lang w:val="es-ES_tradnl"/>
              </w:rPr>
              <w:t xml:space="preserve">PRIMERO. </w:t>
            </w:r>
            <w:r>
              <w:rPr>
                <w:rFonts w:ascii="Verdana" w:hAnsi="Verdana"/>
                <w:color w:val="000000"/>
                <w:sz w:val="16"/>
                <w:szCs w:val="16"/>
                <w:lang w:val="es-ES_tradnl"/>
              </w:rPr>
              <w:t xml:space="preserve">Que esta Comisión es competente para emitir el presente Acuerdo de Interpretación, de conformidad con lo dispuesto en los artículos 2, fracción I, 31, fracciones VI y XII, 43, fracción I, inciso c) y 131 de la Ley de Hidrocarburos; 2, fracción I, 3, 5, 10, 11, 22, fracciones I, II, III, IV y XXVII, </w:t>
            </w:r>
            <w:r>
              <w:rPr>
                <w:rFonts w:ascii="Verdana" w:hAnsi="Verdana"/>
                <w:sz w:val="16"/>
                <w:szCs w:val="16"/>
                <w:lang w:val="es-ES_tradnl"/>
              </w:rPr>
              <w:t>38, fracciones I y III y 39</w:t>
            </w:r>
            <w:r>
              <w:rPr>
                <w:rFonts w:ascii="Verdana" w:hAnsi="Verdana"/>
                <w:color w:val="000000"/>
                <w:sz w:val="16"/>
                <w:szCs w:val="16"/>
                <w:lang w:val="es-ES_tradnl"/>
              </w:rPr>
              <w:t xml:space="preserve"> de la Ley de los Órganos Reguladores Coordinados en Materia Energética;</w:t>
            </w:r>
            <w:r>
              <w:rPr>
                <w:rFonts w:ascii="Verdana" w:hAnsi="Verdana"/>
                <w:sz w:val="16"/>
                <w:szCs w:val="16"/>
                <w:lang w:val="es-ES_tradnl"/>
              </w:rPr>
              <w:t xml:space="preserve"> 2, 23, 27, 29 y 35 de los </w:t>
            </w:r>
            <w:r>
              <w:rPr>
                <w:rFonts w:ascii="Verdana" w:hAnsi="Verdana"/>
                <w:color w:val="000000"/>
                <w:sz w:val="16"/>
                <w:szCs w:val="16"/>
                <w:lang w:val="es-ES_tradnl"/>
              </w:rPr>
              <w:t xml:space="preserve">Lineamientos; 1, 2, fracción III y 43 Ter de la Ley Orgánica de la Administración Pública Federal y 1, 10, fracción I, 11 y 13, </w:t>
            </w:r>
            <w:r>
              <w:rPr>
                <w:rFonts w:ascii="Verdana" w:hAnsi="Verdana"/>
                <w:sz w:val="16"/>
                <w:szCs w:val="16"/>
              </w:rPr>
              <w:t>fracciones V, inciso d) y XI del Reglamento Interno de la Comisión Nacional de Hidrocarburos.</w:t>
            </w:r>
          </w:p>
        </w:tc>
        <w:tc>
          <w:tcPr>
            <w:tcW w:w="4389" w:type="dxa"/>
            <w:hideMark/>
          </w:tcPr>
          <w:p w14:paraId="488BD5CF"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FIRST. </w:t>
            </w:r>
            <w:r>
              <w:rPr>
                <w:rFonts w:ascii="Verdana" w:hAnsi="Verdana"/>
                <w:color w:val="000000"/>
                <w:sz w:val="16"/>
                <w:szCs w:val="16"/>
                <w:lang w:val="en-US"/>
              </w:rPr>
              <w:t xml:space="preserve">That this Commission is competent to issue this Interpretation Agreement, in accordance with the provisions of articles 2, section I, 31, sections VI and XII, 43, section I, subsection c) and 131 of the Law of Hydrocarbons; 2, section I, 3, 5, 10, 11, 22, sections I, II, III, IV and XXVII, 38, </w:t>
            </w:r>
            <w:r>
              <w:rPr>
                <w:rFonts w:ascii="Verdana" w:hAnsi="Verdana"/>
                <w:sz w:val="16"/>
                <w:szCs w:val="16"/>
                <w:lang w:val="en-US"/>
              </w:rPr>
              <w:t xml:space="preserve">sections I and III and 39 </w:t>
            </w:r>
            <w:r>
              <w:rPr>
                <w:rFonts w:ascii="Verdana" w:hAnsi="Verdana"/>
                <w:color w:val="000000"/>
                <w:sz w:val="16"/>
                <w:szCs w:val="16"/>
                <w:lang w:val="en-US"/>
              </w:rPr>
              <w:t xml:space="preserve">of the Law of Coordinated Regulatory Bodies in Energy Matters; </w:t>
            </w:r>
            <w:r>
              <w:rPr>
                <w:rFonts w:ascii="Verdana" w:hAnsi="Verdana"/>
                <w:sz w:val="16"/>
                <w:szCs w:val="16"/>
                <w:lang w:val="en-US"/>
              </w:rPr>
              <w:t xml:space="preserve">2, 23, 27, 29 and 35 of the </w:t>
            </w:r>
            <w:r>
              <w:rPr>
                <w:rFonts w:ascii="Verdana" w:hAnsi="Verdana"/>
                <w:color w:val="000000"/>
                <w:sz w:val="16"/>
                <w:szCs w:val="16"/>
                <w:lang w:val="en-US"/>
              </w:rPr>
              <w:t xml:space="preserve">Guidelines; 1, 2, section III and 43 Ter of the Organic Law of the Federal Public Administration and 1, 10, section I, 11 and 13, sections V, subsection d) </w:t>
            </w:r>
            <w:r>
              <w:rPr>
                <w:rFonts w:ascii="Verdana" w:hAnsi="Verdana"/>
                <w:sz w:val="16"/>
                <w:szCs w:val="16"/>
                <w:lang w:val="en-US"/>
              </w:rPr>
              <w:t>and XI of the Internal Regulations of the National Hydrocarbons Commission.</w:t>
            </w:r>
          </w:p>
        </w:tc>
      </w:tr>
      <w:tr w:rsidR="00FE496B" w14:paraId="64227111" w14:textId="77777777" w:rsidTr="00FE496B">
        <w:tc>
          <w:tcPr>
            <w:tcW w:w="4443" w:type="dxa"/>
            <w:hideMark/>
          </w:tcPr>
          <w:p w14:paraId="1A6E4DF2"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lang w:val="es-ES_tradnl"/>
              </w:rPr>
              <w:t>SEGUNDO.</w:t>
            </w:r>
            <w:r>
              <w:rPr>
                <w:rFonts w:ascii="Verdana" w:hAnsi="Verdana"/>
                <w:color w:val="000000"/>
                <w:sz w:val="16"/>
                <w:szCs w:val="16"/>
                <w:lang w:val="es-ES_tradnl"/>
              </w:rPr>
              <w:t xml:space="preserve"> Que conforme a lo establecido en los artículos 22, fracción IV de la Ley de los Órganos Reguladores Coordinados en Materia Energética y 131 de la Ley de Hidrocarburos, corresponde a la Comisión interpretar para efectos administrativos las disposiciones normativas o actos administrativos que emita. En el mismo sentido, el artículo 2 de los Lineamientos señala que corresponde a la Comisión la interpretación de </w:t>
            </w:r>
            <w:proofErr w:type="gramStart"/>
            <w:r>
              <w:rPr>
                <w:rFonts w:ascii="Verdana" w:hAnsi="Verdana"/>
                <w:color w:val="000000"/>
                <w:sz w:val="16"/>
                <w:szCs w:val="16"/>
                <w:lang w:val="es-ES_tradnl"/>
              </w:rPr>
              <w:t>los mismos</w:t>
            </w:r>
            <w:proofErr w:type="gramEnd"/>
            <w:r>
              <w:rPr>
                <w:rFonts w:ascii="Verdana" w:hAnsi="Verdana"/>
                <w:color w:val="000000"/>
                <w:sz w:val="16"/>
                <w:szCs w:val="16"/>
                <w:lang w:val="es-ES_tradnl"/>
              </w:rPr>
              <w:t>.</w:t>
            </w:r>
          </w:p>
        </w:tc>
        <w:tc>
          <w:tcPr>
            <w:tcW w:w="4389" w:type="dxa"/>
            <w:hideMark/>
          </w:tcPr>
          <w:p w14:paraId="14B0F7E3"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That in accordance with the provisions of articles 22, section IV of the Law of Coordinated Regulatory Bodies in Energy Matters and 131 of the Law of Hydrocarbons, it corresponds to the Commission to interpret for administrative purposes the regulatory provisions or administrative acts that it issues. In the same sense, Article 2 of the Guidelines states that the Commission is responsible for interpreting them.</w:t>
            </w:r>
          </w:p>
        </w:tc>
      </w:tr>
      <w:tr w:rsidR="00FE496B" w14:paraId="6AD4ED3C" w14:textId="77777777" w:rsidTr="00FE496B">
        <w:tc>
          <w:tcPr>
            <w:tcW w:w="4443" w:type="dxa"/>
            <w:hideMark/>
          </w:tcPr>
          <w:p w14:paraId="18587C75"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rPr>
              <w:t>TERCERO.</w:t>
            </w:r>
            <w:r>
              <w:rPr>
                <w:rFonts w:ascii="Verdana" w:hAnsi="Verdana"/>
                <w:color w:val="000000"/>
                <w:sz w:val="16"/>
                <w:szCs w:val="16"/>
              </w:rPr>
              <w:t xml:space="preserve"> </w:t>
            </w:r>
            <w:r>
              <w:rPr>
                <w:rFonts w:ascii="Verdana" w:hAnsi="Verdana"/>
                <w:color w:val="000000"/>
                <w:sz w:val="16"/>
                <w:szCs w:val="16"/>
                <w:lang w:val="es-ES_tradnl"/>
              </w:rPr>
              <w:t>Que es facultad de la Comisión, administrar en materia técnica los Contratos para la Exploración y Extracción de Hidrocarburos, así como ejercer aquellas facultades previstas en los Contratos, en términos de lo previsto en los artículos 31, fracciones VI y XII de la Ley de Hidrocarburos y 38, fracción III de la Ley de los Órganos Reguladores Coordinados en Materia Energética.</w:t>
            </w:r>
          </w:p>
        </w:tc>
        <w:tc>
          <w:tcPr>
            <w:tcW w:w="4389" w:type="dxa"/>
            <w:hideMark/>
          </w:tcPr>
          <w:p w14:paraId="15AB61D5"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THIRD.</w:t>
            </w:r>
            <w:r>
              <w:rPr>
                <w:rFonts w:ascii="Verdana" w:hAnsi="Verdana"/>
                <w:color w:val="000000"/>
                <w:sz w:val="16"/>
                <w:szCs w:val="16"/>
                <w:lang w:val="en-US"/>
              </w:rPr>
              <w:t xml:space="preserve"> That it is the power of the Commission to administer the Contracts for the Exploration and Extraction of Hydrocarbons in technical matters, as well as to exercise those powers provided for in the Contracts, in terms of the provisions of articles 31, sections VI and XII of the Law of Hydrocarbons and 38, section III of the Law of Coordinated Regulatory Bodies in Energy Matters.</w:t>
            </w:r>
          </w:p>
        </w:tc>
      </w:tr>
      <w:tr w:rsidR="00FE496B" w14:paraId="2EC80DA9" w14:textId="77777777" w:rsidTr="00FE496B">
        <w:tc>
          <w:tcPr>
            <w:tcW w:w="4443" w:type="dxa"/>
            <w:hideMark/>
          </w:tcPr>
          <w:p w14:paraId="059E143B"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lang w:val="es-ES_tradnl"/>
              </w:rPr>
              <w:lastRenderedPageBreak/>
              <w:t>CUARTO.</w:t>
            </w:r>
            <w:r>
              <w:rPr>
                <w:rFonts w:ascii="Verdana" w:hAnsi="Verdana"/>
                <w:color w:val="000000"/>
                <w:sz w:val="16"/>
                <w:szCs w:val="16"/>
                <w:lang w:val="es-ES_tradnl"/>
              </w:rPr>
              <w:t xml:space="preserve"> Que los Lineamientos establecen plazos específicos para que la Comisión se pronuncie respecto de la aprobación y modificación del Programa de Trabajo y Presupuesto conforme a lo siguiente:</w:t>
            </w:r>
          </w:p>
        </w:tc>
        <w:tc>
          <w:tcPr>
            <w:tcW w:w="4389" w:type="dxa"/>
            <w:hideMark/>
          </w:tcPr>
          <w:p w14:paraId="1C7AD19C"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FOURTH. </w:t>
            </w:r>
            <w:r>
              <w:rPr>
                <w:rFonts w:ascii="Verdana" w:hAnsi="Verdana"/>
                <w:color w:val="000000"/>
                <w:sz w:val="16"/>
                <w:szCs w:val="16"/>
                <w:lang w:val="en-US"/>
              </w:rPr>
              <w:t>That the Guidelines establish specific deadlines for the Commission to rule on the approval and modification of the Work Program and Budget in accordance with the following:</w:t>
            </w:r>
          </w:p>
        </w:tc>
      </w:tr>
      <w:tr w:rsidR="00FE496B" w14:paraId="62154334" w14:textId="77777777" w:rsidTr="00FE496B">
        <w:tc>
          <w:tcPr>
            <w:tcW w:w="4443" w:type="dxa"/>
            <w:hideMark/>
          </w:tcPr>
          <w:p w14:paraId="4BC0EAE1" w14:textId="77777777" w:rsidR="00FE496B" w:rsidRDefault="00FE496B">
            <w:pPr>
              <w:pStyle w:val="texto"/>
              <w:spacing w:line="284" w:lineRule="exact"/>
              <w:ind w:firstLine="0"/>
              <w:rPr>
                <w:rFonts w:ascii="Verdana" w:hAnsi="Verdana"/>
                <w:color w:val="000000"/>
                <w:sz w:val="16"/>
                <w:szCs w:val="16"/>
                <w:lang w:val="es-ES_tradnl"/>
              </w:rPr>
            </w:pPr>
            <w:r>
              <w:rPr>
                <w:rFonts w:ascii="Verdana" w:hAnsi="Verdana"/>
                <w:color w:val="000000"/>
                <w:sz w:val="16"/>
                <w:szCs w:val="16"/>
                <w:lang w:val="es-ES_tradnl"/>
              </w:rPr>
              <w:t>1.</w:t>
            </w:r>
            <w:r>
              <w:rPr>
                <w:rFonts w:ascii="Verdana" w:hAnsi="Verdana"/>
                <w:color w:val="000000"/>
                <w:sz w:val="16"/>
                <w:szCs w:val="16"/>
                <w:lang w:val="es-ES_tradnl"/>
              </w:rPr>
              <w:tab/>
              <w:t>Para su aprobación inicial, el artículo 27, fracción I y tercer párrafo refiere:</w:t>
            </w:r>
          </w:p>
        </w:tc>
        <w:tc>
          <w:tcPr>
            <w:tcW w:w="4389" w:type="dxa"/>
            <w:hideMark/>
          </w:tcPr>
          <w:p w14:paraId="42FF9573" w14:textId="77777777" w:rsidR="00FE496B" w:rsidRDefault="00FE496B">
            <w:pPr>
              <w:pStyle w:val="texto"/>
              <w:spacing w:line="284" w:lineRule="exact"/>
              <w:ind w:firstLine="0"/>
              <w:rPr>
                <w:rFonts w:ascii="Verdana" w:hAnsi="Verdana"/>
                <w:color w:val="000000"/>
                <w:sz w:val="16"/>
                <w:szCs w:val="16"/>
                <w:lang w:val="en-US"/>
              </w:rPr>
            </w:pPr>
            <w:r>
              <w:rPr>
                <w:rFonts w:ascii="Verdana" w:hAnsi="Verdana"/>
                <w:color w:val="000000"/>
                <w:sz w:val="16"/>
                <w:szCs w:val="16"/>
                <w:lang w:val="en-US"/>
              </w:rPr>
              <w:t xml:space="preserve">1. </w:t>
            </w:r>
            <w:r>
              <w:rPr>
                <w:rFonts w:ascii="Verdana" w:hAnsi="Verdana"/>
                <w:color w:val="000000"/>
                <w:sz w:val="16"/>
                <w:szCs w:val="16"/>
                <w:lang w:val="en-US"/>
              </w:rPr>
              <w:tab/>
              <w:t xml:space="preserve">For its initial approval, article 27, section I and third paragraph </w:t>
            </w:r>
            <w:proofErr w:type="gramStart"/>
            <w:r>
              <w:rPr>
                <w:rFonts w:ascii="Verdana" w:hAnsi="Verdana"/>
                <w:color w:val="000000"/>
                <w:sz w:val="16"/>
                <w:szCs w:val="16"/>
                <w:lang w:val="en-US"/>
              </w:rPr>
              <w:t>refers</w:t>
            </w:r>
            <w:proofErr w:type="gramEnd"/>
            <w:r>
              <w:rPr>
                <w:rFonts w:ascii="Verdana" w:hAnsi="Verdana"/>
                <w:color w:val="000000"/>
                <w:sz w:val="16"/>
                <w:szCs w:val="16"/>
                <w:lang w:val="en-US"/>
              </w:rPr>
              <w:t xml:space="preserve"> to:</w:t>
            </w:r>
          </w:p>
        </w:tc>
      </w:tr>
      <w:tr w:rsidR="00FE496B" w14:paraId="69915EC0" w14:textId="77777777" w:rsidTr="00FE496B">
        <w:tc>
          <w:tcPr>
            <w:tcW w:w="4443" w:type="dxa"/>
            <w:hideMark/>
          </w:tcPr>
          <w:p w14:paraId="64C00757" w14:textId="77777777" w:rsidR="00FE496B" w:rsidRDefault="00FE496B">
            <w:pPr>
              <w:pStyle w:val="texto"/>
              <w:spacing w:line="284"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Artículo 27. De la presentación del Programa de Trabajo, Presupuesto y Programa Operativo Anual</w:t>
            </w:r>
            <w:r>
              <w:rPr>
                <w:rFonts w:ascii="Verdana" w:hAnsi="Verdana"/>
                <w:i/>
                <w:color w:val="000000"/>
                <w:sz w:val="16"/>
                <w:szCs w:val="16"/>
                <w:lang w:val="es-ES_tradnl"/>
              </w:rPr>
              <w:t>. El Operador Petrolero deberá cumplir con los términos y plazos establecidos en las Asignaciones; Contratos o Asignaciones AR que correspondan para la presentación del Programa de Trabajo y Presupuesto; o en su caso el Programa Operativo Anual.</w:t>
            </w:r>
          </w:p>
        </w:tc>
        <w:tc>
          <w:tcPr>
            <w:tcW w:w="4389" w:type="dxa"/>
            <w:hideMark/>
          </w:tcPr>
          <w:p w14:paraId="35E69290" w14:textId="77777777" w:rsidR="00FE496B" w:rsidRDefault="00FE496B">
            <w:pPr>
              <w:pStyle w:val="texto"/>
              <w:spacing w:line="284" w:lineRule="exact"/>
              <w:ind w:firstLine="0"/>
              <w:rPr>
                <w:rFonts w:ascii="Verdana" w:hAnsi="Verdana"/>
                <w:i/>
                <w:color w:val="000000"/>
                <w:sz w:val="16"/>
                <w:szCs w:val="16"/>
                <w:lang w:val="en-US"/>
              </w:rPr>
            </w:pPr>
            <w:r>
              <w:rPr>
                <w:rFonts w:ascii="Verdana" w:hAnsi="Verdana"/>
                <w:i/>
                <w:color w:val="000000"/>
                <w:sz w:val="16"/>
                <w:szCs w:val="16"/>
                <w:lang w:val="en-US"/>
              </w:rPr>
              <w:t>“</w:t>
            </w:r>
            <w:r>
              <w:rPr>
                <w:rFonts w:ascii="Verdana" w:hAnsi="Verdana"/>
                <w:b/>
                <w:i/>
                <w:color w:val="000000"/>
                <w:sz w:val="16"/>
                <w:szCs w:val="16"/>
                <w:lang w:val="en-US"/>
              </w:rPr>
              <w:t xml:space="preserve">Article 27. On the presentation of the Work Program, </w:t>
            </w:r>
            <w:proofErr w:type="gramStart"/>
            <w:r>
              <w:rPr>
                <w:rFonts w:ascii="Verdana" w:hAnsi="Verdana"/>
                <w:b/>
                <w:i/>
                <w:color w:val="000000"/>
                <w:sz w:val="16"/>
                <w:szCs w:val="16"/>
                <w:lang w:val="en-US"/>
              </w:rPr>
              <w:t>Budget</w:t>
            </w:r>
            <w:proofErr w:type="gramEnd"/>
            <w:r>
              <w:rPr>
                <w:rFonts w:ascii="Verdana" w:hAnsi="Verdana"/>
                <w:b/>
                <w:i/>
                <w:color w:val="000000"/>
                <w:sz w:val="16"/>
                <w:szCs w:val="16"/>
                <w:lang w:val="en-US"/>
              </w:rPr>
              <w:t xml:space="preserve"> and Annual Operative Program.</w:t>
            </w:r>
            <w:r>
              <w:rPr>
                <w:rFonts w:ascii="Verdana" w:hAnsi="Verdana"/>
                <w:i/>
                <w:color w:val="000000"/>
                <w:sz w:val="16"/>
                <w:szCs w:val="16"/>
                <w:lang w:val="en-US"/>
              </w:rPr>
              <w:t xml:space="preserve"> The Petroleum Operator must comply with the terms and deadlines established in the Assignments; Contracts or AR Assignments that correspond to the presentation of the Work Program and Budget; or, where appropriate, the Annual Operating Program.</w:t>
            </w:r>
          </w:p>
        </w:tc>
      </w:tr>
      <w:tr w:rsidR="00FE496B" w14:paraId="09F9D7A1" w14:textId="77777777" w:rsidTr="00FE496B">
        <w:tc>
          <w:tcPr>
            <w:tcW w:w="4443" w:type="dxa"/>
            <w:hideMark/>
          </w:tcPr>
          <w:p w14:paraId="08ECCDAF" w14:textId="77777777" w:rsidR="00FE496B" w:rsidRDefault="00FE496B">
            <w:pPr>
              <w:pStyle w:val="texto"/>
              <w:spacing w:line="284" w:lineRule="exact"/>
              <w:ind w:firstLine="0"/>
              <w:rPr>
                <w:rFonts w:ascii="Verdana" w:hAnsi="Verdana"/>
                <w:i/>
                <w:color w:val="000000"/>
                <w:sz w:val="16"/>
                <w:szCs w:val="16"/>
                <w:lang w:val="es-ES_tradnl"/>
              </w:rPr>
            </w:pPr>
            <w:r>
              <w:rPr>
                <w:rFonts w:ascii="Verdana" w:hAnsi="Verdana"/>
                <w:i/>
                <w:color w:val="000000"/>
                <w:sz w:val="16"/>
                <w:szCs w:val="16"/>
                <w:lang w:val="es-ES_tradnl"/>
              </w:rPr>
              <w:t>A falta de plazo expresamente previsto en las Asignaciones o Contratos, se deberá cumplir con lo siguiente:</w:t>
            </w:r>
          </w:p>
        </w:tc>
        <w:tc>
          <w:tcPr>
            <w:tcW w:w="4389" w:type="dxa"/>
            <w:hideMark/>
          </w:tcPr>
          <w:p w14:paraId="7F9B758E" w14:textId="77777777" w:rsidR="00FE496B" w:rsidRDefault="00FE496B">
            <w:pPr>
              <w:pStyle w:val="texto"/>
              <w:spacing w:line="284" w:lineRule="exact"/>
              <w:ind w:firstLine="0"/>
              <w:rPr>
                <w:rFonts w:ascii="Verdana" w:hAnsi="Verdana"/>
                <w:i/>
                <w:color w:val="000000"/>
                <w:sz w:val="16"/>
                <w:szCs w:val="16"/>
                <w:lang w:val="en-US"/>
              </w:rPr>
            </w:pPr>
            <w:r>
              <w:rPr>
                <w:rFonts w:ascii="Verdana" w:hAnsi="Verdana"/>
                <w:i/>
                <w:color w:val="000000"/>
                <w:sz w:val="16"/>
                <w:szCs w:val="16"/>
                <w:lang w:val="en-US"/>
              </w:rPr>
              <w:t>In the absence of a term expressly provided for in the Assignments or Contracts, the following must be complied with:</w:t>
            </w:r>
          </w:p>
        </w:tc>
      </w:tr>
      <w:tr w:rsidR="00FE496B" w14:paraId="1EB66996" w14:textId="77777777" w:rsidTr="00FE496B">
        <w:tc>
          <w:tcPr>
            <w:tcW w:w="4443" w:type="dxa"/>
            <w:hideMark/>
          </w:tcPr>
          <w:p w14:paraId="50D1E586" w14:textId="77777777" w:rsidR="00FE496B" w:rsidRDefault="00FE496B">
            <w:pPr>
              <w:pStyle w:val="texto"/>
              <w:spacing w:line="284" w:lineRule="exact"/>
              <w:ind w:firstLine="0"/>
              <w:rPr>
                <w:rFonts w:ascii="Verdana" w:hAnsi="Verdana"/>
                <w:i/>
                <w:color w:val="000000"/>
                <w:sz w:val="16"/>
                <w:szCs w:val="16"/>
                <w:lang w:val="es-ES_tradnl"/>
              </w:rPr>
            </w:pPr>
            <w:r>
              <w:rPr>
                <w:rFonts w:ascii="Verdana" w:hAnsi="Verdana"/>
                <w:i/>
                <w:color w:val="000000"/>
                <w:sz w:val="16"/>
                <w:szCs w:val="16"/>
                <w:lang w:val="es-ES_tradnl"/>
              </w:rPr>
              <w:t xml:space="preserve">I. Con la entrega del Plan de Exploración o del Plan de Desarrollo para la Extracción, el Operador Petrolero deberá presentar para la evaluación correspondiente y, en su caso aprobación, el primer Programa de Trabajo y Presupuesto del periodo. Dicho Programa de Trabajo y Presupuesto deberá contemplar las actividades y los costos del resto del año calendario en el que se presenta el Plan correspondiente y del año calendario siguiente. </w:t>
            </w:r>
            <w:r>
              <w:rPr>
                <w:rFonts w:ascii="Verdana" w:hAnsi="Verdana"/>
                <w:b/>
                <w:i/>
                <w:color w:val="000000"/>
                <w:sz w:val="16"/>
                <w:szCs w:val="16"/>
                <w:lang w:val="es-ES_tradnl"/>
              </w:rPr>
              <w:t>La Comisión los evaluará conforme al procedimiento y los plazos establecidos para la aprobación del Plan de Exploración o el Plan de Desarrollo para la Extracción, según sea el caso</w:t>
            </w:r>
            <w:r>
              <w:rPr>
                <w:rFonts w:ascii="Verdana" w:hAnsi="Verdana"/>
                <w:i/>
                <w:color w:val="000000"/>
                <w:sz w:val="16"/>
                <w:szCs w:val="16"/>
                <w:lang w:val="es-ES_tradnl"/>
              </w:rPr>
              <w:t>;</w:t>
            </w:r>
          </w:p>
        </w:tc>
        <w:tc>
          <w:tcPr>
            <w:tcW w:w="4389" w:type="dxa"/>
            <w:hideMark/>
          </w:tcPr>
          <w:p w14:paraId="1F5F1BB3" w14:textId="77777777" w:rsidR="00FE496B" w:rsidRDefault="00FE496B">
            <w:pPr>
              <w:pStyle w:val="texto"/>
              <w:spacing w:line="284" w:lineRule="exact"/>
              <w:ind w:firstLine="0"/>
              <w:rPr>
                <w:rFonts w:ascii="Verdana" w:hAnsi="Verdana"/>
                <w:i/>
                <w:color w:val="000000"/>
                <w:sz w:val="16"/>
                <w:szCs w:val="16"/>
                <w:lang w:val="en-US"/>
              </w:rPr>
            </w:pPr>
            <w:r>
              <w:rPr>
                <w:rFonts w:ascii="Verdana" w:hAnsi="Verdana"/>
                <w:i/>
                <w:color w:val="000000"/>
                <w:sz w:val="16"/>
                <w:szCs w:val="16"/>
                <w:lang w:val="en-US"/>
              </w:rPr>
              <w:t xml:space="preserve">I. With the delivery of the Exploration Plan or the Development Plan for Extraction, the Petroleum Operator must submit for the corresponding evaluation and, where appropriate, approval, the first Work Program and Budget for the period. Said Work Program and Budget must contemplate the activities and costs of the rest of the calendar year in which the corresponding Plan is presented and of the following calendar year. </w:t>
            </w:r>
            <w:r>
              <w:rPr>
                <w:rFonts w:ascii="Verdana" w:hAnsi="Verdana"/>
                <w:b/>
                <w:i/>
                <w:color w:val="000000"/>
                <w:sz w:val="16"/>
                <w:szCs w:val="16"/>
                <w:lang w:val="en-US"/>
              </w:rPr>
              <w:t>The Commission will evaluate them in accordance with the procedure and deadlines established for the approval of the Exploration Plan or the Extraction Development Plan, as the case may be</w:t>
            </w:r>
            <w:r>
              <w:rPr>
                <w:rFonts w:ascii="Verdana" w:hAnsi="Verdana"/>
                <w:i/>
                <w:color w:val="000000"/>
                <w:sz w:val="16"/>
                <w:szCs w:val="16"/>
                <w:lang w:val="en-US"/>
              </w:rPr>
              <w:t>;</w:t>
            </w:r>
          </w:p>
        </w:tc>
      </w:tr>
      <w:tr w:rsidR="00FE496B" w14:paraId="5BC0A576" w14:textId="77777777" w:rsidTr="00FE496B">
        <w:tc>
          <w:tcPr>
            <w:tcW w:w="4443" w:type="dxa"/>
            <w:hideMark/>
          </w:tcPr>
          <w:p w14:paraId="56FD64E0" w14:textId="77777777" w:rsidR="00FE496B" w:rsidRDefault="00FE496B">
            <w:pPr>
              <w:pStyle w:val="texto"/>
              <w:spacing w:line="284" w:lineRule="exact"/>
              <w:ind w:firstLine="0"/>
              <w:rPr>
                <w:rFonts w:ascii="Verdana" w:hAnsi="Verdana"/>
                <w:i/>
                <w:color w:val="000000"/>
                <w:sz w:val="16"/>
                <w:szCs w:val="16"/>
                <w:lang w:val="es-ES_tradnl"/>
              </w:rPr>
            </w:pPr>
            <w:r>
              <w:rPr>
                <w:rFonts w:ascii="Verdana" w:hAnsi="Verdana"/>
                <w:i/>
                <w:color w:val="000000"/>
                <w:sz w:val="16"/>
                <w:szCs w:val="16"/>
                <w:lang w:val="es-ES_tradnl"/>
              </w:rPr>
              <w:t>II. A partir del segundo Programa de Trabajo y Presupuesto, los Operadores Petroleros deberán entregarlos a más tardar el primer día hábil de octubre del año calendario, contemplando las actividades y los costos del siguiente año calendario, y</w:t>
            </w:r>
          </w:p>
        </w:tc>
        <w:tc>
          <w:tcPr>
            <w:tcW w:w="4389" w:type="dxa"/>
            <w:hideMark/>
          </w:tcPr>
          <w:p w14:paraId="5213C6DB" w14:textId="77777777" w:rsidR="00FE496B" w:rsidRDefault="00FE496B">
            <w:pPr>
              <w:pStyle w:val="texto"/>
              <w:spacing w:line="284" w:lineRule="exact"/>
              <w:ind w:firstLine="0"/>
              <w:rPr>
                <w:rFonts w:ascii="Verdana" w:hAnsi="Verdana"/>
                <w:i/>
                <w:color w:val="000000"/>
                <w:sz w:val="16"/>
                <w:szCs w:val="16"/>
                <w:lang w:val="en-US"/>
              </w:rPr>
            </w:pPr>
            <w:r>
              <w:rPr>
                <w:rFonts w:ascii="Verdana" w:hAnsi="Verdana"/>
                <w:i/>
                <w:color w:val="000000"/>
                <w:sz w:val="16"/>
                <w:szCs w:val="16"/>
                <w:lang w:val="en-US"/>
              </w:rPr>
              <w:t>II. As of the second Work Program and Budget, Petroleum Operators must deliver them no later than the first business day of October of the calendar year, contemplating the activities and costs of the following calendar year, and</w:t>
            </w:r>
          </w:p>
        </w:tc>
      </w:tr>
      <w:tr w:rsidR="00FE496B" w14:paraId="62D85B3C" w14:textId="77777777" w:rsidTr="00FE496B">
        <w:tc>
          <w:tcPr>
            <w:tcW w:w="4443" w:type="dxa"/>
            <w:hideMark/>
          </w:tcPr>
          <w:p w14:paraId="08987AE9" w14:textId="77777777" w:rsidR="00FE496B" w:rsidRDefault="00FE496B">
            <w:pPr>
              <w:pStyle w:val="texto"/>
              <w:spacing w:line="284" w:lineRule="exact"/>
              <w:ind w:firstLine="0"/>
              <w:rPr>
                <w:rFonts w:ascii="Verdana" w:hAnsi="Verdana"/>
                <w:i/>
                <w:sz w:val="16"/>
                <w:szCs w:val="16"/>
                <w:lang w:val="es-ES_tradnl"/>
              </w:rPr>
            </w:pPr>
            <w:r>
              <w:rPr>
                <w:rFonts w:ascii="Verdana" w:hAnsi="Verdana"/>
                <w:i/>
                <w:sz w:val="16"/>
                <w:szCs w:val="16"/>
                <w:lang w:val="es-ES_tradnl"/>
              </w:rPr>
              <w:t>[</w:t>
            </w:r>
            <w:r>
              <w:rPr>
                <w:rFonts w:ascii="Verdana" w:hAnsi="Verdana"/>
                <w:b/>
                <w:i/>
                <w:sz w:val="16"/>
                <w:szCs w:val="16"/>
                <w:lang w:val="es-ES_tradnl"/>
              </w:rPr>
              <w:t>...</w:t>
            </w:r>
            <w:r>
              <w:rPr>
                <w:rFonts w:ascii="Verdana" w:hAnsi="Verdana"/>
                <w:i/>
                <w:sz w:val="16"/>
                <w:szCs w:val="16"/>
                <w:lang w:val="es-ES_tradnl"/>
              </w:rPr>
              <w:t>]</w:t>
            </w:r>
          </w:p>
        </w:tc>
        <w:tc>
          <w:tcPr>
            <w:tcW w:w="4389" w:type="dxa"/>
            <w:hideMark/>
          </w:tcPr>
          <w:p w14:paraId="5CAFE45B" w14:textId="77777777" w:rsidR="00FE496B" w:rsidRDefault="00FE496B">
            <w:pPr>
              <w:pStyle w:val="texto"/>
              <w:spacing w:line="284" w:lineRule="exact"/>
              <w:ind w:firstLine="0"/>
              <w:rPr>
                <w:rFonts w:ascii="Verdana" w:hAnsi="Verdana"/>
                <w:i/>
                <w:sz w:val="16"/>
                <w:szCs w:val="16"/>
                <w:lang w:val="en-US"/>
              </w:rPr>
            </w:pPr>
            <w:r>
              <w:rPr>
                <w:rFonts w:ascii="Verdana" w:hAnsi="Verdana"/>
                <w:i/>
                <w:sz w:val="16"/>
                <w:szCs w:val="16"/>
                <w:lang w:val="en-US"/>
              </w:rPr>
              <w:t>[.</w:t>
            </w:r>
            <w:r>
              <w:rPr>
                <w:rFonts w:ascii="Verdana" w:hAnsi="Verdana"/>
                <w:b/>
                <w:i/>
                <w:sz w:val="16"/>
                <w:szCs w:val="16"/>
                <w:lang w:val="en-US"/>
              </w:rPr>
              <w:t xml:space="preserve">.. </w:t>
            </w:r>
            <w:r>
              <w:rPr>
                <w:rFonts w:ascii="Verdana" w:hAnsi="Verdana"/>
                <w:i/>
                <w:sz w:val="16"/>
                <w:szCs w:val="16"/>
                <w:lang w:val="en-US"/>
              </w:rPr>
              <w:t>]</w:t>
            </w:r>
          </w:p>
        </w:tc>
      </w:tr>
      <w:tr w:rsidR="00FE496B" w14:paraId="004FBC14" w14:textId="77777777" w:rsidTr="00FE496B">
        <w:tc>
          <w:tcPr>
            <w:tcW w:w="4443" w:type="dxa"/>
            <w:hideMark/>
          </w:tcPr>
          <w:p w14:paraId="21310762" w14:textId="77777777" w:rsidR="00FE496B" w:rsidRDefault="00FE496B">
            <w:pPr>
              <w:pStyle w:val="texto"/>
              <w:spacing w:line="284" w:lineRule="exact"/>
              <w:ind w:firstLine="0"/>
              <w:rPr>
                <w:rFonts w:ascii="Verdana" w:hAnsi="Verdana"/>
                <w:b/>
                <w:i/>
                <w:color w:val="000000"/>
                <w:sz w:val="16"/>
                <w:szCs w:val="16"/>
                <w:lang w:val="es-ES_tradnl"/>
              </w:rPr>
            </w:pPr>
            <w:r>
              <w:rPr>
                <w:rFonts w:ascii="Verdana" w:hAnsi="Verdana"/>
                <w:b/>
                <w:i/>
                <w:color w:val="000000"/>
                <w:sz w:val="16"/>
                <w:szCs w:val="16"/>
                <w:lang w:val="es-ES_tradnl"/>
              </w:rPr>
              <w:t xml:space="preserve">Será materia de aprobación, el Programa de Trabajo y el Presupuesto que se encuentra asociado a Contratos con recuperación de </w:t>
            </w:r>
            <w:r>
              <w:rPr>
                <w:rFonts w:ascii="Verdana" w:hAnsi="Verdana"/>
                <w:b/>
                <w:i/>
                <w:color w:val="000000"/>
                <w:sz w:val="16"/>
                <w:szCs w:val="16"/>
                <w:lang w:val="es-ES_tradnl"/>
              </w:rPr>
              <w:lastRenderedPageBreak/>
              <w:t>costos.</w:t>
            </w:r>
          </w:p>
        </w:tc>
        <w:tc>
          <w:tcPr>
            <w:tcW w:w="4389" w:type="dxa"/>
            <w:hideMark/>
          </w:tcPr>
          <w:p w14:paraId="70F4F45E" w14:textId="77777777" w:rsidR="00FE496B" w:rsidRDefault="00FE496B">
            <w:pPr>
              <w:pStyle w:val="texto"/>
              <w:spacing w:line="284" w:lineRule="exact"/>
              <w:ind w:firstLine="0"/>
              <w:rPr>
                <w:rFonts w:ascii="Verdana" w:hAnsi="Verdana"/>
                <w:b/>
                <w:i/>
                <w:color w:val="000000"/>
                <w:sz w:val="16"/>
                <w:szCs w:val="16"/>
                <w:lang w:val="en-US"/>
              </w:rPr>
            </w:pPr>
            <w:r>
              <w:rPr>
                <w:rFonts w:ascii="Verdana" w:hAnsi="Verdana"/>
                <w:b/>
                <w:i/>
                <w:color w:val="000000"/>
                <w:sz w:val="16"/>
                <w:szCs w:val="16"/>
                <w:lang w:val="en-US"/>
              </w:rPr>
              <w:lastRenderedPageBreak/>
              <w:t xml:space="preserve">The Work Program and the Budget associated with Contracts with cost recovery will be </w:t>
            </w:r>
            <w:r>
              <w:rPr>
                <w:rFonts w:ascii="Verdana" w:hAnsi="Verdana"/>
                <w:b/>
                <w:i/>
                <w:color w:val="000000"/>
                <w:sz w:val="16"/>
                <w:szCs w:val="16"/>
                <w:lang w:val="en-US"/>
              </w:rPr>
              <w:lastRenderedPageBreak/>
              <w:t>subject to approval.</w:t>
            </w:r>
          </w:p>
        </w:tc>
      </w:tr>
      <w:tr w:rsidR="00FE496B" w14:paraId="19E8462C" w14:textId="77777777" w:rsidTr="00FE496B">
        <w:tc>
          <w:tcPr>
            <w:tcW w:w="4443" w:type="dxa"/>
            <w:hideMark/>
          </w:tcPr>
          <w:p w14:paraId="0DEEFD8C" w14:textId="77777777" w:rsidR="00FE496B" w:rsidRDefault="00FE496B">
            <w:pPr>
              <w:pStyle w:val="texto"/>
              <w:spacing w:line="284" w:lineRule="exact"/>
              <w:ind w:firstLine="0"/>
              <w:rPr>
                <w:rFonts w:ascii="Verdana" w:hAnsi="Verdana"/>
                <w:i/>
                <w:sz w:val="16"/>
                <w:szCs w:val="16"/>
                <w:lang w:val="es-ES_tradnl"/>
              </w:rPr>
            </w:pPr>
            <w:r>
              <w:rPr>
                <w:rFonts w:ascii="Verdana" w:hAnsi="Verdana"/>
                <w:i/>
                <w:sz w:val="16"/>
                <w:szCs w:val="16"/>
                <w:lang w:val="es-ES_tradnl"/>
              </w:rPr>
              <w:lastRenderedPageBreak/>
              <w:t>[</w:t>
            </w:r>
            <w:r>
              <w:rPr>
                <w:rFonts w:ascii="Verdana" w:hAnsi="Verdana"/>
                <w:b/>
                <w:i/>
                <w:sz w:val="16"/>
                <w:szCs w:val="16"/>
                <w:lang w:val="es-ES_tradnl"/>
              </w:rPr>
              <w:t>...</w:t>
            </w:r>
            <w:r>
              <w:rPr>
                <w:rFonts w:ascii="Verdana" w:hAnsi="Verdana"/>
                <w:i/>
                <w:sz w:val="16"/>
                <w:szCs w:val="16"/>
                <w:lang w:val="es-ES_tradnl"/>
              </w:rPr>
              <w:t>]</w:t>
            </w:r>
          </w:p>
        </w:tc>
        <w:tc>
          <w:tcPr>
            <w:tcW w:w="4389" w:type="dxa"/>
            <w:hideMark/>
          </w:tcPr>
          <w:p w14:paraId="248192C5" w14:textId="77777777" w:rsidR="00FE496B" w:rsidRDefault="00FE496B">
            <w:pPr>
              <w:pStyle w:val="texto"/>
              <w:spacing w:line="284" w:lineRule="exact"/>
              <w:ind w:firstLine="0"/>
              <w:rPr>
                <w:rFonts w:ascii="Verdana" w:hAnsi="Verdana"/>
                <w:i/>
                <w:sz w:val="16"/>
                <w:szCs w:val="16"/>
                <w:lang w:val="en-US"/>
              </w:rPr>
            </w:pPr>
            <w:r>
              <w:rPr>
                <w:rFonts w:ascii="Verdana" w:hAnsi="Verdana"/>
                <w:i/>
                <w:sz w:val="16"/>
                <w:szCs w:val="16"/>
                <w:lang w:val="en-US"/>
              </w:rPr>
              <w:t>[.</w:t>
            </w:r>
            <w:r>
              <w:rPr>
                <w:rFonts w:ascii="Verdana" w:hAnsi="Verdana"/>
                <w:b/>
                <w:i/>
                <w:sz w:val="16"/>
                <w:szCs w:val="16"/>
                <w:lang w:val="en-US"/>
              </w:rPr>
              <w:t xml:space="preserve">.. </w:t>
            </w:r>
            <w:r>
              <w:rPr>
                <w:rFonts w:ascii="Verdana" w:hAnsi="Verdana"/>
                <w:i/>
                <w:sz w:val="16"/>
                <w:szCs w:val="16"/>
                <w:lang w:val="en-US"/>
              </w:rPr>
              <w:t>]</w:t>
            </w:r>
          </w:p>
        </w:tc>
      </w:tr>
      <w:tr w:rsidR="00FE496B" w14:paraId="176BD1C2" w14:textId="77777777" w:rsidTr="00FE496B">
        <w:tc>
          <w:tcPr>
            <w:tcW w:w="4443" w:type="dxa"/>
            <w:hideMark/>
          </w:tcPr>
          <w:p w14:paraId="7ED8D149" w14:textId="77777777" w:rsidR="00FE496B" w:rsidRDefault="00FE496B">
            <w:pPr>
              <w:pStyle w:val="texto"/>
              <w:spacing w:line="284" w:lineRule="exact"/>
              <w:ind w:firstLine="0"/>
              <w:rPr>
                <w:rFonts w:ascii="Verdana" w:hAnsi="Verdana"/>
                <w:i/>
                <w:color w:val="000000"/>
                <w:sz w:val="16"/>
                <w:szCs w:val="16"/>
                <w:lang w:val="es-ES_tradnl"/>
              </w:rPr>
            </w:pPr>
            <w:r>
              <w:rPr>
                <w:rFonts w:ascii="Verdana" w:hAnsi="Verdana"/>
                <w:i/>
                <w:sz w:val="16"/>
                <w:szCs w:val="16"/>
                <w:lang w:val="es-ES_tradnl"/>
              </w:rPr>
              <w:t>Para la aprobación del segundo y subsecuentes Programas de Trabajo y Presupuesto a que se refiere la fracción II del presente artículo, la Comisión valorará la congruencia con la ejecución de las actividades aprobadas para el ejercicio del programa anterior.</w:t>
            </w:r>
            <w:r>
              <w:rPr>
                <w:rFonts w:ascii="Verdana" w:hAnsi="Verdana"/>
                <w:i/>
                <w:color w:val="000000"/>
                <w:sz w:val="16"/>
                <w:szCs w:val="16"/>
                <w:lang w:val="es-ES_tradnl"/>
              </w:rPr>
              <w:t>”</w:t>
            </w:r>
          </w:p>
        </w:tc>
        <w:tc>
          <w:tcPr>
            <w:tcW w:w="4389" w:type="dxa"/>
            <w:hideMark/>
          </w:tcPr>
          <w:p w14:paraId="5EE1CC69" w14:textId="77777777" w:rsidR="00FE496B" w:rsidRDefault="00FE496B">
            <w:pPr>
              <w:pStyle w:val="texto"/>
              <w:spacing w:line="284" w:lineRule="exact"/>
              <w:ind w:firstLine="0"/>
              <w:rPr>
                <w:rFonts w:ascii="Verdana" w:hAnsi="Verdana"/>
                <w:i/>
                <w:sz w:val="16"/>
                <w:szCs w:val="16"/>
                <w:lang w:val="en-US"/>
              </w:rPr>
            </w:pPr>
            <w:r>
              <w:rPr>
                <w:rFonts w:ascii="Verdana" w:hAnsi="Verdana"/>
                <w:i/>
                <w:sz w:val="16"/>
                <w:szCs w:val="16"/>
                <w:lang w:val="en-US"/>
              </w:rPr>
              <w:t>For the approval of the second and subsequent Work Programs and Budget referred to in section II of this article, the Commission will assess the consistency with the execution of the activities approved for the exercise of the previous program.</w:t>
            </w:r>
            <w:r>
              <w:rPr>
                <w:rFonts w:ascii="Verdana" w:hAnsi="Verdana"/>
                <w:i/>
                <w:color w:val="000000"/>
                <w:sz w:val="16"/>
                <w:szCs w:val="16"/>
                <w:lang w:val="en-US"/>
              </w:rPr>
              <w:t>”</w:t>
            </w:r>
          </w:p>
        </w:tc>
      </w:tr>
      <w:tr w:rsidR="00FE496B" w14:paraId="676D6B7E" w14:textId="77777777" w:rsidTr="00FE496B">
        <w:tc>
          <w:tcPr>
            <w:tcW w:w="4443" w:type="dxa"/>
            <w:hideMark/>
          </w:tcPr>
          <w:p w14:paraId="1E5AAB63" w14:textId="77777777" w:rsidR="00FE496B" w:rsidRDefault="00FE496B">
            <w:pPr>
              <w:pStyle w:val="texto"/>
              <w:spacing w:line="284" w:lineRule="exact"/>
              <w:ind w:firstLine="0"/>
              <w:jc w:val="right"/>
              <w:rPr>
                <w:rFonts w:ascii="Verdana" w:hAnsi="Verdana"/>
                <w:i/>
                <w:sz w:val="16"/>
                <w:szCs w:val="16"/>
                <w:lang w:val="es-ES_tradnl"/>
              </w:rPr>
            </w:pPr>
            <w:r>
              <w:rPr>
                <w:rFonts w:ascii="Verdana" w:hAnsi="Verdana"/>
                <w:i/>
                <w:sz w:val="16"/>
                <w:szCs w:val="16"/>
                <w:lang w:val="es-ES_tradnl"/>
              </w:rPr>
              <w:t>[Énfasis añadido]</w:t>
            </w:r>
          </w:p>
        </w:tc>
        <w:tc>
          <w:tcPr>
            <w:tcW w:w="4389" w:type="dxa"/>
            <w:hideMark/>
          </w:tcPr>
          <w:p w14:paraId="176DB961" w14:textId="77777777" w:rsidR="00FE496B" w:rsidRDefault="00FE496B">
            <w:pPr>
              <w:pStyle w:val="texto"/>
              <w:spacing w:line="284" w:lineRule="exact"/>
              <w:ind w:firstLine="0"/>
              <w:jc w:val="right"/>
              <w:rPr>
                <w:rFonts w:ascii="Verdana" w:hAnsi="Verdana"/>
                <w:i/>
                <w:sz w:val="16"/>
                <w:szCs w:val="16"/>
                <w:lang w:val="en-US"/>
              </w:rPr>
            </w:pPr>
            <w:r>
              <w:rPr>
                <w:rFonts w:ascii="Verdana" w:hAnsi="Verdana"/>
                <w:i/>
                <w:sz w:val="16"/>
                <w:szCs w:val="16"/>
                <w:lang w:val="en-US"/>
              </w:rPr>
              <w:t>[Emphasis added]</w:t>
            </w:r>
          </w:p>
        </w:tc>
      </w:tr>
      <w:tr w:rsidR="00FE496B" w14:paraId="183E6B7F" w14:textId="77777777" w:rsidTr="00FE496B">
        <w:tc>
          <w:tcPr>
            <w:tcW w:w="4443" w:type="dxa"/>
            <w:hideMark/>
          </w:tcPr>
          <w:p w14:paraId="6BC1B5E2" w14:textId="77777777" w:rsidR="00FE496B" w:rsidRDefault="00FE496B">
            <w:pPr>
              <w:pStyle w:val="texto"/>
              <w:spacing w:line="284" w:lineRule="exact"/>
              <w:ind w:firstLine="0"/>
              <w:rPr>
                <w:rFonts w:ascii="Verdana" w:hAnsi="Verdana"/>
                <w:color w:val="000000"/>
                <w:sz w:val="16"/>
                <w:szCs w:val="16"/>
                <w:lang w:val="es-ES_tradnl"/>
              </w:rPr>
            </w:pPr>
            <w:r>
              <w:rPr>
                <w:rFonts w:ascii="Verdana" w:hAnsi="Verdana"/>
                <w:color w:val="000000"/>
                <w:sz w:val="16"/>
                <w:szCs w:val="16"/>
                <w:lang w:val="es-ES_tradnl"/>
              </w:rPr>
              <w:t>Sobre el particular, de la lectura de la última oración de la fracción I del artículo 27 de los Lineamientos, se advierte que, cuando son presentados con el Plan de Exploración o el Plan de Desarrollo para la Extracción (en adelante, Planes) los Programas de Trabajo y Presupuesto deben ser evaluados por la Comisión conforme al procedimiento y los plazos establecidos para la aprobación de los Planes, mismos que se encuentran previstos en los artículos 15, 16 y 17 de los Lineamientos.</w:t>
            </w:r>
          </w:p>
        </w:tc>
        <w:tc>
          <w:tcPr>
            <w:tcW w:w="4389" w:type="dxa"/>
            <w:hideMark/>
          </w:tcPr>
          <w:p w14:paraId="016B9BA3" w14:textId="77777777" w:rsidR="00FE496B" w:rsidRDefault="00FE496B">
            <w:pPr>
              <w:pStyle w:val="texto"/>
              <w:spacing w:line="284" w:lineRule="exact"/>
              <w:ind w:firstLine="0"/>
              <w:rPr>
                <w:rFonts w:ascii="Verdana" w:hAnsi="Verdana"/>
                <w:color w:val="000000"/>
                <w:sz w:val="16"/>
                <w:szCs w:val="16"/>
                <w:lang w:val="en-US"/>
              </w:rPr>
            </w:pPr>
            <w:r>
              <w:rPr>
                <w:rFonts w:ascii="Verdana" w:hAnsi="Verdana"/>
                <w:color w:val="000000"/>
                <w:sz w:val="16"/>
                <w:szCs w:val="16"/>
                <w:lang w:val="en-US"/>
              </w:rPr>
              <w:t>In this regard, from the reading of the last sentence of section I of article 27 of the Guidelines, it is noted that, when they are presented with the Exploration Plan or the Development Plan for Extraction (hereinafter, Plans) the Programs Work and Budget must be evaluated by the Commission in accordance with the procedure and deadlines established for the approval of the Plans, which are provided for in articles 15, 16 and 17 of the Guidelines.</w:t>
            </w:r>
          </w:p>
        </w:tc>
      </w:tr>
      <w:tr w:rsidR="00FE496B" w14:paraId="3A9262DA" w14:textId="77777777" w:rsidTr="00FE496B">
        <w:tc>
          <w:tcPr>
            <w:tcW w:w="4443" w:type="dxa"/>
            <w:hideMark/>
          </w:tcPr>
          <w:p w14:paraId="2DAEB238" w14:textId="77777777" w:rsidR="00FE496B" w:rsidRDefault="00FE496B">
            <w:pPr>
              <w:pStyle w:val="texto"/>
              <w:spacing w:line="284" w:lineRule="exact"/>
              <w:ind w:firstLine="0"/>
              <w:rPr>
                <w:rFonts w:ascii="Verdana" w:hAnsi="Verdana"/>
                <w:color w:val="000000"/>
                <w:sz w:val="16"/>
                <w:szCs w:val="16"/>
                <w:lang w:val="es-ES_tradnl"/>
              </w:rPr>
            </w:pPr>
            <w:r>
              <w:rPr>
                <w:rFonts w:ascii="Verdana" w:hAnsi="Verdana"/>
                <w:color w:val="000000"/>
                <w:sz w:val="16"/>
                <w:szCs w:val="16"/>
                <w:lang w:val="es-ES_tradnl"/>
              </w:rPr>
              <w:t>De manera particular, el artículo 16 de los Lineamientos establece:</w:t>
            </w:r>
          </w:p>
        </w:tc>
        <w:tc>
          <w:tcPr>
            <w:tcW w:w="4389" w:type="dxa"/>
            <w:hideMark/>
          </w:tcPr>
          <w:p w14:paraId="21F7CD79" w14:textId="77777777" w:rsidR="00FE496B" w:rsidRDefault="00FE496B">
            <w:pPr>
              <w:pStyle w:val="texto"/>
              <w:spacing w:line="284" w:lineRule="exact"/>
              <w:ind w:firstLine="0"/>
              <w:rPr>
                <w:rFonts w:ascii="Verdana" w:hAnsi="Verdana"/>
                <w:color w:val="000000"/>
                <w:sz w:val="16"/>
                <w:szCs w:val="16"/>
                <w:lang w:val="en-US"/>
              </w:rPr>
            </w:pPr>
            <w:proofErr w:type="gramStart"/>
            <w:r>
              <w:rPr>
                <w:rFonts w:ascii="Verdana" w:hAnsi="Verdana"/>
                <w:color w:val="000000"/>
                <w:sz w:val="16"/>
                <w:szCs w:val="16"/>
                <w:lang w:val="en-US"/>
              </w:rPr>
              <w:t>In particular, article</w:t>
            </w:r>
            <w:proofErr w:type="gramEnd"/>
            <w:r>
              <w:rPr>
                <w:rFonts w:ascii="Verdana" w:hAnsi="Verdana"/>
                <w:color w:val="000000"/>
                <w:sz w:val="16"/>
                <w:szCs w:val="16"/>
                <w:lang w:val="en-US"/>
              </w:rPr>
              <w:t xml:space="preserve"> 16 of the Guidelines establishes:</w:t>
            </w:r>
          </w:p>
        </w:tc>
      </w:tr>
      <w:tr w:rsidR="00FE496B" w14:paraId="64894AF5" w14:textId="77777777" w:rsidTr="00FE496B">
        <w:tc>
          <w:tcPr>
            <w:tcW w:w="4443" w:type="dxa"/>
            <w:hideMark/>
          </w:tcPr>
          <w:p w14:paraId="1CE716C2" w14:textId="77777777" w:rsidR="00FE496B" w:rsidRDefault="00FE496B">
            <w:pPr>
              <w:pStyle w:val="texto"/>
              <w:spacing w:line="284" w:lineRule="exact"/>
              <w:ind w:firstLine="0"/>
              <w:rPr>
                <w:rFonts w:ascii="Verdana" w:hAnsi="Verdana"/>
                <w:i/>
                <w:sz w:val="16"/>
                <w:szCs w:val="16"/>
                <w:lang w:val="es-ES_tradnl"/>
              </w:rPr>
            </w:pPr>
            <w:r>
              <w:rPr>
                <w:rFonts w:ascii="Verdana" w:hAnsi="Verdana"/>
                <w:i/>
                <w:sz w:val="16"/>
                <w:szCs w:val="16"/>
                <w:lang w:val="es-ES_tradnl"/>
              </w:rPr>
              <w:t>“</w:t>
            </w:r>
            <w:r>
              <w:rPr>
                <w:rFonts w:ascii="Verdana" w:hAnsi="Verdana"/>
                <w:b/>
                <w:i/>
                <w:sz w:val="16"/>
                <w:szCs w:val="16"/>
                <w:lang w:val="es-ES_tradnl"/>
              </w:rPr>
              <w:t>Artículo 16. Del plazo para la emisión del Dictamen Técnico.</w:t>
            </w:r>
            <w:r>
              <w:rPr>
                <w:rFonts w:ascii="Verdana" w:hAnsi="Verdana"/>
                <w:i/>
                <w:sz w:val="16"/>
                <w:szCs w:val="16"/>
                <w:lang w:val="es-ES_tradnl"/>
              </w:rPr>
              <w:t xml:space="preserve"> </w:t>
            </w:r>
            <w:r>
              <w:rPr>
                <w:rFonts w:ascii="Verdana" w:hAnsi="Verdana"/>
                <w:b/>
                <w:i/>
                <w:sz w:val="16"/>
                <w:szCs w:val="16"/>
                <w:lang w:val="es-ES_tradnl"/>
              </w:rPr>
              <w:t>La Comisión resolverá respecto del Plan en un plazo no mayor a ochenta y cinco días naturales</w:t>
            </w:r>
            <w:r>
              <w:rPr>
                <w:rFonts w:ascii="Verdana" w:hAnsi="Verdana"/>
                <w:i/>
                <w:sz w:val="16"/>
                <w:szCs w:val="16"/>
                <w:lang w:val="es-ES_tradnl"/>
              </w:rPr>
              <w:t>, contados a partir del día siguiente a la recepción de la solicitud de aprobación del Plan. Si la Comisión no resuelve la solicitud dentro del plazo establecido, la misma se entenderá en sentido favorable.”</w:t>
            </w:r>
          </w:p>
        </w:tc>
        <w:tc>
          <w:tcPr>
            <w:tcW w:w="4389" w:type="dxa"/>
            <w:hideMark/>
          </w:tcPr>
          <w:p w14:paraId="6860CC44" w14:textId="77777777" w:rsidR="00FE496B" w:rsidRDefault="00FE496B">
            <w:pPr>
              <w:pStyle w:val="texto"/>
              <w:spacing w:line="284" w:lineRule="exact"/>
              <w:ind w:firstLine="0"/>
              <w:rPr>
                <w:rFonts w:ascii="Verdana" w:hAnsi="Verdana"/>
                <w:i/>
                <w:sz w:val="16"/>
                <w:szCs w:val="16"/>
                <w:lang w:val="en-US"/>
              </w:rPr>
            </w:pPr>
            <w:r>
              <w:rPr>
                <w:rFonts w:ascii="Verdana" w:hAnsi="Verdana"/>
                <w:i/>
                <w:sz w:val="16"/>
                <w:szCs w:val="16"/>
                <w:lang w:val="en-US"/>
              </w:rPr>
              <w:t>“</w:t>
            </w:r>
            <w:r>
              <w:rPr>
                <w:rFonts w:ascii="Verdana" w:hAnsi="Verdana"/>
                <w:b/>
                <w:i/>
                <w:sz w:val="16"/>
                <w:szCs w:val="16"/>
                <w:lang w:val="en-US"/>
              </w:rPr>
              <w:t>Article 16. The term for the issuance of the Technical Opinion.</w:t>
            </w:r>
            <w:r>
              <w:rPr>
                <w:rFonts w:ascii="Verdana" w:hAnsi="Verdana"/>
                <w:i/>
                <w:sz w:val="16"/>
                <w:szCs w:val="16"/>
                <w:lang w:val="en-US"/>
              </w:rPr>
              <w:t xml:space="preserve"> </w:t>
            </w:r>
            <w:r>
              <w:rPr>
                <w:rFonts w:ascii="Verdana" w:hAnsi="Verdana"/>
                <w:b/>
                <w:i/>
                <w:sz w:val="16"/>
                <w:szCs w:val="16"/>
                <w:lang w:val="en-US"/>
              </w:rPr>
              <w:t>The Commission will resolve regarding the Plan in a period not exceeding eighty-five calendar days,</w:t>
            </w:r>
            <w:r>
              <w:rPr>
                <w:rFonts w:ascii="Verdana" w:hAnsi="Verdana"/>
                <w:i/>
                <w:sz w:val="16"/>
                <w:szCs w:val="16"/>
                <w:lang w:val="en-US"/>
              </w:rPr>
              <w:t xml:space="preserve"> counted from the day following receipt of the request for approval of the Plan. If the Commission does not resolve the request within the established period, it will be understood in a favorable sense."</w:t>
            </w:r>
          </w:p>
        </w:tc>
      </w:tr>
      <w:tr w:rsidR="00FE496B" w14:paraId="7E68D6DC" w14:textId="77777777" w:rsidTr="00FE496B">
        <w:tc>
          <w:tcPr>
            <w:tcW w:w="4443" w:type="dxa"/>
            <w:hideMark/>
          </w:tcPr>
          <w:p w14:paraId="020D7552" w14:textId="77777777" w:rsidR="00FE496B" w:rsidRDefault="00FE496B">
            <w:pPr>
              <w:pStyle w:val="texto"/>
              <w:spacing w:line="284" w:lineRule="exact"/>
              <w:ind w:firstLine="0"/>
              <w:jc w:val="right"/>
              <w:rPr>
                <w:rFonts w:ascii="Verdana" w:hAnsi="Verdana"/>
                <w:i/>
                <w:color w:val="000000"/>
                <w:sz w:val="16"/>
                <w:szCs w:val="16"/>
                <w:lang w:val="es-ES_tradnl"/>
              </w:rPr>
            </w:pPr>
            <w:r>
              <w:rPr>
                <w:rFonts w:ascii="Verdana" w:hAnsi="Verdana"/>
                <w:i/>
                <w:sz w:val="16"/>
                <w:szCs w:val="16"/>
                <w:lang w:val="es-ES_tradnl"/>
              </w:rPr>
              <w:t>[Énfasis añadido]</w:t>
            </w:r>
          </w:p>
        </w:tc>
        <w:tc>
          <w:tcPr>
            <w:tcW w:w="4389" w:type="dxa"/>
            <w:hideMark/>
          </w:tcPr>
          <w:p w14:paraId="595A75DF" w14:textId="77777777" w:rsidR="00FE496B" w:rsidRDefault="00FE496B">
            <w:pPr>
              <w:pStyle w:val="texto"/>
              <w:spacing w:line="284" w:lineRule="exact"/>
              <w:ind w:firstLine="0"/>
              <w:jc w:val="right"/>
              <w:rPr>
                <w:rFonts w:ascii="Verdana" w:hAnsi="Verdana"/>
                <w:i/>
                <w:sz w:val="16"/>
                <w:szCs w:val="16"/>
                <w:lang w:val="en-US"/>
              </w:rPr>
            </w:pPr>
            <w:r>
              <w:rPr>
                <w:rFonts w:ascii="Verdana" w:hAnsi="Verdana"/>
                <w:i/>
                <w:sz w:val="16"/>
                <w:szCs w:val="16"/>
                <w:lang w:val="en-US"/>
              </w:rPr>
              <w:t>[Emphasis added]</w:t>
            </w:r>
          </w:p>
        </w:tc>
      </w:tr>
      <w:tr w:rsidR="00FE496B" w14:paraId="1E958352" w14:textId="77777777" w:rsidTr="00FE496B">
        <w:tc>
          <w:tcPr>
            <w:tcW w:w="4443" w:type="dxa"/>
            <w:hideMark/>
          </w:tcPr>
          <w:p w14:paraId="1707A784" w14:textId="77777777" w:rsidR="00FE496B" w:rsidRDefault="00FE496B">
            <w:pPr>
              <w:pStyle w:val="texto"/>
              <w:spacing w:line="284" w:lineRule="exact"/>
              <w:ind w:firstLine="0"/>
              <w:rPr>
                <w:rFonts w:ascii="Verdana" w:hAnsi="Verdana"/>
                <w:color w:val="000000"/>
                <w:sz w:val="16"/>
                <w:szCs w:val="16"/>
                <w:lang w:val="es-ES_tradnl"/>
              </w:rPr>
            </w:pPr>
            <w:r>
              <w:rPr>
                <w:rFonts w:ascii="Verdana" w:hAnsi="Verdana"/>
                <w:color w:val="000000"/>
                <w:sz w:val="16"/>
                <w:szCs w:val="16"/>
                <w:lang w:val="es-ES_tradnl"/>
              </w:rPr>
              <w:tab/>
              <w:t>En consecuencia, para este supuesto, los Programas de Trabajo y Presupuesto serán evaluados en conjunto con el Plan de Exploración o el Plan de Desarrollo para la Extracción que corresponda, en atención al procedimiento de dichos Planes, para lo cual la Comisión cuenta con ochenta y cinco días naturales para pronunciarse.</w:t>
            </w:r>
          </w:p>
        </w:tc>
        <w:tc>
          <w:tcPr>
            <w:tcW w:w="4389" w:type="dxa"/>
            <w:hideMark/>
          </w:tcPr>
          <w:p w14:paraId="1BB23485" w14:textId="77777777" w:rsidR="00FE496B" w:rsidRDefault="00FE496B">
            <w:pPr>
              <w:pStyle w:val="texto"/>
              <w:spacing w:line="284" w:lineRule="exact"/>
              <w:ind w:firstLine="0"/>
              <w:rPr>
                <w:rFonts w:ascii="Verdana" w:hAnsi="Verdana"/>
                <w:color w:val="000000"/>
                <w:sz w:val="16"/>
                <w:szCs w:val="16"/>
                <w:lang w:val="en-US"/>
              </w:rPr>
            </w:pPr>
            <w:r w:rsidRPr="00FE496B">
              <w:rPr>
                <w:rFonts w:ascii="Verdana" w:hAnsi="Verdana"/>
                <w:color w:val="000000"/>
                <w:sz w:val="16"/>
                <w:szCs w:val="16"/>
              </w:rPr>
              <w:tab/>
            </w:r>
            <w:r>
              <w:rPr>
                <w:rFonts w:ascii="Verdana" w:hAnsi="Verdana"/>
                <w:color w:val="000000"/>
                <w:sz w:val="16"/>
                <w:szCs w:val="16"/>
                <w:lang w:val="en-US"/>
              </w:rPr>
              <w:t>Consequently, for this case, the Work Programs and Budget will be evaluated in conjunction with the Exploration Plan or the corresponding Extraction Development Plan, in attention to the procedure of said Plans, for which the Commission has eighty-one five calendar days to pronounce.</w:t>
            </w:r>
          </w:p>
        </w:tc>
      </w:tr>
      <w:tr w:rsidR="00FE496B" w14:paraId="1D1A19E0" w14:textId="77777777" w:rsidTr="00FE496B">
        <w:tc>
          <w:tcPr>
            <w:tcW w:w="4443" w:type="dxa"/>
            <w:hideMark/>
          </w:tcPr>
          <w:p w14:paraId="68DBB2AF" w14:textId="77777777" w:rsidR="00FE496B" w:rsidRDefault="00FE496B">
            <w:pPr>
              <w:pStyle w:val="texto"/>
              <w:spacing w:line="272" w:lineRule="exact"/>
              <w:ind w:firstLine="0"/>
              <w:rPr>
                <w:rFonts w:ascii="Verdana" w:hAnsi="Verdana"/>
                <w:color w:val="000000"/>
                <w:sz w:val="16"/>
                <w:szCs w:val="16"/>
                <w:lang w:val="es-ES_tradnl"/>
              </w:rPr>
            </w:pPr>
            <w:r>
              <w:rPr>
                <w:rFonts w:ascii="Verdana" w:hAnsi="Verdana"/>
                <w:color w:val="000000"/>
                <w:sz w:val="16"/>
                <w:szCs w:val="16"/>
                <w:lang w:val="es-ES_tradnl"/>
              </w:rPr>
              <w:t>2.</w:t>
            </w:r>
            <w:r>
              <w:rPr>
                <w:rFonts w:ascii="Verdana" w:hAnsi="Verdana"/>
                <w:color w:val="000000"/>
                <w:sz w:val="16"/>
                <w:szCs w:val="16"/>
                <w:lang w:val="es-ES_tradnl"/>
              </w:rPr>
              <w:tab/>
              <w:t>Para la aprobación del segundo y subsecuentes Programas de Trabajo y Presupuesto, el artículo 29 señala:</w:t>
            </w:r>
          </w:p>
        </w:tc>
        <w:tc>
          <w:tcPr>
            <w:tcW w:w="4389" w:type="dxa"/>
            <w:hideMark/>
          </w:tcPr>
          <w:p w14:paraId="4F62D1DE" w14:textId="77777777" w:rsidR="00FE496B" w:rsidRDefault="00FE496B">
            <w:pPr>
              <w:pStyle w:val="texto"/>
              <w:spacing w:line="272" w:lineRule="exact"/>
              <w:ind w:firstLine="0"/>
              <w:rPr>
                <w:rFonts w:ascii="Verdana" w:hAnsi="Verdana"/>
                <w:color w:val="000000"/>
                <w:sz w:val="16"/>
                <w:szCs w:val="16"/>
                <w:lang w:val="en-US"/>
              </w:rPr>
            </w:pPr>
            <w:r>
              <w:rPr>
                <w:rFonts w:ascii="Verdana" w:hAnsi="Verdana"/>
                <w:color w:val="000000"/>
                <w:sz w:val="16"/>
                <w:szCs w:val="16"/>
                <w:lang w:val="en-US"/>
              </w:rPr>
              <w:t xml:space="preserve">2. </w:t>
            </w:r>
            <w:r>
              <w:rPr>
                <w:rFonts w:ascii="Verdana" w:hAnsi="Verdana"/>
                <w:color w:val="000000"/>
                <w:sz w:val="16"/>
                <w:szCs w:val="16"/>
                <w:lang w:val="en-US"/>
              </w:rPr>
              <w:tab/>
              <w:t>For the approval of the second and subsequent Work Programs and Budget, article 29 states:</w:t>
            </w:r>
          </w:p>
        </w:tc>
      </w:tr>
      <w:tr w:rsidR="00FE496B" w14:paraId="0DEC43FA" w14:textId="77777777" w:rsidTr="00FE496B">
        <w:tc>
          <w:tcPr>
            <w:tcW w:w="4443" w:type="dxa"/>
            <w:hideMark/>
          </w:tcPr>
          <w:p w14:paraId="0D5F7341" w14:textId="77777777" w:rsidR="00FE496B" w:rsidRDefault="00FE496B">
            <w:pPr>
              <w:pStyle w:val="texto"/>
              <w:spacing w:line="272" w:lineRule="exact"/>
              <w:ind w:firstLine="0"/>
              <w:rPr>
                <w:rFonts w:ascii="Verdana" w:hAnsi="Verdana"/>
                <w:i/>
                <w:sz w:val="16"/>
                <w:szCs w:val="16"/>
                <w:lang w:val="es-ES_tradnl"/>
              </w:rPr>
            </w:pPr>
            <w:r>
              <w:rPr>
                <w:rFonts w:ascii="Verdana" w:hAnsi="Verdana"/>
                <w:i/>
                <w:sz w:val="16"/>
                <w:szCs w:val="16"/>
                <w:lang w:val="es-ES_tradnl"/>
              </w:rPr>
              <w:lastRenderedPageBreak/>
              <w:t>“</w:t>
            </w:r>
            <w:r>
              <w:rPr>
                <w:rFonts w:ascii="Verdana" w:hAnsi="Verdana"/>
                <w:b/>
                <w:i/>
                <w:sz w:val="16"/>
                <w:szCs w:val="16"/>
                <w:lang w:val="es-ES_tradnl"/>
              </w:rPr>
              <w:t>Artículo 29. Del plazo para resolver el Programa de Trabajo y Presupuesto.</w:t>
            </w:r>
            <w:r>
              <w:rPr>
                <w:rFonts w:ascii="Verdana" w:hAnsi="Verdana"/>
                <w:i/>
                <w:sz w:val="16"/>
                <w:szCs w:val="16"/>
                <w:lang w:val="es-ES_tradnl"/>
              </w:rPr>
              <w:t xml:space="preserve"> La Comisión resolverá respecto del Programa de Trabajo y Presupuesto </w:t>
            </w:r>
            <w:r>
              <w:rPr>
                <w:rFonts w:ascii="Verdana" w:hAnsi="Verdana"/>
                <w:b/>
                <w:i/>
                <w:sz w:val="16"/>
                <w:szCs w:val="16"/>
                <w:lang w:val="es-ES_tradnl"/>
              </w:rPr>
              <w:t>en un plazo no mayor a veinte días hábiles contados a partir del día hábil siguiente a la recepción de la solicitud de aprobación</w:t>
            </w:r>
            <w:r>
              <w:rPr>
                <w:rFonts w:ascii="Verdana" w:hAnsi="Verdana"/>
                <w:i/>
                <w:sz w:val="16"/>
                <w:szCs w:val="16"/>
                <w:lang w:val="es-ES_tradnl"/>
              </w:rPr>
              <w:t>. Si la Comisión no resuelve la solicitud dentro del plazo establecido, la misma se entenderá en sentido favorable.”</w:t>
            </w:r>
          </w:p>
        </w:tc>
        <w:tc>
          <w:tcPr>
            <w:tcW w:w="4389" w:type="dxa"/>
            <w:hideMark/>
          </w:tcPr>
          <w:p w14:paraId="21D54607" w14:textId="77777777" w:rsidR="00FE496B" w:rsidRDefault="00FE496B">
            <w:pPr>
              <w:pStyle w:val="texto"/>
              <w:spacing w:line="272" w:lineRule="exact"/>
              <w:ind w:firstLine="0"/>
              <w:rPr>
                <w:rFonts w:ascii="Verdana" w:hAnsi="Verdana"/>
                <w:i/>
                <w:sz w:val="16"/>
                <w:szCs w:val="16"/>
                <w:lang w:val="en-US"/>
              </w:rPr>
            </w:pPr>
            <w:r>
              <w:rPr>
                <w:rFonts w:ascii="Verdana" w:hAnsi="Verdana"/>
                <w:i/>
                <w:sz w:val="16"/>
                <w:szCs w:val="16"/>
                <w:lang w:val="en-US"/>
              </w:rPr>
              <w:t>“</w:t>
            </w:r>
            <w:r>
              <w:rPr>
                <w:rFonts w:ascii="Verdana" w:hAnsi="Verdana"/>
                <w:b/>
                <w:i/>
                <w:sz w:val="16"/>
                <w:szCs w:val="16"/>
                <w:lang w:val="en-US"/>
              </w:rPr>
              <w:t xml:space="preserve">Article 29. The term to resolve the Work Program and Budget. </w:t>
            </w:r>
            <w:r>
              <w:rPr>
                <w:rFonts w:ascii="Verdana" w:hAnsi="Verdana"/>
                <w:i/>
                <w:sz w:val="16"/>
                <w:szCs w:val="16"/>
                <w:lang w:val="en-US"/>
              </w:rPr>
              <w:t xml:space="preserve">The Commission will </w:t>
            </w:r>
            <w:proofErr w:type="gramStart"/>
            <w:r>
              <w:rPr>
                <w:rFonts w:ascii="Verdana" w:hAnsi="Verdana"/>
                <w:i/>
                <w:sz w:val="16"/>
                <w:szCs w:val="16"/>
                <w:lang w:val="en-US"/>
              </w:rPr>
              <w:t>resolve regarding</w:t>
            </w:r>
            <w:proofErr w:type="gramEnd"/>
            <w:r>
              <w:rPr>
                <w:rFonts w:ascii="Verdana" w:hAnsi="Verdana"/>
                <w:i/>
                <w:sz w:val="16"/>
                <w:szCs w:val="16"/>
                <w:lang w:val="en-US"/>
              </w:rPr>
              <w:t xml:space="preserve"> the Work Program and Budget </w:t>
            </w:r>
            <w:r>
              <w:rPr>
                <w:rFonts w:ascii="Verdana" w:hAnsi="Verdana"/>
                <w:b/>
                <w:i/>
                <w:sz w:val="16"/>
                <w:szCs w:val="16"/>
                <w:lang w:val="en-US"/>
              </w:rPr>
              <w:t>within a period not exceeding twenty business days from the business day following receipt of the request for approval.</w:t>
            </w:r>
            <w:r>
              <w:rPr>
                <w:rFonts w:ascii="Verdana" w:hAnsi="Verdana"/>
                <w:i/>
                <w:sz w:val="16"/>
                <w:szCs w:val="16"/>
                <w:lang w:val="en-US"/>
              </w:rPr>
              <w:t xml:space="preserve"> If the Commission does not resolve the request within the established period, it will be understood in a favorable sense."</w:t>
            </w:r>
          </w:p>
        </w:tc>
      </w:tr>
      <w:tr w:rsidR="00FE496B" w14:paraId="1034D51D" w14:textId="77777777" w:rsidTr="00FE496B">
        <w:tc>
          <w:tcPr>
            <w:tcW w:w="4443" w:type="dxa"/>
            <w:hideMark/>
          </w:tcPr>
          <w:p w14:paraId="3BF88199" w14:textId="77777777" w:rsidR="00FE496B" w:rsidRDefault="00FE496B">
            <w:pPr>
              <w:pStyle w:val="texto"/>
              <w:spacing w:line="272" w:lineRule="exact"/>
              <w:ind w:firstLine="0"/>
              <w:jc w:val="right"/>
              <w:rPr>
                <w:rFonts w:ascii="Verdana" w:hAnsi="Verdana"/>
                <w:i/>
                <w:color w:val="000000"/>
                <w:sz w:val="16"/>
                <w:szCs w:val="16"/>
                <w:lang w:val="es-ES_tradnl"/>
              </w:rPr>
            </w:pPr>
            <w:r w:rsidRPr="00FE496B">
              <w:rPr>
                <w:rFonts w:ascii="Verdana" w:hAnsi="Verdana"/>
                <w:i/>
                <w:color w:val="000000"/>
                <w:sz w:val="16"/>
                <w:szCs w:val="16"/>
                <w:lang w:val="en-US"/>
              </w:rPr>
              <w:t xml:space="preserve"> </w:t>
            </w:r>
            <w:r>
              <w:rPr>
                <w:rFonts w:ascii="Verdana" w:hAnsi="Verdana"/>
                <w:i/>
                <w:sz w:val="16"/>
                <w:szCs w:val="16"/>
                <w:lang w:val="es-ES_tradnl"/>
              </w:rPr>
              <w:t>[Énfasis añadido]</w:t>
            </w:r>
          </w:p>
        </w:tc>
        <w:tc>
          <w:tcPr>
            <w:tcW w:w="4389" w:type="dxa"/>
            <w:hideMark/>
          </w:tcPr>
          <w:p w14:paraId="479091C4" w14:textId="77777777" w:rsidR="00FE496B" w:rsidRDefault="00FE496B">
            <w:pPr>
              <w:pStyle w:val="texto"/>
              <w:spacing w:line="272" w:lineRule="exact"/>
              <w:ind w:firstLine="0"/>
              <w:jc w:val="right"/>
              <w:rPr>
                <w:rFonts w:ascii="Verdana" w:hAnsi="Verdana"/>
                <w:i/>
                <w:color w:val="000000"/>
                <w:sz w:val="16"/>
                <w:szCs w:val="16"/>
                <w:lang w:val="en-US"/>
              </w:rPr>
            </w:pPr>
            <w:r>
              <w:rPr>
                <w:rFonts w:ascii="Verdana" w:hAnsi="Verdana"/>
                <w:i/>
                <w:color w:val="000000"/>
                <w:sz w:val="16"/>
                <w:szCs w:val="16"/>
                <w:lang w:val="en-US"/>
              </w:rPr>
              <w:t xml:space="preserve"> </w:t>
            </w:r>
            <w:r>
              <w:rPr>
                <w:rFonts w:ascii="Verdana" w:hAnsi="Verdana"/>
                <w:i/>
                <w:sz w:val="16"/>
                <w:szCs w:val="16"/>
                <w:lang w:val="en-US"/>
              </w:rPr>
              <w:t>[Emphasis added]</w:t>
            </w:r>
          </w:p>
        </w:tc>
      </w:tr>
      <w:tr w:rsidR="00FE496B" w14:paraId="30A083FE" w14:textId="77777777" w:rsidTr="00FE496B">
        <w:tc>
          <w:tcPr>
            <w:tcW w:w="4443" w:type="dxa"/>
            <w:hideMark/>
          </w:tcPr>
          <w:p w14:paraId="55E062E5" w14:textId="77777777" w:rsidR="00FE496B" w:rsidRDefault="00FE496B">
            <w:pPr>
              <w:pStyle w:val="texto"/>
              <w:spacing w:line="272" w:lineRule="exact"/>
              <w:ind w:firstLine="0"/>
              <w:rPr>
                <w:rFonts w:ascii="Verdana" w:hAnsi="Verdana"/>
                <w:color w:val="000000"/>
                <w:sz w:val="16"/>
                <w:szCs w:val="16"/>
                <w:lang w:val="es-ES_tradnl"/>
              </w:rPr>
            </w:pPr>
            <w:r>
              <w:rPr>
                <w:rFonts w:ascii="Verdana" w:hAnsi="Verdana"/>
                <w:color w:val="000000"/>
                <w:sz w:val="16"/>
                <w:szCs w:val="16"/>
                <w:lang w:val="es-ES_tradnl"/>
              </w:rPr>
              <w:t>De lo anterior se advierte que, para este supuesto, la Comisión cuenta con veinte días hábiles para pronunciarse.</w:t>
            </w:r>
          </w:p>
        </w:tc>
        <w:tc>
          <w:tcPr>
            <w:tcW w:w="4389" w:type="dxa"/>
            <w:hideMark/>
          </w:tcPr>
          <w:p w14:paraId="1C3ECF39" w14:textId="77777777" w:rsidR="00FE496B" w:rsidRDefault="00FE496B">
            <w:pPr>
              <w:pStyle w:val="texto"/>
              <w:spacing w:line="272" w:lineRule="exact"/>
              <w:ind w:firstLine="0"/>
              <w:rPr>
                <w:rFonts w:ascii="Verdana" w:hAnsi="Verdana"/>
                <w:color w:val="000000"/>
                <w:sz w:val="16"/>
                <w:szCs w:val="16"/>
                <w:lang w:val="en-US"/>
              </w:rPr>
            </w:pPr>
            <w:r>
              <w:rPr>
                <w:rFonts w:ascii="Verdana" w:hAnsi="Verdana"/>
                <w:color w:val="000000"/>
                <w:sz w:val="16"/>
                <w:szCs w:val="16"/>
                <w:lang w:val="en-US"/>
              </w:rPr>
              <w:t xml:space="preserve">From the foregoing it is noted that, in this case, the Commission has twenty business days to </w:t>
            </w:r>
            <w:proofErr w:type="gramStart"/>
            <w:r>
              <w:rPr>
                <w:rFonts w:ascii="Verdana" w:hAnsi="Verdana"/>
                <w:color w:val="000000"/>
                <w:sz w:val="16"/>
                <w:szCs w:val="16"/>
                <w:lang w:val="en-US"/>
              </w:rPr>
              <w:t>make a decision</w:t>
            </w:r>
            <w:proofErr w:type="gramEnd"/>
            <w:r>
              <w:rPr>
                <w:rFonts w:ascii="Verdana" w:hAnsi="Verdana"/>
                <w:color w:val="000000"/>
                <w:sz w:val="16"/>
                <w:szCs w:val="16"/>
                <w:lang w:val="en-US"/>
              </w:rPr>
              <w:t>.</w:t>
            </w:r>
          </w:p>
        </w:tc>
      </w:tr>
      <w:tr w:rsidR="00FE496B" w14:paraId="5B4BCC69" w14:textId="77777777" w:rsidTr="00FE496B">
        <w:tc>
          <w:tcPr>
            <w:tcW w:w="4443" w:type="dxa"/>
            <w:hideMark/>
          </w:tcPr>
          <w:p w14:paraId="18F4694A" w14:textId="77777777" w:rsidR="00FE496B" w:rsidRDefault="00FE496B">
            <w:pPr>
              <w:pStyle w:val="texto"/>
              <w:spacing w:line="272" w:lineRule="exact"/>
              <w:ind w:firstLine="0"/>
              <w:rPr>
                <w:rFonts w:ascii="Verdana" w:hAnsi="Verdana"/>
                <w:color w:val="000000"/>
                <w:sz w:val="16"/>
                <w:szCs w:val="16"/>
                <w:lang w:val="es-ES_tradnl"/>
              </w:rPr>
            </w:pPr>
            <w:r>
              <w:rPr>
                <w:rFonts w:ascii="Verdana" w:hAnsi="Verdana"/>
                <w:color w:val="000000"/>
                <w:sz w:val="16"/>
                <w:szCs w:val="16"/>
                <w:lang w:val="es-ES_tradnl"/>
              </w:rPr>
              <w:t>3.</w:t>
            </w:r>
            <w:r>
              <w:rPr>
                <w:rFonts w:ascii="Verdana" w:hAnsi="Verdana"/>
                <w:color w:val="000000"/>
                <w:sz w:val="16"/>
                <w:szCs w:val="16"/>
                <w:lang w:val="es-ES_tradnl"/>
              </w:rPr>
              <w:tab/>
              <w:t>Para la modificación de los Programas de Trabajo y Presupuesto, el artículo 35 señala:</w:t>
            </w:r>
          </w:p>
        </w:tc>
        <w:tc>
          <w:tcPr>
            <w:tcW w:w="4389" w:type="dxa"/>
            <w:hideMark/>
          </w:tcPr>
          <w:p w14:paraId="7377F054" w14:textId="77777777" w:rsidR="00FE496B" w:rsidRDefault="00FE496B">
            <w:pPr>
              <w:pStyle w:val="texto"/>
              <w:spacing w:line="272" w:lineRule="exact"/>
              <w:ind w:firstLine="0"/>
              <w:rPr>
                <w:rFonts w:ascii="Verdana" w:hAnsi="Verdana"/>
                <w:color w:val="000000"/>
                <w:sz w:val="16"/>
                <w:szCs w:val="16"/>
                <w:lang w:val="en-US"/>
              </w:rPr>
            </w:pPr>
            <w:r>
              <w:rPr>
                <w:rFonts w:ascii="Verdana" w:hAnsi="Verdana"/>
                <w:color w:val="000000"/>
                <w:sz w:val="16"/>
                <w:szCs w:val="16"/>
                <w:lang w:val="en-US"/>
              </w:rPr>
              <w:t xml:space="preserve">3. </w:t>
            </w:r>
            <w:r>
              <w:rPr>
                <w:rFonts w:ascii="Verdana" w:hAnsi="Verdana"/>
                <w:color w:val="000000"/>
                <w:sz w:val="16"/>
                <w:szCs w:val="16"/>
                <w:lang w:val="en-US"/>
              </w:rPr>
              <w:tab/>
              <w:t>For the modification of the Work Programs and Budget, article 35 states:</w:t>
            </w:r>
          </w:p>
        </w:tc>
      </w:tr>
      <w:tr w:rsidR="00FE496B" w14:paraId="247E167F" w14:textId="77777777" w:rsidTr="00FE496B">
        <w:tc>
          <w:tcPr>
            <w:tcW w:w="4443" w:type="dxa"/>
            <w:hideMark/>
          </w:tcPr>
          <w:p w14:paraId="05EDC8C4" w14:textId="77777777" w:rsidR="00FE496B" w:rsidRDefault="00FE496B">
            <w:pPr>
              <w:pStyle w:val="texto"/>
              <w:spacing w:line="272" w:lineRule="exact"/>
              <w:ind w:firstLine="0"/>
              <w:rPr>
                <w:rFonts w:ascii="Verdana" w:hAnsi="Verdana"/>
                <w:i/>
                <w:sz w:val="16"/>
                <w:szCs w:val="16"/>
                <w:lang w:val="es-ES_tradnl"/>
              </w:rPr>
            </w:pPr>
            <w:r>
              <w:rPr>
                <w:rFonts w:ascii="Verdana" w:hAnsi="Verdana"/>
                <w:i/>
                <w:sz w:val="16"/>
                <w:szCs w:val="16"/>
                <w:lang w:val="es-ES_tradnl"/>
              </w:rPr>
              <w:t>“</w:t>
            </w:r>
            <w:r>
              <w:rPr>
                <w:rFonts w:ascii="Verdana" w:hAnsi="Verdana"/>
                <w:b/>
                <w:i/>
                <w:sz w:val="16"/>
                <w:szCs w:val="16"/>
                <w:lang w:val="es-ES_tradnl"/>
              </w:rPr>
              <w:t>Artículo 35. Del plazo para resolver la solicitud de modificación del Programa de Trabajo y Presupuesto.</w:t>
            </w:r>
            <w:r>
              <w:rPr>
                <w:rFonts w:ascii="Verdana" w:hAnsi="Verdana"/>
                <w:i/>
                <w:sz w:val="16"/>
                <w:szCs w:val="16"/>
                <w:lang w:val="es-ES_tradnl"/>
              </w:rPr>
              <w:t xml:space="preserve"> La Comisión resolverá respecto de la modificación del Programa de Trabajo y Presupuesto </w:t>
            </w:r>
            <w:r>
              <w:rPr>
                <w:rFonts w:ascii="Verdana" w:hAnsi="Verdana"/>
                <w:b/>
                <w:i/>
                <w:sz w:val="16"/>
                <w:szCs w:val="16"/>
                <w:lang w:val="es-ES_tradnl"/>
              </w:rPr>
              <w:t>en un plazo no mayor a quince días hábiles, contados a partir del día siguiente a la recepción de la solicitud de modificación al Programa de Trabajo y Presupuesto.</w:t>
            </w:r>
            <w:r>
              <w:rPr>
                <w:rFonts w:ascii="Verdana" w:hAnsi="Verdana"/>
                <w:i/>
                <w:sz w:val="16"/>
                <w:szCs w:val="16"/>
                <w:lang w:val="es-ES_tradnl"/>
              </w:rPr>
              <w:t xml:space="preserve"> Si la Comisión no resuelve la solicitud en el tiempo establecido, la misma se entenderá en sentido favorable.”</w:t>
            </w:r>
          </w:p>
        </w:tc>
        <w:tc>
          <w:tcPr>
            <w:tcW w:w="4389" w:type="dxa"/>
            <w:hideMark/>
          </w:tcPr>
          <w:p w14:paraId="0E3BBAE8" w14:textId="77777777" w:rsidR="00FE496B" w:rsidRDefault="00FE496B">
            <w:pPr>
              <w:pStyle w:val="texto"/>
              <w:spacing w:line="272" w:lineRule="exact"/>
              <w:ind w:firstLine="0"/>
              <w:rPr>
                <w:rFonts w:ascii="Verdana" w:hAnsi="Verdana"/>
                <w:i/>
                <w:sz w:val="16"/>
                <w:szCs w:val="16"/>
                <w:lang w:val="en-US"/>
              </w:rPr>
            </w:pPr>
            <w:r>
              <w:rPr>
                <w:rFonts w:ascii="Verdana" w:hAnsi="Verdana"/>
                <w:i/>
                <w:sz w:val="16"/>
                <w:szCs w:val="16"/>
                <w:lang w:val="en-US"/>
              </w:rPr>
              <w:t>“</w:t>
            </w:r>
            <w:r>
              <w:rPr>
                <w:rFonts w:ascii="Verdana" w:hAnsi="Verdana"/>
                <w:b/>
                <w:i/>
                <w:sz w:val="16"/>
                <w:szCs w:val="16"/>
                <w:lang w:val="en-US"/>
              </w:rPr>
              <w:t xml:space="preserve">Article 35. The term to resolve the request for modification of the Work Program and Budget. </w:t>
            </w:r>
            <w:r>
              <w:rPr>
                <w:rFonts w:ascii="Verdana" w:hAnsi="Verdana"/>
                <w:i/>
                <w:sz w:val="16"/>
                <w:szCs w:val="16"/>
                <w:lang w:val="en-US"/>
              </w:rPr>
              <w:t xml:space="preserve">The Commission will decide on the modification of the Work Program and Budget </w:t>
            </w:r>
            <w:r>
              <w:rPr>
                <w:rFonts w:ascii="Verdana" w:hAnsi="Verdana"/>
                <w:b/>
                <w:i/>
                <w:sz w:val="16"/>
                <w:szCs w:val="16"/>
                <w:lang w:val="en-US"/>
              </w:rPr>
              <w:t xml:space="preserve">within a period of no more than fifteen business days, counted from the day following receipt of the request for modification to the Work Program and Budget. </w:t>
            </w:r>
            <w:r>
              <w:rPr>
                <w:rFonts w:ascii="Verdana" w:hAnsi="Verdana"/>
                <w:i/>
                <w:sz w:val="16"/>
                <w:szCs w:val="16"/>
                <w:lang w:val="en-US"/>
              </w:rPr>
              <w:t>If the Commission does not resolve the request within the established time, it will be understood in a favorable sense."</w:t>
            </w:r>
          </w:p>
        </w:tc>
      </w:tr>
      <w:tr w:rsidR="00FE496B" w14:paraId="57D63EDC" w14:textId="77777777" w:rsidTr="00FE496B">
        <w:tc>
          <w:tcPr>
            <w:tcW w:w="4443" w:type="dxa"/>
            <w:hideMark/>
          </w:tcPr>
          <w:p w14:paraId="1431D32A" w14:textId="77777777" w:rsidR="00FE496B" w:rsidRDefault="00FE496B">
            <w:pPr>
              <w:pStyle w:val="texto"/>
              <w:spacing w:line="272" w:lineRule="exact"/>
              <w:ind w:firstLine="0"/>
              <w:jc w:val="right"/>
              <w:rPr>
                <w:rFonts w:ascii="Verdana" w:hAnsi="Verdana"/>
                <w:i/>
                <w:sz w:val="16"/>
                <w:szCs w:val="16"/>
                <w:lang w:val="es-ES_tradnl"/>
              </w:rPr>
            </w:pPr>
            <w:r w:rsidRPr="00FE496B">
              <w:rPr>
                <w:rFonts w:ascii="Verdana" w:hAnsi="Verdana"/>
                <w:i/>
                <w:sz w:val="16"/>
                <w:szCs w:val="16"/>
                <w:lang w:val="en-US"/>
              </w:rPr>
              <w:t xml:space="preserve"> </w:t>
            </w:r>
            <w:r>
              <w:rPr>
                <w:rFonts w:ascii="Verdana" w:hAnsi="Verdana"/>
                <w:i/>
                <w:sz w:val="16"/>
                <w:szCs w:val="16"/>
                <w:lang w:val="es-ES_tradnl"/>
              </w:rPr>
              <w:t>[Énfasis añadido]</w:t>
            </w:r>
          </w:p>
        </w:tc>
        <w:tc>
          <w:tcPr>
            <w:tcW w:w="4389" w:type="dxa"/>
            <w:hideMark/>
          </w:tcPr>
          <w:p w14:paraId="567EC19B" w14:textId="77777777" w:rsidR="00FE496B" w:rsidRDefault="00FE496B">
            <w:pPr>
              <w:pStyle w:val="texto"/>
              <w:spacing w:line="272" w:lineRule="exact"/>
              <w:ind w:firstLine="0"/>
              <w:jc w:val="right"/>
              <w:rPr>
                <w:rFonts w:ascii="Verdana" w:hAnsi="Verdana"/>
                <w:i/>
                <w:sz w:val="16"/>
                <w:szCs w:val="16"/>
                <w:lang w:val="en-US"/>
              </w:rPr>
            </w:pPr>
            <w:r>
              <w:rPr>
                <w:rFonts w:ascii="Verdana" w:hAnsi="Verdana"/>
                <w:i/>
                <w:sz w:val="16"/>
                <w:szCs w:val="16"/>
                <w:lang w:val="en-US"/>
              </w:rPr>
              <w:t>[Emphasis added]</w:t>
            </w:r>
          </w:p>
        </w:tc>
      </w:tr>
      <w:tr w:rsidR="00FE496B" w14:paraId="09A13674" w14:textId="77777777" w:rsidTr="00FE496B">
        <w:tc>
          <w:tcPr>
            <w:tcW w:w="4443" w:type="dxa"/>
            <w:hideMark/>
          </w:tcPr>
          <w:p w14:paraId="513658CF" w14:textId="77777777" w:rsidR="00FE496B" w:rsidRDefault="00FE496B">
            <w:pPr>
              <w:pStyle w:val="texto"/>
              <w:spacing w:line="272" w:lineRule="exact"/>
              <w:ind w:firstLine="0"/>
              <w:rPr>
                <w:rFonts w:ascii="Verdana" w:hAnsi="Verdana"/>
                <w:color w:val="000000"/>
                <w:sz w:val="16"/>
                <w:szCs w:val="16"/>
                <w:lang w:val="es-ES_tradnl"/>
              </w:rPr>
            </w:pPr>
            <w:r>
              <w:rPr>
                <w:rFonts w:ascii="Verdana" w:hAnsi="Verdana"/>
                <w:color w:val="000000"/>
                <w:sz w:val="16"/>
                <w:szCs w:val="16"/>
                <w:lang w:val="es-ES_tradnl"/>
              </w:rPr>
              <w:t>De lo anterior se advierte que, para este supuesto, la Comisión cuenta con quince días hábiles para pronunciarse; destacando que dicha modificación puede ser realizada de manera individual o conjunta con la modificación de los Planes en los términos previstos en los Lineamientos.</w:t>
            </w:r>
          </w:p>
        </w:tc>
        <w:tc>
          <w:tcPr>
            <w:tcW w:w="4389" w:type="dxa"/>
            <w:hideMark/>
          </w:tcPr>
          <w:p w14:paraId="2CF9E3B4" w14:textId="77777777" w:rsidR="00FE496B" w:rsidRDefault="00FE496B">
            <w:pPr>
              <w:pStyle w:val="texto"/>
              <w:spacing w:line="272" w:lineRule="exact"/>
              <w:ind w:firstLine="0"/>
              <w:rPr>
                <w:rFonts w:ascii="Verdana" w:hAnsi="Verdana"/>
                <w:color w:val="000000"/>
                <w:sz w:val="16"/>
                <w:szCs w:val="16"/>
                <w:lang w:val="en-US"/>
              </w:rPr>
            </w:pPr>
            <w:r>
              <w:rPr>
                <w:rFonts w:ascii="Verdana" w:hAnsi="Verdana"/>
                <w:color w:val="000000"/>
                <w:sz w:val="16"/>
                <w:szCs w:val="16"/>
                <w:lang w:val="en-US"/>
              </w:rPr>
              <w:t xml:space="preserve">From the foregoing it is noted that, for this case, the Commission has fifteen business days to </w:t>
            </w:r>
            <w:proofErr w:type="gramStart"/>
            <w:r>
              <w:rPr>
                <w:rFonts w:ascii="Verdana" w:hAnsi="Verdana"/>
                <w:color w:val="000000"/>
                <w:sz w:val="16"/>
                <w:szCs w:val="16"/>
                <w:lang w:val="en-US"/>
              </w:rPr>
              <w:t>make a decision</w:t>
            </w:r>
            <w:proofErr w:type="gramEnd"/>
            <w:r>
              <w:rPr>
                <w:rFonts w:ascii="Verdana" w:hAnsi="Verdana"/>
                <w:color w:val="000000"/>
                <w:sz w:val="16"/>
                <w:szCs w:val="16"/>
                <w:lang w:val="en-US"/>
              </w:rPr>
              <w:t>; highlighting that said modification can be carried out individually or jointly with the modification of the Plans in the terms provided in the Guidelines.</w:t>
            </w:r>
          </w:p>
        </w:tc>
      </w:tr>
      <w:tr w:rsidR="00FE496B" w14:paraId="1440113A" w14:textId="77777777" w:rsidTr="00FE496B">
        <w:tc>
          <w:tcPr>
            <w:tcW w:w="4443" w:type="dxa"/>
            <w:hideMark/>
          </w:tcPr>
          <w:p w14:paraId="08B2AD40" w14:textId="77777777" w:rsidR="00FE496B" w:rsidRDefault="00FE496B">
            <w:pPr>
              <w:pStyle w:val="texto"/>
              <w:spacing w:line="274" w:lineRule="exact"/>
              <w:ind w:firstLine="0"/>
              <w:rPr>
                <w:rFonts w:ascii="Verdana" w:hAnsi="Verdana"/>
                <w:color w:val="000000"/>
                <w:sz w:val="16"/>
                <w:szCs w:val="16"/>
                <w:lang w:val="es-ES_tradnl"/>
              </w:rPr>
            </w:pPr>
            <w:r>
              <w:rPr>
                <w:rFonts w:ascii="Verdana" w:hAnsi="Verdana"/>
                <w:color w:val="000000"/>
                <w:sz w:val="16"/>
                <w:szCs w:val="16"/>
                <w:lang w:val="es-ES_tradnl"/>
              </w:rPr>
              <w:t>Por otro lado, cabe hacer mención que el artículo 23 de los Lineamientos establece un plazo máximo de treinta y cinco días hábiles para que la Comisión se pronuncie respecto de la modificación de los Planes, conforme a lo siguiente:</w:t>
            </w:r>
          </w:p>
        </w:tc>
        <w:tc>
          <w:tcPr>
            <w:tcW w:w="4389" w:type="dxa"/>
            <w:hideMark/>
          </w:tcPr>
          <w:p w14:paraId="49AD3110" w14:textId="77777777" w:rsidR="00FE496B" w:rsidRDefault="00FE496B">
            <w:pPr>
              <w:pStyle w:val="texto"/>
              <w:spacing w:line="274" w:lineRule="exact"/>
              <w:ind w:firstLine="0"/>
              <w:rPr>
                <w:rFonts w:ascii="Verdana" w:hAnsi="Verdana"/>
                <w:color w:val="000000"/>
                <w:sz w:val="16"/>
                <w:szCs w:val="16"/>
                <w:lang w:val="en-US"/>
              </w:rPr>
            </w:pPr>
            <w:r>
              <w:rPr>
                <w:rFonts w:ascii="Verdana" w:hAnsi="Verdana"/>
                <w:color w:val="000000"/>
                <w:sz w:val="16"/>
                <w:szCs w:val="16"/>
                <w:lang w:val="en-US"/>
              </w:rPr>
              <w:t>On the other hand, it is worth mentioning that article 23 of the Guidelines establishes a maximum period of thirty-five business days for the Commission to rule on the modification of the Plans, in accordance with the following:</w:t>
            </w:r>
          </w:p>
        </w:tc>
      </w:tr>
      <w:tr w:rsidR="00FE496B" w14:paraId="50240F61" w14:textId="77777777" w:rsidTr="00FE496B">
        <w:tc>
          <w:tcPr>
            <w:tcW w:w="4443" w:type="dxa"/>
            <w:hideMark/>
          </w:tcPr>
          <w:p w14:paraId="78E18C73" w14:textId="77777777" w:rsidR="00FE496B" w:rsidRDefault="00FE496B">
            <w:pPr>
              <w:pStyle w:val="texto"/>
              <w:spacing w:line="274" w:lineRule="exact"/>
              <w:ind w:firstLine="0"/>
              <w:rPr>
                <w:rFonts w:ascii="Verdana" w:hAnsi="Verdana"/>
                <w:i/>
                <w:color w:val="000000"/>
                <w:sz w:val="16"/>
                <w:szCs w:val="16"/>
                <w:lang w:val="es-ES_tradnl"/>
              </w:rPr>
            </w:pPr>
            <w:r>
              <w:rPr>
                <w:rFonts w:ascii="Verdana" w:hAnsi="Verdana"/>
                <w:b/>
                <w:i/>
                <w:color w:val="000000"/>
                <w:sz w:val="16"/>
                <w:szCs w:val="16"/>
                <w:lang w:val="es-ES_tradnl"/>
              </w:rPr>
              <w:t>“Artículo 23. Del plazo para resolver la solicitud de modificación.</w:t>
            </w:r>
            <w:r>
              <w:rPr>
                <w:rFonts w:ascii="Verdana" w:hAnsi="Verdana"/>
                <w:i/>
                <w:color w:val="000000"/>
                <w:sz w:val="16"/>
                <w:szCs w:val="16"/>
                <w:lang w:val="es-ES_tradnl"/>
              </w:rPr>
              <w:t xml:space="preserve"> La Comisión resolverá respecto de la modificación al Plan </w:t>
            </w:r>
            <w:r>
              <w:rPr>
                <w:rFonts w:ascii="Verdana" w:hAnsi="Verdana"/>
                <w:b/>
                <w:i/>
                <w:color w:val="000000"/>
                <w:sz w:val="16"/>
                <w:szCs w:val="16"/>
                <w:lang w:val="es-ES_tradnl"/>
              </w:rPr>
              <w:t>en un plazo no mayor a treinta y cinco días hábiles</w:t>
            </w:r>
            <w:r>
              <w:rPr>
                <w:rFonts w:ascii="Verdana" w:hAnsi="Verdana"/>
                <w:i/>
                <w:color w:val="000000"/>
                <w:sz w:val="16"/>
                <w:szCs w:val="16"/>
                <w:lang w:val="es-ES_tradnl"/>
              </w:rPr>
              <w:t xml:space="preserve">, contados a partir del día hábil siguiente a la recepción de la </w:t>
            </w:r>
            <w:r>
              <w:rPr>
                <w:rFonts w:ascii="Verdana" w:hAnsi="Verdana"/>
                <w:i/>
                <w:color w:val="000000"/>
                <w:sz w:val="16"/>
                <w:szCs w:val="16"/>
                <w:lang w:val="es-ES_tradnl"/>
              </w:rPr>
              <w:lastRenderedPageBreak/>
              <w:t>solicitud de modificación del Plan. Si la Comisión no resuelve la solicitud dentro del plazo establecido, la misma se entenderá en sentido favorable”</w:t>
            </w:r>
          </w:p>
        </w:tc>
        <w:tc>
          <w:tcPr>
            <w:tcW w:w="4389" w:type="dxa"/>
            <w:hideMark/>
          </w:tcPr>
          <w:p w14:paraId="7FD60252" w14:textId="77777777" w:rsidR="00FE496B" w:rsidRDefault="00FE496B">
            <w:pPr>
              <w:pStyle w:val="texto"/>
              <w:spacing w:line="274" w:lineRule="exact"/>
              <w:ind w:firstLine="0"/>
              <w:rPr>
                <w:rFonts w:ascii="Verdana" w:hAnsi="Verdana"/>
                <w:b/>
                <w:i/>
                <w:color w:val="000000"/>
                <w:sz w:val="16"/>
                <w:szCs w:val="16"/>
                <w:lang w:val="en-US"/>
              </w:rPr>
            </w:pPr>
            <w:r>
              <w:rPr>
                <w:rFonts w:ascii="Verdana" w:hAnsi="Verdana"/>
                <w:b/>
                <w:i/>
                <w:color w:val="000000"/>
                <w:sz w:val="16"/>
                <w:szCs w:val="16"/>
                <w:lang w:val="en-US"/>
              </w:rPr>
              <w:lastRenderedPageBreak/>
              <w:t xml:space="preserve">“Article 23. The term to resolve the request for modification. </w:t>
            </w:r>
            <w:r>
              <w:rPr>
                <w:rFonts w:ascii="Verdana" w:hAnsi="Verdana"/>
                <w:i/>
                <w:color w:val="000000"/>
                <w:sz w:val="16"/>
                <w:szCs w:val="16"/>
                <w:lang w:val="en-US"/>
              </w:rPr>
              <w:t xml:space="preserve">The Commission will resolve regarding the modification to the Plan </w:t>
            </w:r>
            <w:r>
              <w:rPr>
                <w:rFonts w:ascii="Verdana" w:hAnsi="Verdana"/>
                <w:b/>
                <w:i/>
                <w:color w:val="000000"/>
                <w:sz w:val="16"/>
                <w:szCs w:val="16"/>
                <w:lang w:val="en-US"/>
              </w:rPr>
              <w:t>in a period not exceeding thirty-five business days,</w:t>
            </w:r>
            <w:r>
              <w:rPr>
                <w:rFonts w:ascii="Verdana" w:hAnsi="Verdana"/>
                <w:i/>
                <w:color w:val="000000"/>
                <w:sz w:val="16"/>
                <w:szCs w:val="16"/>
                <w:lang w:val="en-US"/>
              </w:rPr>
              <w:t xml:space="preserve"> counted from the business day following receipt of </w:t>
            </w:r>
            <w:r>
              <w:rPr>
                <w:rFonts w:ascii="Verdana" w:hAnsi="Verdana"/>
                <w:i/>
                <w:color w:val="000000"/>
                <w:sz w:val="16"/>
                <w:szCs w:val="16"/>
                <w:lang w:val="en-US"/>
              </w:rPr>
              <w:lastRenderedPageBreak/>
              <w:t>the request for modification of the Plan. If the Commission does not resolve the request within the established term, it will be understood in a favorable sense.</w:t>
            </w:r>
          </w:p>
        </w:tc>
      </w:tr>
      <w:tr w:rsidR="00FE496B" w14:paraId="1FEFC846" w14:textId="77777777" w:rsidTr="00FE496B">
        <w:tc>
          <w:tcPr>
            <w:tcW w:w="4443" w:type="dxa"/>
            <w:hideMark/>
          </w:tcPr>
          <w:p w14:paraId="126EE55E" w14:textId="77777777" w:rsidR="00FE496B" w:rsidRDefault="00FE496B">
            <w:pPr>
              <w:pStyle w:val="texto"/>
              <w:spacing w:line="274" w:lineRule="exact"/>
              <w:ind w:firstLine="0"/>
              <w:jc w:val="right"/>
              <w:rPr>
                <w:rFonts w:ascii="Verdana" w:hAnsi="Verdana"/>
                <w:i/>
                <w:sz w:val="16"/>
                <w:szCs w:val="16"/>
                <w:lang w:val="es-ES_tradnl"/>
              </w:rPr>
            </w:pPr>
            <w:r w:rsidRPr="00FE496B">
              <w:rPr>
                <w:rFonts w:ascii="Verdana" w:hAnsi="Verdana"/>
                <w:i/>
                <w:color w:val="000000"/>
                <w:sz w:val="16"/>
                <w:szCs w:val="16"/>
                <w:lang w:val="en-US"/>
              </w:rPr>
              <w:lastRenderedPageBreak/>
              <w:t xml:space="preserve"> </w:t>
            </w:r>
            <w:r>
              <w:rPr>
                <w:rFonts w:ascii="Verdana" w:hAnsi="Verdana"/>
                <w:i/>
                <w:sz w:val="16"/>
                <w:szCs w:val="16"/>
                <w:lang w:val="es-ES_tradnl"/>
              </w:rPr>
              <w:t>[Énfasis añadido]</w:t>
            </w:r>
          </w:p>
        </w:tc>
        <w:tc>
          <w:tcPr>
            <w:tcW w:w="4389" w:type="dxa"/>
            <w:hideMark/>
          </w:tcPr>
          <w:p w14:paraId="4361F48E" w14:textId="77777777" w:rsidR="00FE496B" w:rsidRDefault="00FE496B">
            <w:pPr>
              <w:pStyle w:val="texto"/>
              <w:spacing w:line="274" w:lineRule="exact"/>
              <w:ind w:firstLine="0"/>
              <w:jc w:val="right"/>
              <w:rPr>
                <w:rFonts w:ascii="Verdana" w:hAnsi="Verdana"/>
                <w:i/>
                <w:color w:val="000000"/>
                <w:sz w:val="16"/>
                <w:szCs w:val="16"/>
                <w:lang w:val="en-US"/>
              </w:rPr>
            </w:pPr>
            <w:r>
              <w:rPr>
                <w:rFonts w:ascii="Verdana" w:hAnsi="Verdana"/>
                <w:i/>
                <w:color w:val="000000"/>
                <w:sz w:val="16"/>
                <w:szCs w:val="16"/>
                <w:lang w:val="en-US"/>
              </w:rPr>
              <w:t xml:space="preserve"> </w:t>
            </w:r>
            <w:r>
              <w:rPr>
                <w:rFonts w:ascii="Verdana" w:hAnsi="Verdana"/>
                <w:i/>
                <w:sz w:val="16"/>
                <w:szCs w:val="16"/>
                <w:lang w:val="en-US"/>
              </w:rPr>
              <w:t>[Emphasis added]</w:t>
            </w:r>
          </w:p>
        </w:tc>
      </w:tr>
      <w:tr w:rsidR="00FE496B" w14:paraId="1A442670" w14:textId="77777777" w:rsidTr="00FE496B">
        <w:tc>
          <w:tcPr>
            <w:tcW w:w="4443" w:type="dxa"/>
            <w:hideMark/>
          </w:tcPr>
          <w:p w14:paraId="4CE2F35B" w14:textId="77777777" w:rsidR="00FE496B" w:rsidRDefault="00FE496B">
            <w:pPr>
              <w:pStyle w:val="texto"/>
              <w:spacing w:line="274" w:lineRule="exact"/>
              <w:ind w:firstLine="0"/>
              <w:rPr>
                <w:rFonts w:ascii="Verdana" w:hAnsi="Verdana"/>
                <w:color w:val="000000"/>
                <w:sz w:val="16"/>
                <w:szCs w:val="16"/>
                <w:lang w:val="es-ES_tradnl"/>
              </w:rPr>
            </w:pPr>
            <w:r>
              <w:rPr>
                <w:rFonts w:ascii="Verdana" w:hAnsi="Verdana"/>
                <w:b/>
                <w:color w:val="000000"/>
                <w:sz w:val="16"/>
                <w:szCs w:val="16"/>
                <w:lang w:val="es-ES_tradnl"/>
              </w:rPr>
              <w:t>QUINTO.</w:t>
            </w:r>
            <w:r>
              <w:rPr>
                <w:rFonts w:ascii="Verdana" w:hAnsi="Verdana"/>
                <w:color w:val="000000"/>
                <w:sz w:val="16"/>
                <w:szCs w:val="16"/>
                <w:lang w:val="es-ES_tradnl"/>
              </w:rPr>
              <w:t xml:space="preserve"> </w:t>
            </w:r>
            <w:proofErr w:type="gramStart"/>
            <w:r>
              <w:rPr>
                <w:rFonts w:ascii="Verdana" w:hAnsi="Verdana"/>
                <w:color w:val="000000"/>
                <w:sz w:val="16"/>
                <w:szCs w:val="16"/>
                <w:lang w:val="es-ES_tradnl"/>
              </w:rPr>
              <w:t>Que</w:t>
            </w:r>
            <w:proofErr w:type="gramEnd"/>
            <w:r>
              <w:rPr>
                <w:rFonts w:ascii="Verdana" w:hAnsi="Verdana"/>
                <w:color w:val="000000"/>
                <w:sz w:val="16"/>
                <w:szCs w:val="16"/>
                <w:lang w:val="es-ES_tradnl"/>
              </w:rPr>
              <w:t xml:space="preserve"> para evaluar los Programas de Trabajo y Presupuesto, así como sus modificaciones, la Comisión considera la congruencia de estos con los Planes que correspondan, como refieren los artículos 31 y 37 de los Lineamientos:</w:t>
            </w:r>
          </w:p>
        </w:tc>
        <w:tc>
          <w:tcPr>
            <w:tcW w:w="4389" w:type="dxa"/>
            <w:hideMark/>
          </w:tcPr>
          <w:p w14:paraId="399EC04D" w14:textId="77777777" w:rsidR="00FE496B" w:rsidRDefault="00FE496B">
            <w:pPr>
              <w:pStyle w:val="texto"/>
              <w:spacing w:line="274" w:lineRule="exact"/>
              <w:ind w:firstLine="0"/>
              <w:rPr>
                <w:rFonts w:ascii="Verdana" w:hAnsi="Verdana"/>
                <w:b/>
                <w:color w:val="000000"/>
                <w:sz w:val="16"/>
                <w:szCs w:val="16"/>
                <w:lang w:val="en-US"/>
              </w:rPr>
            </w:pPr>
            <w:r>
              <w:rPr>
                <w:rFonts w:ascii="Verdana" w:hAnsi="Verdana"/>
                <w:b/>
                <w:color w:val="000000"/>
                <w:sz w:val="16"/>
                <w:szCs w:val="16"/>
                <w:lang w:val="en-US"/>
              </w:rPr>
              <w:t>FIFTH.</w:t>
            </w:r>
            <w:r>
              <w:rPr>
                <w:rFonts w:ascii="Verdana" w:hAnsi="Verdana"/>
                <w:color w:val="000000"/>
                <w:sz w:val="16"/>
                <w:szCs w:val="16"/>
                <w:lang w:val="en-US"/>
              </w:rPr>
              <w:t xml:space="preserve"> That </w:t>
            </w:r>
            <w:proofErr w:type="gramStart"/>
            <w:r>
              <w:rPr>
                <w:rFonts w:ascii="Verdana" w:hAnsi="Verdana"/>
                <w:color w:val="000000"/>
                <w:sz w:val="16"/>
                <w:szCs w:val="16"/>
                <w:lang w:val="en-US"/>
              </w:rPr>
              <w:t>in order to</w:t>
            </w:r>
            <w:proofErr w:type="gramEnd"/>
            <w:r>
              <w:rPr>
                <w:rFonts w:ascii="Verdana" w:hAnsi="Verdana"/>
                <w:color w:val="000000"/>
                <w:sz w:val="16"/>
                <w:szCs w:val="16"/>
                <w:lang w:val="en-US"/>
              </w:rPr>
              <w:t xml:space="preserve"> evaluate the Work and Budget Programs, as well as their modifications, the Commission considers their consistency with the corresponding Plans, as referred to in Articles 31 and 37 of the Guidelines:</w:t>
            </w:r>
          </w:p>
        </w:tc>
      </w:tr>
      <w:tr w:rsidR="00FE496B" w14:paraId="4D5B65C2" w14:textId="77777777" w:rsidTr="00FE496B">
        <w:tc>
          <w:tcPr>
            <w:tcW w:w="4443" w:type="dxa"/>
            <w:hideMark/>
          </w:tcPr>
          <w:p w14:paraId="43834FB5" w14:textId="77777777" w:rsidR="00FE496B" w:rsidRDefault="00FE496B">
            <w:pPr>
              <w:pStyle w:val="texto"/>
              <w:spacing w:line="274"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 xml:space="preserve">Artículo 31. De los criterios para evaluar el Programa de Trabajo y Presupuesto. </w:t>
            </w:r>
            <w:r>
              <w:rPr>
                <w:rFonts w:ascii="Verdana" w:hAnsi="Verdana"/>
                <w:i/>
                <w:color w:val="000000"/>
                <w:sz w:val="16"/>
                <w:szCs w:val="16"/>
                <w:lang w:val="es-ES_tradnl"/>
              </w:rPr>
              <w:t>Para la aprobación del Programa de Trabajo y Presupuesto, la Comisión evaluará:</w:t>
            </w:r>
          </w:p>
        </w:tc>
        <w:tc>
          <w:tcPr>
            <w:tcW w:w="4389" w:type="dxa"/>
            <w:hideMark/>
          </w:tcPr>
          <w:p w14:paraId="1F95B55D" w14:textId="77777777" w:rsidR="00FE496B" w:rsidRDefault="00FE496B">
            <w:pPr>
              <w:pStyle w:val="texto"/>
              <w:spacing w:line="274" w:lineRule="exact"/>
              <w:ind w:firstLine="0"/>
              <w:rPr>
                <w:rFonts w:ascii="Verdana" w:hAnsi="Verdana"/>
                <w:i/>
                <w:color w:val="000000"/>
                <w:sz w:val="16"/>
                <w:szCs w:val="16"/>
                <w:lang w:val="en-US"/>
              </w:rPr>
            </w:pPr>
            <w:r>
              <w:rPr>
                <w:rFonts w:ascii="Verdana" w:hAnsi="Verdana"/>
                <w:i/>
                <w:color w:val="000000"/>
                <w:sz w:val="16"/>
                <w:szCs w:val="16"/>
                <w:lang w:val="en-US"/>
              </w:rPr>
              <w:t>“</w:t>
            </w:r>
            <w:r>
              <w:rPr>
                <w:rFonts w:ascii="Verdana" w:hAnsi="Verdana"/>
                <w:b/>
                <w:i/>
                <w:color w:val="000000"/>
                <w:sz w:val="16"/>
                <w:szCs w:val="16"/>
                <w:lang w:val="en-US"/>
              </w:rPr>
              <w:t xml:space="preserve">Article 31. Of the criteria to evaluate the Work Program and Budget. </w:t>
            </w:r>
            <w:r>
              <w:rPr>
                <w:rFonts w:ascii="Verdana" w:hAnsi="Verdana"/>
                <w:i/>
                <w:color w:val="000000"/>
                <w:sz w:val="16"/>
                <w:szCs w:val="16"/>
                <w:lang w:val="en-US"/>
              </w:rPr>
              <w:t>For the approval of the Work Program and Budget, the Commission will evaluate:</w:t>
            </w:r>
          </w:p>
        </w:tc>
      </w:tr>
      <w:tr w:rsidR="00FE496B" w14:paraId="4879CCF7" w14:textId="77777777" w:rsidTr="00FE496B">
        <w:tc>
          <w:tcPr>
            <w:tcW w:w="4443" w:type="dxa"/>
            <w:hideMark/>
          </w:tcPr>
          <w:p w14:paraId="465BAD6D" w14:textId="77777777" w:rsidR="00FE496B" w:rsidRDefault="00FE496B">
            <w:pPr>
              <w:pStyle w:val="texto"/>
              <w:spacing w:line="274" w:lineRule="exact"/>
              <w:ind w:firstLine="0"/>
              <w:rPr>
                <w:rFonts w:ascii="Verdana" w:hAnsi="Verdana"/>
                <w:i/>
                <w:color w:val="000000"/>
                <w:sz w:val="16"/>
                <w:szCs w:val="16"/>
                <w:lang w:val="es-ES_tradnl"/>
              </w:rPr>
            </w:pPr>
            <w:r>
              <w:rPr>
                <w:rFonts w:ascii="Verdana" w:hAnsi="Verdana"/>
                <w:b/>
                <w:i/>
                <w:color w:val="000000"/>
                <w:sz w:val="16"/>
                <w:szCs w:val="16"/>
                <w:lang w:val="es-ES_tradnl"/>
              </w:rPr>
              <w:t>I. La congruencia del Programa de Trabajo y Presupuesto con el Plan presentado o aprobado, según corresponda</w:t>
            </w:r>
            <w:r>
              <w:rPr>
                <w:rFonts w:ascii="Verdana" w:hAnsi="Verdana"/>
                <w:i/>
                <w:color w:val="000000"/>
                <w:sz w:val="16"/>
                <w:szCs w:val="16"/>
                <w:lang w:val="es-ES_tradnl"/>
              </w:rPr>
              <w:t>, y</w:t>
            </w:r>
          </w:p>
        </w:tc>
        <w:tc>
          <w:tcPr>
            <w:tcW w:w="4389" w:type="dxa"/>
            <w:hideMark/>
          </w:tcPr>
          <w:p w14:paraId="4619024B" w14:textId="77777777" w:rsidR="00FE496B" w:rsidRDefault="00FE496B">
            <w:pPr>
              <w:pStyle w:val="texto"/>
              <w:spacing w:line="274" w:lineRule="exact"/>
              <w:ind w:firstLine="0"/>
              <w:rPr>
                <w:rFonts w:ascii="Verdana" w:hAnsi="Verdana"/>
                <w:b/>
                <w:i/>
                <w:color w:val="000000"/>
                <w:sz w:val="16"/>
                <w:szCs w:val="16"/>
                <w:lang w:val="en-US"/>
              </w:rPr>
            </w:pPr>
            <w:r>
              <w:rPr>
                <w:rFonts w:ascii="Verdana" w:hAnsi="Verdana"/>
                <w:b/>
                <w:i/>
                <w:color w:val="000000"/>
                <w:sz w:val="16"/>
                <w:szCs w:val="16"/>
                <w:lang w:val="en-US"/>
              </w:rPr>
              <w:t>I. The consistency of the Work Program and Budget with the Plan presented or approved, as appropriate,</w:t>
            </w:r>
            <w:r>
              <w:rPr>
                <w:rFonts w:ascii="Verdana" w:hAnsi="Verdana"/>
                <w:i/>
                <w:color w:val="000000"/>
                <w:sz w:val="16"/>
                <w:szCs w:val="16"/>
                <w:lang w:val="en-US"/>
              </w:rPr>
              <w:t xml:space="preserve"> and</w:t>
            </w:r>
          </w:p>
        </w:tc>
      </w:tr>
      <w:tr w:rsidR="00FE496B" w14:paraId="13A445E1" w14:textId="77777777" w:rsidTr="00FE496B">
        <w:tc>
          <w:tcPr>
            <w:tcW w:w="4443" w:type="dxa"/>
            <w:hideMark/>
          </w:tcPr>
          <w:p w14:paraId="03B8F1C8" w14:textId="77777777" w:rsidR="00FE496B" w:rsidRDefault="00FE496B">
            <w:pPr>
              <w:pStyle w:val="texto"/>
              <w:spacing w:line="274" w:lineRule="exact"/>
              <w:ind w:firstLine="0"/>
              <w:rPr>
                <w:rFonts w:ascii="Verdana" w:hAnsi="Verdana"/>
                <w:i/>
                <w:color w:val="000000"/>
                <w:sz w:val="16"/>
                <w:szCs w:val="16"/>
                <w:lang w:val="es-ES_tradnl"/>
              </w:rPr>
            </w:pPr>
            <w:r>
              <w:rPr>
                <w:rFonts w:ascii="Verdana" w:hAnsi="Verdana"/>
                <w:i/>
                <w:color w:val="000000"/>
                <w:sz w:val="16"/>
                <w:szCs w:val="16"/>
                <w:lang w:val="es-ES_tradnl"/>
              </w:rPr>
              <w:t>II. El cumplimiento del Programa Mínimo de Trabajo, el Incremento del Programa Mínimo o el Compromiso Mínimo de Trabajo, según corresponda.”</w:t>
            </w:r>
          </w:p>
        </w:tc>
        <w:tc>
          <w:tcPr>
            <w:tcW w:w="4389" w:type="dxa"/>
            <w:hideMark/>
          </w:tcPr>
          <w:p w14:paraId="69203529" w14:textId="77777777" w:rsidR="00FE496B" w:rsidRDefault="00FE496B">
            <w:pPr>
              <w:pStyle w:val="texto"/>
              <w:spacing w:line="274" w:lineRule="exact"/>
              <w:ind w:firstLine="0"/>
              <w:rPr>
                <w:rFonts w:ascii="Verdana" w:hAnsi="Verdana"/>
                <w:i/>
                <w:color w:val="000000"/>
                <w:sz w:val="16"/>
                <w:szCs w:val="16"/>
                <w:lang w:val="en-US"/>
              </w:rPr>
            </w:pPr>
            <w:r>
              <w:rPr>
                <w:rFonts w:ascii="Verdana" w:hAnsi="Verdana"/>
                <w:i/>
                <w:color w:val="000000"/>
                <w:sz w:val="16"/>
                <w:szCs w:val="16"/>
                <w:lang w:val="en-US"/>
              </w:rPr>
              <w:t xml:space="preserve">II. Compliance with the Minimum Work Program, the Increase in the Minimum </w:t>
            </w:r>
            <w:proofErr w:type="gramStart"/>
            <w:r>
              <w:rPr>
                <w:rFonts w:ascii="Verdana" w:hAnsi="Verdana"/>
                <w:i/>
                <w:color w:val="000000"/>
                <w:sz w:val="16"/>
                <w:szCs w:val="16"/>
                <w:lang w:val="en-US"/>
              </w:rPr>
              <w:t>Program</w:t>
            </w:r>
            <w:proofErr w:type="gramEnd"/>
            <w:r>
              <w:rPr>
                <w:rFonts w:ascii="Verdana" w:hAnsi="Verdana"/>
                <w:i/>
                <w:color w:val="000000"/>
                <w:sz w:val="16"/>
                <w:szCs w:val="16"/>
                <w:lang w:val="en-US"/>
              </w:rPr>
              <w:t xml:space="preserve"> or the Minimum Work Commitment, as appropriate.”</w:t>
            </w:r>
          </w:p>
        </w:tc>
      </w:tr>
      <w:tr w:rsidR="00FE496B" w14:paraId="70930AE5" w14:textId="77777777" w:rsidTr="00FE496B">
        <w:tc>
          <w:tcPr>
            <w:tcW w:w="4443" w:type="dxa"/>
            <w:hideMark/>
          </w:tcPr>
          <w:p w14:paraId="2019965E" w14:textId="77777777" w:rsidR="00FE496B" w:rsidRDefault="00FE496B">
            <w:pPr>
              <w:pStyle w:val="texto"/>
              <w:spacing w:line="274" w:lineRule="exact"/>
              <w:ind w:firstLine="0"/>
              <w:jc w:val="right"/>
              <w:rPr>
                <w:rFonts w:ascii="Verdana" w:hAnsi="Verdana"/>
                <w:i/>
                <w:sz w:val="16"/>
                <w:szCs w:val="16"/>
                <w:lang w:val="es-ES_tradnl"/>
              </w:rPr>
            </w:pPr>
            <w:r w:rsidRPr="00FE496B">
              <w:rPr>
                <w:rFonts w:ascii="Verdana" w:hAnsi="Verdana"/>
                <w:i/>
                <w:sz w:val="16"/>
                <w:szCs w:val="16"/>
                <w:lang w:val="en-US"/>
              </w:rPr>
              <w:t xml:space="preserve"> </w:t>
            </w:r>
            <w:r>
              <w:rPr>
                <w:rFonts w:ascii="Verdana" w:hAnsi="Verdana"/>
                <w:i/>
                <w:sz w:val="16"/>
                <w:szCs w:val="16"/>
                <w:lang w:val="es-ES_tradnl"/>
              </w:rPr>
              <w:t>[Énfasis añadido]</w:t>
            </w:r>
          </w:p>
        </w:tc>
        <w:tc>
          <w:tcPr>
            <w:tcW w:w="4389" w:type="dxa"/>
            <w:hideMark/>
          </w:tcPr>
          <w:p w14:paraId="10AA4E85" w14:textId="77777777" w:rsidR="00FE496B" w:rsidRDefault="00FE496B">
            <w:pPr>
              <w:pStyle w:val="texto"/>
              <w:spacing w:line="274" w:lineRule="exact"/>
              <w:ind w:firstLine="0"/>
              <w:jc w:val="right"/>
              <w:rPr>
                <w:rFonts w:ascii="Verdana" w:hAnsi="Verdana"/>
                <w:i/>
                <w:sz w:val="16"/>
                <w:szCs w:val="16"/>
                <w:lang w:val="en-US"/>
              </w:rPr>
            </w:pPr>
            <w:r>
              <w:rPr>
                <w:rFonts w:ascii="Verdana" w:hAnsi="Verdana"/>
                <w:i/>
                <w:sz w:val="16"/>
                <w:szCs w:val="16"/>
                <w:lang w:val="en-US"/>
              </w:rPr>
              <w:t>[Emphasis added]</w:t>
            </w:r>
          </w:p>
        </w:tc>
      </w:tr>
      <w:tr w:rsidR="00FE496B" w14:paraId="63FA6E24" w14:textId="77777777" w:rsidTr="00FE496B">
        <w:tc>
          <w:tcPr>
            <w:tcW w:w="4443" w:type="dxa"/>
            <w:hideMark/>
          </w:tcPr>
          <w:p w14:paraId="5415F770" w14:textId="77777777" w:rsidR="00FE496B" w:rsidRDefault="00FE496B">
            <w:pPr>
              <w:pStyle w:val="texto"/>
              <w:spacing w:line="274" w:lineRule="exact"/>
              <w:ind w:firstLine="0"/>
              <w:rPr>
                <w:rFonts w:ascii="Verdana" w:hAnsi="Verdana"/>
                <w:i/>
                <w:color w:val="000000"/>
                <w:sz w:val="16"/>
                <w:szCs w:val="16"/>
                <w:lang w:val="es-ES_tradnl"/>
              </w:rPr>
            </w:pPr>
            <w:r>
              <w:rPr>
                <w:rFonts w:ascii="Verdana" w:hAnsi="Verdana"/>
                <w:i/>
                <w:color w:val="000000"/>
                <w:sz w:val="16"/>
                <w:szCs w:val="16"/>
                <w:lang w:val="es-ES_tradnl"/>
              </w:rPr>
              <w:t>“</w:t>
            </w:r>
            <w:r>
              <w:rPr>
                <w:rFonts w:ascii="Verdana" w:hAnsi="Verdana"/>
                <w:b/>
                <w:i/>
                <w:color w:val="000000"/>
                <w:sz w:val="16"/>
                <w:szCs w:val="16"/>
                <w:lang w:val="es-ES_tradnl"/>
              </w:rPr>
              <w:t xml:space="preserve">Artículo 37. De los criterios para evaluar la modificación del Programa de Trabajo y Presupuesto. </w:t>
            </w:r>
            <w:r>
              <w:rPr>
                <w:rFonts w:ascii="Verdana" w:hAnsi="Verdana"/>
                <w:i/>
                <w:color w:val="000000"/>
                <w:sz w:val="16"/>
                <w:szCs w:val="16"/>
                <w:lang w:val="es-ES_tradnl"/>
              </w:rPr>
              <w:t>Para evaluar la aprobación de la modificación, la Comisión considerará los mismos criterios establecidos en el artículo 31 de los Lineamientos.”</w:t>
            </w:r>
          </w:p>
        </w:tc>
        <w:tc>
          <w:tcPr>
            <w:tcW w:w="4389" w:type="dxa"/>
            <w:hideMark/>
          </w:tcPr>
          <w:p w14:paraId="69C27474" w14:textId="77777777" w:rsidR="00FE496B" w:rsidRDefault="00FE496B">
            <w:pPr>
              <w:pStyle w:val="texto"/>
              <w:spacing w:line="274" w:lineRule="exact"/>
              <w:ind w:firstLine="0"/>
              <w:rPr>
                <w:rFonts w:ascii="Verdana" w:hAnsi="Verdana"/>
                <w:i/>
                <w:color w:val="000000"/>
                <w:sz w:val="16"/>
                <w:szCs w:val="16"/>
                <w:lang w:val="en-US"/>
              </w:rPr>
            </w:pPr>
            <w:r>
              <w:rPr>
                <w:rFonts w:ascii="Verdana" w:hAnsi="Verdana"/>
                <w:i/>
                <w:color w:val="000000"/>
                <w:sz w:val="16"/>
                <w:szCs w:val="16"/>
                <w:lang w:val="en-US"/>
              </w:rPr>
              <w:t>“</w:t>
            </w:r>
            <w:r>
              <w:rPr>
                <w:rFonts w:ascii="Verdana" w:hAnsi="Verdana"/>
                <w:b/>
                <w:i/>
                <w:color w:val="000000"/>
                <w:sz w:val="16"/>
                <w:szCs w:val="16"/>
                <w:lang w:val="en-US"/>
              </w:rPr>
              <w:t xml:space="preserve">Article 37. Of the criteria to evaluate the modification of the Work Program and Budget. </w:t>
            </w:r>
            <w:r>
              <w:rPr>
                <w:rFonts w:ascii="Verdana" w:hAnsi="Verdana"/>
                <w:i/>
                <w:color w:val="000000"/>
                <w:sz w:val="16"/>
                <w:szCs w:val="16"/>
                <w:lang w:val="en-US"/>
              </w:rPr>
              <w:t>To evaluate the approval of the modification, the Commission will consider the same criteria established in article 31 of the Guidelines.”</w:t>
            </w:r>
          </w:p>
        </w:tc>
      </w:tr>
      <w:tr w:rsidR="00FE496B" w14:paraId="344569D4" w14:textId="77777777" w:rsidTr="00FE496B">
        <w:tc>
          <w:tcPr>
            <w:tcW w:w="4443" w:type="dxa"/>
            <w:hideMark/>
          </w:tcPr>
          <w:p w14:paraId="1960396A"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color w:val="000000"/>
                <w:sz w:val="16"/>
                <w:szCs w:val="16"/>
                <w:lang w:val="es-ES_tradnl"/>
              </w:rPr>
              <w:t>En consecuencia, se advierte que tanto la evaluación como la aprobación del segundo y subsecuentes Programas de Trabajo y Presupuesto, así como sus modificaciones, se encuentra estrechamente vinculada con el contenido de los Planes, por lo que en caso de ser presentadas de manera conjunta con la modificación a los mismos, esta Comisión se encuentra imposibilitada a pronunciarse respecto de su congruencia, hasta en tanto se realice un análisis sustantivo de la modificación propuesta a los Planes en términos de los Lineamientos.</w:t>
            </w:r>
          </w:p>
        </w:tc>
        <w:tc>
          <w:tcPr>
            <w:tcW w:w="4389" w:type="dxa"/>
            <w:hideMark/>
          </w:tcPr>
          <w:p w14:paraId="1B876549" w14:textId="77777777" w:rsidR="00FE496B" w:rsidRDefault="00FE496B">
            <w:pPr>
              <w:pStyle w:val="texto"/>
              <w:spacing w:line="268" w:lineRule="exact"/>
              <w:ind w:firstLine="0"/>
              <w:rPr>
                <w:rFonts w:ascii="Verdana" w:hAnsi="Verdana"/>
                <w:color w:val="000000"/>
                <w:sz w:val="16"/>
                <w:szCs w:val="16"/>
                <w:lang w:val="en-US"/>
              </w:rPr>
            </w:pPr>
            <w:r>
              <w:rPr>
                <w:rFonts w:ascii="Verdana" w:hAnsi="Verdana"/>
                <w:color w:val="000000"/>
                <w:sz w:val="16"/>
                <w:szCs w:val="16"/>
                <w:lang w:val="en-US"/>
              </w:rPr>
              <w:t>Consequently, it is noted that both the evaluation and the approval of the second and subsequent Work Programs and Budget, as well as their modifications, are closely linked to the content of the Plans, so that in case they are presented jointly with the modification to them, this Commission is unable to rule on their consistency, until a substantive analysis of the proposed modification to the Plans is carried out in terms of the Guidelines.</w:t>
            </w:r>
          </w:p>
        </w:tc>
      </w:tr>
      <w:tr w:rsidR="00FE496B" w14:paraId="1CFB34F4" w14:textId="77777777" w:rsidTr="00FE496B">
        <w:tc>
          <w:tcPr>
            <w:tcW w:w="4443" w:type="dxa"/>
            <w:hideMark/>
          </w:tcPr>
          <w:p w14:paraId="65F9A85B"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color w:val="000000"/>
                <w:sz w:val="16"/>
                <w:szCs w:val="16"/>
                <w:lang w:val="es-ES_tradnl"/>
              </w:rPr>
              <w:t xml:space="preserve">Por lo anterior, resulta necesario que esta Comisión establezca que, respecto de los Programas de </w:t>
            </w:r>
            <w:r>
              <w:rPr>
                <w:rFonts w:ascii="Verdana" w:hAnsi="Verdana"/>
                <w:color w:val="000000"/>
                <w:sz w:val="16"/>
                <w:szCs w:val="16"/>
                <w:lang w:val="es-ES_tradnl"/>
              </w:rPr>
              <w:lastRenderedPageBreak/>
              <w:t>Trabajo y Presupuesto que son materia de aprobación por encontrarse asociados a Contratos con recuperación de costos, se debe entender que estos deben ser evaluados no solo en congruencia con el procedimiento de los Planes, sino también de los plazos establecidos para su aprobación.</w:t>
            </w:r>
          </w:p>
        </w:tc>
        <w:tc>
          <w:tcPr>
            <w:tcW w:w="4389" w:type="dxa"/>
            <w:hideMark/>
          </w:tcPr>
          <w:p w14:paraId="35BC89B2" w14:textId="77777777" w:rsidR="00FE496B" w:rsidRDefault="00FE496B">
            <w:pPr>
              <w:pStyle w:val="texto"/>
              <w:spacing w:line="268" w:lineRule="exact"/>
              <w:ind w:firstLine="0"/>
              <w:rPr>
                <w:rFonts w:ascii="Verdana" w:hAnsi="Verdana"/>
                <w:color w:val="000000"/>
                <w:sz w:val="16"/>
                <w:szCs w:val="16"/>
                <w:lang w:val="en-US"/>
              </w:rPr>
            </w:pPr>
            <w:r>
              <w:rPr>
                <w:rFonts w:ascii="Verdana" w:hAnsi="Verdana"/>
                <w:color w:val="000000"/>
                <w:sz w:val="16"/>
                <w:szCs w:val="16"/>
                <w:lang w:val="en-US"/>
              </w:rPr>
              <w:lastRenderedPageBreak/>
              <w:t xml:space="preserve">Due to the foregoing, it is necessary for this Commission to establish that, with respect to the </w:t>
            </w:r>
            <w:r>
              <w:rPr>
                <w:rFonts w:ascii="Verdana" w:hAnsi="Verdana"/>
                <w:color w:val="000000"/>
                <w:sz w:val="16"/>
                <w:szCs w:val="16"/>
                <w:lang w:val="en-US"/>
              </w:rPr>
              <w:lastRenderedPageBreak/>
              <w:t>Work Programs and Budget that are subject to approval because they are associated with Contracts with cost recovery, it must be understood that these must be evaluated not only in accordance with the procedure of the Plans, but also of the deadlines established for their approval.</w:t>
            </w:r>
          </w:p>
        </w:tc>
      </w:tr>
      <w:tr w:rsidR="00FE496B" w14:paraId="20AB3017" w14:textId="77777777" w:rsidTr="00FE496B">
        <w:tc>
          <w:tcPr>
            <w:tcW w:w="4443" w:type="dxa"/>
            <w:hideMark/>
          </w:tcPr>
          <w:p w14:paraId="6C2B2C76"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lang w:val="es-ES_tradnl"/>
              </w:rPr>
              <w:lastRenderedPageBreak/>
              <w:t>SEXTO.</w:t>
            </w:r>
            <w:r>
              <w:rPr>
                <w:rFonts w:ascii="Verdana" w:hAnsi="Verdana"/>
                <w:color w:val="000000"/>
                <w:sz w:val="16"/>
                <w:szCs w:val="16"/>
                <w:lang w:val="es-ES_tradnl"/>
              </w:rPr>
              <w:t xml:space="preserve"> Que en atención a las consideraciones antes descritas, esta Comisión estima necesario interpretar para efectos administrativos los artículos 27, 29 y 35 de los Lineamientos en </w:t>
            </w:r>
            <w:proofErr w:type="gramStart"/>
            <w:r>
              <w:rPr>
                <w:rFonts w:ascii="Verdana" w:hAnsi="Verdana"/>
                <w:color w:val="000000"/>
                <w:sz w:val="16"/>
                <w:szCs w:val="16"/>
                <w:lang w:val="es-ES_tradnl"/>
              </w:rPr>
              <w:t>los  siguientes</w:t>
            </w:r>
            <w:proofErr w:type="gramEnd"/>
            <w:r>
              <w:rPr>
                <w:rFonts w:ascii="Verdana" w:hAnsi="Verdana"/>
                <w:color w:val="000000"/>
                <w:sz w:val="16"/>
                <w:szCs w:val="16"/>
                <w:lang w:val="es-ES_tradnl"/>
              </w:rPr>
              <w:t xml:space="preserve"> términos:</w:t>
            </w:r>
          </w:p>
        </w:tc>
        <w:tc>
          <w:tcPr>
            <w:tcW w:w="4389" w:type="dxa"/>
            <w:hideMark/>
          </w:tcPr>
          <w:p w14:paraId="4F559112"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SIXTH. </w:t>
            </w:r>
            <w:r>
              <w:rPr>
                <w:rFonts w:ascii="Verdana" w:hAnsi="Verdana"/>
                <w:color w:val="000000"/>
                <w:sz w:val="16"/>
                <w:szCs w:val="16"/>
                <w:lang w:val="en-US"/>
              </w:rPr>
              <w:t>That in attention to the considerations described above, this Commission considers it necessary to interpret articles 27, 29 and 35 of the Guidelines in the following terms for administrative purposes:</w:t>
            </w:r>
          </w:p>
        </w:tc>
      </w:tr>
      <w:tr w:rsidR="00FE496B" w14:paraId="7C554959" w14:textId="77777777" w:rsidTr="00FE496B">
        <w:tc>
          <w:tcPr>
            <w:tcW w:w="4443" w:type="dxa"/>
            <w:hideMark/>
          </w:tcPr>
          <w:p w14:paraId="62609FF2"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color w:val="000000"/>
                <w:sz w:val="16"/>
                <w:szCs w:val="16"/>
                <w:lang w:val="es-ES_tradnl"/>
              </w:rPr>
              <w:t>Cuando esta Comisión se encuentre sustanciando de manera simultánea la modificación de algún Plan o Programa y la aprobación del segundo y subsecuentes Programas de Trabajo y Presupuesto o sus modificaciones, estos últimos deberán seguir la suerte de la modificación principal, es decir, deberán sujetarse al procedimiento y los plazos establecidos para la aprobación de la modificación del Plan o Programa que corresponda.</w:t>
            </w:r>
          </w:p>
        </w:tc>
        <w:tc>
          <w:tcPr>
            <w:tcW w:w="4389" w:type="dxa"/>
            <w:hideMark/>
          </w:tcPr>
          <w:p w14:paraId="2FE4EC98" w14:textId="77777777" w:rsidR="00FE496B" w:rsidRDefault="00FE496B">
            <w:pPr>
              <w:pStyle w:val="texto"/>
              <w:spacing w:line="268" w:lineRule="exact"/>
              <w:ind w:firstLine="0"/>
              <w:rPr>
                <w:rFonts w:ascii="Verdana" w:hAnsi="Verdana"/>
                <w:color w:val="000000"/>
                <w:sz w:val="16"/>
                <w:szCs w:val="16"/>
                <w:lang w:val="en-US"/>
              </w:rPr>
            </w:pPr>
            <w:r>
              <w:rPr>
                <w:rFonts w:ascii="Verdana" w:hAnsi="Verdana"/>
                <w:color w:val="000000"/>
                <w:sz w:val="16"/>
                <w:szCs w:val="16"/>
                <w:lang w:val="en-US"/>
              </w:rPr>
              <w:t>When this Commission is simultaneously substantiating the modification of any Plan or Program and the approval of the second and subsequent Work Programs and Budget or its modifications, the latter must follow the fate of the main modification, that is, they must be subject to the procedure and the deadlines established for the approval of the modification of the corresponding Plan or Program.</w:t>
            </w:r>
          </w:p>
        </w:tc>
      </w:tr>
      <w:tr w:rsidR="00FE496B" w14:paraId="78853F82" w14:textId="77777777" w:rsidTr="00FE496B">
        <w:tc>
          <w:tcPr>
            <w:tcW w:w="4443" w:type="dxa"/>
            <w:hideMark/>
          </w:tcPr>
          <w:p w14:paraId="6EEBDC22"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color w:val="000000"/>
                <w:sz w:val="16"/>
                <w:szCs w:val="16"/>
                <w:lang w:val="es-ES_tradnl"/>
              </w:rPr>
              <w:t>Por lo que, para estos casos no se tomarán en cuenta los procedimientos y plazos establecidos en los artículos 29 y 35 de los Lineamientos, sino que deberán sujetarse a los plazos y procedimientos establecidos para las modificaciones del Plan o Programa que corresponda conforme al presente Acuerdo.</w:t>
            </w:r>
          </w:p>
        </w:tc>
        <w:tc>
          <w:tcPr>
            <w:tcW w:w="4389" w:type="dxa"/>
            <w:hideMark/>
          </w:tcPr>
          <w:p w14:paraId="6968E77B" w14:textId="77777777" w:rsidR="00FE496B" w:rsidRDefault="00FE496B">
            <w:pPr>
              <w:pStyle w:val="texto"/>
              <w:spacing w:line="268" w:lineRule="exact"/>
              <w:ind w:firstLine="0"/>
              <w:rPr>
                <w:rFonts w:ascii="Verdana" w:hAnsi="Verdana"/>
                <w:color w:val="000000"/>
                <w:sz w:val="16"/>
                <w:szCs w:val="16"/>
                <w:lang w:val="en-US"/>
              </w:rPr>
            </w:pPr>
            <w:r>
              <w:rPr>
                <w:rFonts w:ascii="Verdana" w:hAnsi="Verdana"/>
                <w:color w:val="000000"/>
                <w:sz w:val="16"/>
                <w:szCs w:val="16"/>
                <w:lang w:val="en-US"/>
              </w:rPr>
              <w:t xml:space="preserve">Therefore, for these cases, the procedures and deadlines established in articles 29 and 35 of the Guidelines will not be taken into </w:t>
            </w:r>
            <w:proofErr w:type="gramStart"/>
            <w:r>
              <w:rPr>
                <w:rFonts w:ascii="Verdana" w:hAnsi="Verdana"/>
                <w:color w:val="000000"/>
                <w:sz w:val="16"/>
                <w:szCs w:val="16"/>
                <w:lang w:val="en-US"/>
              </w:rPr>
              <w:t>account, but</w:t>
            </w:r>
            <w:proofErr w:type="gramEnd"/>
            <w:r>
              <w:rPr>
                <w:rFonts w:ascii="Verdana" w:hAnsi="Verdana"/>
                <w:color w:val="000000"/>
                <w:sz w:val="16"/>
                <w:szCs w:val="16"/>
                <w:lang w:val="en-US"/>
              </w:rPr>
              <w:t xml:space="preserve"> must be subject to the deadlines and procedures established for modifications of the corresponding Plan or Program in accordance with this Agreement.</w:t>
            </w:r>
          </w:p>
        </w:tc>
      </w:tr>
      <w:tr w:rsidR="00FE496B" w14:paraId="1031CD68" w14:textId="77777777" w:rsidTr="00FE496B">
        <w:tc>
          <w:tcPr>
            <w:tcW w:w="4443" w:type="dxa"/>
            <w:hideMark/>
          </w:tcPr>
          <w:p w14:paraId="2AE258A9" w14:textId="77777777" w:rsidR="00FE496B" w:rsidRDefault="00FE496B">
            <w:pPr>
              <w:pStyle w:val="texto"/>
              <w:spacing w:line="268" w:lineRule="exact"/>
              <w:ind w:firstLine="0"/>
              <w:rPr>
                <w:rFonts w:ascii="Verdana" w:hAnsi="Verdana"/>
                <w:color w:val="000000"/>
                <w:sz w:val="16"/>
                <w:szCs w:val="16"/>
              </w:rPr>
            </w:pPr>
            <w:r>
              <w:rPr>
                <w:rFonts w:ascii="Verdana" w:hAnsi="Verdana"/>
                <w:b/>
                <w:color w:val="000000"/>
                <w:sz w:val="16"/>
                <w:szCs w:val="16"/>
                <w:lang w:val="es-ES_tradnl"/>
              </w:rPr>
              <w:t>SÉPTIMO.</w:t>
            </w:r>
            <w:r>
              <w:rPr>
                <w:rFonts w:ascii="Verdana" w:hAnsi="Verdana"/>
                <w:color w:val="000000"/>
                <w:sz w:val="16"/>
                <w:szCs w:val="16"/>
                <w:lang w:val="es-ES_tradnl"/>
              </w:rPr>
              <w:t xml:space="preserve"> </w:t>
            </w:r>
            <w:r>
              <w:rPr>
                <w:rFonts w:ascii="Verdana" w:hAnsi="Verdana"/>
                <w:color w:val="000000"/>
                <w:sz w:val="16"/>
                <w:szCs w:val="16"/>
              </w:rPr>
              <w:t>Que la presente homologación del periodo para resolver las modificaciones presentadas por los Operadores Petroleros y que son señaladas en este Acuerdo, permitirá que las mismas sean evaluadas con una mejor congruencia y eficiencia.</w:t>
            </w:r>
          </w:p>
        </w:tc>
        <w:tc>
          <w:tcPr>
            <w:tcW w:w="4389" w:type="dxa"/>
            <w:hideMark/>
          </w:tcPr>
          <w:p w14:paraId="48701DBE"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SEVENTH.</w:t>
            </w:r>
            <w:r>
              <w:rPr>
                <w:rFonts w:ascii="Verdana" w:hAnsi="Verdana"/>
                <w:color w:val="000000"/>
                <w:sz w:val="16"/>
                <w:szCs w:val="16"/>
                <w:lang w:val="en-US"/>
              </w:rPr>
              <w:t xml:space="preserve"> That the present homologation of the period to resolve the modifications presented by the Petroleum Operators and that are indicated in this Agreement, will allow them to be evaluated with better consistency and efficiency.</w:t>
            </w:r>
          </w:p>
        </w:tc>
      </w:tr>
      <w:tr w:rsidR="00FE496B" w14:paraId="3189B7C9" w14:textId="77777777" w:rsidTr="00FE496B">
        <w:tc>
          <w:tcPr>
            <w:tcW w:w="4443" w:type="dxa"/>
            <w:hideMark/>
          </w:tcPr>
          <w:p w14:paraId="61A1B7EA"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color w:val="000000"/>
                <w:sz w:val="16"/>
                <w:szCs w:val="16"/>
                <w:lang w:val="es-ES_tradnl"/>
              </w:rPr>
              <w:t xml:space="preserve">Lo anterior, con el objeto de asegurar que los procesos administrativos a cargo de la Comisión, respecto de las actividades de Exploración y Extracción de Hidrocarburos, se realicen con apego a los principios señalados en la fracción V del artículo 39 de la Ley de los Órganos Reguladores Coordinados </w:t>
            </w:r>
            <w:proofErr w:type="gramStart"/>
            <w:r>
              <w:rPr>
                <w:rFonts w:ascii="Verdana" w:hAnsi="Verdana"/>
                <w:color w:val="000000"/>
                <w:sz w:val="16"/>
                <w:szCs w:val="16"/>
                <w:lang w:val="es-ES_tradnl"/>
              </w:rPr>
              <w:t>en  Materia</w:t>
            </w:r>
            <w:proofErr w:type="gramEnd"/>
            <w:r>
              <w:rPr>
                <w:rFonts w:ascii="Verdana" w:hAnsi="Verdana"/>
                <w:color w:val="000000"/>
                <w:sz w:val="16"/>
                <w:szCs w:val="16"/>
                <w:lang w:val="es-ES_tradnl"/>
              </w:rPr>
              <w:t xml:space="preserve"> Energética.</w:t>
            </w:r>
          </w:p>
        </w:tc>
        <w:tc>
          <w:tcPr>
            <w:tcW w:w="4389" w:type="dxa"/>
            <w:hideMark/>
          </w:tcPr>
          <w:p w14:paraId="14198180" w14:textId="77777777" w:rsidR="00FE496B" w:rsidRDefault="00FE496B">
            <w:pPr>
              <w:pStyle w:val="texto"/>
              <w:spacing w:line="268" w:lineRule="exact"/>
              <w:ind w:firstLine="0"/>
              <w:rPr>
                <w:rFonts w:ascii="Verdana" w:hAnsi="Verdana"/>
                <w:color w:val="000000"/>
                <w:sz w:val="16"/>
                <w:szCs w:val="16"/>
                <w:lang w:val="en-US"/>
              </w:rPr>
            </w:pPr>
            <w:r>
              <w:rPr>
                <w:rFonts w:ascii="Verdana" w:hAnsi="Verdana"/>
                <w:color w:val="000000"/>
                <w:sz w:val="16"/>
                <w:szCs w:val="16"/>
                <w:lang w:val="en-US"/>
              </w:rPr>
              <w:t xml:space="preserve">The foregoing, </w:t>
            </w:r>
            <w:proofErr w:type="gramStart"/>
            <w:r>
              <w:rPr>
                <w:rFonts w:ascii="Verdana" w:hAnsi="Verdana"/>
                <w:color w:val="000000"/>
                <w:sz w:val="16"/>
                <w:szCs w:val="16"/>
                <w:lang w:val="en-US"/>
              </w:rPr>
              <w:t>in order to</w:t>
            </w:r>
            <w:proofErr w:type="gramEnd"/>
            <w:r>
              <w:rPr>
                <w:rFonts w:ascii="Verdana" w:hAnsi="Verdana"/>
                <w:color w:val="000000"/>
                <w:sz w:val="16"/>
                <w:szCs w:val="16"/>
                <w:lang w:val="en-US"/>
              </w:rPr>
              <w:t xml:space="preserve"> ensure that the administrative processes in charge of the Commission, with respect to the activities of Exploration and Extraction of Hydrocarbons, are carried out in accordance with the principles indicated in section V of article 39 of the Law of Organs Coordinated Regulators in Energy Matters.</w:t>
            </w:r>
          </w:p>
        </w:tc>
      </w:tr>
      <w:tr w:rsidR="00FE496B" w14:paraId="4E813304" w14:textId="77777777" w:rsidTr="00FE496B">
        <w:tc>
          <w:tcPr>
            <w:tcW w:w="4443" w:type="dxa"/>
            <w:hideMark/>
          </w:tcPr>
          <w:p w14:paraId="0B5C5AE9"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color w:val="000000"/>
                <w:sz w:val="16"/>
                <w:szCs w:val="16"/>
                <w:lang w:val="es-ES_tradnl"/>
              </w:rPr>
              <w:t xml:space="preserve">Que, en virtud de lo expuesto y con base en el mandato legal conferido a este Órgano Regulador Coordinado en Materia Energética para la interpretación administrativa de la regulación en </w:t>
            </w:r>
            <w:r>
              <w:rPr>
                <w:rFonts w:ascii="Verdana" w:hAnsi="Verdana"/>
                <w:color w:val="000000"/>
                <w:sz w:val="16"/>
                <w:szCs w:val="16"/>
                <w:lang w:val="es-ES_tradnl"/>
              </w:rPr>
              <w:lastRenderedPageBreak/>
              <w:t>materia energética, el Órgano de Gobierno de esta Comisión emite por unanimidad de votos el siguiente:</w:t>
            </w:r>
          </w:p>
        </w:tc>
        <w:tc>
          <w:tcPr>
            <w:tcW w:w="4389" w:type="dxa"/>
            <w:hideMark/>
          </w:tcPr>
          <w:p w14:paraId="71185BA8" w14:textId="77777777" w:rsidR="00FE496B" w:rsidRDefault="00FE496B">
            <w:pPr>
              <w:pStyle w:val="texto"/>
              <w:spacing w:line="268" w:lineRule="exact"/>
              <w:ind w:firstLine="0"/>
              <w:rPr>
                <w:rFonts w:ascii="Verdana" w:hAnsi="Verdana"/>
                <w:color w:val="000000"/>
                <w:sz w:val="16"/>
                <w:szCs w:val="16"/>
                <w:lang w:val="en-US"/>
              </w:rPr>
            </w:pPr>
            <w:r>
              <w:rPr>
                <w:rFonts w:ascii="Verdana" w:hAnsi="Verdana"/>
                <w:color w:val="000000"/>
                <w:sz w:val="16"/>
                <w:szCs w:val="16"/>
                <w:lang w:val="en-US"/>
              </w:rPr>
              <w:lastRenderedPageBreak/>
              <w:t xml:space="preserve">That, by virtue of the foregoing and based on the legal mandate conferred on this Coordinated Regulatory Body on Energy Matters for the administrative interpretation of the regulation on </w:t>
            </w:r>
            <w:r>
              <w:rPr>
                <w:rFonts w:ascii="Verdana" w:hAnsi="Verdana"/>
                <w:color w:val="000000"/>
                <w:sz w:val="16"/>
                <w:szCs w:val="16"/>
                <w:lang w:val="en-US"/>
              </w:rPr>
              <w:lastRenderedPageBreak/>
              <w:t>energy matters, the Governing Body of this Commission unanimously issues the following:</w:t>
            </w:r>
          </w:p>
        </w:tc>
      </w:tr>
      <w:tr w:rsidR="00FE496B" w14:paraId="358BBFD5" w14:textId="77777777" w:rsidTr="00FE496B">
        <w:tc>
          <w:tcPr>
            <w:tcW w:w="4443" w:type="dxa"/>
            <w:hideMark/>
          </w:tcPr>
          <w:p w14:paraId="4D8F0B60" w14:textId="77777777" w:rsidR="00FE496B" w:rsidRDefault="00FE496B">
            <w:pPr>
              <w:pStyle w:val="ANOTACION"/>
              <w:spacing w:line="268" w:lineRule="exact"/>
              <w:rPr>
                <w:rFonts w:ascii="Verdana" w:hAnsi="Verdana"/>
                <w:sz w:val="16"/>
                <w:szCs w:val="16"/>
              </w:rPr>
            </w:pPr>
            <w:r>
              <w:rPr>
                <w:rFonts w:ascii="Verdana" w:hAnsi="Verdana"/>
                <w:sz w:val="16"/>
                <w:szCs w:val="16"/>
              </w:rPr>
              <w:lastRenderedPageBreak/>
              <w:t>ACUERDO</w:t>
            </w:r>
          </w:p>
        </w:tc>
        <w:tc>
          <w:tcPr>
            <w:tcW w:w="4389" w:type="dxa"/>
            <w:hideMark/>
          </w:tcPr>
          <w:p w14:paraId="03B44370" w14:textId="77777777" w:rsidR="00FE496B" w:rsidRDefault="00FE496B">
            <w:pPr>
              <w:pStyle w:val="ANOTACION"/>
              <w:spacing w:line="268" w:lineRule="exact"/>
              <w:rPr>
                <w:rFonts w:ascii="Verdana" w:hAnsi="Verdana"/>
                <w:sz w:val="16"/>
                <w:szCs w:val="16"/>
                <w:lang w:val="en-US"/>
              </w:rPr>
            </w:pPr>
            <w:r>
              <w:rPr>
                <w:rFonts w:ascii="Verdana" w:hAnsi="Verdana"/>
                <w:sz w:val="16"/>
                <w:szCs w:val="16"/>
                <w:lang w:val="en-US"/>
              </w:rPr>
              <w:t>AGREEMENT</w:t>
            </w:r>
          </w:p>
        </w:tc>
      </w:tr>
      <w:tr w:rsidR="00FE496B" w14:paraId="4F96571B" w14:textId="77777777" w:rsidTr="00FE496B">
        <w:tc>
          <w:tcPr>
            <w:tcW w:w="4443" w:type="dxa"/>
            <w:hideMark/>
          </w:tcPr>
          <w:p w14:paraId="4D4B254C"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aps/>
                <w:color w:val="000000"/>
                <w:sz w:val="16"/>
                <w:szCs w:val="16"/>
              </w:rPr>
              <w:t xml:space="preserve">PRIMERO. </w:t>
            </w:r>
            <w:r>
              <w:rPr>
                <w:rFonts w:ascii="Verdana" w:hAnsi="Verdana"/>
                <w:color w:val="000000"/>
                <w:sz w:val="16"/>
                <w:szCs w:val="16"/>
                <w:lang w:val="es-ES_tradnl"/>
              </w:rPr>
              <w:t xml:space="preserve">Interpretar, para efectos administrativos, los artículos 27, 29 y 35 de los Lineamientos </w:t>
            </w:r>
            <w:r>
              <w:rPr>
                <w:rFonts w:ascii="Verdana" w:hAnsi="Verdana"/>
                <w:sz w:val="16"/>
                <w:szCs w:val="16"/>
                <w:lang w:val="es-ES_tradnl"/>
              </w:rPr>
              <w:t>que regulan los Planes de Exploración y de Desarrollo para la Extracción de Hidrocarburos</w:t>
            </w:r>
            <w:r>
              <w:rPr>
                <w:rFonts w:ascii="Verdana" w:hAnsi="Verdana"/>
                <w:color w:val="000000"/>
                <w:sz w:val="16"/>
                <w:szCs w:val="16"/>
                <w:lang w:val="es-ES_tradnl"/>
              </w:rPr>
              <w:t>. Lo anterior, de conformidad con los Considerandos Cuarto, Quinto y Sexto del presente Acuerdo.</w:t>
            </w:r>
          </w:p>
        </w:tc>
        <w:tc>
          <w:tcPr>
            <w:tcW w:w="4389" w:type="dxa"/>
            <w:hideMark/>
          </w:tcPr>
          <w:p w14:paraId="56E2A30F" w14:textId="77777777" w:rsidR="00FE496B" w:rsidRDefault="00FE496B">
            <w:pPr>
              <w:pStyle w:val="texto"/>
              <w:spacing w:line="268" w:lineRule="exact"/>
              <w:ind w:firstLine="0"/>
              <w:rPr>
                <w:rFonts w:ascii="Verdana" w:hAnsi="Verdana"/>
                <w:b/>
                <w:caps/>
                <w:color w:val="000000"/>
                <w:sz w:val="16"/>
                <w:szCs w:val="16"/>
                <w:lang w:val="en-US"/>
              </w:rPr>
            </w:pPr>
            <w:r>
              <w:rPr>
                <w:rFonts w:ascii="Verdana" w:hAnsi="Verdana"/>
                <w:b/>
                <w:caps/>
                <w:color w:val="000000"/>
                <w:sz w:val="16"/>
                <w:szCs w:val="16"/>
                <w:lang w:val="en-US"/>
              </w:rPr>
              <w:t xml:space="preserve">FIRST. </w:t>
            </w:r>
            <w:r>
              <w:rPr>
                <w:rFonts w:ascii="Verdana" w:hAnsi="Verdana"/>
                <w:color w:val="000000"/>
                <w:sz w:val="16"/>
                <w:szCs w:val="16"/>
                <w:lang w:val="en-US"/>
              </w:rPr>
              <w:t xml:space="preserve">Interpret, for administrative purposes, articles 27, 29 and 35 of the Guidelines </w:t>
            </w:r>
            <w:r>
              <w:rPr>
                <w:rFonts w:ascii="Verdana" w:hAnsi="Verdana"/>
                <w:sz w:val="16"/>
                <w:szCs w:val="16"/>
                <w:lang w:val="en-US"/>
              </w:rPr>
              <w:t>that regulate the Exploration and Development Plans for the Extraction of Hydrocarbons.</w:t>
            </w:r>
            <w:r>
              <w:rPr>
                <w:rFonts w:ascii="Verdana" w:hAnsi="Verdana"/>
                <w:color w:val="000000"/>
                <w:sz w:val="16"/>
                <w:szCs w:val="16"/>
                <w:lang w:val="en-US"/>
              </w:rPr>
              <w:t xml:space="preserve"> The foregoing, in accordance with the Fourth, Fifth and Sixth Considering Points of this Agreement.</w:t>
            </w:r>
          </w:p>
        </w:tc>
      </w:tr>
      <w:tr w:rsidR="00FE496B" w14:paraId="23F51F80" w14:textId="77777777" w:rsidTr="00FE496B">
        <w:tc>
          <w:tcPr>
            <w:tcW w:w="4443" w:type="dxa"/>
            <w:hideMark/>
          </w:tcPr>
          <w:p w14:paraId="55988CC9" w14:textId="77777777" w:rsidR="00FE496B" w:rsidRDefault="00FE496B">
            <w:pPr>
              <w:pStyle w:val="texto"/>
              <w:spacing w:line="268" w:lineRule="exact"/>
              <w:ind w:firstLine="0"/>
              <w:rPr>
                <w:rFonts w:ascii="Verdana" w:hAnsi="Verdana"/>
                <w:color w:val="000000"/>
                <w:sz w:val="16"/>
                <w:szCs w:val="16"/>
              </w:rPr>
            </w:pPr>
            <w:r>
              <w:rPr>
                <w:rFonts w:ascii="Verdana" w:hAnsi="Verdana"/>
                <w:b/>
                <w:color w:val="000000"/>
                <w:sz w:val="16"/>
                <w:szCs w:val="16"/>
              </w:rPr>
              <w:t>SEGUNDO.</w:t>
            </w:r>
            <w:r>
              <w:rPr>
                <w:rFonts w:ascii="Verdana" w:hAnsi="Verdana"/>
                <w:color w:val="000000"/>
                <w:sz w:val="16"/>
                <w:szCs w:val="16"/>
              </w:rPr>
              <w:t xml:space="preserve"> Llevar a cabo las gestiones necesarias para que el presente Acuerdo sea publicado en el Diario Oficial de la Federación.</w:t>
            </w:r>
          </w:p>
        </w:tc>
        <w:tc>
          <w:tcPr>
            <w:tcW w:w="4389" w:type="dxa"/>
            <w:hideMark/>
          </w:tcPr>
          <w:p w14:paraId="585DDD06"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Carry out the necessary steps so that this Agreement is published in the Official Daily of the Federation.</w:t>
            </w:r>
          </w:p>
        </w:tc>
      </w:tr>
      <w:tr w:rsidR="00FE496B" w14:paraId="018F4D88" w14:textId="77777777" w:rsidTr="00FE496B">
        <w:tc>
          <w:tcPr>
            <w:tcW w:w="4443" w:type="dxa"/>
            <w:hideMark/>
          </w:tcPr>
          <w:p w14:paraId="0DC62FB2" w14:textId="77777777" w:rsidR="00FE496B" w:rsidRDefault="00FE496B">
            <w:pPr>
              <w:pStyle w:val="texto"/>
              <w:spacing w:line="268" w:lineRule="exact"/>
              <w:ind w:firstLine="0"/>
              <w:rPr>
                <w:rFonts w:ascii="Verdana" w:hAnsi="Verdana"/>
                <w:color w:val="000000"/>
                <w:sz w:val="16"/>
                <w:szCs w:val="16"/>
              </w:rPr>
            </w:pPr>
            <w:r>
              <w:rPr>
                <w:rFonts w:ascii="Verdana" w:hAnsi="Verdana"/>
                <w:b/>
                <w:color w:val="000000"/>
                <w:sz w:val="16"/>
                <w:szCs w:val="16"/>
              </w:rPr>
              <w:t xml:space="preserve">TERCERO. </w:t>
            </w:r>
            <w:r>
              <w:rPr>
                <w:rFonts w:ascii="Verdana" w:hAnsi="Verdana"/>
                <w:color w:val="000000"/>
                <w:sz w:val="16"/>
                <w:szCs w:val="16"/>
              </w:rPr>
              <w:t>El presente Acuerdo entrará en vigor el mismo día de su publicación en el Diario Oficial de la Federación.</w:t>
            </w:r>
          </w:p>
        </w:tc>
        <w:tc>
          <w:tcPr>
            <w:tcW w:w="4389" w:type="dxa"/>
            <w:hideMark/>
          </w:tcPr>
          <w:p w14:paraId="07206A01"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 xml:space="preserve">THIRD. </w:t>
            </w:r>
            <w:r>
              <w:rPr>
                <w:rFonts w:ascii="Verdana" w:hAnsi="Verdana"/>
                <w:color w:val="000000"/>
                <w:sz w:val="16"/>
                <w:szCs w:val="16"/>
                <w:lang w:val="en-US"/>
              </w:rPr>
              <w:t>This Agreement shall enter into force the same day of its publication in the Official Daily of the Federation.</w:t>
            </w:r>
          </w:p>
        </w:tc>
      </w:tr>
      <w:tr w:rsidR="00FE496B" w14:paraId="2DFF339D" w14:textId="77777777" w:rsidTr="00FE496B">
        <w:tc>
          <w:tcPr>
            <w:tcW w:w="4443" w:type="dxa"/>
            <w:hideMark/>
          </w:tcPr>
          <w:p w14:paraId="719E117A" w14:textId="77777777" w:rsidR="00FE496B" w:rsidRDefault="00FE496B">
            <w:pPr>
              <w:pStyle w:val="texto"/>
              <w:spacing w:line="268" w:lineRule="exact"/>
              <w:ind w:firstLine="0"/>
              <w:rPr>
                <w:rFonts w:ascii="Verdana" w:hAnsi="Verdana"/>
                <w:color w:val="000000"/>
                <w:sz w:val="16"/>
                <w:szCs w:val="16"/>
                <w:lang w:val="es-ES_tradnl"/>
              </w:rPr>
            </w:pPr>
            <w:r>
              <w:rPr>
                <w:rFonts w:ascii="Verdana" w:hAnsi="Verdana"/>
                <w:b/>
                <w:color w:val="000000"/>
                <w:sz w:val="16"/>
                <w:szCs w:val="16"/>
              </w:rPr>
              <w:t>CUARTO</w:t>
            </w:r>
            <w:r>
              <w:rPr>
                <w:rFonts w:ascii="Verdana" w:hAnsi="Verdana"/>
                <w:color w:val="000000"/>
                <w:sz w:val="16"/>
                <w:szCs w:val="16"/>
              </w:rPr>
              <w:t xml:space="preserve">. </w:t>
            </w:r>
            <w:r>
              <w:rPr>
                <w:rFonts w:ascii="Verdana" w:hAnsi="Verdana"/>
                <w:color w:val="000000"/>
                <w:sz w:val="16"/>
                <w:szCs w:val="16"/>
                <w:lang w:val="es-ES_tradnl"/>
              </w:rPr>
              <w:t xml:space="preserve">Inscríbase el presente Acuerdo </w:t>
            </w:r>
            <w:r>
              <w:rPr>
                <w:rFonts w:ascii="Verdana" w:hAnsi="Verdana"/>
                <w:b/>
                <w:color w:val="000000"/>
                <w:sz w:val="16"/>
                <w:szCs w:val="16"/>
              </w:rPr>
              <w:t xml:space="preserve">CNH.E.09.06/2023 </w:t>
            </w:r>
            <w:r>
              <w:rPr>
                <w:rFonts w:ascii="Verdana" w:hAnsi="Verdana"/>
                <w:color w:val="000000"/>
                <w:sz w:val="16"/>
                <w:szCs w:val="16"/>
                <w:lang w:val="es-ES_tradnl"/>
              </w:rPr>
              <w:t>en el Registro Público de la Comisión Nacional de Hidrocarburos. Lo anterior, con fundamento en el artículo 22, fracción XXVI de la Ley de los Órganos Reguladores Coordinados en Materia Energética.</w:t>
            </w:r>
          </w:p>
        </w:tc>
        <w:tc>
          <w:tcPr>
            <w:tcW w:w="4389" w:type="dxa"/>
            <w:hideMark/>
          </w:tcPr>
          <w:p w14:paraId="58116291" w14:textId="77777777" w:rsidR="00FE496B" w:rsidRDefault="00FE496B">
            <w:pPr>
              <w:pStyle w:val="texto"/>
              <w:spacing w:line="268" w:lineRule="exact"/>
              <w:ind w:firstLine="0"/>
              <w:rPr>
                <w:rFonts w:ascii="Verdana" w:hAnsi="Verdana"/>
                <w:b/>
                <w:color w:val="000000"/>
                <w:sz w:val="16"/>
                <w:szCs w:val="16"/>
                <w:lang w:val="en-US"/>
              </w:rPr>
            </w:pPr>
            <w:r>
              <w:rPr>
                <w:rFonts w:ascii="Verdana" w:hAnsi="Verdana"/>
                <w:b/>
                <w:color w:val="000000"/>
                <w:sz w:val="16"/>
                <w:szCs w:val="16"/>
                <w:lang w:val="en-US"/>
              </w:rPr>
              <w:t>FOURTH.</w:t>
            </w:r>
            <w:r>
              <w:rPr>
                <w:rFonts w:ascii="Verdana" w:hAnsi="Verdana"/>
                <w:color w:val="000000"/>
                <w:sz w:val="16"/>
                <w:szCs w:val="16"/>
                <w:lang w:val="en-US"/>
              </w:rPr>
              <w:t xml:space="preserve"> Register this Agreement </w:t>
            </w:r>
            <w:r>
              <w:rPr>
                <w:rFonts w:ascii="Verdana" w:hAnsi="Verdana"/>
                <w:b/>
                <w:color w:val="000000"/>
                <w:sz w:val="16"/>
                <w:szCs w:val="16"/>
                <w:lang w:val="en-US"/>
              </w:rPr>
              <w:t xml:space="preserve">CNH.E.09.06/2023 </w:t>
            </w:r>
            <w:r>
              <w:rPr>
                <w:rFonts w:ascii="Verdana" w:hAnsi="Verdana"/>
                <w:color w:val="000000"/>
                <w:sz w:val="16"/>
                <w:szCs w:val="16"/>
                <w:lang w:val="en-US"/>
              </w:rPr>
              <w:t>in the Public Registry of the National Hydrocarbons Commission. The foregoing, based on article 22, section XXVI of the Law of Coordinated Regulatory Bodies in Energy Matters.</w:t>
            </w:r>
          </w:p>
        </w:tc>
      </w:tr>
      <w:tr w:rsidR="00FE496B" w14:paraId="7F9191F6" w14:textId="77777777" w:rsidTr="00FE496B">
        <w:tc>
          <w:tcPr>
            <w:tcW w:w="4443" w:type="dxa"/>
            <w:hideMark/>
          </w:tcPr>
          <w:p w14:paraId="326BC6D5" w14:textId="77777777" w:rsidR="00FE496B" w:rsidRDefault="00FE496B">
            <w:pPr>
              <w:pStyle w:val="texto"/>
              <w:spacing w:line="268" w:lineRule="exact"/>
              <w:ind w:firstLine="0"/>
              <w:rPr>
                <w:rFonts w:ascii="Verdana" w:hAnsi="Verdana"/>
                <w:sz w:val="16"/>
                <w:szCs w:val="16"/>
              </w:rPr>
            </w:pPr>
            <w:r>
              <w:rPr>
                <w:rFonts w:ascii="Verdana" w:hAnsi="Verdana"/>
                <w:sz w:val="16"/>
                <w:szCs w:val="16"/>
              </w:rPr>
              <w:t xml:space="preserve">Ciudad de México 16 de mayo de 2023.- Comisionados Integrantes del Órgano de Gobierno de la Comisión Nacional de Hidrocarburos: Comisionado Presidente, </w:t>
            </w:r>
            <w:r>
              <w:rPr>
                <w:rFonts w:ascii="Verdana" w:hAnsi="Verdana"/>
                <w:b/>
                <w:sz w:val="16"/>
                <w:szCs w:val="16"/>
              </w:rPr>
              <w:t xml:space="preserve">Agustín Díaz </w:t>
            </w:r>
            <w:proofErr w:type="gramStart"/>
            <w:r>
              <w:rPr>
                <w:rFonts w:ascii="Verdana" w:hAnsi="Verdana"/>
                <w:b/>
                <w:sz w:val="16"/>
                <w:szCs w:val="16"/>
              </w:rPr>
              <w:t>Lastra</w:t>
            </w:r>
            <w:r>
              <w:rPr>
                <w:rFonts w:ascii="Verdana" w:hAnsi="Verdana"/>
                <w:sz w:val="16"/>
                <w:szCs w:val="16"/>
              </w:rPr>
              <w:t>.-</w:t>
            </w:r>
            <w:proofErr w:type="gramEnd"/>
            <w:r>
              <w:rPr>
                <w:rFonts w:ascii="Verdana" w:hAnsi="Verdana"/>
                <w:sz w:val="16"/>
                <w:szCs w:val="16"/>
              </w:rPr>
              <w:t xml:space="preserve"> Rúbrica.-  Comisionados: </w:t>
            </w:r>
            <w:r>
              <w:rPr>
                <w:rFonts w:ascii="Verdana" w:hAnsi="Verdana"/>
                <w:b/>
                <w:sz w:val="16"/>
                <w:szCs w:val="16"/>
              </w:rPr>
              <w:t>Néstor Martínez Romero</w:t>
            </w:r>
            <w:r>
              <w:rPr>
                <w:rFonts w:ascii="Verdana" w:hAnsi="Verdana"/>
                <w:sz w:val="16"/>
                <w:szCs w:val="16"/>
              </w:rPr>
              <w:t xml:space="preserve">, </w:t>
            </w:r>
            <w:r>
              <w:rPr>
                <w:rFonts w:ascii="Verdana" w:hAnsi="Verdana"/>
                <w:b/>
                <w:sz w:val="16"/>
                <w:szCs w:val="16"/>
              </w:rPr>
              <w:t>Héctor Moreira Rodríguez</w:t>
            </w:r>
            <w:r>
              <w:rPr>
                <w:rFonts w:ascii="Verdana" w:hAnsi="Verdana"/>
                <w:sz w:val="16"/>
                <w:szCs w:val="16"/>
              </w:rPr>
              <w:t xml:space="preserve">, </w:t>
            </w:r>
            <w:r>
              <w:rPr>
                <w:rFonts w:ascii="Verdana" w:hAnsi="Verdana"/>
                <w:b/>
                <w:sz w:val="16"/>
                <w:szCs w:val="16"/>
              </w:rPr>
              <w:t>Salvador Ortuño Arzate</w:t>
            </w:r>
            <w:r>
              <w:rPr>
                <w:rFonts w:ascii="Verdana" w:hAnsi="Verdana"/>
                <w:sz w:val="16"/>
                <w:szCs w:val="16"/>
              </w:rPr>
              <w:t>.- Rúbricas.</w:t>
            </w:r>
          </w:p>
        </w:tc>
        <w:tc>
          <w:tcPr>
            <w:tcW w:w="4389" w:type="dxa"/>
            <w:hideMark/>
          </w:tcPr>
          <w:p w14:paraId="6BB7A714" w14:textId="77777777" w:rsidR="00FE496B" w:rsidRDefault="00FE496B">
            <w:pPr>
              <w:pStyle w:val="texto"/>
              <w:spacing w:line="268" w:lineRule="exact"/>
              <w:ind w:firstLine="0"/>
              <w:rPr>
                <w:rFonts w:ascii="Verdana" w:hAnsi="Verdana"/>
                <w:sz w:val="16"/>
                <w:szCs w:val="16"/>
              </w:rPr>
            </w:pPr>
            <w:r>
              <w:rPr>
                <w:rFonts w:ascii="Verdana" w:hAnsi="Verdana"/>
                <w:sz w:val="16"/>
                <w:szCs w:val="16"/>
                <w:lang w:val="en-US"/>
              </w:rPr>
              <w:t xml:space="preserve">Mexico City May 16, 2023.- Member Commissioners of the Governing Body of the National Hydrocarbons Commission: President Commissioner, </w:t>
            </w:r>
            <w:proofErr w:type="spellStart"/>
            <w:r>
              <w:rPr>
                <w:rFonts w:ascii="Verdana" w:hAnsi="Verdana"/>
                <w:sz w:val="16"/>
                <w:szCs w:val="16"/>
                <w:lang w:val="en-US"/>
              </w:rPr>
              <w:t>Agustín</w:t>
            </w:r>
            <w:proofErr w:type="spellEnd"/>
            <w:r>
              <w:rPr>
                <w:rFonts w:ascii="Verdana" w:hAnsi="Verdana"/>
                <w:sz w:val="16"/>
                <w:szCs w:val="16"/>
                <w:lang w:val="en-US"/>
              </w:rPr>
              <w:t xml:space="preserve"> </w:t>
            </w:r>
            <w:r>
              <w:rPr>
                <w:rFonts w:ascii="Verdana" w:hAnsi="Verdana"/>
                <w:b/>
                <w:sz w:val="16"/>
                <w:szCs w:val="16"/>
                <w:lang w:val="en-US"/>
              </w:rPr>
              <w:t xml:space="preserve">Díaz </w:t>
            </w:r>
            <w:proofErr w:type="spellStart"/>
            <w:proofErr w:type="gramStart"/>
            <w:r>
              <w:rPr>
                <w:rFonts w:ascii="Verdana" w:hAnsi="Verdana"/>
                <w:b/>
                <w:sz w:val="16"/>
                <w:szCs w:val="16"/>
                <w:lang w:val="en-US"/>
              </w:rPr>
              <w:t>Lastra</w:t>
            </w:r>
            <w:proofErr w:type="spellEnd"/>
            <w:r>
              <w:rPr>
                <w:rFonts w:ascii="Verdana" w:hAnsi="Verdana"/>
                <w:b/>
                <w:sz w:val="16"/>
                <w:szCs w:val="16"/>
                <w:lang w:val="en-US"/>
              </w:rPr>
              <w:t>.</w:t>
            </w:r>
            <w:r>
              <w:rPr>
                <w:rFonts w:ascii="Verdana" w:hAnsi="Verdana"/>
                <w:sz w:val="16"/>
                <w:szCs w:val="16"/>
                <w:lang w:val="en-US"/>
              </w:rPr>
              <w:t>-</w:t>
            </w:r>
            <w:proofErr w:type="gramEnd"/>
            <w:r>
              <w:rPr>
                <w:rFonts w:ascii="Verdana" w:hAnsi="Verdana"/>
                <w:sz w:val="16"/>
                <w:szCs w:val="16"/>
                <w:lang w:val="en-US"/>
              </w:rPr>
              <w:t xml:space="preserve"> </w:t>
            </w:r>
            <w:proofErr w:type="spellStart"/>
            <w:r>
              <w:rPr>
                <w:rFonts w:ascii="Verdana" w:hAnsi="Verdana"/>
                <w:sz w:val="16"/>
                <w:szCs w:val="16"/>
              </w:rPr>
              <w:t>Signed</w:t>
            </w:r>
            <w:proofErr w:type="spellEnd"/>
            <w:r>
              <w:rPr>
                <w:rFonts w:ascii="Verdana" w:hAnsi="Verdana"/>
                <w:sz w:val="16"/>
                <w:szCs w:val="16"/>
              </w:rPr>
              <w:t xml:space="preserve">.- </w:t>
            </w:r>
            <w:proofErr w:type="spellStart"/>
            <w:r>
              <w:rPr>
                <w:rFonts w:ascii="Verdana" w:hAnsi="Verdana"/>
                <w:sz w:val="16"/>
                <w:szCs w:val="16"/>
              </w:rPr>
              <w:t>Commissioners</w:t>
            </w:r>
            <w:proofErr w:type="spellEnd"/>
            <w:r>
              <w:rPr>
                <w:rFonts w:ascii="Verdana" w:hAnsi="Verdana"/>
                <w:sz w:val="16"/>
                <w:szCs w:val="16"/>
              </w:rPr>
              <w:t xml:space="preserve">: </w:t>
            </w:r>
            <w:r>
              <w:rPr>
                <w:rFonts w:ascii="Verdana" w:hAnsi="Verdana"/>
                <w:b/>
                <w:sz w:val="16"/>
                <w:szCs w:val="16"/>
              </w:rPr>
              <w:t>Néstor Martínez Romero,</w:t>
            </w:r>
            <w:r>
              <w:rPr>
                <w:rFonts w:ascii="Verdana" w:hAnsi="Verdana"/>
                <w:sz w:val="16"/>
                <w:szCs w:val="16"/>
              </w:rPr>
              <w:t xml:space="preserve"> </w:t>
            </w:r>
            <w:r>
              <w:rPr>
                <w:rFonts w:ascii="Verdana" w:hAnsi="Verdana"/>
                <w:b/>
                <w:sz w:val="16"/>
                <w:szCs w:val="16"/>
              </w:rPr>
              <w:t>Héctor Moreira Rodríguez,</w:t>
            </w:r>
            <w:r>
              <w:rPr>
                <w:rFonts w:ascii="Verdana" w:hAnsi="Verdana"/>
                <w:sz w:val="16"/>
                <w:szCs w:val="16"/>
              </w:rPr>
              <w:t xml:space="preserve"> </w:t>
            </w:r>
            <w:r>
              <w:rPr>
                <w:rFonts w:ascii="Verdana" w:hAnsi="Verdana"/>
                <w:b/>
                <w:sz w:val="16"/>
                <w:szCs w:val="16"/>
              </w:rPr>
              <w:t>Salvador Ortuño Arzate.</w:t>
            </w:r>
            <w:r>
              <w:rPr>
                <w:rFonts w:ascii="Verdana" w:hAnsi="Verdana"/>
                <w:sz w:val="16"/>
                <w:szCs w:val="16"/>
              </w:rPr>
              <w:t xml:space="preserve">- </w:t>
            </w:r>
            <w:proofErr w:type="spellStart"/>
            <w:r>
              <w:rPr>
                <w:rFonts w:ascii="Verdana" w:hAnsi="Verdana"/>
                <w:sz w:val="16"/>
                <w:szCs w:val="16"/>
              </w:rPr>
              <w:t>Signed</w:t>
            </w:r>
            <w:proofErr w:type="spellEnd"/>
            <w:r>
              <w:rPr>
                <w:rFonts w:ascii="Verdana" w:hAnsi="Verdana"/>
                <w:sz w:val="16"/>
                <w:szCs w:val="16"/>
              </w:rPr>
              <w:t>.</w:t>
            </w:r>
          </w:p>
        </w:tc>
      </w:tr>
    </w:tbl>
    <w:p w14:paraId="2F9CA1A1" w14:textId="77777777" w:rsidR="00D953E5" w:rsidRDefault="00D953E5"/>
    <w:sectPr w:rsidR="00D953E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1A2E" w14:textId="77777777" w:rsidR="007C0E22" w:rsidRDefault="007C0E22" w:rsidP="00FE496B">
      <w:r>
        <w:separator/>
      </w:r>
    </w:p>
  </w:endnote>
  <w:endnote w:type="continuationSeparator" w:id="0">
    <w:p w14:paraId="582361CD" w14:textId="77777777" w:rsidR="007C0E22" w:rsidRDefault="007C0E22" w:rsidP="00FE4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1D50" w14:textId="77777777" w:rsidR="00134339" w:rsidRDefault="00134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6CCD" w14:textId="31D5BFCD" w:rsidR="00FE496B" w:rsidRPr="00FE496B" w:rsidRDefault="00FE496B">
    <w:pPr>
      <w:pStyle w:val="Footer"/>
      <w:rPr>
        <w:rFonts w:ascii="Verdana" w:hAnsi="Verdana"/>
        <w:b/>
        <w:bCs/>
        <w:sz w:val="16"/>
        <w:szCs w:val="16"/>
        <w:lang w:val="es-MX"/>
      </w:rPr>
    </w:pPr>
    <w:r w:rsidRPr="00FE496B">
      <w:rPr>
        <w:rFonts w:ascii="Verdana" w:hAnsi="Verdana"/>
        <w:b/>
        <w:bCs/>
        <w:sz w:val="16"/>
        <w:szCs w:val="16"/>
        <w:lang w:val="es-MX"/>
      </w:rPr>
      <w:t xml:space="preserve">Derechos Reservados © 2023 Lic. Glenn Louis McBride   </w:t>
    </w:r>
    <w:r>
      <w:rPr>
        <w:rFonts w:ascii="Verdana" w:hAnsi="Verdana"/>
        <w:b/>
        <w:bCs/>
        <w:sz w:val="16"/>
        <w:szCs w:val="16"/>
        <w:lang w:val="es-MX"/>
      </w:rPr>
      <w:t xml:space="preserve">                     </w:t>
    </w:r>
    <w:r w:rsidRPr="00FE496B">
      <w:rPr>
        <w:rFonts w:ascii="Verdana" w:hAnsi="Verdana"/>
        <w:b/>
        <w:bCs/>
        <w:sz w:val="16"/>
        <w:szCs w:val="16"/>
        <w:lang w:val="es-MX"/>
      </w:rPr>
      <w:t xml:space="preserve">                               </w:t>
    </w:r>
    <w:r w:rsidRPr="00FE496B">
      <w:rPr>
        <w:rFonts w:ascii="Verdana" w:hAnsi="Verdana"/>
        <w:b/>
        <w:bCs/>
        <w:sz w:val="16"/>
        <w:szCs w:val="16"/>
        <w:lang w:val="es-MX"/>
      </w:rPr>
      <w:fldChar w:fldCharType="begin"/>
    </w:r>
    <w:r w:rsidRPr="00FE496B">
      <w:rPr>
        <w:rFonts w:ascii="Verdana" w:hAnsi="Verdana"/>
        <w:b/>
        <w:bCs/>
        <w:sz w:val="16"/>
        <w:szCs w:val="16"/>
        <w:lang w:val="es-MX"/>
      </w:rPr>
      <w:instrText xml:space="preserve"> PAGE   \* MERGEFORMAT </w:instrText>
    </w:r>
    <w:r w:rsidRPr="00FE496B">
      <w:rPr>
        <w:rFonts w:ascii="Verdana" w:hAnsi="Verdana"/>
        <w:b/>
        <w:bCs/>
        <w:sz w:val="16"/>
        <w:szCs w:val="16"/>
        <w:lang w:val="es-MX"/>
      </w:rPr>
      <w:fldChar w:fldCharType="separate"/>
    </w:r>
    <w:r w:rsidRPr="00FE496B">
      <w:rPr>
        <w:rFonts w:ascii="Verdana" w:hAnsi="Verdana"/>
        <w:b/>
        <w:bCs/>
        <w:noProof/>
        <w:sz w:val="16"/>
        <w:szCs w:val="16"/>
        <w:lang w:val="es-MX"/>
      </w:rPr>
      <w:t>1</w:t>
    </w:r>
    <w:r w:rsidRPr="00FE496B">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65EA" w14:textId="77777777" w:rsidR="00134339" w:rsidRDefault="00134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83FA" w14:textId="77777777" w:rsidR="007C0E22" w:rsidRDefault="007C0E22" w:rsidP="00FE496B">
      <w:r>
        <w:separator/>
      </w:r>
    </w:p>
  </w:footnote>
  <w:footnote w:type="continuationSeparator" w:id="0">
    <w:p w14:paraId="1E054713" w14:textId="77777777" w:rsidR="007C0E22" w:rsidRDefault="007C0E22" w:rsidP="00FE4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1280" w14:textId="77777777" w:rsidR="00134339" w:rsidRDefault="00134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F7CF" w14:textId="24016D95" w:rsidR="00FE496B" w:rsidRPr="00FE496B" w:rsidRDefault="00FE496B">
    <w:pPr>
      <w:pStyle w:val="Header"/>
      <w:rPr>
        <w:rFonts w:ascii="Verdana" w:hAnsi="Verdana"/>
        <w:b/>
        <w:bCs/>
        <w:sz w:val="16"/>
        <w:szCs w:val="16"/>
        <w:lang w:val="en-US"/>
      </w:rPr>
    </w:pPr>
    <w:r w:rsidRPr="00FE496B">
      <w:rPr>
        <w:rFonts w:ascii="Verdana" w:hAnsi="Verdana"/>
        <w:b/>
        <w:bCs/>
        <w:sz w:val="16"/>
        <w:szCs w:val="16"/>
        <w:lang w:val="en-US"/>
      </w:rPr>
      <w:t>AGREEMENT CNH.E.09.06</w:t>
    </w:r>
    <w:r w:rsidR="00134339">
      <w:rPr>
        <w:rFonts w:ascii="Verdana" w:hAnsi="Verdana"/>
        <w:b/>
        <w:bCs/>
        <w:sz w:val="16"/>
        <w:szCs w:val="16"/>
        <w:lang w:val="en-US"/>
      </w:rPr>
      <w:t>-</w:t>
    </w:r>
    <w:r w:rsidRPr="00FE496B">
      <w:rPr>
        <w:rFonts w:ascii="Verdana" w:hAnsi="Verdana"/>
        <w:b/>
        <w:bCs/>
        <w:sz w:val="16"/>
        <w:szCs w:val="16"/>
        <w:lang w:val="en-US"/>
      </w:rPr>
      <w:t>2023 by which the National Hydrocarbons Commission interprets for administrative purposes articles 27, 29 and 35 of the Guidelines that regulate the Exploration and Development Plans for the Extraction of Hydrocarbons.</w:t>
    </w:r>
  </w:p>
  <w:p w14:paraId="0270778A" w14:textId="1A75A212" w:rsidR="00FE496B" w:rsidRDefault="00FE496B">
    <w:pPr>
      <w:pStyle w:val="Header"/>
      <w:rPr>
        <w:lang w:val="en-US"/>
      </w:rPr>
    </w:pPr>
    <w:r w:rsidRPr="00FE496B">
      <w:rPr>
        <w:rFonts w:ascii="Verdana" w:hAnsi="Verdana"/>
        <w:sz w:val="16"/>
        <w:szCs w:val="16"/>
        <w:lang w:val="en-US"/>
      </w:rPr>
      <w:t>Published in the DOF on August 2, 2023</w:t>
    </w:r>
  </w:p>
  <w:p w14:paraId="36E7BDCE" w14:textId="77777777" w:rsidR="00FE496B" w:rsidRPr="00FE496B" w:rsidRDefault="00FE496B">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BDD2" w14:textId="77777777" w:rsidR="00134339" w:rsidRDefault="001343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496B"/>
    <w:rsid w:val="00134339"/>
    <w:rsid w:val="00244EAA"/>
    <w:rsid w:val="00363050"/>
    <w:rsid w:val="003B6CCD"/>
    <w:rsid w:val="0048366F"/>
    <w:rsid w:val="00533535"/>
    <w:rsid w:val="005733C6"/>
    <w:rsid w:val="007C0E22"/>
    <w:rsid w:val="009D796E"/>
    <w:rsid w:val="00A1275C"/>
    <w:rsid w:val="00B57BDA"/>
    <w:rsid w:val="00BC1106"/>
    <w:rsid w:val="00D953E5"/>
    <w:rsid w:val="00E0561C"/>
    <w:rsid w:val="00E1055F"/>
    <w:rsid w:val="00E21D17"/>
    <w:rsid w:val="00ED0AE6"/>
    <w:rsid w:val="00F32767"/>
    <w:rsid w:val="00FE4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D2D7"/>
  <w15:chartTrackingRefBased/>
  <w15:docId w15:val="{BD1188A7-7106-4DBE-B6FB-AE48DDE5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96B"/>
    <w:pPr>
      <w:spacing w:after="0" w:line="240" w:lineRule="auto"/>
    </w:pPr>
    <w:rPr>
      <w:rFonts w:ascii="Times New Roman" w:eastAsia="Times New Roman" w:hAnsi="Times New Roman" w:cs="Times New Roman"/>
      <w:kern w:val="0"/>
      <w:sz w:val="24"/>
      <w:szCs w:val="24"/>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OTACIONCar">
    <w:name w:val="ANOTACION Car"/>
    <w:link w:val="ANOTACION"/>
    <w:locked/>
    <w:rsid w:val="00FE496B"/>
    <w:rPr>
      <w:b/>
      <w:sz w:val="18"/>
      <w:lang w:val="es-ES_tradnl" w:eastAsia="zh-CN"/>
    </w:rPr>
  </w:style>
  <w:style w:type="paragraph" w:customStyle="1" w:styleId="ANOTACION">
    <w:name w:val="ANOTACION"/>
    <w:basedOn w:val="Normal"/>
    <w:link w:val="ANOTACIONCar"/>
    <w:rsid w:val="00FE496B"/>
    <w:pPr>
      <w:spacing w:before="101" w:after="101" w:line="216" w:lineRule="atLeast"/>
      <w:jc w:val="center"/>
    </w:pPr>
    <w:rPr>
      <w:rFonts w:asciiTheme="minorHAnsi" w:eastAsiaTheme="minorHAnsi" w:hAnsiTheme="minorHAnsi" w:cstheme="minorBidi"/>
      <w:b/>
      <w:kern w:val="2"/>
      <w:sz w:val="18"/>
      <w:szCs w:val="22"/>
      <w:lang w:val="es-ES_tradnl"/>
    </w:rPr>
  </w:style>
  <w:style w:type="paragraph" w:customStyle="1" w:styleId="texto">
    <w:name w:val="texto"/>
    <w:basedOn w:val="Normal"/>
    <w:rsid w:val="00FE496B"/>
    <w:pPr>
      <w:snapToGrid w:val="0"/>
      <w:spacing w:after="101" w:line="216" w:lineRule="exact"/>
      <w:ind w:firstLine="288"/>
      <w:jc w:val="both"/>
    </w:pPr>
    <w:rPr>
      <w:rFonts w:ascii="Arial" w:hAnsi="Arial" w:cs="Arial"/>
      <w:sz w:val="18"/>
      <w:szCs w:val="18"/>
      <w:lang w:val="es-MX"/>
    </w:rPr>
  </w:style>
  <w:style w:type="table" w:styleId="TableGrid">
    <w:name w:val="Table Grid"/>
    <w:basedOn w:val="TableNormal"/>
    <w:uiPriority w:val="59"/>
    <w:rsid w:val="00FE496B"/>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
    <w:rsid w:val="00FE496B"/>
    <w:pPr>
      <w:pBdr>
        <w:bottom w:val="single" w:sz="12" w:space="1" w:color="auto"/>
      </w:pBdr>
      <w:snapToGrid/>
      <w:spacing w:before="120" w:after="0" w:line="240" w:lineRule="auto"/>
      <w:ind w:firstLine="0"/>
      <w:outlineLvl w:val="0"/>
    </w:pPr>
    <w:rPr>
      <w:rFonts w:ascii="Times New Roman" w:hAnsi="Times New Roman"/>
      <w:b/>
      <w:lang w:eastAsia="es-MX"/>
    </w:rPr>
  </w:style>
  <w:style w:type="paragraph" w:customStyle="1" w:styleId="Titulo2">
    <w:name w:val="Titulo 2"/>
    <w:basedOn w:val="texto"/>
    <w:rsid w:val="00FE496B"/>
    <w:pPr>
      <w:pBdr>
        <w:top w:val="double" w:sz="6" w:space="1" w:color="auto"/>
      </w:pBdr>
      <w:snapToGrid/>
      <w:spacing w:line="240" w:lineRule="auto"/>
      <w:ind w:firstLine="0"/>
      <w:outlineLvl w:val="1"/>
    </w:pPr>
    <w:rPr>
      <w:szCs w:val="20"/>
    </w:rPr>
  </w:style>
  <w:style w:type="paragraph" w:styleId="Header">
    <w:name w:val="header"/>
    <w:basedOn w:val="Normal"/>
    <w:link w:val="HeaderChar"/>
    <w:uiPriority w:val="99"/>
    <w:unhideWhenUsed/>
    <w:rsid w:val="00FE496B"/>
    <w:pPr>
      <w:tabs>
        <w:tab w:val="center" w:pos="4680"/>
        <w:tab w:val="right" w:pos="9360"/>
      </w:tabs>
    </w:pPr>
  </w:style>
  <w:style w:type="character" w:customStyle="1" w:styleId="HeaderChar">
    <w:name w:val="Header Char"/>
    <w:basedOn w:val="DefaultParagraphFont"/>
    <w:link w:val="Header"/>
    <w:uiPriority w:val="99"/>
    <w:rsid w:val="00FE496B"/>
    <w:rPr>
      <w:rFonts w:ascii="Times New Roman" w:eastAsia="Times New Roman" w:hAnsi="Times New Roman" w:cs="Times New Roman"/>
      <w:kern w:val="0"/>
      <w:sz w:val="24"/>
      <w:szCs w:val="24"/>
      <w:lang w:val="es-ES" w:eastAsia="zh-CN"/>
    </w:rPr>
  </w:style>
  <w:style w:type="paragraph" w:styleId="Footer">
    <w:name w:val="footer"/>
    <w:basedOn w:val="Normal"/>
    <w:link w:val="FooterChar"/>
    <w:uiPriority w:val="99"/>
    <w:unhideWhenUsed/>
    <w:rsid w:val="00FE496B"/>
    <w:pPr>
      <w:tabs>
        <w:tab w:val="center" w:pos="4680"/>
        <w:tab w:val="right" w:pos="9360"/>
      </w:tabs>
    </w:pPr>
  </w:style>
  <w:style w:type="character" w:customStyle="1" w:styleId="FooterChar">
    <w:name w:val="Footer Char"/>
    <w:basedOn w:val="DefaultParagraphFont"/>
    <w:link w:val="Footer"/>
    <w:uiPriority w:val="99"/>
    <w:rsid w:val="00FE496B"/>
    <w:rPr>
      <w:rFonts w:ascii="Times New Roman" w:eastAsia="Times New Roman" w:hAnsi="Times New Roman" w:cs="Times New Roman"/>
      <w:kern w:val="0"/>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4173</Words>
  <Characters>23040</Characters>
  <Application>Microsoft Office Word</Application>
  <DocSecurity>0</DocSecurity>
  <Lines>360</Lines>
  <Paragraphs>192</Paragraphs>
  <ScaleCrop>false</ScaleCrop>
  <Company/>
  <LinksUpToDate>false</LinksUpToDate>
  <CharactersWithSpaces>27021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2</cp:revision>
  <cp:lastPrinted>2023-08-04T23:41:00Z</cp:lastPrinted>
  <dcterms:created xsi:type="dcterms:W3CDTF">2023-08-04T23:38:00Z</dcterms:created>
  <dcterms:modified xsi:type="dcterms:W3CDTF">2023-08-04T23:45:00Z</dcterms:modified>
</cp:coreProperties>
</file>