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E771C" w:rsidRPr="00475A0C" w14:paraId="43275EBD" w14:textId="61C69120" w:rsidTr="007B36AB">
        <w:tc>
          <w:tcPr>
            <w:tcW w:w="4675" w:type="dxa"/>
          </w:tcPr>
          <w:p w14:paraId="1AAEE8D8" w14:textId="77777777" w:rsidR="00BE771C" w:rsidRPr="00475A0C" w:rsidRDefault="00BE771C" w:rsidP="00BE771C">
            <w:pPr>
              <w:pStyle w:val="Titulo1"/>
              <w:pBdr>
                <w:bottom w:val="none" w:sz="0" w:space="0" w:color="auto"/>
              </w:pBdr>
              <w:spacing w:before="0"/>
              <w:jc w:val="center"/>
              <w:rPr>
                <w:rFonts w:ascii="Verdana" w:hAnsi="Verdana" w:cs="Tahoma"/>
                <w:color w:val="008000"/>
                <w:sz w:val="16"/>
                <w:szCs w:val="16"/>
              </w:rPr>
            </w:pPr>
            <w:r w:rsidRPr="00475A0C">
              <w:rPr>
                <w:rFonts w:ascii="Verdana" w:hAnsi="Verdana" w:cs="Tahoma"/>
                <w:color w:val="008000"/>
                <w:sz w:val="16"/>
                <w:szCs w:val="16"/>
              </w:rPr>
              <w:t>LEY DEL SECTOR HIDROCARBUROS</w:t>
            </w:r>
          </w:p>
        </w:tc>
        <w:tc>
          <w:tcPr>
            <w:tcW w:w="4675" w:type="dxa"/>
          </w:tcPr>
          <w:p w14:paraId="19BA71DD" w14:textId="11C88C8D" w:rsidR="00BE771C" w:rsidRPr="00E3602D" w:rsidRDefault="00D322E9" w:rsidP="00BE771C">
            <w:pPr>
              <w:pStyle w:val="Titulo1"/>
              <w:pBdr>
                <w:bottom w:val="none" w:sz="0" w:space="0" w:color="auto"/>
              </w:pBdr>
              <w:spacing w:before="0"/>
              <w:jc w:val="center"/>
              <w:rPr>
                <w:rFonts w:ascii="Verdana" w:hAnsi="Verdana" w:cs="Tahoma"/>
                <w:color w:val="008000"/>
                <w:sz w:val="16"/>
                <w:szCs w:val="16"/>
                <w:lang w:val="en-US"/>
              </w:rPr>
            </w:pPr>
            <w:r w:rsidRPr="00E3602D">
              <w:rPr>
                <w:rFonts w:ascii="Verdana" w:hAnsi="Verdana" w:cs="Tahoma"/>
                <w:color w:val="008000"/>
                <w:sz w:val="16"/>
                <w:szCs w:val="16"/>
                <w:lang w:val="en-US"/>
              </w:rPr>
              <w:t>LAW OF THE HYDROCARBON</w:t>
            </w:r>
            <w:r w:rsidR="00813903" w:rsidRPr="00E3602D">
              <w:rPr>
                <w:rFonts w:ascii="Verdana" w:hAnsi="Verdana" w:cs="Tahoma"/>
                <w:color w:val="008000"/>
                <w:sz w:val="16"/>
                <w:szCs w:val="16"/>
                <w:lang w:val="en-US"/>
              </w:rPr>
              <w:t>S</w:t>
            </w:r>
            <w:r w:rsidRPr="00E3602D">
              <w:rPr>
                <w:rFonts w:ascii="Verdana" w:hAnsi="Verdana" w:cs="Tahoma"/>
                <w:color w:val="008000"/>
                <w:sz w:val="16"/>
                <w:szCs w:val="16"/>
                <w:lang w:val="en-US"/>
              </w:rPr>
              <w:t xml:space="preserve"> SECTOR</w:t>
            </w:r>
          </w:p>
        </w:tc>
      </w:tr>
      <w:tr w:rsidR="00BE771C" w:rsidRPr="00475A0C" w14:paraId="044A4EE3" w14:textId="593A14E2" w:rsidTr="007B36AB">
        <w:tc>
          <w:tcPr>
            <w:tcW w:w="4675" w:type="dxa"/>
          </w:tcPr>
          <w:p w14:paraId="586A624F" w14:textId="77777777" w:rsidR="00BE771C" w:rsidRPr="00475A0C" w:rsidRDefault="00BE771C" w:rsidP="00BE771C">
            <w:pPr>
              <w:jc w:val="center"/>
              <w:rPr>
                <w:rFonts w:ascii="Verdana" w:eastAsia="MS Mincho" w:hAnsi="Verdana" w:cs="Tahoma"/>
                <w:bCs/>
                <w:sz w:val="16"/>
                <w:szCs w:val="16"/>
                <w:lang w:val="en-US"/>
              </w:rPr>
            </w:pPr>
          </w:p>
        </w:tc>
        <w:tc>
          <w:tcPr>
            <w:tcW w:w="4675" w:type="dxa"/>
          </w:tcPr>
          <w:p w14:paraId="24400289" w14:textId="77777777" w:rsidR="00BE771C" w:rsidRPr="00E3602D" w:rsidRDefault="00BE771C" w:rsidP="00BE771C">
            <w:pPr>
              <w:jc w:val="center"/>
              <w:rPr>
                <w:rFonts w:ascii="Verdana" w:eastAsia="MS Mincho" w:hAnsi="Verdana" w:cs="Tahoma"/>
                <w:bCs/>
                <w:sz w:val="16"/>
                <w:szCs w:val="16"/>
                <w:lang w:val="en-US"/>
              </w:rPr>
            </w:pPr>
          </w:p>
        </w:tc>
      </w:tr>
      <w:tr w:rsidR="00BE771C" w:rsidRPr="00475A0C" w14:paraId="581AF2E2" w14:textId="1E200127" w:rsidTr="007B36AB">
        <w:tc>
          <w:tcPr>
            <w:tcW w:w="4675" w:type="dxa"/>
          </w:tcPr>
          <w:p w14:paraId="31C11A4E" w14:textId="77777777" w:rsidR="00BE771C" w:rsidRPr="00475A0C" w:rsidRDefault="00BE771C" w:rsidP="00BE771C">
            <w:pPr>
              <w:jc w:val="center"/>
              <w:rPr>
                <w:rFonts w:ascii="Verdana" w:eastAsia="MS Mincho" w:hAnsi="Verdana" w:cs="Tahoma"/>
                <w:b/>
                <w:bCs/>
                <w:sz w:val="16"/>
                <w:szCs w:val="16"/>
              </w:rPr>
            </w:pPr>
            <w:r w:rsidRPr="00475A0C">
              <w:rPr>
                <w:rFonts w:ascii="Verdana" w:eastAsia="MS Mincho" w:hAnsi="Verdana" w:cs="Tahoma"/>
                <w:b/>
                <w:bCs/>
                <w:sz w:val="16"/>
                <w:szCs w:val="16"/>
              </w:rPr>
              <w:t>TEXTO VIGENTE</w:t>
            </w:r>
          </w:p>
        </w:tc>
        <w:tc>
          <w:tcPr>
            <w:tcW w:w="4675" w:type="dxa"/>
          </w:tcPr>
          <w:p w14:paraId="4CD8FDEC" w14:textId="2A814D8B" w:rsidR="00BE771C" w:rsidRPr="00E3602D" w:rsidRDefault="00BE771C" w:rsidP="00BE771C">
            <w:pPr>
              <w:jc w:val="center"/>
              <w:rPr>
                <w:rFonts w:ascii="Verdana" w:eastAsia="MS Mincho" w:hAnsi="Verdana" w:cs="Tahoma"/>
                <w:b/>
                <w:bCs/>
                <w:sz w:val="16"/>
                <w:szCs w:val="16"/>
                <w:lang w:val="en-US"/>
              </w:rPr>
            </w:pPr>
            <w:r w:rsidRPr="00E3602D">
              <w:rPr>
                <w:rFonts w:ascii="Verdana" w:eastAsia="MS Mincho" w:hAnsi="Verdana" w:cs="Tahoma"/>
                <w:b/>
                <w:bCs/>
                <w:sz w:val="16"/>
                <w:szCs w:val="16"/>
                <w:lang w:val="en-US"/>
              </w:rPr>
              <w:t>CURRENT TEXT</w:t>
            </w:r>
          </w:p>
        </w:tc>
      </w:tr>
      <w:tr w:rsidR="00BE771C" w:rsidRPr="00475A0C" w14:paraId="0BA97AC4" w14:textId="70D2A868" w:rsidTr="007B36AB">
        <w:tc>
          <w:tcPr>
            <w:tcW w:w="4675" w:type="dxa"/>
          </w:tcPr>
          <w:p w14:paraId="1CE4AC0F" w14:textId="77777777" w:rsidR="00BE771C" w:rsidRPr="00475A0C" w:rsidRDefault="00BE771C" w:rsidP="00BE771C">
            <w:pPr>
              <w:jc w:val="center"/>
              <w:rPr>
                <w:rFonts w:ascii="Verdana" w:eastAsia="MS Mincho" w:hAnsi="Verdana" w:cs="Tahoma"/>
                <w:b/>
                <w:bCs/>
                <w:color w:val="CC3300"/>
                <w:sz w:val="16"/>
                <w:szCs w:val="16"/>
              </w:rPr>
            </w:pPr>
            <w:r w:rsidRPr="00475A0C">
              <w:rPr>
                <w:rFonts w:ascii="Verdana" w:eastAsia="MS Mincho" w:hAnsi="Verdana" w:cs="Tahoma"/>
                <w:b/>
                <w:bCs/>
                <w:color w:val="CC3300"/>
                <w:sz w:val="16"/>
                <w:szCs w:val="16"/>
              </w:rPr>
              <w:t>Nueva Ley publicada en el Diario Oficial de la Federación el 18 de marzo de 2025</w:t>
            </w:r>
          </w:p>
        </w:tc>
        <w:tc>
          <w:tcPr>
            <w:tcW w:w="4675" w:type="dxa"/>
          </w:tcPr>
          <w:p w14:paraId="5C938D33" w14:textId="05157301" w:rsidR="00BE771C" w:rsidRPr="00E3602D" w:rsidRDefault="00BE771C" w:rsidP="00BE771C">
            <w:pPr>
              <w:jc w:val="center"/>
              <w:rPr>
                <w:rFonts w:ascii="Verdana" w:eastAsia="MS Mincho" w:hAnsi="Verdana" w:cs="Tahoma"/>
                <w:b/>
                <w:bCs/>
                <w:color w:val="CC3300"/>
                <w:sz w:val="16"/>
                <w:szCs w:val="16"/>
                <w:lang w:val="en-US"/>
              </w:rPr>
            </w:pPr>
            <w:r w:rsidRPr="00E3602D">
              <w:rPr>
                <w:rFonts w:ascii="Verdana" w:eastAsia="MS Mincho" w:hAnsi="Verdana" w:cs="Tahoma"/>
                <w:b/>
                <w:bCs/>
                <w:color w:val="CC3300"/>
                <w:sz w:val="16"/>
                <w:szCs w:val="16"/>
                <w:lang w:val="en-US"/>
              </w:rPr>
              <w:t xml:space="preserve">New Law published in the Official </w:t>
            </w:r>
            <w:r w:rsidR="00D322E9" w:rsidRPr="00E3602D">
              <w:rPr>
                <w:rFonts w:ascii="Verdana" w:eastAsia="MS Mincho" w:hAnsi="Verdana" w:cs="Tahoma"/>
                <w:b/>
                <w:bCs/>
                <w:color w:val="CC3300"/>
                <w:sz w:val="16"/>
                <w:szCs w:val="16"/>
                <w:lang w:val="en-US"/>
              </w:rPr>
              <w:t>Daily</w:t>
            </w:r>
            <w:r w:rsidRPr="00E3602D">
              <w:rPr>
                <w:rFonts w:ascii="Verdana" w:eastAsia="MS Mincho" w:hAnsi="Verdana" w:cs="Tahoma"/>
                <w:b/>
                <w:bCs/>
                <w:color w:val="CC3300"/>
                <w:sz w:val="16"/>
                <w:szCs w:val="16"/>
                <w:lang w:val="en-US"/>
              </w:rPr>
              <w:t xml:space="preserve"> of the Federation on March 18, 2025</w:t>
            </w:r>
          </w:p>
        </w:tc>
      </w:tr>
      <w:tr w:rsidR="00BE771C" w:rsidRPr="00475A0C" w14:paraId="0809F8AF" w14:textId="0AB06DFF" w:rsidTr="007B36AB">
        <w:tc>
          <w:tcPr>
            <w:tcW w:w="4675" w:type="dxa"/>
          </w:tcPr>
          <w:p w14:paraId="7FD77755" w14:textId="77777777" w:rsidR="00BE771C" w:rsidRPr="00475A0C" w:rsidRDefault="00BE771C" w:rsidP="00BE771C">
            <w:pPr>
              <w:pStyle w:val="Titulo1"/>
              <w:pBdr>
                <w:bottom w:val="none" w:sz="0" w:space="0" w:color="auto"/>
              </w:pBdr>
              <w:spacing w:before="0"/>
              <w:rPr>
                <w:rFonts w:ascii="Verdana" w:hAnsi="Verdana"/>
                <w:b w:val="0"/>
                <w:sz w:val="16"/>
                <w:szCs w:val="16"/>
                <w:lang w:val="en-US"/>
              </w:rPr>
            </w:pPr>
          </w:p>
        </w:tc>
        <w:tc>
          <w:tcPr>
            <w:tcW w:w="4675" w:type="dxa"/>
          </w:tcPr>
          <w:p w14:paraId="2D788AFB" w14:textId="77777777" w:rsidR="00BE771C" w:rsidRPr="00E3602D" w:rsidRDefault="00BE771C" w:rsidP="00BE771C">
            <w:pPr>
              <w:pStyle w:val="Titulo1"/>
              <w:pBdr>
                <w:bottom w:val="none" w:sz="0" w:space="0" w:color="auto"/>
              </w:pBdr>
              <w:spacing w:before="0"/>
              <w:rPr>
                <w:rFonts w:ascii="Verdana" w:hAnsi="Verdana"/>
                <w:b w:val="0"/>
                <w:sz w:val="16"/>
                <w:szCs w:val="16"/>
                <w:lang w:val="en-US"/>
              </w:rPr>
            </w:pPr>
          </w:p>
        </w:tc>
      </w:tr>
      <w:tr w:rsidR="00BE771C" w:rsidRPr="00475A0C" w14:paraId="74B1055B" w14:textId="272A5875" w:rsidTr="007B36AB">
        <w:tc>
          <w:tcPr>
            <w:tcW w:w="4675" w:type="dxa"/>
          </w:tcPr>
          <w:p w14:paraId="01960E58" w14:textId="77777777" w:rsidR="00BE771C" w:rsidRPr="00475A0C" w:rsidRDefault="00BE771C" w:rsidP="00BE771C">
            <w:pPr>
              <w:pStyle w:val="Titulo1"/>
              <w:pBdr>
                <w:bottom w:val="none" w:sz="0" w:space="0" w:color="auto"/>
              </w:pBdr>
              <w:spacing w:before="0"/>
              <w:rPr>
                <w:rFonts w:ascii="Verdana" w:hAnsi="Verdana"/>
                <w:b w:val="0"/>
                <w:sz w:val="16"/>
                <w:szCs w:val="16"/>
                <w:lang w:val="en-US"/>
              </w:rPr>
            </w:pPr>
          </w:p>
        </w:tc>
        <w:tc>
          <w:tcPr>
            <w:tcW w:w="4675" w:type="dxa"/>
          </w:tcPr>
          <w:p w14:paraId="1E905A1F" w14:textId="77777777" w:rsidR="00BE771C" w:rsidRPr="00E3602D" w:rsidRDefault="00BE771C" w:rsidP="00BE771C">
            <w:pPr>
              <w:pStyle w:val="Titulo1"/>
              <w:pBdr>
                <w:bottom w:val="none" w:sz="0" w:space="0" w:color="auto"/>
              </w:pBdr>
              <w:spacing w:before="0"/>
              <w:rPr>
                <w:rFonts w:ascii="Verdana" w:hAnsi="Verdana"/>
                <w:b w:val="0"/>
                <w:sz w:val="16"/>
                <w:szCs w:val="16"/>
                <w:lang w:val="en-US"/>
              </w:rPr>
            </w:pPr>
          </w:p>
        </w:tc>
      </w:tr>
      <w:tr w:rsidR="00BE771C" w:rsidRPr="00475A0C" w14:paraId="70BB619C" w14:textId="4236CEB6" w:rsidTr="007B36AB">
        <w:tc>
          <w:tcPr>
            <w:tcW w:w="4675" w:type="dxa"/>
          </w:tcPr>
          <w:p w14:paraId="46276786" w14:textId="77777777" w:rsidR="00BE771C" w:rsidRPr="00475A0C" w:rsidRDefault="00BE771C" w:rsidP="00BE771C">
            <w:pPr>
              <w:pStyle w:val="Titulo1"/>
              <w:pBdr>
                <w:bottom w:val="none" w:sz="0" w:space="0" w:color="auto"/>
              </w:pBdr>
              <w:spacing w:before="0"/>
              <w:rPr>
                <w:rFonts w:ascii="Verdana" w:hAnsi="Verdana"/>
                <w:b w:val="0"/>
                <w:sz w:val="16"/>
                <w:szCs w:val="16"/>
                <w:lang w:val="en-US"/>
              </w:rPr>
            </w:pPr>
          </w:p>
        </w:tc>
        <w:tc>
          <w:tcPr>
            <w:tcW w:w="4675" w:type="dxa"/>
          </w:tcPr>
          <w:p w14:paraId="4BA4F26F" w14:textId="77777777" w:rsidR="00BE771C" w:rsidRPr="00E3602D" w:rsidRDefault="00BE771C" w:rsidP="00BE771C">
            <w:pPr>
              <w:pStyle w:val="Titulo1"/>
              <w:pBdr>
                <w:bottom w:val="none" w:sz="0" w:space="0" w:color="auto"/>
              </w:pBdr>
              <w:spacing w:before="0"/>
              <w:rPr>
                <w:rFonts w:ascii="Verdana" w:hAnsi="Verdana"/>
                <w:b w:val="0"/>
                <w:sz w:val="16"/>
                <w:szCs w:val="16"/>
                <w:lang w:val="en-US"/>
              </w:rPr>
            </w:pPr>
          </w:p>
        </w:tc>
      </w:tr>
      <w:tr w:rsidR="00BE771C" w:rsidRPr="00475A0C" w14:paraId="12F4B3A5" w14:textId="4A79B7DB" w:rsidTr="007B36AB">
        <w:tc>
          <w:tcPr>
            <w:tcW w:w="4675" w:type="dxa"/>
          </w:tcPr>
          <w:p w14:paraId="5F9C8705" w14:textId="77777777" w:rsidR="00BE771C" w:rsidRPr="00475A0C" w:rsidRDefault="00BE771C" w:rsidP="00BE771C">
            <w:pPr>
              <w:pStyle w:val="Titulo2"/>
              <w:pBdr>
                <w:top w:val="none" w:sz="0" w:space="0" w:color="auto"/>
              </w:pBdr>
              <w:rPr>
                <w:rFonts w:ascii="Verdana" w:hAnsi="Verdana"/>
                <w:sz w:val="16"/>
                <w:szCs w:val="16"/>
              </w:rPr>
            </w:pPr>
            <w:r w:rsidRPr="00475A0C">
              <w:rPr>
                <w:rFonts w:ascii="Verdana" w:hAnsi="Verdana"/>
                <w:sz w:val="16"/>
                <w:szCs w:val="16"/>
              </w:rPr>
              <w:t>Al margen un sello con el Escudo Nacional, que dice: Estados Unidos Mexicanos.- Presidencia de la República.</w:t>
            </w:r>
          </w:p>
        </w:tc>
        <w:tc>
          <w:tcPr>
            <w:tcW w:w="4675" w:type="dxa"/>
          </w:tcPr>
          <w:p w14:paraId="3A8F2460" w14:textId="79EC892C" w:rsidR="00BE771C" w:rsidRPr="00E3602D" w:rsidRDefault="00D322E9" w:rsidP="00BE771C">
            <w:pPr>
              <w:pStyle w:val="Titulo2"/>
              <w:pBdr>
                <w:top w:val="none" w:sz="0" w:space="0" w:color="auto"/>
              </w:pBdr>
              <w:rPr>
                <w:rFonts w:ascii="Verdana" w:hAnsi="Verdana"/>
                <w:sz w:val="16"/>
                <w:szCs w:val="16"/>
                <w:lang w:val="en-US"/>
              </w:rPr>
            </w:pPr>
            <w:r w:rsidRPr="00E3602D">
              <w:rPr>
                <w:rFonts w:ascii="Verdana" w:hAnsi="Verdana"/>
                <w:sz w:val="16"/>
                <w:szCs w:val="16"/>
                <w:lang w:val="en-US"/>
              </w:rPr>
              <w:t xml:space="preserve">In the margin a stamp with the National Seal, which reads: United Mexican States. - Presidency of the Republic. </w:t>
            </w:r>
          </w:p>
        </w:tc>
      </w:tr>
      <w:tr w:rsidR="00BE771C" w:rsidRPr="00475A0C" w14:paraId="1DD496EA" w14:textId="65FE361E" w:rsidTr="007B36AB">
        <w:tc>
          <w:tcPr>
            <w:tcW w:w="4675" w:type="dxa"/>
          </w:tcPr>
          <w:p w14:paraId="509C78D6" w14:textId="77777777" w:rsidR="00BE771C" w:rsidRPr="00475A0C" w:rsidRDefault="00BE771C" w:rsidP="00BE771C">
            <w:pPr>
              <w:pStyle w:val="Texto"/>
              <w:spacing w:line="236" w:lineRule="exact"/>
              <w:ind w:firstLine="0"/>
              <w:rPr>
                <w:rFonts w:ascii="Verdana" w:hAnsi="Verdana"/>
                <w:sz w:val="16"/>
                <w:szCs w:val="16"/>
                <w:lang w:val="es-MX"/>
              </w:rPr>
            </w:pPr>
            <w:r w:rsidRPr="00475A0C">
              <w:rPr>
                <w:rFonts w:ascii="Verdana" w:hAnsi="Verdana"/>
                <w:b/>
                <w:sz w:val="16"/>
                <w:szCs w:val="16"/>
                <w:lang w:val="es-MX"/>
              </w:rPr>
              <w:t>CLAUDIA SHEINBAUM PARDO</w:t>
            </w:r>
            <w:r w:rsidRPr="00475A0C">
              <w:rPr>
                <w:rFonts w:ascii="Verdana" w:hAnsi="Verdana"/>
                <w:sz w:val="16"/>
                <w:szCs w:val="16"/>
                <w:lang w:val="es-MX"/>
              </w:rPr>
              <w:t>, Presidenta de los Estados Unidos Mexicanos, a sus habitantes sabed:</w:t>
            </w:r>
          </w:p>
        </w:tc>
        <w:tc>
          <w:tcPr>
            <w:tcW w:w="4675" w:type="dxa"/>
          </w:tcPr>
          <w:p w14:paraId="646EFB02" w14:textId="54770EA7" w:rsidR="00BE771C" w:rsidRPr="00E3602D" w:rsidRDefault="00BE771C" w:rsidP="00BE771C">
            <w:pPr>
              <w:pStyle w:val="Texto"/>
              <w:spacing w:line="236" w:lineRule="exact"/>
              <w:ind w:firstLine="0"/>
              <w:rPr>
                <w:rFonts w:ascii="Verdana" w:hAnsi="Verdana"/>
                <w:b/>
                <w:sz w:val="16"/>
                <w:szCs w:val="16"/>
                <w:lang w:val="en-US"/>
              </w:rPr>
            </w:pPr>
            <w:r w:rsidRPr="00E3602D">
              <w:rPr>
                <w:rFonts w:ascii="Verdana" w:hAnsi="Verdana"/>
                <w:b/>
                <w:sz w:val="16"/>
                <w:szCs w:val="16"/>
                <w:lang w:val="en-US"/>
              </w:rPr>
              <w:t>CLAUDIA SHEINBAUM PARDO</w:t>
            </w:r>
            <w:r w:rsidR="00D322E9" w:rsidRPr="00E3602D">
              <w:rPr>
                <w:rFonts w:ascii="Verdana" w:hAnsi="Verdana"/>
                <w:b/>
                <w:sz w:val="16"/>
                <w:szCs w:val="16"/>
                <w:lang w:val="en-US"/>
              </w:rPr>
              <w:t>,</w:t>
            </w:r>
            <w:r w:rsidRPr="00E3602D">
              <w:rPr>
                <w:rFonts w:ascii="Verdana" w:hAnsi="Verdana"/>
                <w:sz w:val="16"/>
                <w:szCs w:val="16"/>
                <w:lang w:val="en-US"/>
              </w:rPr>
              <w:t xml:space="preserve"> President of the United Mexican States, to its inhabitants</w:t>
            </w:r>
            <w:r w:rsidR="000E25C8" w:rsidRPr="00E3602D">
              <w:rPr>
                <w:rFonts w:ascii="Verdana" w:hAnsi="Verdana"/>
                <w:sz w:val="16"/>
                <w:szCs w:val="16"/>
                <w:lang w:val="en-US"/>
              </w:rPr>
              <w:t xml:space="preserve"> makes</w:t>
            </w:r>
            <w:r w:rsidRPr="00E3602D">
              <w:rPr>
                <w:rFonts w:ascii="Verdana" w:hAnsi="Verdana"/>
                <w:sz w:val="16"/>
                <w:szCs w:val="16"/>
                <w:lang w:val="en-US"/>
              </w:rPr>
              <w:t xml:space="preserve"> know</w:t>
            </w:r>
            <w:r w:rsidR="006F55A1" w:rsidRPr="00E3602D">
              <w:rPr>
                <w:rFonts w:ascii="Verdana" w:hAnsi="Verdana"/>
                <w:sz w:val="16"/>
                <w:szCs w:val="16"/>
                <w:lang w:val="en-US"/>
              </w:rPr>
              <w:t>n</w:t>
            </w:r>
            <w:r w:rsidRPr="00E3602D">
              <w:rPr>
                <w:rFonts w:ascii="Verdana" w:hAnsi="Verdana"/>
                <w:sz w:val="16"/>
                <w:szCs w:val="16"/>
                <w:lang w:val="en-US"/>
              </w:rPr>
              <w:t>:</w:t>
            </w:r>
          </w:p>
        </w:tc>
      </w:tr>
      <w:tr w:rsidR="00BE771C" w:rsidRPr="00475A0C" w14:paraId="5EF695A7" w14:textId="31518D49" w:rsidTr="007B36AB">
        <w:tc>
          <w:tcPr>
            <w:tcW w:w="4675" w:type="dxa"/>
          </w:tcPr>
          <w:p w14:paraId="7FAE5B6E" w14:textId="77777777" w:rsidR="00BE771C" w:rsidRPr="00475A0C" w:rsidRDefault="00BE771C" w:rsidP="00BE771C">
            <w:pPr>
              <w:pStyle w:val="Texto"/>
              <w:spacing w:line="236" w:lineRule="exact"/>
              <w:ind w:firstLine="0"/>
              <w:rPr>
                <w:rFonts w:ascii="Verdana" w:hAnsi="Verdana"/>
                <w:sz w:val="16"/>
                <w:szCs w:val="16"/>
                <w:lang w:val="es-MX"/>
              </w:rPr>
            </w:pPr>
            <w:r w:rsidRPr="00475A0C">
              <w:rPr>
                <w:rFonts w:ascii="Verdana" w:hAnsi="Verdana"/>
                <w:sz w:val="16"/>
                <w:szCs w:val="16"/>
                <w:lang w:val="es-MX"/>
              </w:rPr>
              <w:t xml:space="preserve">Que el Honorable Congreso de </w:t>
            </w:r>
            <w:smartTag w:uri="urn:schemas-microsoft-com:office:smarttags" w:element="PersonName">
              <w:smartTagPr>
                <w:attr w:name="ProductID" w:val="la Unión"/>
              </w:smartTagPr>
              <w:r w:rsidRPr="00475A0C">
                <w:rPr>
                  <w:rFonts w:ascii="Verdana" w:hAnsi="Verdana"/>
                  <w:sz w:val="16"/>
                  <w:szCs w:val="16"/>
                  <w:lang w:val="es-MX"/>
                </w:rPr>
                <w:t>la Unión</w:t>
              </w:r>
            </w:smartTag>
            <w:r w:rsidRPr="00475A0C">
              <w:rPr>
                <w:rFonts w:ascii="Verdana" w:hAnsi="Verdana"/>
                <w:sz w:val="16"/>
                <w:szCs w:val="16"/>
                <w:lang w:val="es-MX"/>
              </w:rPr>
              <w:t>, se ha servido dirigirme el siguiente</w:t>
            </w:r>
          </w:p>
        </w:tc>
        <w:tc>
          <w:tcPr>
            <w:tcW w:w="4675" w:type="dxa"/>
          </w:tcPr>
          <w:p w14:paraId="20A5EC48" w14:textId="0DE045CE" w:rsidR="00BE771C" w:rsidRPr="00E3602D" w:rsidRDefault="00BE771C" w:rsidP="00BE771C">
            <w:pPr>
              <w:pStyle w:val="Texto"/>
              <w:spacing w:line="236" w:lineRule="exact"/>
              <w:ind w:firstLine="0"/>
              <w:rPr>
                <w:rFonts w:ascii="Verdana" w:hAnsi="Verdana"/>
                <w:sz w:val="16"/>
                <w:szCs w:val="16"/>
                <w:lang w:val="en-US"/>
              </w:rPr>
            </w:pPr>
            <w:r w:rsidRPr="00E3602D">
              <w:rPr>
                <w:rFonts w:ascii="Verdana" w:hAnsi="Verdana"/>
                <w:sz w:val="16"/>
                <w:szCs w:val="16"/>
                <w:lang w:val="en-US"/>
              </w:rPr>
              <w:t xml:space="preserve">That the Honorable Congress of la Unión, has been pleased to </w:t>
            </w:r>
            <w:r w:rsidR="00D322E9" w:rsidRPr="00E3602D">
              <w:rPr>
                <w:rFonts w:ascii="Verdana" w:hAnsi="Verdana"/>
                <w:sz w:val="16"/>
                <w:szCs w:val="16"/>
                <w:lang w:val="en-US"/>
              </w:rPr>
              <w:t>direct to</w:t>
            </w:r>
            <w:r w:rsidRPr="00E3602D">
              <w:rPr>
                <w:rFonts w:ascii="Verdana" w:hAnsi="Verdana"/>
                <w:sz w:val="16"/>
                <w:szCs w:val="16"/>
                <w:lang w:val="en-US"/>
              </w:rPr>
              <w:t xml:space="preserve"> me the following</w:t>
            </w:r>
          </w:p>
        </w:tc>
      </w:tr>
      <w:tr w:rsidR="00BE771C" w:rsidRPr="00475A0C" w14:paraId="5F009B6A" w14:textId="490EADF2" w:rsidTr="007B36AB">
        <w:tc>
          <w:tcPr>
            <w:tcW w:w="4675" w:type="dxa"/>
          </w:tcPr>
          <w:p w14:paraId="34D809E6" w14:textId="77777777" w:rsidR="00BE771C" w:rsidRPr="00475A0C" w:rsidRDefault="00BE771C" w:rsidP="00BE771C">
            <w:pPr>
              <w:pStyle w:val="ANOTACION"/>
              <w:spacing w:line="236" w:lineRule="exact"/>
              <w:rPr>
                <w:rFonts w:ascii="Verdana" w:hAnsi="Verdana"/>
                <w:sz w:val="16"/>
                <w:szCs w:val="16"/>
              </w:rPr>
            </w:pPr>
            <w:r w:rsidRPr="00475A0C">
              <w:rPr>
                <w:rFonts w:ascii="Verdana" w:hAnsi="Verdana"/>
                <w:sz w:val="16"/>
                <w:szCs w:val="16"/>
              </w:rPr>
              <w:t>DECRETO</w:t>
            </w:r>
          </w:p>
        </w:tc>
        <w:tc>
          <w:tcPr>
            <w:tcW w:w="4675" w:type="dxa"/>
          </w:tcPr>
          <w:p w14:paraId="5333F328" w14:textId="7AE2F618" w:rsidR="00BE771C" w:rsidRPr="00E3602D" w:rsidRDefault="00BE771C" w:rsidP="00BE771C">
            <w:pPr>
              <w:pStyle w:val="ANOTACION"/>
              <w:spacing w:line="236" w:lineRule="exact"/>
              <w:rPr>
                <w:rFonts w:ascii="Verdana" w:hAnsi="Verdana"/>
                <w:sz w:val="16"/>
                <w:szCs w:val="16"/>
                <w:lang w:val="en-US"/>
              </w:rPr>
            </w:pPr>
            <w:r w:rsidRPr="00E3602D">
              <w:rPr>
                <w:rFonts w:ascii="Verdana" w:hAnsi="Verdana"/>
                <w:sz w:val="16"/>
                <w:szCs w:val="16"/>
                <w:lang w:val="en-US"/>
              </w:rPr>
              <w:t>DECREE</w:t>
            </w:r>
          </w:p>
        </w:tc>
      </w:tr>
      <w:tr w:rsidR="00BE771C" w:rsidRPr="00475A0C" w14:paraId="671BE9D9" w14:textId="5DBBCBA3" w:rsidTr="007B36AB">
        <w:tc>
          <w:tcPr>
            <w:tcW w:w="4675" w:type="dxa"/>
          </w:tcPr>
          <w:p w14:paraId="355709B3" w14:textId="77777777" w:rsidR="00BE771C" w:rsidRPr="00475A0C" w:rsidRDefault="00BE771C" w:rsidP="00BE771C">
            <w:pPr>
              <w:pStyle w:val="Texto"/>
              <w:spacing w:line="236" w:lineRule="exact"/>
              <w:ind w:firstLine="0"/>
              <w:rPr>
                <w:rFonts w:ascii="Verdana" w:hAnsi="Verdana"/>
                <w:sz w:val="16"/>
                <w:szCs w:val="16"/>
                <w:lang w:val="es-MX"/>
              </w:rPr>
            </w:pPr>
            <w:r w:rsidRPr="00475A0C">
              <w:rPr>
                <w:rFonts w:ascii="Verdana" w:hAnsi="Verdana"/>
                <w:b/>
                <w:sz w:val="16"/>
                <w:szCs w:val="16"/>
              </w:rPr>
              <w:t>"</w:t>
            </w:r>
            <w:r w:rsidRPr="00475A0C">
              <w:rPr>
                <w:rFonts w:ascii="Verdana" w:hAnsi="Verdana"/>
                <w:sz w:val="16"/>
                <w:szCs w:val="16"/>
                <w:lang w:val="es-MX"/>
              </w:rPr>
              <w:t>EL CONGRESO GENERAL DE LOS ESTADOS UNIDOS MEXICANOS, DECRETA:</w:t>
            </w:r>
          </w:p>
        </w:tc>
        <w:tc>
          <w:tcPr>
            <w:tcW w:w="4675" w:type="dxa"/>
          </w:tcPr>
          <w:p w14:paraId="0880078E" w14:textId="37E52092" w:rsidR="00BE771C" w:rsidRPr="00E3602D" w:rsidRDefault="00BE771C" w:rsidP="00BE771C">
            <w:pPr>
              <w:pStyle w:val="Texto"/>
              <w:spacing w:line="236" w:lineRule="exact"/>
              <w:ind w:firstLine="0"/>
              <w:rPr>
                <w:rFonts w:ascii="Verdana" w:hAnsi="Verdana"/>
                <w:b/>
                <w:sz w:val="16"/>
                <w:szCs w:val="16"/>
                <w:lang w:val="en-US"/>
              </w:rPr>
            </w:pPr>
            <w:r w:rsidRPr="00E3602D">
              <w:rPr>
                <w:rFonts w:ascii="Verdana" w:hAnsi="Verdana"/>
                <w:b/>
                <w:sz w:val="16"/>
                <w:szCs w:val="16"/>
                <w:lang w:val="en-US"/>
              </w:rPr>
              <w:t>"</w:t>
            </w:r>
            <w:r w:rsidRPr="00E3602D">
              <w:rPr>
                <w:rFonts w:ascii="Verdana" w:hAnsi="Verdana"/>
                <w:sz w:val="16"/>
                <w:szCs w:val="16"/>
                <w:lang w:val="en-US"/>
              </w:rPr>
              <w:t>THE GENERAL CONGRESS OF THE UNITED MEXICAN STATES, DECREES:</w:t>
            </w:r>
          </w:p>
        </w:tc>
      </w:tr>
      <w:tr w:rsidR="00BE771C" w:rsidRPr="00475A0C" w14:paraId="1F8A17E1" w14:textId="6CE88DED" w:rsidTr="007B36AB">
        <w:tc>
          <w:tcPr>
            <w:tcW w:w="4675" w:type="dxa"/>
          </w:tcPr>
          <w:p w14:paraId="34E71129" w14:textId="752A6664" w:rsidR="00BE771C" w:rsidRPr="00475A0C" w:rsidRDefault="00BE771C" w:rsidP="00BE771C">
            <w:pPr>
              <w:pStyle w:val="Texto"/>
              <w:spacing w:line="236" w:lineRule="exact"/>
              <w:ind w:firstLine="0"/>
              <w:rPr>
                <w:rFonts w:ascii="Verdana" w:hAnsi="Verdana"/>
                <w:sz w:val="16"/>
                <w:szCs w:val="16"/>
                <w:lang w:val="es-MX"/>
              </w:rPr>
            </w:pPr>
            <w:r w:rsidRPr="00475A0C">
              <w:rPr>
                <w:rFonts w:ascii="Verdana" w:hAnsi="Verdana"/>
                <w:b/>
                <w:sz w:val="16"/>
                <w:szCs w:val="16"/>
                <w:lang w:val="es-MX"/>
              </w:rPr>
              <w:t>SE EXPIDEN LA LEY DE LA EMPRESA PÚBLICA DEL ESTADO, COMISIÓN FEDERAL DE ELECTRICIDAD, PETRÓLEOS MEXICANOS; LA LEY DEL SECTOR ELÉCTRICO; LA LEY DEL SECTOR HIDROCARBUROS; LA LEY DE PLANEACIÓN Y TRANSICIÓN ENERGÉTICA; LA LEY DE BIOCOMBUSTIBLES; LA LEY DE GEOTERMIA Y, LA LEY DE LA COMISIÓN NACIONAL DE ENERGÍA; SE REFORMAN DIVERSAS DISPOSICIONES DE LA LEY DEL FONDO MEXICANO DEL PETRÓLEO PARA LA ESTABILIZACIÓN Y EL DESARROLLO Y, SE REFORMAN, ADICIONAN Y DEROGAN DIVERSAS DISPOSICIONES DE LA LEY ORGÁNICA DE LA ADMINISTRACIÓN PÚBLICA FEDERAL</w:t>
            </w:r>
          </w:p>
        </w:tc>
        <w:tc>
          <w:tcPr>
            <w:tcW w:w="4675" w:type="dxa"/>
          </w:tcPr>
          <w:p w14:paraId="3099B582" w14:textId="2A17887B" w:rsidR="00BE771C" w:rsidRPr="00E3602D" w:rsidRDefault="00FD40FF" w:rsidP="00BE771C">
            <w:pPr>
              <w:pStyle w:val="Texto"/>
              <w:spacing w:line="236" w:lineRule="exact"/>
              <w:ind w:firstLine="0"/>
              <w:rPr>
                <w:rFonts w:ascii="Verdana" w:hAnsi="Verdana"/>
                <w:b/>
                <w:sz w:val="16"/>
                <w:szCs w:val="16"/>
                <w:lang w:val="en-US"/>
              </w:rPr>
            </w:pPr>
            <w:r w:rsidRPr="00E3602D">
              <w:rPr>
                <w:rFonts w:ascii="Verdana" w:hAnsi="Verdana"/>
                <w:b/>
                <w:sz w:val="16"/>
                <w:szCs w:val="16"/>
                <w:lang w:val="en-US"/>
              </w:rPr>
              <w:t>THE</w:t>
            </w:r>
            <w:r w:rsidR="008A5218" w:rsidRPr="00E3602D">
              <w:rPr>
                <w:rFonts w:ascii="Verdana" w:hAnsi="Verdana"/>
                <w:b/>
                <w:sz w:val="16"/>
                <w:szCs w:val="16"/>
                <w:lang w:val="en-US"/>
              </w:rPr>
              <w:t xml:space="preserve"> LAW OF THE</w:t>
            </w:r>
            <w:r w:rsidRPr="00E3602D">
              <w:rPr>
                <w:rFonts w:ascii="Verdana" w:hAnsi="Verdana"/>
                <w:b/>
                <w:sz w:val="16"/>
                <w:szCs w:val="16"/>
                <w:lang w:val="en-US"/>
              </w:rPr>
              <w:t xml:space="preserve"> PUBLIC COMPANY </w:t>
            </w:r>
            <w:r w:rsidR="008A5218" w:rsidRPr="00E3602D">
              <w:rPr>
                <w:rFonts w:ascii="Verdana" w:hAnsi="Verdana"/>
                <w:b/>
                <w:sz w:val="16"/>
                <w:szCs w:val="16"/>
                <w:lang w:val="en-US"/>
              </w:rPr>
              <w:t>OF THE STATE</w:t>
            </w:r>
            <w:r w:rsidRPr="00E3602D">
              <w:rPr>
                <w:rFonts w:ascii="Verdana" w:hAnsi="Verdana"/>
                <w:b/>
                <w:sz w:val="16"/>
                <w:szCs w:val="16"/>
                <w:lang w:val="en-US"/>
              </w:rPr>
              <w:t>, FEDERAL ELECTRICITY COMMISSION; PETRÓLEOS MEXICANOS; THE</w:t>
            </w:r>
            <w:r w:rsidR="00FF506F" w:rsidRPr="00E3602D">
              <w:rPr>
                <w:rFonts w:ascii="Verdana" w:hAnsi="Verdana"/>
                <w:b/>
                <w:sz w:val="16"/>
                <w:szCs w:val="16"/>
                <w:lang w:val="en-US"/>
              </w:rPr>
              <w:t xml:space="preserve"> LAW OF THE</w:t>
            </w:r>
            <w:r w:rsidRPr="00E3602D">
              <w:rPr>
                <w:rFonts w:ascii="Verdana" w:hAnsi="Verdana"/>
                <w:b/>
                <w:sz w:val="16"/>
                <w:szCs w:val="16"/>
                <w:lang w:val="en-US"/>
              </w:rPr>
              <w:t xml:space="preserve"> ELECTRICITY SECTOR; THE</w:t>
            </w:r>
            <w:r w:rsidR="009272F5" w:rsidRPr="00E3602D">
              <w:rPr>
                <w:rFonts w:ascii="Verdana" w:hAnsi="Verdana"/>
                <w:b/>
                <w:sz w:val="16"/>
                <w:szCs w:val="16"/>
                <w:lang w:val="en-US"/>
              </w:rPr>
              <w:t xml:space="preserve"> LAW OF THE</w:t>
            </w:r>
            <w:r w:rsidRPr="00E3602D">
              <w:rPr>
                <w:rFonts w:ascii="Verdana" w:hAnsi="Verdana"/>
                <w:b/>
                <w:sz w:val="16"/>
                <w:szCs w:val="16"/>
                <w:lang w:val="en-US"/>
              </w:rPr>
              <w:t xml:space="preserve"> HYDROCARBONS SECTOR; THE</w:t>
            </w:r>
            <w:r w:rsidR="009272F5" w:rsidRPr="00E3602D">
              <w:rPr>
                <w:rFonts w:ascii="Verdana" w:hAnsi="Verdana"/>
                <w:b/>
                <w:sz w:val="16"/>
                <w:szCs w:val="16"/>
                <w:lang w:val="en-US"/>
              </w:rPr>
              <w:t xml:space="preserve"> LAW OF </w:t>
            </w:r>
            <w:r w:rsidR="007F46EB" w:rsidRPr="00E3602D">
              <w:rPr>
                <w:rFonts w:ascii="Verdana" w:hAnsi="Verdana"/>
                <w:b/>
                <w:sz w:val="16"/>
                <w:szCs w:val="16"/>
                <w:lang w:val="en-US"/>
              </w:rPr>
              <w:t xml:space="preserve">ENERGY </w:t>
            </w:r>
            <w:r w:rsidR="009272F5" w:rsidRPr="00E3602D">
              <w:rPr>
                <w:rFonts w:ascii="Verdana" w:hAnsi="Verdana"/>
                <w:b/>
                <w:sz w:val="16"/>
                <w:szCs w:val="16"/>
                <w:lang w:val="en-US"/>
              </w:rPr>
              <w:t>PLANNING AND TRANSITION</w:t>
            </w:r>
            <w:r w:rsidRPr="00E3602D">
              <w:rPr>
                <w:rFonts w:ascii="Verdana" w:hAnsi="Verdana"/>
                <w:b/>
                <w:sz w:val="16"/>
                <w:szCs w:val="16"/>
                <w:lang w:val="en-US"/>
              </w:rPr>
              <w:t>; THE</w:t>
            </w:r>
            <w:r w:rsidR="00586403" w:rsidRPr="00E3602D">
              <w:rPr>
                <w:rFonts w:ascii="Verdana" w:hAnsi="Verdana"/>
                <w:b/>
                <w:sz w:val="16"/>
                <w:szCs w:val="16"/>
                <w:lang w:val="en-US"/>
              </w:rPr>
              <w:t xml:space="preserve"> LAW OF</w:t>
            </w:r>
            <w:r w:rsidRPr="00E3602D">
              <w:rPr>
                <w:rFonts w:ascii="Verdana" w:hAnsi="Verdana"/>
                <w:b/>
                <w:sz w:val="16"/>
                <w:szCs w:val="16"/>
                <w:lang w:val="en-US"/>
              </w:rPr>
              <w:t xml:space="preserve"> BIOFUELS; THE</w:t>
            </w:r>
            <w:r w:rsidR="00586403" w:rsidRPr="00E3602D">
              <w:rPr>
                <w:rFonts w:ascii="Verdana" w:hAnsi="Verdana"/>
                <w:b/>
                <w:sz w:val="16"/>
                <w:szCs w:val="16"/>
                <w:lang w:val="en-US"/>
              </w:rPr>
              <w:t xml:space="preserve"> LAW OF</w:t>
            </w:r>
            <w:r w:rsidRPr="00E3602D">
              <w:rPr>
                <w:rFonts w:ascii="Verdana" w:hAnsi="Verdana"/>
                <w:b/>
                <w:sz w:val="16"/>
                <w:szCs w:val="16"/>
                <w:lang w:val="en-US"/>
              </w:rPr>
              <w:t xml:space="preserve"> GEOTHERMAL ENERGY; AND THE </w:t>
            </w:r>
            <w:r w:rsidR="0004173E" w:rsidRPr="00E3602D">
              <w:rPr>
                <w:rFonts w:ascii="Verdana" w:hAnsi="Verdana"/>
                <w:b/>
                <w:sz w:val="16"/>
                <w:szCs w:val="16"/>
                <w:lang w:val="en-US"/>
              </w:rPr>
              <w:t xml:space="preserve">LAW OF THE </w:t>
            </w:r>
            <w:r w:rsidR="00D33361" w:rsidRPr="00E3602D">
              <w:rPr>
                <w:rFonts w:ascii="Verdana" w:hAnsi="Verdana"/>
                <w:b/>
                <w:sz w:val="16"/>
                <w:szCs w:val="16"/>
                <w:lang w:val="en-US"/>
              </w:rPr>
              <w:t>NATIONAL COMMISSION OF ENERGY</w:t>
            </w:r>
            <w:r w:rsidRPr="00E3602D">
              <w:rPr>
                <w:rFonts w:ascii="Verdana" w:hAnsi="Verdana"/>
                <w:b/>
                <w:sz w:val="16"/>
                <w:szCs w:val="16"/>
                <w:lang w:val="en-US"/>
              </w:rPr>
              <w:t xml:space="preserve"> ARE HEREBY ISSUED; VARIOUS PROVISIONS OF THE MEXICAN PETROLEUM FUND LAW FOR STABILIZATION AND DEVELOPMENT ARE HEREBY AMENDED, SUPPLEMENTED, AND REPEALED; AND VARIOUS PROVISIONS OF THE ORGANIC LAW OF FEDERAL PUBLIC ADMINISTRATION ARE HEREBY AMENDED, </w:t>
            </w:r>
            <w:r w:rsidR="00A60118" w:rsidRPr="00E3602D">
              <w:rPr>
                <w:rFonts w:ascii="Verdana" w:hAnsi="Verdana"/>
                <w:b/>
                <w:sz w:val="16"/>
                <w:szCs w:val="16"/>
                <w:lang w:val="en-US"/>
              </w:rPr>
              <w:t>ADD</w:t>
            </w:r>
            <w:r w:rsidRPr="00E3602D">
              <w:rPr>
                <w:rFonts w:ascii="Verdana" w:hAnsi="Verdana"/>
                <w:b/>
                <w:sz w:val="16"/>
                <w:szCs w:val="16"/>
                <w:lang w:val="en-US"/>
              </w:rPr>
              <w:t>ED, AND REPEALED.</w:t>
            </w:r>
          </w:p>
        </w:tc>
      </w:tr>
      <w:tr w:rsidR="00BE771C" w:rsidRPr="00475A0C" w14:paraId="41FB1275" w14:textId="1ECEEAE9" w:rsidTr="007B36AB">
        <w:tc>
          <w:tcPr>
            <w:tcW w:w="4675" w:type="dxa"/>
          </w:tcPr>
          <w:p w14:paraId="0FC2DF3E" w14:textId="10AE1F0E" w:rsidR="00BE771C" w:rsidRPr="00475A0C" w:rsidRDefault="00BE771C" w:rsidP="00BE771C">
            <w:pPr>
              <w:pStyle w:val="Texto"/>
              <w:spacing w:line="236" w:lineRule="exact"/>
              <w:ind w:firstLine="0"/>
              <w:rPr>
                <w:rFonts w:ascii="Verdana" w:hAnsi="Verdana"/>
                <w:sz w:val="16"/>
                <w:szCs w:val="16"/>
                <w:lang w:val="en-US"/>
              </w:rPr>
            </w:pPr>
          </w:p>
        </w:tc>
        <w:tc>
          <w:tcPr>
            <w:tcW w:w="4675" w:type="dxa"/>
          </w:tcPr>
          <w:p w14:paraId="0316A778" w14:textId="2AC63363" w:rsidR="00BE771C" w:rsidRPr="00E3602D" w:rsidRDefault="00BE771C" w:rsidP="00BE771C">
            <w:pPr>
              <w:pStyle w:val="Texto"/>
              <w:spacing w:line="236" w:lineRule="exact"/>
              <w:ind w:firstLine="0"/>
              <w:rPr>
                <w:rFonts w:ascii="Verdana" w:hAnsi="Verdana"/>
                <w:b/>
                <w:sz w:val="16"/>
                <w:szCs w:val="16"/>
                <w:lang w:val="en-US"/>
              </w:rPr>
            </w:pPr>
          </w:p>
        </w:tc>
      </w:tr>
      <w:tr w:rsidR="00BE771C" w:rsidRPr="00475A0C" w14:paraId="10BBB667" w14:textId="437A5F14" w:rsidTr="007B36AB">
        <w:tc>
          <w:tcPr>
            <w:tcW w:w="4675" w:type="dxa"/>
          </w:tcPr>
          <w:p w14:paraId="57FFF08A" w14:textId="77777777" w:rsidR="00BE771C" w:rsidRPr="00475A0C" w:rsidRDefault="00BE771C" w:rsidP="00BE771C">
            <w:pPr>
              <w:pStyle w:val="Texto"/>
              <w:spacing w:line="227" w:lineRule="exact"/>
              <w:ind w:firstLine="0"/>
              <w:rPr>
                <w:rFonts w:ascii="Verdana" w:hAnsi="Verdana"/>
                <w:sz w:val="16"/>
                <w:szCs w:val="16"/>
              </w:rPr>
            </w:pPr>
            <w:r w:rsidRPr="00475A0C">
              <w:rPr>
                <w:rFonts w:ascii="Verdana" w:hAnsi="Verdana"/>
                <w:b/>
                <w:sz w:val="16"/>
                <w:szCs w:val="16"/>
              </w:rPr>
              <w:t xml:space="preserve">ARTÍCULO CUARTO. </w:t>
            </w:r>
            <w:r w:rsidRPr="00475A0C">
              <w:rPr>
                <w:rFonts w:ascii="Verdana" w:hAnsi="Verdana"/>
                <w:sz w:val="16"/>
                <w:szCs w:val="16"/>
              </w:rPr>
              <w:t xml:space="preserve">Se expide la </w:t>
            </w:r>
            <w:r w:rsidRPr="00475A0C">
              <w:rPr>
                <w:rFonts w:ascii="Verdana" w:hAnsi="Verdana"/>
                <w:b/>
                <w:bCs/>
                <w:sz w:val="16"/>
                <w:szCs w:val="16"/>
              </w:rPr>
              <w:t>Ley del Sector Hidrocarburos</w:t>
            </w:r>
            <w:r w:rsidRPr="00475A0C">
              <w:rPr>
                <w:rFonts w:ascii="Verdana" w:hAnsi="Verdana"/>
                <w:sz w:val="16"/>
                <w:szCs w:val="16"/>
              </w:rPr>
              <w:t>, para quedar como sigue:</w:t>
            </w:r>
          </w:p>
        </w:tc>
        <w:tc>
          <w:tcPr>
            <w:tcW w:w="4675" w:type="dxa"/>
          </w:tcPr>
          <w:p w14:paraId="489E6B77" w14:textId="49D52147" w:rsidR="00BE771C" w:rsidRPr="00E3602D" w:rsidRDefault="00A60118" w:rsidP="00BE771C">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FOURTH </w:t>
            </w:r>
            <w:r w:rsidR="00BE771C" w:rsidRPr="00E3602D">
              <w:rPr>
                <w:rFonts w:ascii="Verdana" w:hAnsi="Verdana"/>
                <w:b/>
                <w:sz w:val="16"/>
                <w:szCs w:val="16"/>
                <w:lang w:val="en-US"/>
              </w:rPr>
              <w:t xml:space="preserve">ARTICLE. </w:t>
            </w:r>
            <w:r w:rsidR="00BE771C" w:rsidRPr="00E3602D">
              <w:rPr>
                <w:rFonts w:ascii="Verdana" w:hAnsi="Verdana"/>
                <w:bCs/>
                <w:sz w:val="16"/>
                <w:szCs w:val="16"/>
                <w:lang w:val="en-US"/>
              </w:rPr>
              <w:t>The</w:t>
            </w:r>
            <w:r w:rsidR="002B47AE" w:rsidRPr="00E3602D">
              <w:rPr>
                <w:rFonts w:ascii="Verdana" w:hAnsi="Verdana"/>
                <w:b/>
                <w:sz w:val="16"/>
                <w:szCs w:val="16"/>
                <w:lang w:val="en-US"/>
              </w:rPr>
              <w:t xml:space="preserve"> Law of the</w:t>
            </w:r>
            <w:r w:rsidR="00BE771C" w:rsidRPr="00E3602D">
              <w:rPr>
                <w:rFonts w:ascii="Verdana" w:hAnsi="Verdana"/>
                <w:b/>
                <w:sz w:val="16"/>
                <w:szCs w:val="16"/>
                <w:lang w:val="en-US"/>
              </w:rPr>
              <w:t xml:space="preserve"> Hydrocarbon</w:t>
            </w:r>
            <w:r w:rsidR="00FB4B77" w:rsidRPr="00E3602D">
              <w:rPr>
                <w:rFonts w:ascii="Verdana" w:hAnsi="Verdana"/>
                <w:b/>
                <w:sz w:val="16"/>
                <w:szCs w:val="16"/>
                <w:lang w:val="en-US"/>
              </w:rPr>
              <w:t>s</w:t>
            </w:r>
            <w:r w:rsidR="00BE771C" w:rsidRPr="00E3602D">
              <w:rPr>
                <w:rFonts w:ascii="Verdana" w:hAnsi="Verdana"/>
                <w:b/>
                <w:sz w:val="16"/>
                <w:szCs w:val="16"/>
                <w:lang w:val="en-US"/>
              </w:rPr>
              <w:t xml:space="preserve"> Sector </w:t>
            </w:r>
            <w:r w:rsidR="00BE771C" w:rsidRPr="00E3602D">
              <w:rPr>
                <w:rFonts w:ascii="Verdana" w:hAnsi="Verdana"/>
                <w:sz w:val="16"/>
                <w:szCs w:val="16"/>
                <w:lang w:val="en-US"/>
              </w:rPr>
              <w:t xml:space="preserve">is hereby issued </w:t>
            </w:r>
            <w:r w:rsidR="002B47AE" w:rsidRPr="00E3602D">
              <w:rPr>
                <w:rFonts w:ascii="Verdana" w:hAnsi="Verdana"/>
                <w:sz w:val="16"/>
                <w:szCs w:val="16"/>
                <w:lang w:val="en-US"/>
              </w:rPr>
              <w:t>to remain as</w:t>
            </w:r>
            <w:r w:rsidR="00BE771C" w:rsidRPr="00E3602D">
              <w:rPr>
                <w:rFonts w:ascii="Verdana" w:hAnsi="Verdana"/>
                <w:sz w:val="16"/>
                <w:szCs w:val="16"/>
                <w:lang w:val="en-US"/>
              </w:rPr>
              <w:t xml:space="preserve"> follows:</w:t>
            </w:r>
          </w:p>
        </w:tc>
      </w:tr>
      <w:tr w:rsidR="00BE771C" w:rsidRPr="00475A0C" w14:paraId="240B24AD" w14:textId="4B9759B2" w:rsidTr="007B36AB">
        <w:tc>
          <w:tcPr>
            <w:tcW w:w="4675" w:type="dxa"/>
          </w:tcPr>
          <w:p w14:paraId="0C513FD9" w14:textId="77777777" w:rsidR="00BE771C" w:rsidRPr="00475A0C" w:rsidRDefault="00BE771C" w:rsidP="00BE771C">
            <w:pPr>
              <w:pStyle w:val="ANOTACION"/>
              <w:spacing w:line="227" w:lineRule="exact"/>
              <w:rPr>
                <w:rFonts w:ascii="Verdana" w:hAnsi="Verdana"/>
                <w:sz w:val="16"/>
                <w:szCs w:val="16"/>
              </w:rPr>
            </w:pPr>
            <w:r w:rsidRPr="00475A0C">
              <w:rPr>
                <w:rFonts w:ascii="Verdana" w:hAnsi="Verdana"/>
                <w:sz w:val="16"/>
                <w:szCs w:val="16"/>
              </w:rPr>
              <w:t>LEY DEL SECTOR HIDROCARBUROS</w:t>
            </w:r>
          </w:p>
        </w:tc>
        <w:tc>
          <w:tcPr>
            <w:tcW w:w="4675" w:type="dxa"/>
          </w:tcPr>
          <w:p w14:paraId="0858DFDA" w14:textId="106A8C65" w:rsidR="00BE771C" w:rsidRPr="00E3602D" w:rsidRDefault="00D322E9" w:rsidP="00BE771C">
            <w:pPr>
              <w:pStyle w:val="ANOTACION"/>
              <w:spacing w:line="227" w:lineRule="exact"/>
              <w:rPr>
                <w:rFonts w:ascii="Verdana" w:hAnsi="Verdana"/>
                <w:sz w:val="16"/>
                <w:szCs w:val="16"/>
                <w:lang w:val="en-US"/>
              </w:rPr>
            </w:pPr>
            <w:r w:rsidRPr="00E3602D">
              <w:rPr>
                <w:rFonts w:ascii="Verdana" w:hAnsi="Verdana"/>
                <w:sz w:val="16"/>
                <w:szCs w:val="16"/>
                <w:lang w:val="en-US"/>
              </w:rPr>
              <w:t>LAW OF THE HYDROCARBON</w:t>
            </w:r>
            <w:r w:rsidR="00FB4B77" w:rsidRPr="00E3602D">
              <w:rPr>
                <w:rFonts w:ascii="Verdana" w:hAnsi="Verdana"/>
                <w:sz w:val="16"/>
                <w:szCs w:val="16"/>
                <w:lang w:val="en-US"/>
              </w:rPr>
              <w:t>S</w:t>
            </w:r>
            <w:r w:rsidRPr="00E3602D">
              <w:rPr>
                <w:rFonts w:ascii="Verdana" w:hAnsi="Verdana"/>
                <w:sz w:val="16"/>
                <w:szCs w:val="16"/>
                <w:lang w:val="en-US"/>
              </w:rPr>
              <w:t xml:space="preserve"> SECTOR</w:t>
            </w:r>
          </w:p>
        </w:tc>
      </w:tr>
      <w:tr w:rsidR="00BF1503" w:rsidRPr="00475A0C" w14:paraId="24C23D38" w14:textId="77777777" w:rsidTr="007B36AB">
        <w:tc>
          <w:tcPr>
            <w:tcW w:w="4675" w:type="dxa"/>
          </w:tcPr>
          <w:p w14:paraId="072EBCAE" w14:textId="7728B1C9" w:rsidR="00BF1503" w:rsidRPr="00BF1503" w:rsidRDefault="00A11ED3" w:rsidP="00A11ED3">
            <w:pPr>
              <w:pStyle w:val="ANOTACION"/>
              <w:spacing w:before="0" w:after="0" w:line="240" w:lineRule="auto"/>
              <w:rPr>
                <w:rFonts w:ascii="Verdana" w:hAnsi="Verdana"/>
                <w:b w:val="0"/>
                <w:bCs/>
                <w:sz w:val="16"/>
                <w:szCs w:val="16"/>
              </w:rPr>
            </w:pPr>
            <w:r>
              <w:rPr>
                <w:rFonts w:ascii="Verdana" w:hAnsi="Verdana"/>
                <w:b w:val="0"/>
                <w:bCs/>
                <w:sz w:val="16"/>
                <w:szCs w:val="16"/>
              </w:rPr>
              <w:t>ÍNDICE</w:t>
            </w:r>
          </w:p>
        </w:tc>
        <w:tc>
          <w:tcPr>
            <w:tcW w:w="4675" w:type="dxa"/>
          </w:tcPr>
          <w:p w14:paraId="2709244C" w14:textId="2D6CFDA4" w:rsidR="00BF1503" w:rsidRPr="00E3602D" w:rsidRDefault="00A11ED3" w:rsidP="00A11ED3">
            <w:pPr>
              <w:pStyle w:val="ANOTACION"/>
              <w:spacing w:before="0" w:after="0" w:line="240" w:lineRule="auto"/>
              <w:rPr>
                <w:rFonts w:ascii="Verdana" w:hAnsi="Verdana"/>
                <w:b w:val="0"/>
                <w:bCs/>
                <w:sz w:val="16"/>
                <w:szCs w:val="16"/>
                <w:lang w:val="en-US"/>
              </w:rPr>
            </w:pPr>
            <w:r w:rsidRPr="00E3602D">
              <w:rPr>
                <w:rFonts w:ascii="Verdana" w:hAnsi="Verdana"/>
                <w:b w:val="0"/>
                <w:bCs/>
                <w:sz w:val="16"/>
                <w:szCs w:val="16"/>
                <w:lang w:val="en-US"/>
              </w:rPr>
              <w:t>INDEX</w:t>
            </w:r>
          </w:p>
        </w:tc>
      </w:tr>
      <w:tr w:rsidR="003B20AD" w:rsidRPr="00475A0C" w14:paraId="4C613FBB" w14:textId="77777777" w:rsidTr="007B36AB">
        <w:tc>
          <w:tcPr>
            <w:tcW w:w="4675" w:type="dxa"/>
          </w:tcPr>
          <w:p w14:paraId="68E71419" w14:textId="5A74DA58"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TÍTULO PRIMERO</w:t>
            </w:r>
          </w:p>
        </w:tc>
        <w:tc>
          <w:tcPr>
            <w:tcW w:w="4675" w:type="dxa"/>
          </w:tcPr>
          <w:p w14:paraId="03FAECF6" w14:textId="4FE95A61"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FIRST TITLE</w:t>
            </w:r>
          </w:p>
        </w:tc>
      </w:tr>
      <w:tr w:rsidR="003B20AD" w:rsidRPr="00475A0C" w14:paraId="6E7541C4" w14:textId="77777777" w:rsidTr="007B36AB">
        <w:tc>
          <w:tcPr>
            <w:tcW w:w="4675" w:type="dxa"/>
          </w:tcPr>
          <w:p w14:paraId="2D2536F0" w14:textId="463D111B"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Del Sector Hidrocarburos</w:t>
            </w:r>
          </w:p>
        </w:tc>
        <w:tc>
          <w:tcPr>
            <w:tcW w:w="4675" w:type="dxa"/>
          </w:tcPr>
          <w:p w14:paraId="07B96571" w14:textId="2FC618CB"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The Hydrocarbons Sector</w:t>
            </w:r>
          </w:p>
        </w:tc>
      </w:tr>
      <w:tr w:rsidR="003B20AD" w:rsidRPr="00475A0C" w14:paraId="465AF50D" w14:textId="77777777" w:rsidTr="007B36AB">
        <w:tc>
          <w:tcPr>
            <w:tcW w:w="4675" w:type="dxa"/>
          </w:tcPr>
          <w:p w14:paraId="2368F25E" w14:textId="5DB1F15F"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w:t>
            </w:r>
          </w:p>
        </w:tc>
        <w:tc>
          <w:tcPr>
            <w:tcW w:w="4675" w:type="dxa"/>
          </w:tcPr>
          <w:p w14:paraId="0C26C4DC" w14:textId="0E85AA3F"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w:t>
            </w:r>
          </w:p>
        </w:tc>
      </w:tr>
      <w:tr w:rsidR="003B20AD" w:rsidRPr="00475A0C" w14:paraId="34513666" w14:textId="77777777" w:rsidTr="007B36AB">
        <w:tc>
          <w:tcPr>
            <w:tcW w:w="4675" w:type="dxa"/>
          </w:tcPr>
          <w:p w14:paraId="56B3D331" w14:textId="38E0F978"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Disposiciones Generales</w:t>
            </w:r>
          </w:p>
        </w:tc>
        <w:tc>
          <w:tcPr>
            <w:tcW w:w="4675" w:type="dxa"/>
          </w:tcPr>
          <w:p w14:paraId="4BB9DC9C" w14:textId="29CF4E7B"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General Provisions</w:t>
            </w:r>
          </w:p>
        </w:tc>
      </w:tr>
      <w:tr w:rsidR="003B20AD" w:rsidRPr="00475A0C" w14:paraId="5F04BF25" w14:textId="77777777" w:rsidTr="007B36AB">
        <w:tc>
          <w:tcPr>
            <w:tcW w:w="4675" w:type="dxa"/>
          </w:tcPr>
          <w:p w14:paraId="2AA0A5D9" w14:textId="11028F04"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II</w:t>
            </w:r>
          </w:p>
        </w:tc>
        <w:tc>
          <w:tcPr>
            <w:tcW w:w="4675" w:type="dxa"/>
          </w:tcPr>
          <w:p w14:paraId="7007318C" w14:textId="2A354720"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w:t>
            </w:r>
          </w:p>
        </w:tc>
      </w:tr>
      <w:tr w:rsidR="003B20AD" w:rsidRPr="00475A0C" w14:paraId="3B0BD1F4" w14:textId="77777777" w:rsidTr="007B36AB">
        <w:tc>
          <w:tcPr>
            <w:tcW w:w="4675" w:type="dxa"/>
          </w:tcPr>
          <w:p w14:paraId="0A485BC9" w14:textId="58F652B7"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 Planeación y Control del Sector</w:t>
            </w:r>
          </w:p>
        </w:tc>
        <w:tc>
          <w:tcPr>
            <w:tcW w:w="4675" w:type="dxa"/>
          </w:tcPr>
          <w:p w14:paraId="14F5F6DA" w14:textId="7CD02A3E"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The Planning and Control of the Sector</w:t>
            </w:r>
          </w:p>
        </w:tc>
      </w:tr>
      <w:tr w:rsidR="003B20AD" w:rsidRPr="00475A0C" w14:paraId="633B448B" w14:textId="77777777" w:rsidTr="007B36AB">
        <w:tc>
          <w:tcPr>
            <w:tcW w:w="4675" w:type="dxa"/>
          </w:tcPr>
          <w:p w14:paraId="4F823F6D" w14:textId="58F17EB7"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TÍTULO SEGUNDO</w:t>
            </w:r>
          </w:p>
        </w:tc>
        <w:tc>
          <w:tcPr>
            <w:tcW w:w="4675" w:type="dxa"/>
          </w:tcPr>
          <w:p w14:paraId="52C824DE" w14:textId="4397056D"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SECOND TITLE</w:t>
            </w:r>
          </w:p>
        </w:tc>
      </w:tr>
      <w:tr w:rsidR="003B20AD" w:rsidRPr="00475A0C" w14:paraId="47054EF6" w14:textId="77777777" w:rsidTr="007B36AB">
        <w:tc>
          <w:tcPr>
            <w:tcW w:w="4675" w:type="dxa"/>
          </w:tcPr>
          <w:p w14:paraId="19A56110" w14:textId="13B8035D"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De la Exploración y Extracción de Hidrocarburos y del Reconocimiento y Exploración Superficial</w:t>
            </w:r>
          </w:p>
        </w:tc>
        <w:tc>
          <w:tcPr>
            <w:tcW w:w="4675" w:type="dxa"/>
          </w:tcPr>
          <w:p w14:paraId="7889516A" w14:textId="1565B552"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The Exploration and Extraction of Hydrocarbons and the Surface Reconnaissance and Exploration</w:t>
            </w:r>
          </w:p>
        </w:tc>
      </w:tr>
      <w:tr w:rsidR="003B20AD" w:rsidRPr="00475A0C" w14:paraId="67DB4204" w14:textId="77777777" w:rsidTr="007B36AB">
        <w:tc>
          <w:tcPr>
            <w:tcW w:w="4675" w:type="dxa"/>
          </w:tcPr>
          <w:p w14:paraId="31B30C29" w14:textId="79E9B68B"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w:t>
            </w:r>
          </w:p>
        </w:tc>
        <w:tc>
          <w:tcPr>
            <w:tcW w:w="4675" w:type="dxa"/>
          </w:tcPr>
          <w:p w14:paraId="3CE63DBD" w14:textId="160CF5B3"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w:t>
            </w:r>
          </w:p>
        </w:tc>
      </w:tr>
      <w:tr w:rsidR="003B20AD" w:rsidRPr="00475A0C" w14:paraId="2B5828D5" w14:textId="77777777" w:rsidTr="007B36AB">
        <w:tc>
          <w:tcPr>
            <w:tcW w:w="4675" w:type="dxa"/>
          </w:tcPr>
          <w:p w14:paraId="57407261" w14:textId="0A3A899B"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Disposiciones Generales</w:t>
            </w:r>
          </w:p>
        </w:tc>
        <w:tc>
          <w:tcPr>
            <w:tcW w:w="4675" w:type="dxa"/>
          </w:tcPr>
          <w:p w14:paraId="5E70E042" w14:textId="02BDADEB"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General Provisions</w:t>
            </w:r>
          </w:p>
        </w:tc>
      </w:tr>
      <w:tr w:rsidR="003B20AD" w:rsidRPr="00475A0C" w14:paraId="4A46267D" w14:textId="77777777" w:rsidTr="007B36AB">
        <w:tc>
          <w:tcPr>
            <w:tcW w:w="4675" w:type="dxa"/>
          </w:tcPr>
          <w:p w14:paraId="70233996" w14:textId="41C5C319"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II</w:t>
            </w:r>
          </w:p>
        </w:tc>
        <w:tc>
          <w:tcPr>
            <w:tcW w:w="4675" w:type="dxa"/>
          </w:tcPr>
          <w:p w14:paraId="126510E7" w14:textId="5ADA6ECC"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w:t>
            </w:r>
          </w:p>
        </w:tc>
      </w:tr>
      <w:tr w:rsidR="003B20AD" w:rsidRPr="00475A0C" w14:paraId="35C6B851" w14:textId="77777777" w:rsidTr="007B36AB">
        <w:tc>
          <w:tcPr>
            <w:tcW w:w="4675" w:type="dxa"/>
          </w:tcPr>
          <w:p w14:paraId="3627185D" w14:textId="08D97B5A"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las Asignaciones para Desarrollo Propio</w:t>
            </w:r>
          </w:p>
        </w:tc>
        <w:tc>
          <w:tcPr>
            <w:tcW w:w="4675" w:type="dxa"/>
          </w:tcPr>
          <w:p w14:paraId="14DE78A3" w14:textId="1A5DED1C"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The Assignments for Self-Development</w:t>
            </w:r>
          </w:p>
        </w:tc>
      </w:tr>
      <w:tr w:rsidR="003B20AD" w:rsidRPr="00475A0C" w14:paraId="18BE8E0C" w14:textId="77777777" w:rsidTr="007B36AB">
        <w:tc>
          <w:tcPr>
            <w:tcW w:w="4675" w:type="dxa"/>
          </w:tcPr>
          <w:p w14:paraId="2399D09F" w14:textId="205E149B"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III</w:t>
            </w:r>
          </w:p>
        </w:tc>
        <w:tc>
          <w:tcPr>
            <w:tcW w:w="4675" w:type="dxa"/>
          </w:tcPr>
          <w:p w14:paraId="5EE52B64" w14:textId="54493215"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III</w:t>
            </w:r>
          </w:p>
        </w:tc>
      </w:tr>
      <w:tr w:rsidR="003B20AD" w:rsidRPr="00475A0C" w14:paraId="1692C6D4" w14:textId="77777777" w:rsidTr="007B36AB">
        <w:tc>
          <w:tcPr>
            <w:tcW w:w="4675" w:type="dxa"/>
          </w:tcPr>
          <w:p w14:paraId="7AD820C1" w14:textId="17133D2D"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las Asignaciones para Desarrollo Mixto</w:t>
            </w:r>
          </w:p>
        </w:tc>
        <w:tc>
          <w:tcPr>
            <w:tcW w:w="4675" w:type="dxa"/>
          </w:tcPr>
          <w:p w14:paraId="506D924F" w14:textId="581EB040"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Mixed Development Assignments</w:t>
            </w:r>
          </w:p>
        </w:tc>
      </w:tr>
      <w:tr w:rsidR="003B20AD" w:rsidRPr="00475A0C" w14:paraId="3D68118D" w14:textId="77777777" w:rsidTr="007B36AB">
        <w:tc>
          <w:tcPr>
            <w:tcW w:w="4675" w:type="dxa"/>
          </w:tcPr>
          <w:p w14:paraId="17E27C99" w14:textId="2C5C7D57"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IV</w:t>
            </w:r>
          </w:p>
        </w:tc>
        <w:tc>
          <w:tcPr>
            <w:tcW w:w="4675" w:type="dxa"/>
          </w:tcPr>
          <w:p w14:paraId="66D2BB4B" w14:textId="73413045"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IV</w:t>
            </w:r>
          </w:p>
        </w:tc>
      </w:tr>
      <w:tr w:rsidR="003B20AD" w:rsidRPr="00475A0C" w14:paraId="1933BC0F" w14:textId="77777777" w:rsidTr="007B36AB">
        <w:tc>
          <w:tcPr>
            <w:tcW w:w="4675" w:type="dxa"/>
          </w:tcPr>
          <w:p w14:paraId="52B4790D" w14:textId="26E5B3B7"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lastRenderedPageBreak/>
              <w:t>De los Contratos para la Exploración y Extracción</w:t>
            </w:r>
          </w:p>
        </w:tc>
        <w:tc>
          <w:tcPr>
            <w:tcW w:w="4675" w:type="dxa"/>
          </w:tcPr>
          <w:p w14:paraId="7094D81D" w14:textId="552C35A4"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Contracts for exploration and extraction</w:t>
            </w:r>
          </w:p>
        </w:tc>
      </w:tr>
      <w:tr w:rsidR="003B20AD" w:rsidRPr="00475A0C" w14:paraId="170AE95F" w14:textId="77777777" w:rsidTr="007B36AB">
        <w:tc>
          <w:tcPr>
            <w:tcW w:w="4675" w:type="dxa"/>
          </w:tcPr>
          <w:p w14:paraId="70C25819" w14:textId="1C12BD55"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V</w:t>
            </w:r>
          </w:p>
        </w:tc>
        <w:tc>
          <w:tcPr>
            <w:tcW w:w="4675" w:type="dxa"/>
          </w:tcPr>
          <w:p w14:paraId="6ABAB050" w14:textId="15F616CF"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w:t>
            </w:r>
          </w:p>
        </w:tc>
      </w:tr>
      <w:tr w:rsidR="003B20AD" w:rsidRPr="00475A0C" w14:paraId="0C29F5D4" w14:textId="77777777" w:rsidTr="007B36AB">
        <w:tc>
          <w:tcPr>
            <w:tcW w:w="4675" w:type="dxa"/>
          </w:tcPr>
          <w:p w14:paraId="664CB362" w14:textId="1CD5CE21"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 información obtenida de las actividades de Reconocimiento y Exploración Superficial, Exploración y Extracción de Hidrocarburos</w:t>
            </w:r>
          </w:p>
        </w:tc>
        <w:tc>
          <w:tcPr>
            <w:tcW w:w="4675" w:type="dxa"/>
          </w:tcPr>
          <w:p w14:paraId="278AA007" w14:textId="5151940A"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Information obtained from the activities of Surface Reconnaissance and Exploration, Exploration and Extraction of Hydrocarbons</w:t>
            </w:r>
          </w:p>
        </w:tc>
      </w:tr>
      <w:tr w:rsidR="003B20AD" w:rsidRPr="00475A0C" w14:paraId="69E0AEB3" w14:textId="77777777" w:rsidTr="007B36AB">
        <w:tc>
          <w:tcPr>
            <w:tcW w:w="4675" w:type="dxa"/>
          </w:tcPr>
          <w:p w14:paraId="40C86BDB" w14:textId="41A92B7C"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VI</w:t>
            </w:r>
          </w:p>
        </w:tc>
        <w:tc>
          <w:tcPr>
            <w:tcW w:w="4675" w:type="dxa"/>
          </w:tcPr>
          <w:p w14:paraId="63DE7FFB" w14:textId="11F60473"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VI</w:t>
            </w:r>
          </w:p>
        </w:tc>
      </w:tr>
      <w:tr w:rsidR="003B20AD" w:rsidRPr="00475A0C" w14:paraId="060180A2" w14:textId="77777777" w:rsidTr="007B36AB">
        <w:tc>
          <w:tcPr>
            <w:tcW w:w="4675" w:type="dxa"/>
          </w:tcPr>
          <w:p w14:paraId="291D65C2" w14:textId="26155F6F"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las autorizaciones</w:t>
            </w:r>
          </w:p>
        </w:tc>
        <w:tc>
          <w:tcPr>
            <w:tcW w:w="4675" w:type="dxa"/>
          </w:tcPr>
          <w:p w14:paraId="67D5894F" w14:textId="1CFAECE2"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Authorizations</w:t>
            </w:r>
          </w:p>
        </w:tc>
      </w:tr>
      <w:tr w:rsidR="003B20AD" w:rsidRPr="00475A0C" w14:paraId="58E4B54E" w14:textId="77777777" w:rsidTr="007B36AB">
        <w:tc>
          <w:tcPr>
            <w:tcW w:w="4675" w:type="dxa"/>
          </w:tcPr>
          <w:p w14:paraId="02B06DAB" w14:textId="615E5F7C"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Capítulo VII</w:t>
            </w:r>
          </w:p>
        </w:tc>
        <w:tc>
          <w:tcPr>
            <w:tcW w:w="4675" w:type="dxa"/>
          </w:tcPr>
          <w:p w14:paraId="456BF00B" w14:textId="7C81F986"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VII</w:t>
            </w:r>
          </w:p>
        </w:tc>
      </w:tr>
      <w:tr w:rsidR="003B20AD" w:rsidRPr="00475A0C" w14:paraId="0BB34094" w14:textId="77777777" w:rsidTr="007B36AB">
        <w:tc>
          <w:tcPr>
            <w:tcW w:w="4675" w:type="dxa"/>
          </w:tcPr>
          <w:p w14:paraId="6099B604" w14:textId="214E95F3" w:rsidR="003B20AD" w:rsidRPr="003B20AD" w:rsidRDefault="003B20AD" w:rsidP="003B20AD">
            <w:pPr>
              <w:pStyle w:val="ANOTACION"/>
              <w:spacing w:before="0" w:after="0" w:line="240" w:lineRule="auto"/>
              <w:jc w:val="left"/>
              <w:rPr>
                <w:rFonts w:ascii="Verdana" w:hAnsi="Verdana"/>
                <w:b w:val="0"/>
                <w:sz w:val="16"/>
                <w:szCs w:val="16"/>
              </w:rPr>
            </w:pPr>
            <w:r w:rsidRPr="003B20AD">
              <w:rPr>
                <w:rFonts w:ascii="Verdana" w:hAnsi="Verdana"/>
                <w:b w:val="0"/>
                <w:sz w:val="16"/>
                <w:szCs w:val="16"/>
              </w:rPr>
              <w:t>De la regulación y obligaciones</w:t>
            </w:r>
          </w:p>
        </w:tc>
        <w:tc>
          <w:tcPr>
            <w:tcW w:w="4675" w:type="dxa"/>
          </w:tcPr>
          <w:p w14:paraId="03E88E99" w14:textId="5EDB3FF3"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Regulation and obligations</w:t>
            </w:r>
          </w:p>
        </w:tc>
      </w:tr>
      <w:tr w:rsidR="003B20AD" w:rsidRPr="00475A0C" w14:paraId="4BE9D0A5" w14:textId="77777777" w:rsidTr="007B36AB">
        <w:tc>
          <w:tcPr>
            <w:tcW w:w="4675" w:type="dxa"/>
          </w:tcPr>
          <w:p w14:paraId="76C11BB2" w14:textId="1C3141B8"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TÍTULO TERCERO</w:t>
            </w:r>
          </w:p>
        </w:tc>
        <w:tc>
          <w:tcPr>
            <w:tcW w:w="4675" w:type="dxa"/>
          </w:tcPr>
          <w:p w14:paraId="695062C3" w14:textId="28B2EDA9"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THIRD TITLE</w:t>
            </w:r>
          </w:p>
        </w:tc>
      </w:tr>
      <w:tr w:rsidR="003B20AD" w:rsidRPr="00475A0C" w14:paraId="0B820D30" w14:textId="77777777" w:rsidTr="007B36AB">
        <w:tc>
          <w:tcPr>
            <w:tcW w:w="4675" w:type="dxa"/>
          </w:tcPr>
          <w:p w14:paraId="0B25EC54" w14:textId="7354409C"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De las demás Actividades de la Industria de Hidrocarburos</w:t>
            </w:r>
          </w:p>
        </w:tc>
        <w:tc>
          <w:tcPr>
            <w:tcW w:w="4675" w:type="dxa"/>
          </w:tcPr>
          <w:p w14:paraId="48E81BDF" w14:textId="023FA72C"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 xml:space="preserve">Other Activities of the Hydrocarbons Industry </w:t>
            </w:r>
          </w:p>
        </w:tc>
      </w:tr>
      <w:tr w:rsidR="003B20AD" w:rsidRPr="00475A0C" w14:paraId="1E600CD0" w14:textId="77777777" w:rsidTr="007B36AB">
        <w:tc>
          <w:tcPr>
            <w:tcW w:w="4675" w:type="dxa"/>
          </w:tcPr>
          <w:p w14:paraId="17408F61" w14:textId="5EFCF842"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w:t>
            </w:r>
          </w:p>
        </w:tc>
        <w:tc>
          <w:tcPr>
            <w:tcW w:w="4675" w:type="dxa"/>
          </w:tcPr>
          <w:p w14:paraId="22C944C5" w14:textId="29CCDB70"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w:t>
            </w:r>
          </w:p>
        </w:tc>
      </w:tr>
      <w:tr w:rsidR="003B20AD" w:rsidRPr="00475A0C" w14:paraId="40174C85" w14:textId="77777777" w:rsidTr="007B36AB">
        <w:tc>
          <w:tcPr>
            <w:tcW w:w="4675" w:type="dxa"/>
          </w:tcPr>
          <w:p w14:paraId="39B34ACA" w14:textId="330B31E7"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los Permisos</w:t>
            </w:r>
          </w:p>
        </w:tc>
        <w:tc>
          <w:tcPr>
            <w:tcW w:w="4675" w:type="dxa"/>
          </w:tcPr>
          <w:p w14:paraId="2E48F622" w14:textId="4F86391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Permits</w:t>
            </w:r>
          </w:p>
        </w:tc>
      </w:tr>
      <w:tr w:rsidR="003B20AD" w:rsidRPr="00475A0C" w14:paraId="100FBAA0" w14:textId="77777777" w:rsidTr="007B36AB">
        <w:tc>
          <w:tcPr>
            <w:tcW w:w="4675" w:type="dxa"/>
          </w:tcPr>
          <w:p w14:paraId="58DF5FCF" w14:textId="6B482C52"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III</w:t>
            </w:r>
          </w:p>
        </w:tc>
        <w:tc>
          <w:tcPr>
            <w:tcW w:w="4675" w:type="dxa"/>
          </w:tcPr>
          <w:p w14:paraId="0C6B6BB5" w14:textId="4AD93C40"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III</w:t>
            </w:r>
          </w:p>
        </w:tc>
      </w:tr>
      <w:tr w:rsidR="003B20AD" w:rsidRPr="00475A0C" w14:paraId="0E9E8F27" w14:textId="77777777" w:rsidTr="007B36AB">
        <w:tc>
          <w:tcPr>
            <w:tcW w:w="4675" w:type="dxa"/>
          </w:tcPr>
          <w:p w14:paraId="05BDE577" w14:textId="0AE943D6"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Del Centro Nacional de Control del Gas Natural</w:t>
            </w:r>
          </w:p>
        </w:tc>
        <w:tc>
          <w:tcPr>
            <w:tcW w:w="4675" w:type="dxa"/>
          </w:tcPr>
          <w:p w14:paraId="6118C731" w14:textId="31DC2164"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National Natural Gas Control Center</w:t>
            </w:r>
          </w:p>
        </w:tc>
      </w:tr>
      <w:tr w:rsidR="003B20AD" w:rsidRPr="00475A0C" w14:paraId="0A732CE4" w14:textId="77777777" w:rsidTr="007B36AB">
        <w:tc>
          <w:tcPr>
            <w:tcW w:w="4675" w:type="dxa"/>
          </w:tcPr>
          <w:p w14:paraId="73E6714E" w14:textId="64F9B917"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IV</w:t>
            </w:r>
          </w:p>
        </w:tc>
        <w:tc>
          <w:tcPr>
            <w:tcW w:w="4675" w:type="dxa"/>
          </w:tcPr>
          <w:p w14:paraId="6A95A8A2" w14:textId="5B3E974C"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IV</w:t>
            </w:r>
          </w:p>
        </w:tc>
      </w:tr>
      <w:tr w:rsidR="003B20AD" w:rsidRPr="00475A0C" w14:paraId="79D08963" w14:textId="77777777" w:rsidTr="007B36AB">
        <w:tc>
          <w:tcPr>
            <w:tcW w:w="4675" w:type="dxa"/>
          </w:tcPr>
          <w:p w14:paraId="10CBDA7D" w14:textId="0B3F26B0"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Del Acceso Abierto</w:t>
            </w:r>
          </w:p>
        </w:tc>
        <w:tc>
          <w:tcPr>
            <w:tcW w:w="4675" w:type="dxa"/>
          </w:tcPr>
          <w:p w14:paraId="7789BACF" w14:textId="10BBECE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Open Access</w:t>
            </w:r>
          </w:p>
        </w:tc>
      </w:tr>
      <w:tr w:rsidR="003B20AD" w:rsidRPr="00475A0C" w14:paraId="62B1F290" w14:textId="77777777" w:rsidTr="007B36AB">
        <w:tc>
          <w:tcPr>
            <w:tcW w:w="4675" w:type="dxa"/>
          </w:tcPr>
          <w:p w14:paraId="50339446" w14:textId="147B3D65"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V</w:t>
            </w:r>
          </w:p>
        </w:tc>
        <w:tc>
          <w:tcPr>
            <w:tcW w:w="4675" w:type="dxa"/>
          </w:tcPr>
          <w:p w14:paraId="65CC1E44" w14:textId="56EF145F"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w:t>
            </w:r>
          </w:p>
        </w:tc>
      </w:tr>
      <w:tr w:rsidR="003B20AD" w:rsidRPr="00475A0C" w14:paraId="5500DF2A" w14:textId="77777777" w:rsidTr="007B36AB">
        <w:tc>
          <w:tcPr>
            <w:tcW w:w="4675" w:type="dxa"/>
          </w:tcPr>
          <w:p w14:paraId="6730FBCA" w14:textId="2CED61B2"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Regulación y Obligaciones de las demás Actividades de la Industria de Hidrocarburos</w:t>
            </w:r>
          </w:p>
        </w:tc>
        <w:tc>
          <w:tcPr>
            <w:tcW w:w="4675" w:type="dxa"/>
          </w:tcPr>
          <w:p w14:paraId="5D385424" w14:textId="29C9B3B2"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The Regulation and Obligations and All Other Activities of the Hydrocarbons Industry</w:t>
            </w:r>
          </w:p>
        </w:tc>
      </w:tr>
      <w:tr w:rsidR="003B20AD" w:rsidRPr="00475A0C" w14:paraId="1E8BBEA3" w14:textId="77777777" w:rsidTr="007B36AB">
        <w:tc>
          <w:tcPr>
            <w:tcW w:w="4675" w:type="dxa"/>
          </w:tcPr>
          <w:p w14:paraId="1D7E324A" w14:textId="39FF78D3"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TÍTULO CUARTO</w:t>
            </w:r>
          </w:p>
        </w:tc>
        <w:tc>
          <w:tcPr>
            <w:tcW w:w="4675" w:type="dxa"/>
          </w:tcPr>
          <w:p w14:paraId="0D5C072B" w14:textId="18CB033B"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 xml:space="preserve">FOURTH TITLE </w:t>
            </w:r>
          </w:p>
        </w:tc>
      </w:tr>
      <w:tr w:rsidR="003B20AD" w:rsidRPr="00475A0C" w14:paraId="0FC375E5" w14:textId="77777777" w:rsidTr="007B36AB">
        <w:tc>
          <w:tcPr>
            <w:tcW w:w="4675" w:type="dxa"/>
          </w:tcPr>
          <w:p w14:paraId="60EAFB80" w14:textId="3F47BA56"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Disposiciones aplicables a la Industria de Hidrocarburos</w:t>
            </w:r>
          </w:p>
        </w:tc>
        <w:tc>
          <w:tcPr>
            <w:tcW w:w="4675" w:type="dxa"/>
          </w:tcPr>
          <w:p w14:paraId="31BF3791" w14:textId="3DC44F28"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Provisions applicable to the Hydrocarbons Industry</w:t>
            </w:r>
          </w:p>
        </w:tc>
      </w:tr>
      <w:tr w:rsidR="003B20AD" w:rsidRPr="00475A0C" w14:paraId="7EF703D4" w14:textId="77777777" w:rsidTr="007B36AB">
        <w:tc>
          <w:tcPr>
            <w:tcW w:w="4675" w:type="dxa"/>
          </w:tcPr>
          <w:p w14:paraId="588E78DA" w14:textId="2F1D8A2C"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w:t>
            </w:r>
          </w:p>
        </w:tc>
        <w:tc>
          <w:tcPr>
            <w:tcW w:w="4675" w:type="dxa"/>
          </w:tcPr>
          <w:p w14:paraId="6CBF38E8" w14:textId="1B4A8F4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w:t>
            </w:r>
          </w:p>
        </w:tc>
      </w:tr>
      <w:tr w:rsidR="003B20AD" w:rsidRPr="00475A0C" w14:paraId="3E766686" w14:textId="77777777" w:rsidTr="007B36AB">
        <w:tc>
          <w:tcPr>
            <w:tcW w:w="4675" w:type="dxa"/>
          </w:tcPr>
          <w:p w14:paraId="48F24AF7" w14:textId="16667F37"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las Sanciones</w:t>
            </w:r>
          </w:p>
        </w:tc>
        <w:tc>
          <w:tcPr>
            <w:tcW w:w="4675" w:type="dxa"/>
          </w:tcPr>
          <w:p w14:paraId="1232B5D5" w14:textId="752B2935"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Sanctions</w:t>
            </w:r>
          </w:p>
        </w:tc>
      </w:tr>
      <w:tr w:rsidR="003B20AD" w:rsidRPr="00475A0C" w14:paraId="746914EC" w14:textId="77777777" w:rsidTr="007B36AB">
        <w:tc>
          <w:tcPr>
            <w:tcW w:w="4675" w:type="dxa"/>
          </w:tcPr>
          <w:p w14:paraId="5F47FAB8" w14:textId="13D8DA5B"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II</w:t>
            </w:r>
          </w:p>
        </w:tc>
        <w:tc>
          <w:tcPr>
            <w:tcW w:w="4675" w:type="dxa"/>
          </w:tcPr>
          <w:p w14:paraId="676A4F17" w14:textId="013D9188"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w:t>
            </w:r>
          </w:p>
        </w:tc>
      </w:tr>
      <w:tr w:rsidR="003B20AD" w:rsidRPr="00475A0C" w14:paraId="5613230D" w14:textId="77777777" w:rsidTr="007B36AB">
        <w:tc>
          <w:tcPr>
            <w:tcW w:w="4675" w:type="dxa"/>
          </w:tcPr>
          <w:p w14:paraId="0E422275" w14:textId="3204B1EC"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Transparencia y el Combate a la Corrupción</w:t>
            </w:r>
          </w:p>
        </w:tc>
        <w:tc>
          <w:tcPr>
            <w:tcW w:w="4675" w:type="dxa"/>
          </w:tcPr>
          <w:p w14:paraId="1A309D66" w14:textId="792A885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Transparency and the Fight against Corruption</w:t>
            </w:r>
          </w:p>
        </w:tc>
      </w:tr>
      <w:tr w:rsidR="003B20AD" w:rsidRPr="00475A0C" w14:paraId="636A0725" w14:textId="77777777" w:rsidTr="007B36AB">
        <w:tc>
          <w:tcPr>
            <w:tcW w:w="4675" w:type="dxa"/>
          </w:tcPr>
          <w:p w14:paraId="37349120" w14:textId="6FBC921B"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III</w:t>
            </w:r>
          </w:p>
        </w:tc>
        <w:tc>
          <w:tcPr>
            <w:tcW w:w="4675" w:type="dxa"/>
          </w:tcPr>
          <w:p w14:paraId="76B04593" w14:textId="303E1603"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III</w:t>
            </w:r>
          </w:p>
        </w:tc>
      </w:tr>
      <w:tr w:rsidR="003B20AD" w:rsidRPr="00475A0C" w14:paraId="69BC2DD1" w14:textId="77777777" w:rsidTr="007B36AB">
        <w:tc>
          <w:tcPr>
            <w:tcW w:w="4675" w:type="dxa"/>
          </w:tcPr>
          <w:p w14:paraId="1251A351" w14:textId="58DF42D6"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Jurisdicción, Utilidad Pública y Procedimientos</w:t>
            </w:r>
          </w:p>
        </w:tc>
        <w:tc>
          <w:tcPr>
            <w:tcW w:w="4675" w:type="dxa"/>
          </w:tcPr>
          <w:p w14:paraId="60F31D69" w14:textId="0813EC1B"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Jurisdiction, Public Utility and Procedures</w:t>
            </w:r>
          </w:p>
        </w:tc>
      </w:tr>
      <w:tr w:rsidR="003B20AD" w:rsidRPr="00475A0C" w14:paraId="45C8BEBF" w14:textId="77777777" w:rsidTr="007B36AB">
        <w:tc>
          <w:tcPr>
            <w:tcW w:w="4675" w:type="dxa"/>
          </w:tcPr>
          <w:p w14:paraId="7336A19C" w14:textId="7F556B8C"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IV</w:t>
            </w:r>
          </w:p>
        </w:tc>
        <w:tc>
          <w:tcPr>
            <w:tcW w:w="4675" w:type="dxa"/>
          </w:tcPr>
          <w:p w14:paraId="11E2D316" w14:textId="0B0BCC5A"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IV</w:t>
            </w:r>
          </w:p>
        </w:tc>
      </w:tr>
      <w:tr w:rsidR="003B20AD" w:rsidRPr="00475A0C" w14:paraId="115ADFDD" w14:textId="77777777" w:rsidTr="007B36AB">
        <w:tc>
          <w:tcPr>
            <w:tcW w:w="4675" w:type="dxa"/>
          </w:tcPr>
          <w:p w14:paraId="76A3BDA3" w14:textId="5EAB6126"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Del Uso y Ocupación Superficial</w:t>
            </w:r>
          </w:p>
        </w:tc>
        <w:tc>
          <w:tcPr>
            <w:tcW w:w="4675" w:type="dxa"/>
          </w:tcPr>
          <w:p w14:paraId="02AF123A" w14:textId="6FBAE17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Surface Use and Occupation</w:t>
            </w:r>
          </w:p>
        </w:tc>
      </w:tr>
      <w:tr w:rsidR="003B20AD" w:rsidRPr="00475A0C" w14:paraId="61BA54E3" w14:textId="77777777" w:rsidTr="007B36AB">
        <w:tc>
          <w:tcPr>
            <w:tcW w:w="4675" w:type="dxa"/>
          </w:tcPr>
          <w:p w14:paraId="664ADBE1" w14:textId="6F67A8CE"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V</w:t>
            </w:r>
          </w:p>
        </w:tc>
        <w:tc>
          <w:tcPr>
            <w:tcW w:w="4675" w:type="dxa"/>
          </w:tcPr>
          <w:p w14:paraId="60E2393A" w14:textId="76C3D14E"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w:t>
            </w:r>
          </w:p>
        </w:tc>
      </w:tr>
      <w:tr w:rsidR="003B20AD" w:rsidRPr="00475A0C" w14:paraId="66EF6997" w14:textId="77777777" w:rsidTr="007B36AB">
        <w:tc>
          <w:tcPr>
            <w:tcW w:w="4675" w:type="dxa"/>
          </w:tcPr>
          <w:p w14:paraId="75413BEC" w14:textId="5141A1E2"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Del Impacto Social</w:t>
            </w:r>
          </w:p>
        </w:tc>
        <w:tc>
          <w:tcPr>
            <w:tcW w:w="4675" w:type="dxa"/>
          </w:tcPr>
          <w:p w14:paraId="62A4CA3D" w14:textId="5DEC4161"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Social Impact</w:t>
            </w:r>
          </w:p>
        </w:tc>
      </w:tr>
      <w:tr w:rsidR="003B20AD" w:rsidRPr="00475A0C" w14:paraId="2202358E" w14:textId="77777777" w:rsidTr="007B36AB">
        <w:tc>
          <w:tcPr>
            <w:tcW w:w="4675" w:type="dxa"/>
          </w:tcPr>
          <w:p w14:paraId="09B2A11F" w14:textId="4B94FDC1"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VI</w:t>
            </w:r>
          </w:p>
        </w:tc>
        <w:tc>
          <w:tcPr>
            <w:tcW w:w="4675" w:type="dxa"/>
          </w:tcPr>
          <w:p w14:paraId="24DBDEE1" w14:textId="2DD7B4F3"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VI</w:t>
            </w:r>
          </w:p>
        </w:tc>
      </w:tr>
      <w:tr w:rsidR="003B20AD" w:rsidRPr="00475A0C" w14:paraId="32090A8C" w14:textId="77777777" w:rsidTr="007B36AB">
        <w:tc>
          <w:tcPr>
            <w:tcW w:w="4675" w:type="dxa"/>
          </w:tcPr>
          <w:p w14:paraId="21937C05" w14:textId="47458DF7"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Cobertura Social y el Desarrollo de la Industria Nacional</w:t>
            </w:r>
          </w:p>
        </w:tc>
        <w:tc>
          <w:tcPr>
            <w:tcW w:w="4675" w:type="dxa"/>
          </w:tcPr>
          <w:p w14:paraId="32098390" w14:textId="526425B4"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Social Coverage and the Development of the National Industry</w:t>
            </w:r>
          </w:p>
        </w:tc>
      </w:tr>
      <w:tr w:rsidR="003B20AD" w:rsidRPr="00475A0C" w14:paraId="5CFC5BF6" w14:textId="77777777" w:rsidTr="007B36AB">
        <w:tc>
          <w:tcPr>
            <w:tcW w:w="4675" w:type="dxa"/>
          </w:tcPr>
          <w:p w14:paraId="1FE67188" w14:textId="67075696"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VII</w:t>
            </w:r>
          </w:p>
        </w:tc>
        <w:tc>
          <w:tcPr>
            <w:tcW w:w="4675" w:type="dxa"/>
          </w:tcPr>
          <w:p w14:paraId="669E2B9F" w14:textId="1F919D6C"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VII</w:t>
            </w:r>
          </w:p>
        </w:tc>
      </w:tr>
      <w:tr w:rsidR="003B20AD" w:rsidRPr="00475A0C" w14:paraId="5FBF8B65" w14:textId="77777777" w:rsidTr="007B36AB">
        <w:tc>
          <w:tcPr>
            <w:tcW w:w="4675" w:type="dxa"/>
          </w:tcPr>
          <w:p w14:paraId="41FD442D" w14:textId="30510569"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Seguridad Industrial y la Protección al Medio Ambiente</w:t>
            </w:r>
          </w:p>
        </w:tc>
        <w:tc>
          <w:tcPr>
            <w:tcW w:w="4675" w:type="dxa"/>
          </w:tcPr>
          <w:p w14:paraId="2C2D4512" w14:textId="2F496A6E"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Industrial Safety and Protection of the Environment</w:t>
            </w:r>
          </w:p>
        </w:tc>
      </w:tr>
      <w:tr w:rsidR="003B20AD" w:rsidRPr="00475A0C" w14:paraId="1346E5D5" w14:textId="77777777" w:rsidTr="007B36AB">
        <w:tc>
          <w:tcPr>
            <w:tcW w:w="4675" w:type="dxa"/>
          </w:tcPr>
          <w:p w14:paraId="525382F3" w14:textId="2E84DD45"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Capítulo VIII</w:t>
            </w:r>
          </w:p>
        </w:tc>
        <w:tc>
          <w:tcPr>
            <w:tcW w:w="4675" w:type="dxa"/>
          </w:tcPr>
          <w:p w14:paraId="68D37546" w14:textId="3A297BB4"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Chapter VIII</w:t>
            </w:r>
          </w:p>
        </w:tc>
      </w:tr>
      <w:tr w:rsidR="003B20AD" w:rsidRPr="00475A0C" w14:paraId="70FB06D1" w14:textId="77777777" w:rsidTr="007B36AB">
        <w:tc>
          <w:tcPr>
            <w:tcW w:w="4675" w:type="dxa"/>
          </w:tcPr>
          <w:p w14:paraId="615911A6" w14:textId="647B87D9" w:rsidR="003B20AD" w:rsidRPr="00A11ED3" w:rsidRDefault="003B20AD" w:rsidP="003B20AD">
            <w:pPr>
              <w:pStyle w:val="ANOTACION"/>
              <w:spacing w:before="0" w:after="0" w:line="240" w:lineRule="auto"/>
              <w:jc w:val="left"/>
              <w:rPr>
                <w:rFonts w:ascii="Verdana" w:hAnsi="Verdana"/>
                <w:b w:val="0"/>
                <w:sz w:val="16"/>
                <w:szCs w:val="16"/>
              </w:rPr>
            </w:pPr>
            <w:r w:rsidRPr="00A11ED3">
              <w:rPr>
                <w:rFonts w:ascii="Verdana" w:hAnsi="Verdana"/>
                <w:b w:val="0"/>
                <w:sz w:val="16"/>
                <w:szCs w:val="16"/>
              </w:rPr>
              <w:t>De la Aplicación General de esta Ley</w:t>
            </w:r>
          </w:p>
        </w:tc>
        <w:tc>
          <w:tcPr>
            <w:tcW w:w="4675" w:type="dxa"/>
          </w:tcPr>
          <w:p w14:paraId="3106E7E5" w14:textId="72177967" w:rsidR="003B20AD" w:rsidRPr="00E3602D" w:rsidRDefault="003B20AD" w:rsidP="003B20AD">
            <w:pPr>
              <w:pStyle w:val="ANOTACION"/>
              <w:spacing w:before="0" w:after="0" w:line="240" w:lineRule="auto"/>
              <w:jc w:val="left"/>
              <w:rPr>
                <w:rFonts w:ascii="Verdana" w:hAnsi="Verdana"/>
                <w:b w:val="0"/>
                <w:sz w:val="16"/>
                <w:szCs w:val="16"/>
                <w:lang w:val="en-US"/>
              </w:rPr>
            </w:pPr>
            <w:r w:rsidRPr="00E3602D">
              <w:rPr>
                <w:rFonts w:ascii="Verdana" w:hAnsi="Verdana"/>
                <w:b w:val="0"/>
                <w:sz w:val="16"/>
                <w:szCs w:val="16"/>
                <w:lang w:val="en-US"/>
              </w:rPr>
              <w:t>General Application of this Law</w:t>
            </w:r>
          </w:p>
        </w:tc>
      </w:tr>
      <w:tr w:rsidR="003B20AD" w:rsidRPr="00475A0C" w14:paraId="1F623078" w14:textId="77777777" w:rsidTr="007B36AB">
        <w:tc>
          <w:tcPr>
            <w:tcW w:w="4675" w:type="dxa"/>
          </w:tcPr>
          <w:p w14:paraId="69417CD4" w14:textId="09996200" w:rsidR="003B20AD" w:rsidRPr="00BF1503" w:rsidRDefault="003B20AD" w:rsidP="003B20AD">
            <w:pPr>
              <w:pStyle w:val="ANOTACION"/>
              <w:spacing w:before="0" w:after="0" w:line="240" w:lineRule="auto"/>
              <w:jc w:val="left"/>
              <w:rPr>
                <w:rFonts w:ascii="Verdana" w:hAnsi="Verdana"/>
                <w:b w:val="0"/>
                <w:bCs/>
                <w:sz w:val="16"/>
                <w:szCs w:val="16"/>
              </w:rPr>
            </w:pPr>
            <w:r w:rsidRPr="007A173E">
              <w:rPr>
                <w:rFonts w:ascii="Verdana" w:hAnsi="Verdana"/>
                <w:bCs/>
                <w:sz w:val="16"/>
                <w:szCs w:val="16"/>
              </w:rPr>
              <w:t>Transitorios</w:t>
            </w:r>
          </w:p>
        </w:tc>
        <w:tc>
          <w:tcPr>
            <w:tcW w:w="4675" w:type="dxa"/>
          </w:tcPr>
          <w:p w14:paraId="105EC96E" w14:textId="5C515DF5" w:rsidR="003B20AD" w:rsidRPr="00E3602D" w:rsidRDefault="003B20AD" w:rsidP="003B20AD">
            <w:pPr>
              <w:pStyle w:val="ANOTACION"/>
              <w:spacing w:before="0" w:after="0" w:line="240" w:lineRule="auto"/>
              <w:jc w:val="left"/>
              <w:rPr>
                <w:rFonts w:ascii="Verdana" w:hAnsi="Verdana"/>
                <w:b w:val="0"/>
                <w:bCs/>
                <w:sz w:val="16"/>
                <w:szCs w:val="16"/>
                <w:lang w:val="en-US"/>
              </w:rPr>
            </w:pPr>
            <w:r w:rsidRPr="00E3602D">
              <w:rPr>
                <w:rFonts w:ascii="Verdana" w:hAnsi="Verdana"/>
                <w:bCs/>
                <w:sz w:val="16"/>
                <w:szCs w:val="16"/>
                <w:lang w:val="en-US"/>
              </w:rPr>
              <w:t>Transitional Articles</w:t>
            </w:r>
          </w:p>
        </w:tc>
      </w:tr>
      <w:tr w:rsidR="003B20AD" w:rsidRPr="00475A0C" w14:paraId="20BFC699" w14:textId="77777777" w:rsidTr="007B36AB">
        <w:tc>
          <w:tcPr>
            <w:tcW w:w="4675" w:type="dxa"/>
          </w:tcPr>
          <w:p w14:paraId="7593270A" w14:textId="77777777" w:rsidR="003B20AD" w:rsidRPr="00BF1503" w:rsidRDefault="003B20AD" w:rsidP="003B20AD">
            <w:pPr>
              <w:pStyle w:val="ANOTACION"/>
              <w:spacing w:before="0" w:after="0" w:line="240" w:lineRule="auto"/>
              <w:jc w:val="left"/>
              <w:rPr>
                <w:rFonts w:ascii="Verdana" w:hAnsi="Verdana"/>
                <w:b w:val="0"/>
                <w:bCs/>
                <w:sz w:val="16"/>
                <w:szCs w:val="16"/>
              </w:rPr>
            </w:pPr>
          </w:p>
        </w:tc>
        <w:tc>
          <w:tcPr>
            <w:tcW w:w="4675" w:type="dxa"/>
          </w:tcPr>
          <w:p w14:paraId="294D97A8" w14:textId="77777777" w:rsidR="003B20AD" w:rsidRPr="00E3602D" w:rsidRDefault="003B20AD" w:rsidP="003B20AD">
            <w:pPr>
              <w:pStyle w:val="ANOTACION"/>
              <w:spacing w:before="0" w:after="0" w:line="240" w:lineRule="auto"/>
              <w:jc w:val="left"/>
              <w:rPr>
                <w:rFonts w:ascii="Verdana" w:hAnsi="Verdana"/>
                <w:b w:val="0"/>
                <w:bCs/>
                <w:sz w:val="16"/>
                <w:szCs w:val="16"/>
                <w:lang w:val="en-US"/>
              </w:rPr>
            </w:pPr>
          </w:p>
        </w:tc>
      </w:tr>
      <w:tr w:rsidR="003B20AD" w:rsidRPr="00475A0C" w14:paraId="1909053D" w14:textId="220378E2" w:rsidTr="007B36AB">
        <w:tc>
          <w:tcPr>
            <w:tcW w:w="4675" w:type="dxa"/>
          </w:tcPr>
          <w:p w14:paraId="5A8AC734" w14:textId="77777777" w:rsidR="003B20AD" w:rsidRPr="00475A0C" w:rsidRDefault="003B20AD" w:rsidP="003B20AD">
            <w:pPr>
              <w:pStyle w:val="Texto"/>
              <w:spacing w:line="227" w:lineRule="exact"/>
              <w:ind w:firstLine="0"/>
              <w:jc w:val="center"/>
              <w:rPr>
                <w:rFonts w:ascii="Verdana" w:hAnsi="Verdana"/>
                <w:b/>
                <w:sz w:val="16"/>
                <w:szCs w:val="16"/>
              </w:rPr>
            </w:pPr>
            <w:r w:rsidRPr="00475A0C">
              <w:rPr>
                <w:rFonts w:ascii="Verdana" w:hAnsi="Verdana"/>
                <w:b/>
                <w:sz w:val="16"/>
                <w:szCs w:val="16"/>
              </w:rPr>
              <w:t>TÍTULO PRIMERO</w:t>
            </w:r>
          </w:p>
        </w:tc>
        <w:tc>
          <w:tcPr>
            <w:tcW w:w="4675" w:type="dxa"/>
          </w:tcPr>
          <w:p w14:paraId="7A41356A" w14:textId="6BBD0094" w:rsidR="003B20AD" w:rsidRPr="00E3602D" w:rsidRDefault="003B20AD" w:rsidP="003B20AD">
            <w:pPr>
              <w:pStyle w:val="Texto"/>
              <w:spacing w:line="227" w:lineRule="exact"/>
              <w:ind w:firstLine="0"/>
              <w:jc w:val="center"/>
              <w:rPr>
                <w:rFonts w:ascii="Verdana" w:hAnsi="Verdana"/>
                <w:b/>
                <w:sz w:val="16"/>
                <w:szCs w:val="16"/>
                <w:lang w:val="en-US"/>
              </w:rPr>
            </w:pPr>
            <w:r w:rsidRPr="00E3602D">
              <w:rPr>
                <w:rFonts w:ascii="Verdana" w:hAnsi="Verdana"/>
                <w:b/>
                <w:sz w:val="16"/>
                <w:szCs w:val="16"/>
                <w:lang w:val="en-US"/>
              </w:rPr>
              <w:t>FIRST TITLE</w:t>
            </w:r>
          </w:p>
        </w:tc>
      </w:tr>
      <w:tr w:rsidR="003B20AD" w:rsidRPr="00475A0C" w14:paraId="3B4B8C52" w14:textId="60042B87" w:rsidTr="007B36AB">
        <w:tc>
          <w:tcPr>
            <w:tcW w:w="4675" w:type="dxa"/>
          </w:tcPr>
          <w:p w14:paraId="0A1AA57E" w14:textId="77777777" w:rsidR="003B20AD" w:rsidRPr="00475A0C" w:rsidRDefault="003B20AD" w:rsidP="003B20AD">
            <w:pPr>
              <w:pStyle w:val="Texto"/>
              <w:spacing w:line="227" w:lineRule="exact"/>
              <w:ind w:firstLine="0"/>
              <w:jc w:val="center"/>
              <w:rPr>
                <w:rFonts w:ascii="Verdana" w:hAnsi="Verdana"/>
                <w:b/>
                <w:sz w:val="16"/>
                <w:szCs w:val="16"/>
              </w:rPr>
            </w:pPr>
            <w:r w:rsidRPr="00475A0C">
              <w:rPr>
                <w:rFonts w:ascii="Verdana" w:hAnsi="Verdana"/>
                <w:b/>
                <w:sz w:val="16"/>
                <w:szCs w:val="16"/>
              </w:rPr>
              <w:t>Del Sector Hidrocarburos</w:t>
            </w:r>
          </w:p>
        </w:tc>
        <w:tc>
          <w:tcPr>
            <w:tcW w:w="4675" w:type="dxa"/>
          </w:tcPr>
          <w:p w14:paraId="1B06B8D4" w14:textId="6298ABDF" w:rsidR="003B20AD" w:rsidRPr="00E3602D" w:rsidRDefault="003B20AD" w:rsidP="003B20AD">
            <w:pPr>
              <w:pStyle w:val="Texto"/>
              <w:spacing w:line="227" w:lineRule="exact"/>
              <w:ind w:firstLine="0"/>
              <w:jc w:val="center"/>
              <w:rPr>
                <w:rFonts w:ascii="Verdana" w:hAnsi="Verdana"/>
                <w:b/>
                <w:sz w:val="16"/>
                <w:szCs w:val="16"/>
                <w:lang w:val="en-US"/>
              </w:rPr>
            </w:pPr>
            <w:r w:rsidRPr="00E3602D">
              <w:rPr>
                <w:rFonts w:ascii="Verdana" w:hAnsi="Verdana"/>
                <w:b/>
                <w:sz w:val="16"/>
                <w:szCs w:val="16"/>
                <w:lang w:val="en-US"/>
              </w:rPr>
              <w:t>The Hydrocarbons Sector</w:t>
            </w:r>
          </w:p>
        </w:tc>
      </w:tr>
      <w:tr w:rsidR="003B20AD" w:rsidRPr="00475A0C" w14:paraId="7445B644" w14:textId="4EC9FC79" w:rsidTr="007B36AB">
        <w:tc>
          <w:tcPr>
            <w:tcW w:w="4675" w:type="dxa"/>
          </w:tcPr>
          <w:p w14:paraId="5C52EC72" w14:textId="77777777" w:rsidR="003B20AD" w:rsidRPr="00475A0C" w:rsidRDefault="003B20AD" w:rsidP="003B20AD">
            <w:pPr>
              <w:pStyle w:val="Texto"/>
              <w:spacing w:line="227" w:lineRule="exact"/>
              <w:ind w:firstLine="0"/>
              <w:jc w:val="center"/>
              <w:rPr>
                <w:rFonts w:ascii="Verdana" w:hAnsi="Verdana"/>
                <w:b/>
                <w:sz w:val="16"/>
                <w:szCs w:val="16"/>
              </w:rPr>
            </w:pPr>
            <w:r w:rsidRPr="00475A0C">
              <w:rPr>
                <w:rFonts w:ascii="Verdana" w:hAnsi="Verdana"/>
                <w:b/>
                <w:sz w:val="16"/>
                <w:szCs w:val="16"/>
              </w:rPr>
              <w:t>Capítulo I</w:t>
            </w:r>
          </w:p>
        </w:tc>
        <w:tc>
          <w:tcPr>
            <w:tcW w:w="4675" w:type="dxa"/>
          </w:tcPr>
          <w:p w14:paraId="35E77E6E" w14:textId="4DDEADEE" w:rsidR="003B20AD" w:rsidRPr="00E3602D" w:rsidRDefault="003B20AD" w:rsidP="003B20AD">
            <w:pPr>
              <w:pStyle w:val="Texto"/>
              <w:spacing w:line="227" w:lineRule="exact"/>
              <w:ind w:firstLine="0"/>
              <w:jc w:val="center"/>
              <w:rPr>
                <w:rFonts w:ascii="Verdana" w:hAnsi="Verdana"/>
                <w:b/>
                <w:sz w:val="16"/>
                <w:szCs w:val="16"/>
                <w:lang w:val="en-US"/>
              </w:rPr>
            </w:pPr>
            <w:r w:rsidRPr="00E3602D">
              <w:rPr>
                <w:rFonts w:ascii="Verdana" w:hAnsi="Verdana"/>
                <w:b/>
                <w:sz w:val="16"/>
                <w:szCs w:val="16"/>
                <w:lang w:val="en-US"/>
              </w:rPr>
              <w:t>Chapter I</w:t>
            </w:r>
          </w:p>
        </w:tc>
      </w:tr>
      <w:tr w:rsidR="003B20AD" w:rsidRPr="00475A0C" w14:paraId="6CE4CDE9" w14:textId="26AB193E" w:rsidTr="007B36AB">
        <w:tc>
          <w:tcPr>
            <w:tcW w:w="4675" w:type="dxa"/>
          </w:tcPr>
          <w:p w14:paraId="316E3B47" w14:textId="77777777" w:rsidR="003B20AD" w:rsidRPr="00475A0C" w:rsidRDefault="003B20AD" w:rsidP="003B20AD">
            <w:pPr>
              <w:pStyle w:val="Texto"/>
              <w:spacing w:line="227" w:lineRule="exact"/>
              <w:ind w:firstLine="0"/>
              <w:jc w:val="center"/>
              <w:rPr>
                <w:rFonts w:ascii="Verdana" w:hAnsi="Verdana"/>
                <w:b/>
                <w:sz w:val="16"/>
                <w:szCs w:val="16"/>
              </w:rPr>
            </w:pPr>
            <w:r w:rsidRPr="00475A0C">
              <w:rPr>
                <w:rFonts w:ascii="Verdana" w:hAnsi="Verdana"/>
                <w:b/>
                <w:sz w:val="16"/>
                <w:szCs w:val="16"/>
              </w:rPr>
              <w:t>Disposiciones Generales</w:t>
            </w:r>
          </w:p>
        </w:tc>
        <w:tc>
          <w:tcPr>
            <w:tcW w:w="4675" w:type="dxa"/>
          </w:tcPr>
          <w:p w14:paraId="0CF41720" w14:textId="72C35DAC" w:rsidR="003B20AD" w:rsidRPr="00E3602D" w:rsidRDefault="003B20AD" w:rsidP="003B20AD">
            <w:pPr>
              <w:pStyle w:val="Texto"/>
              <w:spacing w:line="227" w:lineRule="exact"/>
              <w:ind w:firstLine="0"/>
              <w:jc w:val="center"/>
              <w:rPr>
                <w:rFonts w:ascii="Verdana" w:hAnsi="Verdana"/>
                <w:b/>
                <w:sz w:val="16"/>
                <w:szCs w:val="16"/>
                <w:lang w:val="en-US"/>
              </w:rPr>
            </w:pPr>
            <w:r w:rsidRPr="00E3602D">
              <w:rPr>
                <w:rFonts w:ascii="Verdana" w:hAnsi="Verdana"/>
                <w:b/>
                <w:sz w:val="16"/>
                <w:szCs w:val="16"/>
                <w:lang w:val="en-US"/>
              </w:rPr>
              <w:t>General Provisions</w:t>
            </w:r>
          </w:p>
        </w:tc>
      </w:tr>
      <w:tr w:rsidR="003B20AD" w:rsidRPr="00475A0C" w14:paraId="725E5AE5" w14:textId="242ED5C1" w:rsidTr="007B36AB">
        <w:tc>
          <w:tcPr>
            <w:tcW w:w="4675" w:type="dxa"/>
          </w:tcPr>
          <w:p w14:paraId="20BC498D"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Artículo 1.-</w:t>
            </w:r>
            <w:r w:rsidRPr="00475A0C">
              <w:rPr>
                <w:rFonts w:ascii="Verdana" w:hAnsi="Verdana"/>
                <w:sz w:val="16"/>
                <w:szCs w:val="16"/>
              </w:rPr>
              <w:t xml:space="preserve"> La presente Ley es reglamentaria de los artículos 25, párrafo quinto; 27, párrafo séptimo y 28, párrafo cuarto, de </w:t>
            </w:r>
            <w:smartTag w:uri="urn:schemas-microsoft-com:office:smarttags" w:element="PersonName">
              <w:smartTagPr>
                <w:attr w:name="ProductID" w:val="la Constitución Política"/>
              </w:smartTagPr>
              <w:r w:rsidRPr="00475A0C">
                <w:rPr>
                  <w:rFonts w:ascii="Verdana" w:hAnsi="Verdana"/>
                  <w:sz w:val="16"/>
                  <w:szCs w:val="16"/>
                </w:rPr>
                <w:t>la Constitución Política</w:t>
              </w:r>
            </w:smartTag>
            <w:r w:rsidRPr="00475A0C">
              <w:rPr>
                <w:rFonts w:ascii="Verdana" w:hAnsi="Verdana"/>
                <w:sz w:val="16"/>
                <w:szCs w:val="16"/>
              </w:rPr>
              <w:t xml:space="preserve"> de los Estados Unidos Mexicanos, en materia de Hidrocarburos.</w:t>
            </w:r>
          </w:p>
        </w:tc>
        <w:tc>
          <w:tcPr>
            <w:tcW w:w="4675" w:type="dxa"/>
          </w:tcPr>
          <w:p w14:paraId="33CB16FE" w14:textId="4660B9AE"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Article 1.- </w:t>
            </w:r>
            <w:r w:rsidRPr="00E3602D">
              <w:rPr>
                <w:rFonts w:ascii="Verdana" w:hAnsi="Verdana"/>
                <w:sz w:val="16"/>
                <w:szCs w:val="16"/>
                <w:lang w:val="en-US"/>
              </w:rPr>
              <w:t>This Law regulates Articles 25, fifth paragraph; 27, seventh paragraph; and 28, fourth paragraph, of the Political Constitution of the United Mexican States with regard to hydrocarbons.</w:t>
            </w:r>
          </w:p>
        </w:tc>
      </w:tr>
      <w:tr w:rsidR="003B20AD" w:rsidRPr="00475A0C" w14:paraId="1A15BFD2" w14:textId="5C30E32D" w:rsidTr="007B36AB">
        <w:tc>
          <w:tcPr>
            <w:tcW w:w="4675" w:type="dxa"/>
          </w:tcPr>
          <w:p w14:paraId="28D1F7A2"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sz w:val="16"/>
                <w:szCs w:val="16"/>
              </w:rPr>
              <w:t xml:space="preserve">Corresponde a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la propiedad directa, inalienable e imprescriptible de todos los Hidrocarburos que se encuentren en el subsuelo del territorio nacional, incluyendo la plataforma continental y la zona económica exclusiva situada fuera del mar territorial y adyacente a éste, en mantos o yacimientos, cualquiera que sea su estado físico.</w:t>
            </w:r>
          </w:p>
        </w:tc>
        <w:tc>
          <w:tcPr>
            <w:tcW w:w="4675" w:type="dxa"/>
          </w:tcPr>
          <w:p w14:paraId="5A88164E" w14:textId="0C85EDEC" w:rsidR="003B20AD" w:rsidRPr="00E3602D" w:rsidRDefault="003B20AD" w:rsidP="003B20AD">
            <w:pPr>
              <w:pStyle w:val="Texto"/>
              <w:spacing w:line="227" w:lineRule="exact"/>
              <w:ind w:firstLine="0"/>
              <w:rPr>
                <w:rFonts w:ascii="Verdana" w:hAnsi="Verdana"/>
                <w:sz w:val="16"/>
                <w:szCs w:val="16"/>
                <w:lang w:val="en-US"/>
              </w:rPr>
            </w:pPr>
            <w:r w:rsidRPr="00E3602D">
              <w:rPr>
                <w:rFonts w:ascii="Verdana" w:hAnsi="Verdana"/>
                <w:sz w:val="16"/>
                <w:szCs w:val="16"/>
                <w:lang w:val="en-US"/>
              </w:rPr>
              <w:t xml:space="preserve">The direct, inalienable and imprescriptible ownership of all hydrocarbons found in the subsoil of the national territory </w:t>
            </w:r>
            <w:r w:rsidRPr="00E3602D">
              <w:rPr>
                <w:rFonts w:ascii="Verdana" w:hAnsi="Verdana"/>
                <w:sz w:val="16"/>
                <w:szCs w:val="16"/>
                <w:lang w:val="en-US"/>
              </w:rPr>
              <w:t>corresponds to the Nation</w:t>
            </w:r>
            <w:r w:rsidRPr="00E3602D">
              <w:rPr>
                <w:rFonts w:ascii="Verdana" w:hAnsi="Verdana"/>
                <w:sz w:val="16"/>
                <w:szCs w:val="16"/>
                <w:lang w:val="en-US"/>
              </w:rPr>
              <w:t>, including the continental shelf and the exclusive economic zone located outside the territorial sea and adjacent to it, in layers or deposits, regardless of their physical state.</w:t>
            </w:r>
          </w:p>
        </w:tc>
      </w:tr>
      <w:tr w:rsidR="003B20AD" w:rsidRPr="00475A0C" w14:paraId="13ECD886" w14:textId="6494CACC" w:rsidTr="007B36AB">
        <w:tc>
          <w:tcPr>
            <w:tcW w:w="4675" w:type="dxa"/>
          </w:tcPr>
          <w:p w14:paraId="4F6C9715"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lastRenderedPageBreak/>
              <w:t>Artículo 2.-</w:t>
            </w:r>
            <w:r w:rsidRPr="00475A0C">
              <w:rPr>
                <w:rFonts w:ascii="Verdana" w:hAnsi="Verdana"/>
                <w:sz w:val="16"/>
                <w:szCs w:val="16"/>
              </w:rPr>
              <w:t xml:space="preserve"> Para los efectos de esta Ley, se consideran yacimientos transfronterizos aquéllos que se encuentren dentro de la jurisdicción nacional y tengan continuidad física fuera de ella.</w:t>
            </w:r>
          </w:p>
        </w:tc>
        <w:tc>
          <w:tcPr>
            <w:tcW w:w="4675" w:type="dxa"/>
          </w:tcPr>
          <w:p w14:paraId="3B34F0F1" w14:textId="47D9A6FD"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Article 2.- </w:t>
            </w:r>
            <w:r w:rsidRPr="00E3602D">
              <w:rPr>
                <w:rFonts w:ascii="Verdana" w:hAnsi="Verdana"/>
                <w:sz w:val="16"/>
                <w:szCs w:val="16"/>
                <w:lang w:val="en-US"/>
              </w:rPr>
              <w:t>For the purposes of this Law, cross-border deposits are considered to be those located within national jurisdiction and have physical continuity outside of it.</w:t>
            </w:r>
          </w:p>
        </w:tc>
      </w:tr>
      <w:tr w:rsidR="003B20AD" w:rsidRPr="00475A0C" w14:paraId="7C77EBEF" w14:textId="669A6809" w:rsidTr="007B36AB">
        <w:tc>
          <w:tcPr>
            <w:tcW w:w="4675" w:type="dxa"/>
          </w:tcPr>
          <w:p w14:paraId="003B42A2"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sz w:val="16"/>
                <w:szCs w:val="16"/>
              </w:rPr>
              <w:t xml:space="preserve">También se consideran como transfronterizos aquellos yacimientos o mantos fuera de la jurisdicción nacional, compartidos con otros países de acuerdo con los tratados en que México sea parte, o bajo lo dispuesto en </w:t>
            </w:r>
            <w:smartTag w:uri="urn:schemas-microsoft-com:office:smarttags" w:element="PersonName">
              <w:smartTagPr>
                <w:attr w:name="ProductID" w:val="la Convención"/>
              </w:smartTagPr>
              <w:r w:rsidRPr="00475A0C">
                <w:rPr>
                  <w:rFonts w:ascii="Verdana" w:hAnsi="Verdana"/>
                  <w:sz w:val="16"/>
                  <w:szCs w:val="16"/>
                </w:rPr>
                <w:t>la Convención</w:t>
              </w:r>
            </w:smartTag>
            <w:r w:rsidRPr="00475A0C">
              <w:rPr>
                <w:rFonts w:ascii="Verdana" w:hAnsi="Verdana"/>
                <w:sz w:val="16"/>
                <w:szCs w:val="16"/>
              </w:rPr>
              <w:t xml:space="preserve"> de las Naciones Unidas sobre Derecho del Mar.</w:t>
            </w:r>
          </w:p>
        </w:tc>
        <w:tc>
          <w:tcPr>
            <w:tcW w:w="4675" w:type="dxa"/>
          </w:tcPr>
          <w:p w14:paraId="4C961868" w14:textId="5EA634FE" w:rsidR="003B20AD" w:rsidRPr="00E3602D" w:rsidRDefault="003B20AD" w:rsidP="003B20AD">
            <w:pPr>
              <w:pStyle w:val="Texto"/>
              <w:spacing w:line="227" w:lineRule="exact"/>
              <w:ind w:firstLine="0"/>
              <w:rPr>
                <w:rFonts w:ascii="Verdana" w:hAnsi="Verdana"/>
                <w:sz w:val="16"/>
                <w:szCs w:val="16"/>
                <w:lang w:val="en-US"/>
              </w:rPr>
            </w:pPr>
            <w:r w:rsidRPr="00E3602D">
              <w:rPr>
                <w:rFonts w:ascii="Verdana" w:hAnsi="Verdana"/>
                <w:sz w:val="16"/>
                <w:szCs w:val="16"/>
                <w:lang w:val="en-US"/>
              </w:rPr>
              <w:t>Also considered cross-border are those deposits or layers outside of national jurisdiction, shared with other countries in accordance with treaties to which Mexico is a party, or under the provisions of the Convention of the United Nations on the Law of the Sea.</w:t>
            </w:r>
          </w:p>
        </w:tc>
      </w:tr>
      <w:tr w:rsidR="003B20AD" w:rsidRPr="00475A0C" w14:paraId="4F432175" w14:textId="52EB826E" w:rsidTr="007B36AB">
        <w:tc>
          <w:tcPr>
            <w:tcW w:w="4675" w:type="dxa"/>
          </w:tcPr>
          <w:p w14:paraId="1FA31AAD"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Artículo 3.-</w:t>
            </w:r>
            <w:r w:rsidRPr="00475A0C">
              <w:rPr>
                <w:rFonts w:ascii="Verdana" w:hAnsi="Verdana"/>
                <w:sz w:val="16"/>
                <w:szCs w:val="16"/>
              </w:rPr>
              <w:t xml:space="preserve"> Esta Ley tiene por objeto regular las siguientes actividades en territorio nacional:</w:t>
            </w:r>
          </w:p>
        </w:tc>
        <w:tc>
          <w:tcPr>
            <w:tcW w:w="4675" w:type="dxa"/>
          </w:tcPr>
          <w:p w14:paraId="2FF785D6" w14:textId="79653FC3"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Article 3.- </w:t>
            </w:r>
            <w:r w:rsidRPr="00E3602D">
              <w:rPr>
                <w:rFonts w:ascii="Verdana" w:hAnsi="Verdana"/>
                <w:sz w:val="16"/>
                <w:szCs w:val="16"/>
                <w:lang w:val="en-US"/>
              </w:rPr>
              <w:t>This Law aims to regulate the following activities in national territory:</w:t>
            </w:r>
          </w:p>
        </w:tc>
      </w:tr>
      <w:tr w:rsidR="003B20AD" w:rsidRPr="00475A0C" w14:paraId="6481C4F4" w14:textId="19AC87A4" w:rsidTr="007B36AB">
        <w:tc>
          <w:tcPr>
            <w:tcW w:w="4675" w:type="dxa"/>
          </w:tcPr>
          <w:p w14:paraId="5D6771B3"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El Reconocimiento y Exploración Superficial, y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w:t>
            </w:r>
          </w:p>
        </w:tc>
        <w:tc>
          <w:tcPr>
            <w:tcW w:w="4675" w:type="dxa"/>
          </w:tcPr>
          <w:p w14:paraId="0ADC4BFD" w14:textId="3EC3E2F5"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Reconnaissance and Surface Exploration and the Exploration and Extraction of Hydrocarbons;</w:t>
            </w:r>
          </w:p>
        </w:tc>
      </w:tr>
      <w:tr w:rsidR="003B20AD" w:rsidRPr="00475A0C" w14:paraId="493F99FF" w14:textId="6AFA6572" w:rsidTr="007B36AB">
        <w:tc>
          <w:tcPr>
            <w:tcW w:w="4675" w:type="dxa"/>
          </w:tcPr>
          <w:p w14:paraId="616DB82E"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El Tratamiento, refinación, importación, exportación, Comercialización, Transporte y Almacenamiento del Petróleo;</w:t>
            </w:r>
          </w:p>
        </w:tc>
        <w:tc>
          <w:tcPr>
            <w:tcW w:w="4675" w:type="dxa"/>
          </w:tcPr>
          <w:p w14:paraId="2312C93E" w14:textId="1D5B5A05"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The treatment, refining, importation, exportation, marketing, transportation and storage of petroleum;</w:t>
            </w:r>
          </w:p>
        </w:tc>
      </w:tr>
      <w:tr w:rsidR="003B20AD" w:rsidRPr="00475A0C" w14:paraId="2FC1E18D" w14:textId="1CEC5791" w:rsidTr="007B36AB">
        <w:tc>
          <w:tcPr>
            <w:tcW w:w="4675" w:type="dxa"/>
          </w:tcPr>
          <w:p w14:paraId="2803AAF3"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El procesamiento, compresión, licuefacción, descompresión y regasificación, así como la importación, exportación, Transporte, Almacenamiento, Distribución, Comercialización y Expendio al Público, de Gas Natural;</w:t>
            </w:r>
          </w:p>
        </w:tc>
        <w:tc>
          <w:tcPr>
            <w:tcW w:w="4675" w:type="dxa"/>
          </w:tcPr>
          <w:p w14:paraId="31E81A03" w14:textId="3690359A"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processing, compression, liquefaction, decompression and regasification, as well as the import, export, transportation, storage, distribution, marketing and sale to the public of natural gas;</w:t>
            </w:r>
          </w:p>
        </w:tc>
      </w:tr>
      <w:tr w:rsidR="003B20AD" w:rsidRPr="00475A0C" w14:paraId="03D7A5CA" w14:textId="5C135EFC" w:rsidTr="007B36AB">
        <w:tc>
          <w:tcPr>
            <w:tcW w:w="4675" w:type="dxa"/>
          </w:tcPr>
          <w:p w14:paraId="3BF6BDAF"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smartTag w:uri="urn:schemas-microsoft-com:office:smarttags" w:element="PersonName">
              <w:smartTagPr>
                <w:attr w:name="ProductID" w:val="La Formulación"/>
              </w:smartTagPr>
              <w:r w:rsidRPr="00475A0C">
                <w:rPr>
                  <w:rFonts w:ascii="Verdana" w:hAnsi="Verdana"/>
                  <w:sz w:val="16"/>
                  <w:szCs w:val="16"/>
                </w:rPr>
                <w:t>La Formulación</w:t>
              </w:r>
            </w:smartTag>
            <w:r w:rsidRPr="00475A0C">
              <w:rPr>
                <w:rFonts w:ascii="Verdana" w:hAnsi="Verdana"/>
                <w:sz w:val="16"/>
                <w:szCs w:val="16"/>
              </w:rPr>
              <w:t>, Transporte, Almacenamiento, Distribución, importación, exportación, Comercialización, Expendio al Público y despacho para autoconsumo de Petrolíferos, y</w:t>
            </w:r>
          </w:p>
        </w:tc>
        <w:tc>
          <w:tcPr>
            <w:tcW w:w="4675" w:type="dxa"/>
          </w:tcPr>
          <w:p w14:paraId="6E2FC28F" w14:textId="18A39C72"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The formulation, transportation, storage, distribution, import, export, marketing, public sale and dispatch for self-consumption of petroleum products, and</w:t>
            </w:r>
          </w:p>
        </w:tc>
      </w:tr>
      <w:tr w:rsidR="003B20AD" w:rsidRPr="00475A0C" w14:paraId="2E56D31F" w14:textId="5815D22C" w:rsidTr="007B36AB">
        <w:tc>
          <w:tcPr>
            <w:tcW w:w="4675" w:type="dxa"/>
          </w:tcPr>
          <w:p w14:paraId="02FFE73D"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La importación, exportación, Comercialización, el Transporte y el Almacenamiento de Petroquímicos.</w:t>
            </w:r>
          </w:p>
        </w:tc>
        <w:tc>
          <w:tcPr>
            <w:tcW w:w="4675" w:type="dxa"/>
          </w:tcPr>
          <w:p w14:paraId="582CD05A" w14:textId="26E019C3"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The import, export, marketing, transportation and storage of petrochemicals.</w:t>
            </w:r>
          </w:p>
        </w:tc>
      </w:tr>
      <w:tr w:rsidR="003B20AD" w:rsidRPr="00475A0C" w14:paraId="70C5CCCD" w14:textId="3C609648" w:rsidTr="007B36AB">
        <w:tc>
          <w:tcPr>
            <w:tcW w:w="4675" w:type="dxa"/>
          </w:tcPr>
          <w:p w14:paraId="53EE1C70"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Artículo 4.-</w:t>
            </w:r>
            <w:r w:rsidRPr="00475A0C">
              <w:rPr>
                <w:rFonts w:ascii="Verdana" w:hAnsi="Verdana"/>
                <w:sz w:val="16"/>
                <w:szCs w:val="16"/>
              </w:rPr>
              <w:t xml:space="preserve"> De conformidad con lo dispuesto en los artículos 25, párrafo quinto, 27, párrafo séptimo y 28, párrafo cuarto, de </w:t>
            </w:r>
            <w:smartTag w:uri="urn:schemas-microsoft-com:office:smarttags" w:element="PersonName">
              <w:smartTagPr>
                <w:attr w:name="ProductID" w:val="la Constitución Política"/>
              </w:smartTagPr>
              <w:r w:rsidRPr="00475A0C">
                <w:rPr>
                  <w:rFonts w:ascii="Verdana" w:hAnsi="Verdana"/>
                  <w:sz w:val="16"/>
                  <w:szCs w:val="16"/>
                </w:rPr>
                <w:t>la Constitución Política</w:t>
              </w:r>
            </w:smartTag>
            <w:r w:rsidRPr="00475A0C">
              <w:rPr>
                <w:rFonts w:ascii="Verdana" w:hAnsi="Verdana"/>
                <w:sz w:val="16"/>
                <w:szCs w:val="16"/>
              </w:rPr>
              <w:t xml:space="preserve"> de los Estados Unidos Mexicanos,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lleva a cabo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los Hidrocarburos, en los términos de esta Ley.</w:t>
            </w:r>
          </w:p>
        </w:tc>
        <w:tc>
          <w:tcPr>
            <w:tcW w:w="4675" w:type="dxa"/>
          </w:tcPr>
          <w:p w14:paraId="60720E10" w14:textId="4AD1C2C1"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Article 4.- </w:t>
            </w:r>
            <w:r w:rsidRPr="00E3602D">
              <w:rPr>
                <w:rFonts w:ascii="Verdana" w:hAnsi="Verdana"/>
                <w:sz w:val="16"/>
                <w:szCs w:val="16"/>
                <w:lang w:val="en-US"/>
              </w:rPr>
              <w:t>In accordance with the provisions of articles 25, fifth paragraph, 27, seventh paragraph and 28, fourth paragraph of the Political Constitution of the United Mexican States, the Nation carries out the exploration and extraction of hydrocarbons, under the terms of this Law.</w:t>
            </w:r>
          </w:p>
        </w:tc>
      </w:tr>
      <w:tr w:rsidR="003B20AD" w:rsidRPr="00475A0C" w14:paraId="3C02DC76" w14:textId="6ED8C7A4" w:rsidTr="007B36AB">
        <w:tc>
          <w:tcPr>
            <w:tcW w:w="4675" w:type="dxa"/>
          </w:tcPr>
          <w:p w14:paraId="6F4EC5B0"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sz w:val="16"/>
                <w:szCs w:val="16"/>
              </w:rPr>
              <w:t xml:space="preserve">La Exploración y Extracción de Hidrocarburos en los yacimientos transfronterizos a que se refiere el artículo 2 de esta Ley, puede llevarse a cabo en los términos de los tratados y acuerdos en los que México sea parte, celebrados por la persona Titular del Ejecutivo Federal y ratificados por </w:t>
            </w:r>
            <w:smartTag w:uri="urn:schemas-microsoft-com:office:smarttags" w:element="PersonName">
              <w:smartTagPr>
                <w:attr w:name="ProductID" w:val="La Cámara"/>
              </w:smartTagPr>
              <w:r w:rsidRPr="00475A0C">
                <w:rPr>
                  <w:rFonts w:ascii="Verdana" w:hAnsi="Verdana"/>
                  <w:sz w:val="16"/>
                  <w:szCs w:val="16"/>
                </w:rPr>
                <w:t>la Cámara</w:t>
              </w:r>
            </w:smartTag>
            <w:r w:rsidRPr="00475A0C">
              <w:rPr>
                <w:rFonts w:ascii="Verdana" w:hAnsi="Verdana"/>
                <w:sz w:val="16"/>
                <w:szCs w:val="16"/>
              </w:rPr>
              <w:t xml:space="preserve"> de Senadores.</w:t>
            </w:r>
          </w:p>
        </w:tc>
        <w:tc>
          <w:tcPr>
            <w:tcW w:w="4675" w:type="dxa"/>
          </w:tcPr>
          <w:p w14:paraId="0D6FE0BB" w14:textId="106F71DB" w:rsidR="003B20AD" w:rsidRPr="00E3602D" w:rsidRDefault="003B20AD" w:rsidP="003B20AD">
            <w:pPr>
              <w:pStyle w:val="Texto"/>
              <w:spacing w:line="227" w:lineRule="exact"/>
              <w:ind w:firstLine="0"/>
              <w:rPr>
                <w:rFonts w:ascii="Verdana" w:hAnsi="Verdana"/>
                <w:sz w:val="16"/>
                <w:szCs w:val="16"/>
                <w:lang w:val="en-US"/>
              </w:rPr>
            </w:pPr>
            <w:r w:rsidRPr="00E3602D">
              <w:rPr>
                <w:rFonts w:ascii="Verdana" w:hAnsi="Verdana"/>
                <w:sz w:val="16"/>
                <w:szCs w:val="16"/>
                <w:lang w:val="en-US"/>
              </w:rPr>
              <w:t>The exploration and extraction of hydrocarbons in the cross-border deposits referred to in Article 2 of this Law may be carried out under the terms of the treaties and agreements to which Mexico is a party, entered into by the Titular Head of the Federal Executive and ratified by the Chamber of Senators.</w:t>
            </w:r>
          </w:p>
        </w:tc>
      </w:tr>
      <w:tr w:rsidR="003B20AD" w:rsidRPr="00475A0C" w14:paraId="5A202C30" w14:textId="424764AB" w:rsidTr="007B36AB">
        <w:tc>
          <w:tcPr>
            <w:tcW w:w="4675" w:type="dxa"/>
          </w:tcPr>
          <w:p w14:paraId="54D06785"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Artículo 5.-</w:t>
            </w:r>
            <w:r w:rsidRPr="00475A0C">
              <w:rPr>
                <w:rFonts w:ascii="Verdana" w:hAnsi="Verdana"/>
                <w:sz w:val="16"/>
                <w:szCs w:val="16"/>
              </w:rPr>
              <w:t xml:space="preserve"> Para los efectos de esta Ley se entiende, en singular o plural, por:</w:t>
            </w:r>
          </w:p>
        </w:tc>
        <w:tc>
          <w:tcPr>
            <w:tcW w:w="4675" w:type="dxa"/>
          </w:tcPr>
          <w:p w14:paraId="47EDD7C7" w14:textId="01987903"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Article 5.- </w:t>
            </w:r>
            <w:r w:rsidRPr="00E3602D">
              <w:rPr>
                <w:rFonts w:ascii="Verdana" w:hAnsi="Verdana"/>
                <w:sz w:val="16"/>
                <w:szCs w:val="16"/>
                <w:lang w:val="en-US"/>
              </w:rPr>
              <w:t>For the purposes of this Law, the following terms are understood, in singular or plural:</w:t>
            </w:r>
          </w:p>
        </w:tc>
      </w:tr>
      <w:tr w:rsidR="003B20AD" w:rsidRPr="00475A0C" w14:paraId="4224C773" w14:textId="00897BF9" w:rsidTr="007B36AB">
        <w:tc>
          <w:tcPr>
            <w:tcW w:w="4675" w:type="dxa"/>
          </w:tcPr>
          <w:p w14:paraId="1F4C033C"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Agencia: Agencia Nacional de Seguridad Industrial y de Protección al Medio Ambiente del Sector Hidrocarburos;</w:t>
            </w:r>
          </w:p>
        </w:tc>
        <w:tc>
          <w:tcPr>
            <w:tcW w:w="4675" w:type="dxa"/>
          </w:tcPr>
          <w:p w14:paraId="3565A3E0" w14:textId="57F403BB"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Agency: National Agency for Industrial Safety and Environmental Protection of the Hydrocarbon Sector;</w:t>
            </w:r>
          </w:p>
        </w:tc>
      </w:tr>
      <w:tr w:rsidR="003B20AD" w:rsidRPr="00475A0C" w14:paraId="79C4ED09" w14:textId="6EBE45B9" w:rsidTr="007B36AB">
        <w:tc>
          <w:tcPr>
            <w:tcW w:w="4675" w:type="dxa"/>
          </w:tcPr>
          <w:p w14:paraId="18045887"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Almacenamiento: Depósito y resguardo de Hidrocarburos, Petrolíferos y Petroquímicos en depósitos e instalaciones confinados que pueden ubicarse en la superficie, el mar o el subsuelo;</w:t>
            </w:r>
          </w:p>
        </w:tc>
        <w:tc>
          <w:tcPr>
            <w:tcW w:w="4675" w:type="dxa"/>
          </w:tcPr>
          <w:p w14:paraId="1485BCED" w14:textId="473FF952"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Storage: Deposit and safekeeping of hydrocarbons, petroleum products and petrochemicals in confined deposits and facilities that may be located on the surface, at sea or underground;</w:t>
            </w:r>
          </w:p>
        </w:tc>
      </w:tr>
      <w:tr w:rsidR="003B20AD" w:rsidRPr="00475A0C" w14:paraId="5FC6B8DC" w14:textId="20153D0C" w:rsidTr="007B36AB">
        <w:tc>
          <w:tcPr>
            <w:tcW w:w="4675" w:type="dxa"/>
          </w:tcPr>
          <w:p w14:paraId="12C662BD"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Área Contractual: Superficie y profundidad determinadas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así como las </w:t>
            </w:r>
            <w:r w:rsidRPr="00475A0C">
              <w:rPr>
                <w:rFonts w:ascii="Verdana" w:hAnsi="Verdana"/>
                <w:sz w:val="16"/>
                <w:szCs w:val="16"/>
              </w:rPr>
              <w:lastRenderedPageBreak/>
              <w:t xml:space="preserve">formaciones geológicas contenidas en la proyección vertical en dicha superficie para esa profundidad, en las que se realiza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a través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69D3AF34" w14:textId="62E2D0E5"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lastRenderedPageBreak/>
              <w:t xml:space="preserve">III. </w:t>
            </w:r>
            <w:r w:rsidRPr="00E3602D">
              <w:rPr>
                <w:rFonts w:ascii="Verdana" w:hAnsi="Verdana"/>
                <w:b/>
                <w:sz w:val="16"/>
                <w:szCs w:val="16"/>
                <w:lang w:val="en-US"/>
              </w:rPr>
              <w:tab/>
            </w:r>
            <w:r w:rsidRPr="00E3602D">
              <w:rPr>
                <w:rFonts w:ascii="Verdana" w:hAnsi="Verdana"/>
                <w:sz w:val="16"/>
                <w:szCs w:val="16"/>
                <w:lang w:val="en-US"/>
              </w:rPr>
              <w:t xml:space="preserve">Contractual Area: Surface and depth determined by the Secretary of Energy, as well as the </w:t>
            </w:r>
            <w:r w:rsidRPr="00E3602D">
              <w:rPr>
                <w:rFonts w:ascii="Verdana" w:hAnsi="Verdana"/>
                <w:sz w:val="16"/>
                <w:szCs w:val="16"/>
                <w:lang w:val="en-US"/>
              </w:rPr>
              <w:lastRenderedPageBreak/>
              <w:t>geological formations contained in the vertical projection on said surface for that depth, in which the exploration and extraction of hydrocarbons is carried out through Contracts for exploration and extraction;</w:t>
            </w:r>
          </w:p>
        </w:tc>
      </w:tr>
      <w:tr w:rsidR="003B20AD" w:rsidRPr="00475A0C" w14:paraId="7CE39F45" w14:textId="0BEF592B" w:rsidTr="007B36AB">
        <w:tc>
          <w:tcPr>
            <w:tcW w:w="4675" w:type="dxa"/>
          </w:tcPr>
          <w:p w14:paraId="65AEC5B5" w14:textId="77777777" w:rsidR="003B20AD" w:rsidRPr="00475A0C" w:rsidRDefault="003B20AD" w:rsidP="003B20AD">
            <w:pPr>
              <w:pStyle w:val="Texto"/>
              <w:spacing w:line="227" w:lineRule="exact"/>
              <w:ind w:firstLine="0"/>
              <w:rPr>
                <w:rFonts w:ascii="Verdana" w:hAnsi="Verdana"/>
                <w:sz w:val="16"/>
                <w:szCs w:val="16"/>
              </w:rPr>
            </w:pPr>
            <w:r w:rsidRPr="00475A0C">
              <w:rPr>
                <w:rFonts w:ascii="Verdana" w:hAnsi="Verdana"/>
                <w:b/>
                <w:sz w:val="16"/>
                <w:szCs w:val="16"/>
              </w:rPr>
              <w:lastRenderedPageBreak/>
              <w:t>IV.</w:t>
            </w:r>
            <w:r w:rsidRPr="00475A0C">
              <w:rPr>
                <w:rFonts w:ascii="Verdana" w:hAnsi="Verdana"/>
                <w:b/>
                <w:sz w:val="16"/>
                <w:szCs w:val="16"/>
              </w:rPr>
              <w:tab/>
            </w:r>
            <w:r w:rsidRPr="00475A0C">
              <w:rPr>
                <w:rFonts w:ascii="Verdana" w:hAnsi="Verdana"/>
                <w:sz w:val="16"/>
                <w:szCs w:val="16"/>
              </w:rPr>
              <w:t xml:space="preserve">Área de Asignación: Superficie y profundidad determinadas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así como las formaciones geológicas contenidas en la proyección vertical en dicha superficie para esa profundidad, en las que se realiza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a través de una Asignación;</w:t>
            </w:r>
          </w:p>
        </w:tc>
        <w:tc>
          <w:tcPr>
            <w:tcW w:w="4675" w:type="dxa"/>
          </w:tcPr>
          <w:p w14:paraId="783C8196" w14:textId="5E2A609D" w:rsidR="003B20AD" w:rsidRPr="00E3602D" w:rsidRDefault="003B20AD" w:rsidP="003B20AD">
            <w:pPr>
              <w:pStyle w:val="Texto"/>
              <w:spacing w:line="227"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Assignment Area: Surface and depth determined by the Secretary of Energy, as well as the geological formations contained in the vertical projection on said surface for that depth, in which the exploration and extraction of hydrocarbons is carried out through an assignment;</w:t>
            </w:r>
          </w:p>
        </w:tc>
      </w:tr>
      <w:tr w:rsidR="003B20AD" w:rsidRPr="00475A0C" w14:paraId="2520C031" w14:textId="072F3A1C" w:rsidTr="007B36AB">
        <w:tc>
          <w:tcPr>
            <w:tcW w:w="4675" w:type="dxa"/>
          </w:tcPr>
          <w:p w14:paraId="43621732"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 xml:space="preserve">Área en posesión del Estado: Superficie y profundidad determinadas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así como las formaciones geológicas contenidas en la proyección vertical en dicha superficie y profundidad, en las que se tienen identificados recursos prospectivos, en las cuales no se realizan actividades de Exploración y Extracción de Hidrocarburos, y que no se encuentran otorgadas a Petróleos Mexicanos o a algún Contratista;</w:t>
            </w:r>
          </w:p>
        </w:tc>
        <w:tc>
          <w:tcPr>
            <w:tcW w:w="4675" w:type="dxa"/>
          </w:tcPr>
          <w:p w14:paraId="39D500CA" w14:textId="5D961649"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Area in possession of the State: Surface and depth determined by the Secretary of Energy, as well as the geological formations contained in the vertical projection on said surface and depth, in which prospective resources have been identified, in which no Hydrocarbon Exploration and Extraction activities are carried out, and which are not granted to Petróleos Mexicanos (Pemex) or any Contractor;</w:t>
            </w:r>
          </w:p>
        </w:tc>
      </w:tr>
      <w:tr w:rsidR="003B20AD" w:rsidRPr="00475A0C" w14:paraId="03D0A26B" w14:textId="50FFFA94" w:rsidTr="007B36AB">
        <w:tc>
          <w:tcPr>
            <w:tcW w:w="4675" w:type="dxa"/>
          </w:tcPr>
          <w:p w14:paraId="7479E845"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 xml:space="preserve">Asignación: Acto jurídico administrativo mediante el cual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otorga a Petróleos Mexicanos el derecho para realizar actividades de Exploración y Extracción de Hidrocarburos en el Área de Asignación, por una duración específica, y se clasifican en Asignación para Desarrollo Propio y Asignación para Desarrollo Mixto;</w:t>
            </w:r>
          </w:p>
        </w:tc>
        <w:tc>
          <w:tcPr>
            <w:tcW w:w="4675" w:type="dxa"/>
          </w:tcPr>
          <w:p w14:paraId="073CEA3E" w14:textId="65BB7FC1"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Assignment: Administrative legal act by which the Secretary of Energy grants Petróleos Mexicanos the right to carry out hydrocarbon exploration and extraction activities in the Assignment Area, for a specific duration, and are classified into Assignment for Rural Development and Assignment for Mixed Development;</w:t>
            </w:r>
          </w:p>
        </w:tc>
      </w:tr>
      <w:tr w:rsidR="003B20AD" w:rsidRPr="00475A0C" w14:paraId="1F42CA55" w14:textId="7F4D20A3" w:rsidTr="007B36AB">
        <w:tc>
          <w:tcPr>
            <w:tcW w:w="4675" w:type="dxa"/>
          </w:tcPr>
          <w:p w14:paraId="75F3A661"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 xml:space="preserve">Asignación para Desarrollo Mixto: Acto jurídico administrativo mediante el cual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otorga exclusivamente a Petróleos Mexicanos el derecho para realizar actividades de Exploración y Extracción de Hidrocarburos en el Área de Asignación, por una duración específica, y en la cual Petróleos Mexicanos complementa sus capacidades técnicas, operativas, financieras o de ejecución con el apoyo de Participantes;</w:t>
            </w:r>
          </w:p>
        </w:tc>
        <w:tc>
          <w:tcPr>
            <w:tcW w:w="4675" w:type="dxa"/>
          </w:tcPr>
          <w:p w14:paraId="4CEA174F" w14:textId="7D0EC28F"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Mixed Development Assignment: Administrative legal act by which the Secretary of Energy exclusively grants Petróleos Mexicanos the right to carry out hydrocarbon exploration and extraction activities in the Assignment Area, for a specific duration, and in which Petróleos Mexicanos complements its technical, operational, financial or execution capabilities with the support of participants;</w:t>
            </w:r>
          </w:p>
        </w:tc>
      </w:tr>
      <w:tr w:rsidR="003B20AD" w:rsidRPr="00475A0C" w14:paraId="4A8ABEBB" w14:textId="660BDB58" w:rsidTr="007B36AB">
        <w:tc>
          <w:tcPr>
            <w:tcW w:w="4675" w:type="dxa"/>
          </w:tcPr>
          <w:p w14:paraId="6058D25A"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VIII.</w:t>
            </w:r>
            <w:r w:rsidRPr="00475A0C">
              <w:rPr>
                <w:rFonts w:ascii="Verdana" w:hAnsi="Verdana"/>
                <w:b/>
                <w:sz w:val="16"/>
                <w:szCs w:val="16"/>
              </w:rPr>
              <w:tab/>
            </w:r>
            <w:r w:rsidRPr="00475A0C">
              <w:rPr>
                <w:rFonts w:ascii="Verdana" w:hAnsi="Verdana"/>
                <w:sz w:val="16"/>
                <w:szCs w:val="16"/>
              </w:rPr>
              <w:t xml:space="preserve">Asignación para Desarrollo Propio: Acto jurídico administrativo mediante el cual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otorga exclusivamente a Petróleos Mexicanos el derecho para realizar actividades de Exploración y Extracción de Hidrocarburos en el Área de Asignación, por una duración específica, y en la cual realizará las actividades con sus propias capacidades;</w:t>
            </w:r>
          </w:p>
        </w:tc>
        <w:tc>
          <w:tcPr>
            <w:tcW w:w="4675" w:type="dxa"/>
          </w:tcPr>
          <w:p w14:paraId="6FEAAD09" w14:textId="458D0E85"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Assignment for Self Development: Administrative legal act by which the Secretary of Energy exclusively grants Petróleos Mexicanos the right to carry out hydrocarbon exploration and extraction activities in the Assignment Area, for a specific duration, and in which it will carry out the activities with its own capacities;</w:t>
            </w:r>
          </w:p>
        </w:tc>
      </w:tr>
      <w:tr w:rsidR="003B20AD" w:rsidRPr="00475A0C" w14:paraId="41416F61" w14:textId="6E3D8663" w:rsidTr="007B36AB">
        <w:tc>
          <w:tcPr>
            <w:tcW w:w="4675" w:type="dxa"/>
          </w:tcPr>
          <w:p w14:paraId="47C3E553"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Asignataria: Petróleos Mexicanos en su carácter de titular de una Asignación;</w:t>
            </w:r>
          </w:p>
        </w:tc>
        <w:tc>
          <w:tcPr>
            <w:tcW w:w="4675" w:type="dxa"/>
          </w:tcPr>
          <w:p w14:paraId="49597E53" w14:textId="070C5468"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b/>
                <w:sz w:val="16"/>
                <w:szCs w:val="16"/>
                <w:lang w:val="en-US"/>
              </w:rPr>
              <w:tab/>
            </w:r>
            <w:r w:rsidRPr="00E3602D">
              <w:rPr>
                <w:rFonts w:ascii="Verdana" w:hAnsi="Verdana"/>
                <w:sz w:val="16"/>
                <w:szCs w:val="16"/>
                <w:lang w:val="en-US"/>
              </w:rPr>
              <w:t>Assignee: Petróleos Mexicanos in its capacity as holder of an Assignment;</w:t>
            </w:r>
          </w:p>
        </w:tc>
      </w:tr>
      <w:tr w:rsidR="003B20AD" w:rsidRPr="00475A0C" w14:paraId="5EEB8740" w14:textId="14A56285" w:rsidTr="007B36AB">
        <w:tc>
          <w:tcPr>
            <w:tcW w:w="4675" w:type="dxa"/>
          </w:tcPr>
          <w:p w14:paraId="065AA7FF"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w:t>
            </w:r>
            <w:r w:rsidRPr="00475A0C">
              <w:rPr>
                <w:rFonts w:ascii="Verdana" w:hAnsi="Verdana"/>
                <w:b/>
                <w:sz w:val="16"/>
                <w:szCs w:val="16"/>
              </w:rPr>
              <w:tab/>
            </w:r>
            <w:r w:rsidRPr="00475A0C">
              <w:rPr>
                <w:rFonts w:ascii="Verdana" w:hAnsi="Verdana"/>
                <w:sz w:val="16"/>
                <w:szCs w:val="16"/>
              </w:rPr>
              <w:t>Autorizada: Persona titular de una autorización en términos de esta Ley;</w:t>
            </w:r>
          </w:p>
        </w:tc>
        <w:tc>
          <w:tcPr>
            <w:tcW w:w="4675" w:type="dxa"/>
          </w:tcPr>
          <w:p w14:paraId="27C1343A" w14:textId="275B0DF9"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b/>
                <w:sz w:val="16"/>
                <w:szCs w:val="16"/>
                <w:lang w:val="en-US"/>
              </w:rPr>
              <w:tab/>
            </w:r>
            <w:r w:rsidRPr="00E3602D">
              <w:rPr>
                <w:rFonts w:ascii="Verdana" w:hAnsi="Verdana"/>
                <w:sz w:val="16"/>
                <w:szCs w:val="16"/>
                <w:lang w:val="en-US"/>
              </w:rPr>
              <w:t>Authorized Party: Person holding an authorization in terms of this Law;</w:t>
            </w:r>
          </w:p>
        </w:tc>
      </w:tr>
      <w:tr w:rsidR="003B20AD" w:rsidRPr="00475A0C" w14:paraId="6AA383DE" w14:textId="12DF5A17" w:rsidTr="007B36AB">
        <w:tc>
          <w:tcPr>
            <w:tcW w:w="4675" w:type="dxa"/>
          </w:tcPr>
          <w:p w14:paraId="0CB08323"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XI.</w:t>
            </w:r>
            <w:r w:rsidRPr="00475A0C">
              <w:rPr>
                <w:rFonts w:ascii="Verdana" w:hAnsi="Verdana"/>
                <w:b/>
                <w:sz w:val="16"/>
                <w:szCs w:val="16"/>
              </w:rPr>
              <w:tab/>
            </w:r>
            <w:r w:rsidRPr="00475A0C">
              <w:rPr>
                <w:rFonts w:ascii="Verdana" w:hAnsi="Verdana"/>
                <w:sz w:val="16"/>
                <w:szCs w:val="16"/>
              </w:rPr>
              <w:t>Cadena Productiva: Conjunto de agentes económicos que participan directamente en la proveeduría, suministro, construcción y prestación de bienes y servicios para la industria de Hidrocarburos;</w:t>
            </w:r>
          </w:p>
        </w:tc>
        <w:tc>
          <w:tcPr>
            <w:tcW w:w="4675" w:type="dxa"/>
          </w:tcPr>
          <w:p w14:paraId="1D8FD42A" w14:textId="0D053996"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b/>
                <w:sz w:val="16"/>
                <w:szCs w:val="16"/>
                <w:lang w:val="en-US"/>
              </w:rPr>
              <w:tab/>
            </w:r>
            <w:r w:rsidRPr="00E3602D">
              <w:rPr>
                <w:rFonts w:ascii="Verdana" w:hAnsi="Verdana"/>
                <w:sz w:val="16"/>
                <w:szCs w:val="16"/>
                <w:lang w:val="en-US"/>
              </w:rPr>
              <w:t>Production Chain: Set of economic agents that participate directly in the supply, provision, construction and rendering of goods and services for the hydrocarbon industry;</w:t>
            </w:r>
          </w:p>
        </w:tc>
      </w:tr>
      <w:tr w:rsidR="003B20AD" w:rsidRPr="00475A0C" w14:paraId="078C131D" w14:textId="098E80D4" w:rsidTr="007B36AB">
        <w:tc>
          <w:tcPr>
            <w:tcW w:w="4675" w:type="dxa"/>
          </w:tcPr>
          <w:p w14:paraId="1E06D7A8"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XII.</w:t>
            </w:r>
            <w:r w:rsidRPr="00475A0C">
              <w:rPr>
                <w:rFonts w:ascii="Verdana" w:hAnsi="Verdana"/>
                <w:b/>
                <w:sz w:val="16"/>
                <w:szCs w:val="16"/>
              </w:rPr>
              <w:tab/>
            </w:r>
            <w:r w:rsidRPr="00475A0C">
              <w:rPr>
                <w:rFonts w:ascii="Verdana" w:hAnsi="Verdana"/>
                <w:sz w:val="16"/>
                <w:szCs w:val="16"/>
              </w:rPr>
              <w:t xml:space="preserve">Comercialización: Actividad de ofertar en territorio nacional a personas Permisionarias, Usuarias o Usuarias Finales la compraventa de Hidrocarburos, Petrolíferos o Petroquímicos, la cual podrá incluir la gestión o contratación de los servicios de Transporte, </w:t>
            </w:r>
            <w:r w:rsidRPr="00475A0C">
              <w:rPr>
                <w:rFonts w:ascii="Verdana" w:hAnsi="Verdana"/>
                <w:sz w:val="16"/>
                <w:szCs w:val="16"/>
              </w:rPr>
              <w:lastRenderedPageBreak/>
              <w:t>Almacenamiento o Distribución de dichos productos, así como servicios de valor agregado en beneficio de las personas Permisionarias, Usuarias o Usuarias Finales;</w:t>
            </w:r>
          </w:p>
        </w:tc>
        <w:tc>
          <w:tcPr>
            <w:tcW w:w="4675" w:type="dxa"/>
          </w:tcPr>
          <w:p w14:paraId="3AF0FD83" w14:textId="342929C1"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lastRenderedPageBreak/>
              <w:t xml:space="preserve">XII. </w:t>
            </w:r>
            <w:r w:rsidRPr="00E3602D">
              <w:rPr>
                <w:rFonts w:ascii="Verdana" w:hAnsi="Verdana"/>
                <w:b/>
                <w:sz w:val="16"/>
                <w:szCs w:val="16"/>
                <w:lang w:val="en-US"/>
              </w:rPr>
              <w:tab/>
            </w:r>
            <w:r w:rsidRPr="00E3602D">
              <w:rPr>
                <w:rFonts w:ascii="Verdana" w:hAnsi="Verdana"/>
                <w:sz w:val="16"/>
                <w:szCs w:val="16"/>
                <w:lang w:val="en-US"/>
              </w:rPr>
              <w:t xml:space="preserve">Commercial distribution: Activity of offering in national territory to permit holders, users or final users the purchase and sale of hydrocarbons, petroleum products or petrochemicals, which may include the management or contracting of transportation, storage </w:t>
            </w:r>
            <w:r w:rsidRPr="00E3602D">
              <w:rPr>
                <w:rFonts w:ascii="Verdana" w:hAnsi="Verdana"/>
                <w:sz w:val="16"/>
                <w:szCs w:val="16"/>
                <w:lang w:val="en-US"/>
              </w:rPr>
              <w:lastRenderedPageBreak/>
              <w:t>or distribution services for said products, as well as value-added services for the benefit of permit holders, users or final users;</w:t>
            </w:r>
          </w:p>
        </w:tc>
      </w:tr>
      <w:tr w:rsidR="003B20AD" w:rsidRPr="00475A0C" w14:paraId="7C0E4B80" w14:textId="53D783A5" w:rsidTr="007B36AB">
        <w:tc>
          <w:tcPr>
            <w:tcW w:w="4675" w:type="dxa"/>
          </w:tcPr>
          <w:p w14:paraId="23C5F32A"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lastRenderedPageBreak/>
              <w:t>XIII.</w:t>
            </w:r>
            <w:r w:rsidRPr="00475A0C">
              <w:rPr>
                <w:rFonts w:ascii="Verdana" w:hAnsi="Verdana"/>
                <w:b/>
                <w:sz w:val="16"/>
                <w:szCs w:val="16"/>
              </w:rPr>
              <w:tab/>
            </w:r>
            <w:r w:rsidRPr="00475A0C">
              <w:rPr>
                <w:rFonts w:ascii="Verdana" w:hAnsi="Verdana"/>
                <w:sz w:val="16"/>
                <w:szCs w:val="16"/>
              </w:rPr>
              <w:t>Contrato Mixto: Acuerdo de voluntades entre Petróleos Mexicanos y uno o más Participantes, que establece los términos y condiciones para que realicen actividades inherentes a una Asignación para Desarrollo Mixto, por medio del cual se regula, entre otros aspectos, el interés de participación, la cooperación, los riesgos, los derechos y obligaciones sobre los activos, pasivos y contraprestaciones, así como el mecanismo para acordar las decisiones técnicas, operativas y presupuestales en la operación de las partes involucradas;</w:t>
            </w:r>
          </w:p>
        </w:tc>
        <w:tc>
          <w:tcPr>
            <w:tcW w:w="4675" w:type="dxa"/>
          </w:tcPr>
          <w:p w14:paraId="0DE23D4B" w14:textId="0BB6C61E"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b/>
                <w:sz w:val="16"/>
                <w:szCs w:val="16"/>
                <w:lang w:val="en-US"/>
              </w:rPr>
              <w:tab/>
            </w:r>
            <w:r w:rsidRPr="00E3602D">
              <w:rPr>
                <w:rFonts w:ascii="Verdana" w:hAnsi="Verdana"/>
                <w:sz w:val="16"/>
                <w:szCs w:val="16"/>
                <w:lang w:val="en-US"/>
              </w:rPr>
              <w:t>Mixed Contract: Agreement of consent between Petróleos Mexicanos (Pemex) and one or more participants, which establishes the terms and conditions for carrying out activities inherent to a Mixed Development assignment, through which it is regulated, among other aspects, the interest of participation, cooperation, risks, rights and obligations on assets, liabilities and considerations, as well as the mechanism to agree on technical, operational and budgetary decisions in the operation of the parties involved;</w:t>
            </w:r>
          </w:p>
        </w:tc>
      </w:tr>
      <w:tr w:rsidR="003B20AD" w:rsidRPr="00475A0C" w14:paraId="24F6F324" w14:textId="1E7DB398" w:rsidTr="007B36AB">
        <w:tc>
          <w:tcPr>
            <w:tcW w:w="4675" w:type="dxa"/>
          </w:tcPr>
          <w:p w14:paraId="4B736503"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XIV.</w:t>
            </w:r>
            <w:r w:rsidRPr="00475A0C">
              <w:rPr>
                <w:rFonts w:ascii="Verdana" w:hAnsi="Verdana"/>
                <w:b/>
                <w:sz w:val="16"/>
                <w:szCs w:val="16"/>
              </w:rPr>
              <w:tab/>
            </w:r>
            <w:r w:rsidRPr="00475A0C">
              <w:rPr>
                <w:rFonts w:ascii="Verdana" w:hAnsi="Verdana"/>
                <w:sz w:val="16"/>
                <w:szCs w:val="16"/>
              </w:rPr>
              <w:t xml:space="preserve">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Acto jurídico que suscribe el Estado Mexicano, a través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por el que se conviene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en un Área Contractual y por una duración específica;</w:t>
            </w:r>
          </w:p>
        </w:tc>
        <w:tc>
          <w:tcPr>
            <w:tcW w:w="4675" w:type="dxa"/>
          </w:tcPr>
          <w:p w14:paraId="575F8032" w14:textId="6BC4FC52"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XIV. </w:t>
            </w:r>
            <w:r w:rsidRPr="00E3602D">
              <w:rPr>
                <w:rFonts w:ascii="Verdana" w:hAnsi="Verdana"/>
                <w:b/>
                <w:sz w:val="16"/>
                <w:szCs w:val="16"/>
                <w:lang w:val="en-US"/>
              </w:rPr>
              <w:tab/>
            </w:r>
            <w:r w:rsidRPr="00E3602D">
              <w:rPr>
                <w:rFonts w:ascii="Verdana" w:hAnsi="Verdana"/>
                <w:sz w:val="16"/>
                <w:szCs w:val="16"/>
                <w:lang w:val="en-US"/>
              </w:rPr>
              <w:t>Contract for exploration and extraction: Legal act signed by the Mexican State, through the Secretary of Energy, by which the exploration and extraction of hydrocarbons is agreed in a contractual area and for a specific duration;</w:t>
            </w:r>
          </w:p>
        </w:tc>
      </w:tr>
      <w:tr w:rsidR="003B20AD" w:rsidRPr="00475A0C" w14:paraId="4831127C" w14:textId="241D9006" w:rsidTr="007B36AB">
        <w:tc>
          <w:tcPr>
            <w:tcW w:w="4675" w:type="dxa"/>
          </w:tcPr>
          <w:p w14:paraId="30DA77C2"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XV.</w:t>
            </w:r>
            <w:r w:rsidRPr="00475A0C">
              <w:rPr>
                <w:rFonts w:ascii="Verdana" w:hAnsi="Verdana"/>
                <w:b/>
                <w:sz w:val="16"/>
                <w:szCs w:val="16"/>
              </w:rPr>
              <w:tab/>
            </w:r>
            <w:r w:rsidRPr="00475A0C">
              <w:rPr>
                <w:rFonts w:ascii="Verdana" w:hAnsi="Verdana"/>
                <w:sz w:val="16"/>
                <w:szCs w:val="16"/>
              </w:rPr>
              <w:t xml:space="preserve">Contratista: Petróleos Mexicanos o Persona Moral que suscriba con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ya sea de manera individual o en consorcio o asociación en participación, en términos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1D2AFBA4" w14:textId="158AD1BE"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XV. </w:t>
            </w:r>
            <w:r w:rsidRPr="00E3602D">
              <w:rPr>
                <w:rFonts w:ascii="Verdana" w:hAnsi="Verdana"/>
                <w:b/>
                <w:sz w:val="16"/>
                <w:szCs w:val="16"/>
                <w:lang w:val="en-US"/>
              </w:rPr>
              <w:tab/>
            </w:r>
            <w:r w:rsidRPr="00E3602D">
              <w:rPr>
                <w:rFonts w:ascii="Verdana" w:hAnsi="Verdana"/>
                <w:sz w:val="16"/>
                <w:szCs w:val="16"/>
                <w:lang w:val="en-US"/>
              </w:rPr>
              <w:t xml:space="preserve">Contractor: Petróleos Mexicanos or Legal Entity that signs </w:t>
            </w:r>
            <w:r w:rsidRPr="00E3602D">
              <w:rPr>
                <w:rFonts w:ascii="Verdana" w:hAnsi="Verdana"/>
                <w:sz w:val="16"/>
                <w:szCs w:val="16"/>
                <w:lang w:val="en-US"/>
              </w:rPr>
              <w:t xml:space="preserve">a Contract </w:t>
            </w:r>
            <w:r w:rsidRPr="00E3602D">
              <w:rPr>
                <w:rFonts w:ascii="Verdana" w:hAnsi="Verdana"/>
                <w:sz w:val="16"/>
                <w:szCs w:val="16"/>
                <w:lang w:val="en-US"/>
              </w:rPr>
              <w:t xml:space="preserve">with the Secretary of Energy for the exploration and extraction and, whether individually or in a consortium or joint venture, in terms of the Law of Revenue from Hydrocarbons; </w:t>
            </w:r>
          </w:p>
        </w:tc>
      </w:tr>
      <w:tr w:rsidR="003B20AD" w:rsidRPr="00475A0C" w14:paraId="786B3ADD" w14:textId="7B923C8B" w:rsidTr="007B36AB">
        <w:tc>
          <w:tcPr>
            <w:tcW w:w="4675" w:type="dxa"/>
          </w:tcPr>
          <w:p w14:paraId="1D9F040D"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XVI.</w:t>
            </w:r>
            <w:r w:rsidRPr="00475A0C">
              <w:rPr>
                <w:rFonts w:ascii="Verdana" w:hAnsi="Verdana"/>
                <w:b/>
                <w:sz w:val="16"/>
                <w:szCs w:val="16"/>
              </w:rPr>
              <w:tab/>
            </w:r>
            <w:r w:rsidRPr="00475A0C">
              <w:rPr>
                <w:rFonts w:ascii="Verdana" w:hAnsi="Verdana"/>
                <w:sz w:val="16"/>
                <w:szCs w:val="16"/>
              </w:rPr>
              <w:t>Distribución: Actividad que consiste en adquirir, recibir, guardar, trasladar y, en su caso, conducir un determinado volumen de Gas Natural o Petrolíferos desde una ubicación determinada hacia uno o varios destinos previamente asignados para su venta a personas Permisionarias de Expendio al Público o personas Usuarias Finales;</w:t>
            </w:r>
          </w:p>
        </w:tc>
        <w:tc>
          <w:tcPr>
            <w:tcW w:w="4675" w:type="dxa"/>
          </w:tcPr>
          <w:p w14:paraId="3429916A" w14:textId="174F7E32"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XVI. </w:t>
            </w:r>
            <w:r w:rsidRPr="00E3602D">
              <w:rPr>
                <w:rFonts w:ascii="Verdana" w:hAnsi="Verdana"/>
                <w:b/>
                <w:sz w:val="16"/>
                <w:szCs w:val="16"/>
                <w:lang w:val="en-US"/>
              </w:rPr>
              <w:tab/>
            </w:r>
            <w:r w:rsidRPr="00E3602D">
              <w:rPr>
                <w:rFonts w:ascii="Verdana" w:hAnsi="Verdana"/>
                <w:sz w:val="16"/>
                <w:szCs w:val="16"/>
                <w:lang w:val="en-US"/>
              </w:rPr>
              <w:t>Distribution: Activity consisting of acquiring, receiving, storing, transferring and, where appropriate, conducting a certain volume of natural gas or petroleum products from a specific location to one or several destinations previously assigned for sale to public sale permit holders or end users;</w:t>
            </w:r>
          </w:p>
        </w:tc>
      </w:tr>
      <w:tr w:rsidR="003B20AD" w:rsidRPr="00475A0C" w14:paraId="4F3D1E65" w14:textId="0588B7A0" w:rsidTr="007B36AB">
        <w:tc>
          <w:tcPr>
            <w:tcW w:w="4675" w:type="dxa"/>
          </w:tcPr>
          <w:p w14:paraId="44BE2FD0"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XVII.</w:t>
            </w:r>
            <w:r w:rsidRPr="00475A0C">
              <w:rPr>
                <w:rFonts w:ascii="Verdana" w:hAnsi="Verdana"/>
                <w:b/>
                <w:sz w:val="16"/>
                <w:szCs w:val="16"/>
              </w:rPr>
              <w:tab/>
            </w:r>
            <w:r w:rsidRPr="00475A0C">
              <w:rPr>
                <w:rFonts w:ascii="Verdana" w:hAnsi="Verdana"/>
                <w:sz w:val="16"/>
                <w:szCs w:val="16"/>
              </w:rPr>
              <w:t>Ductos de Internación: Aquella infraestructura cuya capacidad esté destinada principalmente a conectar al país con infraestructura de Transporte o Almacenamiento de acceso abierto que se utilice para importar Gas Natural;</w:t>
            </w:r>
          </w:p>
        </w:tc>
        <w:tc>
          <w:tcPr>
            <w:tcW w:w="4675" w:type="dxa"/>
          </w:tcPr>
          <w:p w14:paraId="68F936C3" w14:textId="40BD79D0"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XVII. </w:t>
            </w:r>
            <w:r w:rsidRPr="00E3602D">
              <w:rPr>
                <w:rFonts w:ascii="Verdana" w:hAnsi="Verdana"/>
                <w:b/>
                <w:sz w:val="16"/>
                <w:szCs w:val="16"/>
                <w:lang w:val="en-US"/>
              </w:rPr>
              <w:tab/>
            </w:r>
            <w:r w:rsidRPr="00E3602D">
              <w:rPr>
                <w:rFonts w:ascii="Verdana" w:hAnsi="Verdana"/>
                <w:sz w:val="16"/>
                <w:szCs w:val="16"/>
                <w:lang w:val="en-US"/>
              </w:rPr>
              <w:t>Internment Pipelines: That infrastructure whose capacity is primarily intended to connect the country with open access transportation or storage infrastructure used to import natural gas;</w:t>
            </w:r>
          </w:p>
        </w:tc>
      </w:tr>
      <w:tr w:rsidR="003B20AD" w:rsidRPr="00475A0C" w14:paraId="55AAD7FF" w14:textId="29088CEF" w:rsidTr="007B36AB">
        <w:tc>
          <w:tcPr>
            <w:tcW w:w="4675" w:type="dxa"/>
          </w:tcPr>
          <w:p w14:paraId="76C3EEBE"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XVIII.</w:t>
            </w:r>
            <w:r w:rsidRPr="00475A0C">
              <w:rPr>
                <w:rFonts w:ascii="Verdana" w:hAnsi="Verdana"/>
                <w:b/>
                <w:sz w:val="16"/>
                <w:szCs w:val="16"/>
              </w:rPr>
              <w:tab/>
            </w:r>
            <w:r w:rsidRPr="00475A0C">
              <w:rPr>
                <w:rFonts w:ascii="Verdana" w:hAnsi="Verdana"/>
                <w:sz w:val="16"/>
                <w:szCs w:val="16"/>
              </w:rPr>
              <w:t>Expendio al Público: Venta al menudeo directa al consumidor de Gas Natural o Petrolíferos, en instalaciones con fin específico o multimodal, incluyendo estaciones de servicio, de compresión y de carburación, entre otras;</w:t>
            </w:r>
          </w:p>
        </w:tc>
        <w:tc>
          <w:tcPr>
            <w:tcW w:w="4675" w:type="dxa"/>
          </w:tcPr>
          <w:p w14:paraId="48136B3D" w14:textId="69655306"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XVIII. </w:t>
            </w:r>
            <w:r w:rsidRPr="00E3602D">
              <w:rPr>
                <w:rFonts w:ascii="Verdana" w:hAnsi="Verdana"/>
                <w:b/>
                <w:sz w:val="16"/>
                <w:szCs w:val="16"/>
                <w:lang w:val="en-US"/>
              </w:rPr>
              <w:tab/>
            </w:r>
            <w:r w:rsidRPr="00E3602D">
              <w:rPr>
                <w:rFonts w:ascii="Verdana" w:hAnsi="Verdana"/>
                <w:sz w:val="16"/>
                <w:szCs w:val="16"/>
                <w:lang w:val="en-US"/>
              </w:rPr>
              <w:t>Dispensation to the Public: Direct retail sale to the consumer of natural gas or petroleum products, in facilities with a specific or multimodal purpose, including service stations, compression and carburetion stations, among others;</w:t>
            </w:r>
          </w:p>
        </w:tc>
      </w:tr>
      <w:tr w:rsidR="003B20AD" w:rsidRPr="00475A0C" w14:paraId="60ACD92D" w14:textId="3EC702B5" w:rsidTr="007B36AB">
        <w:tc>
          <w:tcPr>
            <w:tcW w:w="4675" w:type="dxa"/>
          </w:tcPr>
          <w:p w14:paraId="162D3DE9"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XIX.</w:t>
            </w:r>
            <w:r w:rsidRPr="00475A0C">
              <w:rPr>
                <w:rFonts w:ascii="Verdana" w:hAnsi="Verdana"/>
                <w:b/>
                <w:sz w:val="16"/>
                <w:szCs w:val="16"/>
              </w:rPr>
              <w:tab/>
            </w:r>
            <w:r w:rsidRPr="00475A0C">
              <w:rPr>
                <w:rFonts w:ascii="Verdana" w:hAnsi="Verdana"/>
                <w:sz w:val="16"/>
                <w:szCs w:val="16"/>
              </w:rPr>
              <w:t>Exploración: Actividad o conjunto de actividades que se valen de métodos directos e indirectos, incluyendo entre otras, la perforación de pozos, encaminadas a la identificación, descubrimiento y evaluación de Hidrocarburos en el Subsuelo, en un área definida;</w:t>
            </w:r>
          </w:p>
        </w:tc>
        <w:tc>
          <w:tcPr>
            <w:tcW w:w="4675" w:type="dxa"/>
          </w:tcPr>
          <w:p w14:paraId="73BFBC95" w14:textId="72A191EB"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XIX. </w:t>
            </w:r>
            <w:r w:rsidRPr="00E3602D">
              <w:rPr>
                <w:rFonts w:ascii="Verdana" w:hAnsi="Verdana"/>
                <w:b/>
                <w:sz w:val="16"/>
                <w:szCs w:val="16"/>
                <w:lang w:val="en-US"/>
              </w:rPr>
              <w:tab/>
            </w:r>
            <w:r w:rsidRPr="00E3602D">
              <w:rPr>
                <w:rFonts w:ascii="Verdana" w:hAnsi="Verdana"/>
                <w:sz w:val="16"/>
                <w:szCs w:val="16"/>
                <w:lang w:val="en-US"/>
              </w:rPr>
              <w:t>Exploration: Activity or set of activities that use direct and indirect methods, including, among others, the drilling of wells, aimed at the identification, discovery and evaluation of hydrocarbons in the subsoil, in a defined area;</w:t>
            </w:r>
          </w:p>
        </w:tc>
      </w:tr>
      <w:tr w:rsidR="003B20AD" w:rsidRPr="00475A0C" w14:paraId="47E976DD" w14:textId="0F4DD5A5" w:rsidTr="007B36AB">
        <w:tc>
          <w:tcPr>
            <w:tcW w:w="4675" w:type="dxa"/>
          </w:tcPr>
          <w:p w14:paraId="621482C4"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w:t>
            </w:r>
            <w:r w:rsidRPr="00475A0C">
              <w:rPr>
                <w:rFonts w:ascii="Verdana" w:hAnsi="Verdana"/>
                <w:b/>
                <w:sz w:val="16"/>
                <w:szCs w:val="16"/>
              </w:rPr>
              <w:tab/>
            </w:r>
            <w:r w:rsidRPr="00475A0C">
              <w:rPr>
                <w:rFonts w:ascii="Verdana" w:hAnsi="Verdana"/>
                <w:sz w:val="16"/>
                <w:szCs w:val="16"/>
              </w:rPr>
              <w:t xml:space="preserve">Extracción: Actividad o conjunto de actividades destinadas a la producción de Hidrocarburos, incluyendo entre otras, la perforación de pozos de producción, la inyección y la estimulación de yacimientos, la recuperación mejorada, </w:t>
            </w:r>
            <w:smartTag w:uri="urn:schemas-microsoft-com:office:smarttags" w:element="PersonName">
              <w:smartTagPr>
                <w:attr w:name="ProductID" w:val="la Recolección"/>
              </w:smartTagPr>
              <w:r w:rsidRPr="00475A0C">
                <w:rPr>
                  <w:rFonts w:ascii="Verdana" w:hAnsi="Verdana"/>
                  <w:sz w:val="16"/>
                  <w:szCs w:val="16"/>
                </w:rPr>
                <w:t>la Recolección</w:t>
              </w:r>
            </w:smartTag>
            <w:r w:rsidRPr="00475A0C">
              <w:rPr>
                <w:rFonts w:ascii="Verdana" w:hAnsi="Verdana"/>
                <w:sz w:val="16"/>
                <w:szCs w:val="16"/>
              </w:rPr>
              <w:t xml:space="preserve">, el acondicionamiento y separación de Hidrocarburos, la eliminación de agua y sedimentos, dentro del Área Contractual o de Asignación, así como la construcción, </w:t>
            </w:r>
            <w:r w:rsidRPr="00475A0C">
              <w:rPr>
                <w:rFonts w:ascii="Verdana" w:hAnsi="Verdana"/>
                <w:sz w:val="16"/>
                <w:szCs w:val="16"/>
              </w:rPr>
              <w:lastRenderedPageBreak/>
              <w:t>localización, operación, uso, abandono y desmantelamiento de instalaciones para la producción;</w:t>
            </w:r>
          </w:p>
        </w:tc>
        <w:tc>
          <w:tcPr>
            <w:tcW w:w="4675" w:type="dxa"/>
          </w:tcPr>
          <w:p w14:paraId="3809DDDA" w14:textId="467C6FC5"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lastRenderedPageBreak/>
              <w:t xml:space="preserve">XX. </w:t>
            </w:r>
            <w:r w:rsidRPr="00E3602D">
              <w:rPr>
                <w:rFonts w:ascii="Verdana" w:hAnsi="Verdana"/>
                <w:b/>
                <w:sz w:val="16"/>
                <w:szCs w:val="16"/>
                <w:lang w:val="en-US"/>
              </w:rPr>
              <w:tab/>
            </w:r>
            <w:r w:rsidRPr="00E3602D">
              <w:rPr>
                <w:rFonts w:ascii="Verdana" w:hAnsi="Verdana"/>
                <w:sz w:val="16"/>
                <w:szCs w:val="16"/>
                <w:lang w:val="en-US"/>
              </w:rPr>
              <w:t xml:space="preserve">Extraction: Activity or set of activities aimed at the production of hydrocarbons, including, among others, the drilling of production wells, injection and stimulation of reservoirs, enhanced recovery, the collection, the conditioning and separation of hydrocarbons, elimination of water and sediments, within the Contractual or Assignment Area, as well as </w:t>
            </w:r>
            <w:r w:rsidRPr="00E3602D">
              <w:rPr>
                <w:rFonts w:ascii="Verdana" w:hAnsi="Verdana"/>
                <w:sz w:val="16"/>
                <w:szCs w:val="16"/>
                <w:lang w:val="en-US"/>
              </w:rPr>
              <w:lastRenderedPageBreak/>
              <w:t>the construction, location, operation, use, abandonment and dismantling of production facilities;</w:t>
            </w:r>
          </w:p>
        </w:tc>
      </w:tr>
      <w:tr w:rsidR="003B20AD" w:rsidRPr="00475A0C" w14:paraId="2A4B17F0" w14:textId="653B6588" w:rsidTr="007B36AB">
        <w:tc>
          <w:tcPr>
            <w:tcW w:w="4675" w:type="dxa"/>
          </w:tcPr>
          <w:p w14:paraId="6281D812"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lastRenderedPageBreak/>
              <w:t>XXI.</w:t>
            </w:r>
            <w:r w:rsidRPr="00475A0C">
              <w:rPr>
                <w:rFonts w:ascii="Verdana" w:hAnsi="Verdana"/>
                <w:b/>
                <w:sz w:val="16"/>
                <w:szCs w:val="16"/>
              </w:rPr>
              <w:tab/>
            </w:r>
            <w:r w:rsidRPr="00475A0C">
              <w:rPr>
                <w:rFonts w:ascii="Verdana" w:hAnsi="Verdana"/>
                <w:sz w:val="16"/>
                <w:szCs w:val="16"/>
              </w:rPr>
              <w:t>Formulación: Actividad que consiste en la mezcla de gasolinas, diésel y turbosina con biocombustibles, para obtener petrolíferos que cumplan con las especificaciones de calidad establecidas en la regulación aplicable que lo determine;</w:t>
            </w:r>
          </w:p>
        </w:tc>
        <w:tc>
          <w:tcPr>
            <w:tcW w:w="4675" w:type="dxa"/>
          </w:tcPr>
          <w:p w14:paraId="32B30EF0" w14:textId="1B3A32D8"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XXI. </w:t>
            </w:r>
            <w:r w:rsidRPr="00E3602D">
              <w:rPr>
                <w:rFonts w:ascii="Verdana" w:hAnsi="Verdana"/>
                <w:b/>
                <w:sz w:val="16"/>
                <w:szCs w:val="16"/>
                <w:lang w:val="en-US"/>
              </w:rPr>
              <w:tab/>
            </w:r>
            <w:r w:rsidRPr="00E3602D">
              <w:rPr>
                <w:rFonts w:ascii="Verdana" w:hAnsi="Verdana"/>
                <w:sz w:val="16"/>
                <w:szCs w:val="16"/>
                <w:lang w:val="en-US"/>
              </w:rPr>
              <w:t>Formulation: Activity consisting of the blending of gasoline, diesel and jet fuel with biofuels to obtain petroleum products that meet the quality specifications established in the applicable regulations that determine it;</w:t>
            </w:r>
          </w:p>
        </w:tc>
      </w:tr>
      <w:tr w:rsidR="003B20AD" w:rsidRPr="00475A0C" w14:paraId="041F8F80" w14:textId="3F2F1EB6" w:rsidTr="007B36AB">
        <w:tc>
          <w:tcPr>
            <w:tcW w:w="4675" w:type="dxa"/>
          </w:tcPr>
          <w:p w14:paraId="1DE20D29"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XXII.</w:t>
            </w:r>
            <w:r w:rsidRPr="00475A0C">
              <w:rPr>
                <w:rFonts w:ascii="Verdana" w:hAnsi="Verdana"/>
                <w:b/>
                <w:sz w:val="16"/>
                <w:szCs w:val="16"/>
              </w:rPr>
              <w:tab/>
            </w:r>
            <w:r w:rsidRPr="00475A0C">
              <w:rPr>
                <w:rFonts w:ascii="Verdana" w:hAnsi="Verdana"/>
                <w:sz w:val="16"/>
                <w:szCs w:val="16"/>
              </w:rPr>
              <w:t>Gas Licuado de Petróleo: Aquél que es obtenido de los procesos de refinación del Petróleo y de las plantas procesadoras de Gas Natural, y está compuesto principalmente de gas butano y propano;</w:t>
            </w:r>
          </w:p>
        </w:tc>
        <w:tc>
          <w:tcPr>
            <w:tcW w:w="4675" w:type="dxa"/>
          </w:tcPr>
          <w:p w14:paraId="0DBA0AFB" w14:textId="22BD37FA"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XXII. </w:t>
            </w:r>
            <w:r w:rsidRPr="00E3602D">
              <w:rPr>
                <w:rFonts w:ascii="Verdana" w:hAnsi="Verdana"/>
                <w:b/>
                <w:sz w:val="16"/>
                <w:szCs w:val="16"/>
                <w:lang w:val="en-US"/>
              </w:rPr>
              <w:tab/>
            </w:r>
            <w:r w:rsidRPr="00E3602D">
              <w:rPr>
                <w:rFonts w:ascii="Verdana" w:hAnsi="Verdana"/>
                <w:sz w:val="16"/>
                <w:szCs w:val="16"/>
                <w:lang w:val="en-US"/>
              </w:rPr>
              <w:t>Liquefied Petroleum Gas: That which is obtained from the processes of petroleum refining and natural gas processing plants, and is composed mainly of butane and propane gas;</w:t>
            </w:r>
          </w:p>
        </w:tc>
      </w:tr>
      <w:tr w:rsidR="003B20AD" w:rsidRPr="00475A0C" w14:paraId="6CF17C32" w14:textId="315EBEF9" w:rsidTr="007B36AB">
        <w:tc>
          <w:tcPr>
            <w:tcW w:w="4675" w:type="dxa"/>
          </w:tcPr>
          <w:p w14:paraId="49D0DE6B"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XXIII.</w:t>
            </w:r>
            <w:r w:rsidRPr="00475A0C">
              <w:rPr>
                <w:rFonts w:ascii="Verdana" w:hAnsi="Verdana"/>
                <w:b/>
                <w:sz w:val="16"/>
                <w:szCs w:val="16"/>
              </w:rPr>
              <w:tab/>
            </w:r>
            <w:r w:rsidRPr="00475A0C">
              <w:rPr>
                <w:rFonts w:ascii="Verdana" w:hAnsi="Verdana"/>
                <w:sz w:val="16"/>
                <w:szCs w:val="16"/>
              </w:rPr>
              <w:t xml:space="preserve">Gas Natural: Mezcla de gases que se obtiene de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o del procesamiento industrial y que está constituida principalmente por metano y otros gases hidrocarburos más pesados. Asimismo, puede contener nitrógeno, dióxido de carbono y ácido sulfhídrico, entre otros compuestos. Puede ser Gas Natural Asociado, Gas Natural No Asociado, gas asociado al carbón mineral o gas del procesamiento industrial. En el caso de gas natural proveniente de los centros procesadores nacionales o de importación es el que cumple con las especificaciones de calidad prevista en las Normas Oficiales Mexicanas vigentes.</w:t>
            </w:r>
          </w:p>
        </w:tc>
        <w:tc>
          <w:tcPr>
            <w:tcW w:w="4675" w:type="dxa"/>
          </w:tcPr>
          <w:p w14:paraId="1AD11C71" w14:textId="217B0D9E"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XXIII. </w:t>
            </w:r>
            <w:r w:rsidRPr="00E3602D">
              <w:rPr>
                <w:rFonts w:ascii="Verdana" w:hAnsi="Verdana"/>
                <w:b/>
                <w:sz w:val="16"/>
                <w:szCs w:val="16"/>
                <w:lang w:val="en-US"/>
              </w:rPr>
              <w:tab/>
            </w:r>
            <w:r w:rsidRPr="00E3602D">
              <w:rPr>
                <w:rFonts w:ascii="Verdana" w:hAnsi="Verdana"/>
                <w:sz w:val="16"/>
                <w:szCs w:val="16"/>
                <w:lang w:val="en-US"/>
              </w:rPr>
              <w:t>Natural Gas: A mixture of gases obtained from the extraction or through industrial processing and consisting primarily of methane and other heavier hydrocarbon gases. It may also contain nitrogen, carbon dioxide, and hydrogen sulfide, among other compounds. It may be associated natural gas, non-associated natural gas, coal-associated gas, or industrial processing gas. In the case of natural gas from domestic processing centers or imported gas, it is gas that meets the quality specifications set forth in the current Official Mexican Standards.</w:t>
            </w:r>
          </w:p>
        </w:tc>
      </w:tr>
      <w:tr w:rsidR="003B20AD" w:rsidRPr="00475A0C" w14:paraId="4F422E1B" w14:textId="3EA3875A" w:rsidTr="007B36AB">
        <w:tc>
          <w:tcPr>
            <w:tcW w:w="4675" w:type="dxa"/>
          </w:tcPr>
          <w:p w14:paraId="07367564"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XXIV.</w:t>
            </w:r>
            <w:r w:rsidRPr="00475A0C">
              <w:rPr>
                <w:rFonts w:ascii="Verdana" w:hAnsi="Verdana"/>
                <w:b/>
                <w:sz w:val="16"/>
                <w:szCs w:val="16"/>
              </w:rPr>
              <w:tab/>
            </w:r>
            <w:r w:rsidRPr="00475A0C">
              <w:rPr>
                <w:rFonts w:ascii="Verdana" w:hAnsi="Verdana"/>
                <w:sz w:val="16"/>
                <w:szCs w:val="16"/>
              </w:rPr>
              <w:t>Gas Natural Asociado: Gas Natural disuelto en el Petróleo o libre de éste, bajo las condiciones de presión y de temperatura originales en un yacimiento;</w:t>
            </w:r>
          </w:p>
        </w:tc>
        <w:tc>
          <w:tcPr>
            <w:tcW w:w="4675" w:type="dxa"/>
          </w:tcPr>
          <w:p w14:paraId="228C5FF7" w14:textId="76CE4AA0"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XXIV. </w:t>
            </w:r>
            <w:r w:rsidRPr="00E3602D">
              <w:rPr>
                <w:rFonts w:ascii="Verdana" w:hAnsi="Verdana"/>
                <w:b/>
                <w:sz w:val="16"/>
                <w:szCs w:val="16"/>
                <w:lang w:val="en-US"/>
              </w:rPr>
              <w:tab/>
            </w:r>
            <w:r w:rsidRPr="00E3602D">
              <w:rPr>
                <w:rFonts w:ascii="Verdana" w:hAnsi="Verdana"/>
                <w:sz w:val="16"/>
                <w:szCs w:val="16"/>
                <w:lang w:val="en-US"/>
              </w:rPr>
              <w:t>Associated Natural Gas: Natural gas dissolved in Petroleum or free from it, under the original pressure and temperature conditions in a reservoir;</w:t>
            </w:r>
          </w:p>
        </w:tc>
      </w:tr>
      <w:tr w:rsidR="003B20AD" w:rsidRPr="00475A0C" w14:paraId="5CA0108D" w14:textId="39C69705" w:rsidTr="007B36AB">
        <w:tc>
          <w:tcPr>
            <w:tcW w:w="4675" w:type="dxa"/>
          </w:tcPr>
          <w:p w14:paraId="38EFA52A"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XXV.</w:t>
            </w:r>
            <w:r w:rsidRPr="00475A0C">
              <w:rPr>
                <w:rFonts w:ascii="Verdana" w:hAnsi="Verdana"/>
                <w:b/>
                <w:sz w:val="16"/>
                <w:szCs w:val="16"/>
              </w:rPr>
              <w:tab/>
            </w:r>
            <w:r w:rsidRPr="00475A0C">
              <w:rPr>
                <w:rFonts w:ascii="Verdana" w:hAnsi="Verdana"/>
                <w:sz w:val="16"/>
                <w:szCs w:val="16"/>
              </w:rPr>
              <w:t>Gas Natural No Asociado: Gas Natural que se encuentra en yacimientos que no contienen Petróleo a las condiciones de presión y temperatura originales del yacimiento;</w:t>
            </w:r>
          </w:p>
        </w:tc>
        <w:tc>
          <w:tcPr>
            <w:tcW w:w="4675" w:type="dxa"/>
          </w:tcPr>
          <w:p w14:paraId="129C63CD" w14:textId="1EFBFDC8"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XXV. </w:t>
            </w:r>
            <w:r w:rsidRPr="00E3602D">
              <w:rPr>
                <w:rFonts w:ascii="Verdana" w:hAnsi="Verdana"/>
                <w:b/>
                <w:sz w:val="16"/>
                <w:szCs w:val="16"/>
                <w:lang w:val="en-US"/>
              </w:rPr>
              <w:tab/>
            </w:r>
            <w:r w:rsidRPr="00E3602D">
              <w:rPr>
                <w:rFonts w:ascii="Verdana" w:hAnsi="Verdana"/>
                <w:sz w:val="16"/>
                <w:szCs w:val="16"/>
                <w:lang w:val="en-US"/>
              </w:rPr>
              <w:t>Non-Associated Natural Gas: Natural gas found in reservoirs that do not contain petroleum at the reservoir's original pressure and temperature conditions;</w:t>
            </w:r>
          </w:p>
        </w:tc>
      </w:tr>
      <w:tr w:rsidR="003B20AD" w:rsidRPr="00475A0C" w14:paraId="5922BF98" w14:textId="76D98E87" w:rsidTr="007B36AB">
        <w:tc>
          <w:tcPr>
            <w:tcW w:w="4675" w:type="dxa"/>
          </w:tcPr>
          <w:p w14:paraId="03A7D854"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XXVI.</w:t>
            </w:r>
            <w:r w:rsidRPr="00475A0C">
              <w:rPr>
                <w:rFonts w:ascii="Verdana" w:hAnsi="Verdana"/>
                <w:b/>
                <w:sz w:val="16"/>
                <w:szCs w:val="16"/>
              </w:rPr>
              <w:tab/>
            </w:r>
            <w:r w:rsidRPr="00475A0C">
              <w:rPr>
                <w:rFonts w:ascii="Verdana" w:hAnsi="Verdana"/>
                <w:sz w:val="16"/>
                <w:szCs w:val="16"/>
              </w:rPr>
              <w:t>Hidrocarburos: Compuestos químicos orgánicos formados principalmente por hidrógeno y carbono, en forma de Petróleo líquido, Gas Natural y otros compuestos sólidos;</w:t>
            </w:r>
          </w:p>
        </w:tc>
        <w:tc>
          <w:tcPr>
            <w:tcW w:w="4675" w:type="dxa"/>
          </w:tcPr>
          <w:p w14:paraId="133DC8DB" w14:textId="67E406C9"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XXVI. </w:t>
            </w:r>
            <w:r w:rsidRPr="00E3602D">
              <w:rPr>
                <w:rFonts w:ascii="Verdana" w:hAnsi="Verdana"/>
                <w:b/>
                <w:sz w:val="16"/>
                <w:szCs w:val="16"/>
                <w:lang w:val="en-US"/>
              </w:rPr>
              <w:tab/>
            </w:r>
            <w:r w:rsidRPr="00E3602D">
              <w:rPr>
                <w:rFonts w:ascii="Verdana" w:hAnsi="Verdana"/>
                <w:sz w:val="16"/>
                <w:szCs w:val="16"/>
                <w:lang w:val="en-US"/>
              </w:rPr>
              <w:t>Hydrocarbons: Organic chemical compounds formed mainly by hydrogen and carbon, in the form of liquid petroleum, natural gas and other solid compounds;</w:t>
            </w:r>
          </w:p>
        </w:tc>
      </w:tr>
      <w:tr w:rsidR="003B20AD" w:rsidRPr="00475A0C" w14:paraId="650C26CD" w14:textId="69ABDD02" w:rsidTr="007B36AB">
        <w:tc>
          <w:tcPr>
            <w:tcW w:w="4675" w:type="dxa"/>
          </w:tcPr>
          <w:p w14:paraId="251D0316"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XXVII.</w:t>
            </w:r>
            <w:r w:rsidRPr="00475A0C">
              <w:rPr>
                <w:rFonts w:ascii="Verdana" w:hAnsi="Verdana"/>
                <w:b/>
                <w:sz w:val="16"/>
                <w:szCs w:val="16"/>
              </w:rPr>
              <w:tab/>
            </w:r>
            <w:r w:rsidRPr="00475A0C">
              <w:rPr>
                <w:rFonts w:ascii="Verdana" w:hAnsi="Verdana"/>
                <w:sz w:val="16"/>
                <w:szCs w:val="16"/>
              </w:rPr>
              <w:t>Hidrocarburos en el Subsuelo: Hidrocarburos que se encuentran bajo la superficie de la tierra;</w:t>
            </w:r>
          </w:p>
        </w:tc>
        <w:tc>
          <w:tcPr>
            <w:tcW w:w="4675" w:type="dxa"/>
          </w:tcPr>
          <w:p w14:paraId="014A9303" w14:textId="31E531F3"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XXVII. </w:t>
            </w:r>
            <w:r w:rsidRPr="00E3602D">
              <w:rPr>
                <w:rFonts w:ascii="Verdana" w:hAnsi="Verdana"/>
                <w:b/>
                <w:sz w:val="16"/>
                <w:szCs w:val="16"/>
                <w:lang w:val="en-US"/>
              </w:rPr>
              <w:tab/>
            </w:r>
            <w:r w:rsidRPr="00E3602D">
              <w:rPr>
                <w:rFonts w:ascii="Verdana" w:hAnsi="Verdana"/>
                <w:sz w:val="16"/>
                <w:szCs w:val="16"/>
                <w:lang w:val="en-US"/>
              </w:rPr>
              <w:t>Subsurface Hydrocarbons: Hydrocarbons found beneath the earth's surface;</w:t>
            </w:r>
          </w:p>
        </w:tc>
      </w:tr>
      <w:tr w:rsidR="003B20AD" w:rsidRPr="00475A0C" w14:paraId="1C66F542" w14:textId="5C4DECD7" w:rsidTr="007B36AB">
        <w:tc>
          <w:tcPr>
            <w:tcW w:w="4675" w:type="dxa"/>
          </w:tcPr>
          <w:p w14:paraId="1E396F13"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XXVIII.</w:t>
            </w:r>
            <w:r w:rsidRPr="00475A0C">
              <w:rPr>
                <w:rFonts w:ascii="Verdana" w:hAnsi="Verdana"/>
                <w:b/>
                <w:sz w:val="16"/>
                <w:szCs w:val="16"/>
              </w:rPr>
              <w:tab/>
            </w:r>
            <w:r w:rsidRPr="00475A0C">
              <w:rPr>
                <w:rFonts w:ascii="Verdana" w:hAnsi="Verdana"/>
                <w:sz w:val="16"/>
                <w:szCs w:val="16"/>
              </w:rPr>
              <w:t>Instituto: Instituto de Administración y Avalúos de Bienes Nacionales;</w:t>
            </w:r>
          </w:p>
        </w:tc>
        <w:tc>
          <w:tcPr>
            <w:tcW w:w="4675" w:type="dxa"/>
          </w:tcPr>
          <w:p w14:paraId="3483E4C3" w14:textId="40BA0474"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XXVIII. </w:t>
            </w:r>
            <w:r w:rsidRPr="00E3602D">
              <w:rPr>
                <w:rFonts w:ascii="Verdana" w:hAnsi="Verdana"/>
                <w:b/>
                <w:sz w:val="16"/>
                <w:szCs w:val="16"/>
                <w:lang w:val="en-US"/>
              </w:rPr>
              <w:tab/>
            </w:r>
            <w:r w:rsidRPr="00E3602D">
              <w:rPr>
                <w:rFonts w:ascii="Verdana" w:hAnsi="Verdana"/>
                <w:sz w:val="16"/>
                <w:szCs w:val="16"/>
                <w:lang w:val="en-US"/>
              </w:rPr>
              <w:t>Institute: Institute for the Administration and Appraisal of National Assets;</w:t>
            </w:r>
          </w:p>
        </w:tc>
      </w:tr>
      <w:tr w:rsidR="003B20AD" w:rsidRPr="00475A0C" w14:paraId="6C34551B" w14:textId="613D821F" w:rsidTr="007B36AB">
        <w:tc>
          <w:tcPr>
            <w:tcW w:w="4675" w:type="dxa"/>
          </w:tcPr>
          <w:p w14:paraId="34DBB826"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XXIX.</w:t>
            </w:r>
            <w:r w:rsidRPr="00475A0C">
              <w:rPr>
                <w:rFonts w:ascii="Verdana" w:hAnsi="Verdana"/>
                <w:b/>
                <w:sz w:val="16"/>
                <w:szCs w:val="16"/>
              </w:rPr>
              <w:tab/>
            </w:r>
            <w:r w:rsidRPr="00475A0C">
              <w:rPr>
                <w:rFonts w:ascii="Verdana" w:hAnsi="Verdana"/>
                <w:sz w:val="16"/>
                <w:szCs w:val="16"/>
              </w:rPr>
              <w:t>Manifestación de Impacto Social del Sector Energético: Documento que, con base en estudios, describe el impacto social significativo y potencial de una obra o actividad en una comunidad, analizando efectos positivos y negativos, y proponiendo estrategias para maximizar beneficios, mitigar afectaciones y garantizar la sostenibilidad social con enfoque participativo, de género y respeto a los derechos humanos;</w:t>
            </w:r>
          </w:p>
        </w:tc>
        <w:tc>
          <w:tcPr>
            <w:tcW w:w="4675" w:type="dxa"/>
          </w:tcPr>
          <w:p w14:paraId="0FB5D32E" w14:textId="3B49B36D"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XXIX. </w:t>
            </w:r>
            <w:r w:rsidRPr="00E3602D">
              <w:rPr>
                <w:rFonts w:ascii="Verdana" w:hAnsi="Verdana"/>
                <w:b/>
                <w:sz w:val="16"/>
                <w:szCs w:val="16"/>
                <w:lang w:val="en-US"/>
              </w:rPr>
              <w:tab/>
            </w:r>
            <w:r w:rsidRPr="00E3602D">
              <w:rPr>
                <w:rFonts w:ascii="Verdana" w:hAnsi="Verdana"/>
                <w:sz w:val="16"/>
                <w:szCs w:val="16"/>
                <w:lang w:val="en-US"/>
              </w:rPr>
              <w:t>Social Impact Statement for the Energy Sector: A document that, based on studies, describes the significant and potential social impact of a project or activity on a community, analyzing positive and negative effects, and proposing strategies to maximize benefits, mitigate impacts, and guarantee social sustainability with a participatory approach, gender and respect for human rights;</w:t>
            </w:r>
          </w:p>
        </w:tc>
      </w:tr>
      <w:tr w:rsidR="003B20AD" w:rsidRPr="00475A0C" w14:paraId="78465BA2" w14:textId="61812FAB" w:rsidTr="007B36AB">
        <w:tc>
          <w:tcPr>
            <w:tcW w:w="4675" w:type="dxa"/>
          </w:tcPr>
          <w:p w14:paraId="2EB1DBB4"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XXX.</w:t>
            </w:r>
            <w:r w:rsidRPr="00475A0C">
              <w:rPr>
                <w:rFonts w:ascii="Verdana" w:hAnsi="Verdana"/>
                <w:b/>
                <w:sz w:val="16"/>
                <w:szCs w:val="16"/>
              </w:rPr>
              <w:tab/>
            </w:r>
            <w:r w:rsidRPr="00475A0C">
              <w:rPr>
                <w:rFonts w:ascii="Verdana" w:hAnsi="Verdana"/>
                <w:sz w:val="16"/>
                <w:szCs w:val="16"/>
              </w:rPr>
              <w:t xml:space="preserve">Mecanismo de Asignación de Capacidad: Procedimiento regulado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que, con el propósito de brindar equidad y transparencia en la asignación o adquisición de capacidad disponible a terceros de un sistema o de un nuevo proyecto o con motivo de una renuncia </w:t>
            </w:r>
            <w:r w:rsidRPr="00475A0C">
              <w:rPr>
                <w:rFonts w:ascii="Verdana" w:hAnsi="Verdana"/>
                <w:sz w:val="16"/>
                <w:szCs w:val="16"/>
              </w:rPr>
              <w:lastRenderedPageBreak/>
              <w:t>permanente de capacidad reservada, debe realizar una persona Permisionaria de Transporte, Almacenamiento o Distribución de Hidrocarburos, Petrolíferos y Petroquímicos para ponerla a disposición del público, a efecto de reasignar capacidad o determinar las necesidades de expansión o ampliación de capacidad;</w:t>
            </w:r>
          </w:p>
        </w:tc>
        <w:tc>
          <w:tcPr>
            <w:tcW w:w="4675" w:type="dxa"/>
          </w:tcPr>
          <w:p w14:paraId="340EA756" w14:textId="33DF83EA"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lastRenderedPageBreak/>
              <w:t xml:space="preserve">XXX. </w:t>
            </w:r>
            <w:r w:rsidRPr="00E3602D">
              <w:rPr>
                <w:rFonts w:ascii="Verdana" w:hAnsi="Verdana"/>
                <w:b/>
                <w:sz w:val="16"/>
                <w:szCs w:val="16"/>
                <w:lang w:val="en-US"/>
              </w:rPr>
              <w:tab/>
            </w:r>
            <w:r w:rsidRPr="00E3602D">
              <w:rPr>
                <w:rFonts w:ascii="Verdana" w:hAnsi="Verdana"/>
                <w:sz w:val="16"/>
                <w:szCs w:val="16"/>
                <w:lang w:val="en-US"/>
              </w:rPr>
              <w:t xml:space="preserve">Capacity Assignment Mechanism: Procedure regulated by the Secretary of Energy that, for the purpose of providing equity and transparency in the assignment or acquisition of available capacity to third parties of a system or a new project or due to a permanent waiver of reserved capacity, must be carried </w:t>
            </w:r>
            <w:r w:rsidRPr="00E3602D">
              <w:rPr>
                <w:rFonts w:ascii="Verdana" w:hAnsi="Verdana"/>
                <w:sz w:val="16"/>
                <w:szCs w:val="16"/>
                <w:lang w:val="en-US"/>
              </w:rPr>
              <w:lastRenderedPageBreak/>
              <w:t>out by a Permit holder for the transportation, storage or distribution of hydrocarbons, petroleum products and petrochemicals to make it available to the public, in order to reallocate capacity or determine the needs for expansion or increase in capacity;</w:t>
            </w:r>
          </w:p>
        </w:tc>
      </w:tr>
      <w:tr w:rsidR="003B20AD" w:rsidRPr="00475A0C" w14:paraId="446DD5F8" w14:textId="784673C7" w:rsidTr="007B36AB">
        <w:tc>
          <w:tcPr>
            <w:tcW w:w="4675" w:type="dxa"/>
          </w:tcPr>
          <w:p w14:paraId="3E364E7D"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lastRenderedPageBreak/>
              <w:t>XXXI.</w:t>
            </w:r>
            <w:r w:rsidRPr="00475A0C">
              <w:rPr>
                <w:rFonts w:ascii="Verdana" w:hAnsi="Verdana"/>
                <w:b/>
                <w:sz w:val="16"/>
                <w:szCs w:val="16"/>
              </w:rPr>
              <w:tab/>
            </w:r>
            <w:r w:rsidRPr="00475A0C">
              <w:rPr>
                <w:rFonts w:ascii="Verdana" w:hAnsi="Verdana"/>
                <w:sz w:val="16"/>
                <w:szCs w:val="16"/>
              </w:rPr>
              <w:t xml:space="preserve">Operador Petrolero: En Asignaciones o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es el responsable de realizar todas las actividades, trabajos y, en su caso, gestiones administrativas relacionadas con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conforme a los planes y programas asociados;</w:t>
            </w:r>
          </w:p>
        </w:tc>
        <w:tc>
          <w:tcPr>
            <w:tcW w:w="4675" w:type="dxa"/>
          </w:tcPr>
          <w:p w14:paraId="41D47F6C" w14:textId="24604A8A"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XXXI. </w:t>
            </w:r>
            <w:r w:rsidRPr="00E3602D">
              <w:rPr>
                <w:rFonts w:ascii="Verdana" w:hAnsi="Verdana"/>
                <w:b/>
                <w:sz w:val="16"/>
                <w:szCs w:val="16"/>
                <w:lang w:val="en-US"/>
              </w:rPr>
              <w:tab/>
            </w:r>
            <w:r w:rsidRPr="00E3602D">
              <w:rPr>
                <w:rFonts w:ascii="Verdana" w:hAnsi="Verdana"/>
                <w:sz w:val="16"/>
                <w:szCs w:val="16"/>
                <w:lang w:val="en-US"/>
              </w:rPr>
              <w:t>Petroleum Operator: In Assignments or Contracts for exploration and extraction, it is responsible for carrying out all activities, work and, where appropriate, administrative procedures related to the exploration and extraction of hydrocarbons, in accordance with the associated plans and programs;</w:t>
            </w:r>
          </w:p>
        </w:tc>
      </w:tr>
      <w:tr w:rsidR="003B20AD" w:rsidRPr="00475A0C" w14:paraId="2573092D" w14:textId="2175D669" w:rsidTr="007B36AB">
        <w:tc>
          <w:tcPr>
            <w:tcW w:w="4675" w:type="dxa"/>
          </w:tcPr>
          <w:p w14:paraId="44B66CA7"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XXXII.</w:t>
            </w:r>
            <w:r w:rsidRPr="00475A0C">
              <w:rPr>
                <w:rFonts w:ascii="Verdana" w:hAnsi="Verdana"/>
                <w:b/>
                <w:sz w:val="16"/>
                <w:szCs w:val="16"/>
              </w:rPr>
              <w:tab/>
            </w:r>
            <w:r w:rsidRPr="00475A0C">
              <w:rPr>
                <w:rFonts w:ascii="Verdana" w:hAnsi="Verdana"/>
                <w:sz w:val="16"/>
                <w:szCs w:val="16"/>
              </w:rPr>
              <w:t>Participante: Persona Moral que complementa las capacidades técnicas, operativas, de ejecución o financieras de Petróleos Mexicanos, en la realización de las actividades de Exploración y Extracción previstas en una Asignación para Desarrollo Mixto, en los términos pactados en el Contrato Mixto;</w:t>
            </w:r>
          </w:p>
        </w:tc>
        <w:tc>
          <w:tcPr>
            <w:tcW w:w="4675" w:type="dxa"/>
          </w:tcPr>
          <w:p w14:paraId="40AF442D" w14:textId="156D4876"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XXXII. </w:t>
            </w:r>
            <w:r w:rsidRPr="00E3602D">
              <w:rPr>
                <w:rFonts w:ascii="Verdana" w:hAnsi="Verdana"/>
                <w:b/>
                <w:sz w:val="16"/>
                <w:szCs w:val="16"/>
                <w:lang w:val="en-US"/>
              </w:rPr>
              <w:tab/>
            </w:r>
            <w:r w:rsidRPr="00E3602D">
              <w:rPr>
                <w:rFonts w:ascii="Verdana" w:hAnsi="Verdana"/>
                <w:sz w:val="16"/>
                <w:szCs w:val="16"/>
                <w:lang w:val="en-US"/>
              </w:rPr>
              <w:t>Participant: Legal entity that complements the technical, operational, execution or financial capabilities of Petróleos Mexicanos, in carrying out the exploration and extraction activities provided for in a Mixed Development Assignment, under the terms agreed in the Mixed Contract;</w:t>
            </w:r>
          </w:p>
        </w:tc>
      </w:tr>
      <w:tr w:rsidR="003B20AD" w:rsidRPr="00475A0C" w14:paraId="65493127" w14:textId="6404A4BD" w:rsidTr="007B36AB">
        <w:tc>
          <w:tcPr>
            <w:tcW w:w="4675" w:type="dxa"/>
          </w:tcPr>
          <w:p w14:paraId="4933DA44"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XXXIII.</w:t>
            </w:r>
            <w:r w:rsidRPr="00475A0C">
              <w:rPr>
                <w:rFonts w:ascii="Verdana" w:hAnsi="Verdana"/>
                <w:b/>
                <w:sz w:val="16"/>
                <w:szCs w:val="16"/>
              </w:rPr>
              <w:tab/>
            </w:r>
            <w:r w:rsidRPr="00475A0C">
              <w:rPr>
                <w:rFonts w:ascii="Verdana" w:hAnsi="Verdana"/>
                <w:sz w:val="16"/>
                <w:szCs w:val="16"/>
              </w:rPr>
              <w:t>Particular: Persona física o Persona Moral;</w:t>
            </w:r>
          </w:p>
        </w:tc>
        <w:tc>
          <w:tcPr>
            <w:tcW w:w="4675" w:type="dxa"/>
          </w:tcPr>
          <w:p w14:paraId="2130C094" w14:textId="0C9A09C9"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XXXIII. </w:t>
            </w:r>
            <w:r w:rsidRPr="00E3602D">
              <w:rPr>
                <w:rFonts w:ascii="Verdana" w:hAnsi="Verdana"/>
                <w:sz w:val="16"/>
                <w:szCs w:val="16"/>
                <w:lang w:val="en-US"/>
              </w:rPr>
              <w:t>Individual: Individual or Legal Entity;</w:t>
            </w:r>
          </w:p>
        </w:tc>
      </w:tr>
      <w:tr w:rsidR="003B20AD" w:rsidRPr="00475A0C" w14:paraId="56EDD5A1" w14:textId="3F514E4E" w:rsidTr="007B36AB">
        <w:tc>
          <w:tcPr>
            <w:tcW w:w="4675" w:type="dxa"/>
          </w:tcPr>
          <w:p w14:paraId="43EF85D3"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XXXIV.</w:t>
            </w:r>
            <w:r w:rsidRPr="00475A0C">
              <w:rPr>
                <w:rFonts w:ascii="Verdana" w:hAnsi="Verdana"/>
                <w:b/>
                <w:sz w:val="16"/>
                <w:szCs w:val="16"/>
              </w:rPr>
              <w:tab/>
            </w:r>
            <w:r w:rsidRPr="00475A0C">
              <w:rPr>
                <w:rFonts w:ascii="Verdana" w:hAnsi="Verdana"/>
                <w:sz w:val="16"/>
                <w:szCs w:val="16"/>
              </w:rPr>
              <w:t>Permisionaria: Petróleos Mexicanos, cualquier otra empresa pública del Estado o entidad paraestatal, o cualquier Particular que sea titular de un permiso para la realización de las actividades previstas en esta Ley;</w:t>
            </w:r>
          </w:p>
        </w:tc>
        <w:tc>
          <w:tcPr>
            <w:tcW w:w="4675" w:type="dxa"/>
          </w:tcPr>
          <w:p w14:paraId="2D35CEA5" w14:textId="52AB956B"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XXXIV. </w:t>
            </w:r>
            <w:r w:rsidRPr="00E3602D">
              <w:rPr>
                <w:rFonts w:ascii="Verdana" w:hAnsi="Verdana"/>
                <w:b/>
                <w:sz w:val="16"/>
                <w:szCs w:val="16"/>
                <w:lang w:val="en-US"/>
              </w:rPr>
              <w:tab/>
            </w:r>
            <w:r w:rsidRPr="00E3602D">
              <w:rPr>
                <w:rFonts w:ascii="Verdana" w:hAnsi="Verdana"/>
                <w:sz w:val="16"/>
                <w:szCs w:val="16"/>
                <w:lang w:val="en-US"/>
              </w:rPr>
              <w:t>Permit holder: Petróleos Mexicanos, any other public company of the State or parastatal entity, or any private party holding a permit to carry out the activities provided for in this Law;</w:t>
            </w:r>
          </w:p>
        </w:tc>
      </w:tr>
      <w:tr w:rsidR="003B20AD" w:rsidRPr="00475A0C" w14:paraId="37DAC917" w14:textId="2CB37509" w:rsidTr="007B36AB">
        <w:tc>
          <w:tcPr>
            <w:tcW w:w="4675" w:type="dxa"/>
          </w:tcPr>
          <w:p w14:paraId="7D29637E" w14:textId="77777777" w:rsidR="003B20AD" w:rsidRPr="00475A0C" w:rsidRDefault="003B20AD" w:rsidP="003B20AD">
            <w:pPr>
              <w:pStyle w:val="Texto"/>
              <w:spacing w:line="224" w:lineRule="exact"/>
              <w:ind w:firstLine="0"/>
              <w:rPr>
                <w:rFonts w:ascii="Verdana" w:hAnsi="Verdana"/>
                <w:sz w:val="16"/>
                <w:szCs w:val="16"/>
              </w:rPr>
            </w:pPr>
            <w:r w:rsidRPr="00475A0C">
              <w:rPr>
                <w:rFonts w:ascii="Verdana" w:hAnsi="Verdana"/>
                <w:b/>
                <w:sz w:val="16"/>
                <w:szCs w:val="16"/>
              </w:rPr>
              <w:t>XXXV.</w:t>
            </w:r>
            <w:r w:rsidRPr="00475A0C">
              <w:rPr>
                <w:rFonts w:ascii="Verdana" w:hAnsi="Verdana"/>
                <w:b/>
                <w:sz w:val="16"/>
                <w:szCs w:val="16"/>
              </w:rPr>
              <w:tab/>
            </w:r>
            <w:r w:rsidRPr="00475A0C">
              <w:rPr>
                <w:rFonts w:ascii="Verdana" w:hAnsi="Verdana"/>
                <w:sz w:val="16"/>
                <w:szCs w:val="16"/>
              </w:rPr>
              <w:t>Persona Moral: Sociedad mercantil constituida de conformidad con la legislación mexicana;</w:t>
            </w:r>
          </w:p>
        </w:tc>
        <w:tc>
          <w:tcPr>
            <w:tcW w:w="4675" w:type="dxa"/>
          </w:tcPr>
          <w:p w14:paraId="7B9D923D" w14:textId="64258EBB" w:rsidR="003B20AD" w:rsidRPr="00E3602D" w:rsidRDefault="003B20AD" w:rsidP="003B20AD">
            <w:pPr>
              <w:pStyle w:val="Texto"/>
              <w:spacing w:line="224" w:lineRule="exact"/>
              <w:ind w:firstLine="0"/>
              <w:rPr>
                <w:rFonts w:ascii="Verdana" w:hAnsi="Verdana"/>
                <w:b/>
                <w:sz w:val="16"/>
                <w:szCs w:val="16"/>
                <w:lang w:val="en-US"/>
              </w:rPr>
            </w:pPr>
            <w:r w:rsidRPr="00E3602D">
              <w:rPr>
                <w:rFonts w:ascii="Verdana" w:hAnsi="Verdana"/>
                <w:b/>
                <w:sz w:val="16"/>
                <w:szCs w:val="16"/>
                <w:lang w:val="en-US"/>
              </w:rPr>
              <w:t xml:space="preserve">XXXV. </w:t>
            </w:r>
            <w:r w:rsidRPr="00E3602D">
              <w:rPr>
                <w:rFonts w:ascii="Verdana" w:hAnsi="Verdana"/>
                <w:b/>
                <w:sz w:val="16"/>
                <w:szCs w:val="16"/>
                <w:lang w:val="en-US"/>
              </w:rPr>
              <w:tab/>
            </w:r>
            <w:r w:rsidRPr="00E3602D">
              <w:rPr>
                <w:rFonts w:ascii="Verdana" w:hAnsi="Verdana"/>
                <w:sz w:val="16"/>
                <w:szCs w:val="16"/>
                <w:lang w:val="en-US"/>
              </w:rPr>
              <w:t>Legal Entity: Commercial company incorporated in accordance with Mexican legislation;</w:t>
            </w:r>
          </w:p>
        </w:tc>
      </w:tr>
      <w:tr w:rsidR="003B20AD" w:rsidRPr="00475A0C" w14:paraId="3512AA37" w14:textId="6553C43C" w:rsidTr="007B36AB">
        <w:tc>
          <w:tcPr>
            <w:tcW w:w="4675" w:type="dxa"/>
          </w:tcPr>
          <w:p w14:paraId="5F615BFC"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XXXVI.</w:t>
            </w:r>
            <w:r w:rsidRPr="00475A0C">
              <w:rPr>
                <w:rFonts w:ascii="Verdana" w:hAnsi="Verdana"/>
                <w:b/>
                <w:sz w:val="16"/>
                <w:szCs w:val="16"/>
              </w:rPr>
              <w:tab/>
            </w:r>
            <w:r w:rsidRPr="00475A0C">
              <w:rPr>
                <w:rFonts w:ascii="Verdana" w:hAnsi="Verdana"/>
                <w:sz w:val="16"/>
                <w:szCs w:val="16"/>
              </w:rPr>
              <w:t>Petróleo: Mezcla de carburos de hidrógeno que existe en fase líquida en los yacimientos y permanece así en condiciones originales de presión y temperatura. Puede incluir pequeñas cantidades de substancias que no son carburos de hidrógeno;</w:t>
            </w:r>
          </w:p>
        </w:tc>
        <w:tc>
          <w:tcPr>
            <w:tcW w:w="4675" w:type="dxa"/>
          </w:tcPr>
          <w:p w14:paraId="599C2E8D" w14:textId="07673279"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XXXVI. </w:t>
            </w:r>
            <w:r w:rsidRPr="00E3602D">
              <w:rPr>
                <w:rFonts w:ascii="Verdana" w:hAnsi="Verdana"/>
                <w:b/>
                <w:sz w:val="16"/>
                <w:szCs w:val="16"/>
                <w:lang w:val="en-US"/>
              </w:rPr>
              <w:tab/>
            </w:r>
            <w:r w:rsidRPr="00E3602D">
              <w:rPr>
                <w:rFonts w:ascii="Verdana" w:hAnsi="Verdana"/>
                <w:sz w:val="16"/>
                <w:szCs w:val="16"/>
                <w:lang w:val="en-US"/>
              </w:rPr>
              <w:t>Petroleum: A mixture of hydrogen carbides existing in the liquid phase in reservoirs and remaining so under the original conditions of pressure and temperature. It may include small quantities of substances other than hydrogen carbons;</w:t>
            </w:r>
          </w:p>
        </w:tc>
      </w:tr>
      <w:tr w:rsidR="003B20AD" w:rsidRPr="00475A0C" w14:paraId="59A5FEC6" w14:textId="3B93CC46" w:rsidTr="007B36AB">
        <w:tc>
          <w:tcPr>
            <w:tcW w:w="4675" w:type="dxa"/>
          </w:tcPr>
          <w:p w14:paraId="2818C764"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XXXVII.</w:t>
            </w:r>
            <w:r w:rsidRPr="00475A0C">
              <w:rPr>
                <w:rFonts w:ascii="Verdana" w:hAnsi="Verdana"/>
                <w:b/>
                <w:sz w:val="16"/>
                <w:szCs w:val="16"/>
              </w:rPr>
              <w:tab/>
            </w:r>
            <w:r w:rsidRPr="00475A0C">
              <w:rPr>
                <w:rFonts w:ascii="Verdana" w:hAnsi="Verdana"/>
                <w:sz w:val="16"/>
                <w:szCs w:val="16"/>
              </w:rPr>
              <w:t>Petrolíferos: Productos que se obtienen de la refinación del Petróleo o del Procesamiento del Gas Natural y que derivan directamente de Hidrocarburos, tales como gasolinas, diésel, querosenos, combustóleo y Gas Licuado de Petróleo, entre otros, distintos de los Petroquímicos;</w:t>
            </w:r>
          </w:p>
        </w:tc>
        <w:tc>
          <w:tcPr>
            <w:tcW w:w="4675" w:type="dxa"/>
          </w:tcPr>
          <w:p w14:paraId="30106DE0" w14:textId="5B1ED42E"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XXXVII. </w:t>
            </w:r>
            <w:r w:rsidRPr="00E3602D">
              <w:rPr>
                <w:rFonts w:ascii="Verdana" w:hAnsi="Verdana"/>
                <w:b/>
                <w:sz w:val="16"/>
                <w:szCs w:val="16"/>
                <w:lang w:val="en-US"/>
              </w:rPr>
              <w:tab/>
            </w:r>
            <w:r w:rsidRPr="00E3602D">
              <w:rPr>
                <w:rFonts w:ascii="Verdana" w:hAnsi="Verdana"/>
                <w:sz w:val="16"/>
                <w:szCs w:val="16"/>
                <w:lang w:val="en-US"/>
              </w:rPr>
              <w:t>Petroleum Products: Products obtained from the refining of petroleum or the processing of natural gas and derived directly from hydrocarbons, such as gasoline, diesel, kerosene, fuel oil and liquefied petroleum gas, among others, other than petrochemicals;</w:t>
            </w:r>
          </w:p>
        </w:tc>
      </w:tr>
      <w:tr w:rsidR="003B20AD" w:rsidRPr="00475A0C" w14:paraId="3D967AD2" w14:textId="70F5D559" w:rsidTr="007B36AB">
        <w:tc>
          <w:tcPr>
            <w:tcW w:w="4675" w:type="dxa"/>
          </w:tcPr>
          <w:p w14:paraId="502BDBA7"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XXXVIII.</w:t>
            </w:r>
            <w:r w:rsidRPr="00475A0C">
              <w:rPr>
                <w:rFonts w:ascii="Verdana" w:hAnsi="Verdana"/>
                <w:b/>
                <w:sz w:val="16"/>
                <w:szCs w:val="16"/>
              </w:rPr>
              <w:tab/>
            </w:r>
            <w:r w:rsidRPr="00475A0C">
              <w:rPr>
                <w:rFonts w:ascii="Verdana" w:hAnsi="Verdana"/>
                <w:sz w:val="16"/>
                <w:szCs w:val="16"/>
              </w:rPr>
              <w:t>Petroquímicos: Líquidos o gases que se obtienen del Procesamiento del Gas Natural o de la refinación del Petróleo, que se utilizan habitualmente como materia prima para la industria;</w:t>
            </w:r>
          </w:p>
        </w:tc>
        <w:tc>
          <w:tcPr>
            <w:tcW w:w="4675" w:type="dxa"/>
          </w:tcPr>
          <w:p w14:paraId="2206A5F7" w14:textId="48BEDF79"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XXXVIII. </w:t>
            </w:r>
            <w:r w:rsidRPr="00E3602D">
              <w:rPr>
                <w:rFonts w:ascii="Verdana" w:hAnsi="Verdana"/>
                <w:b/>
                <w:sz w:val="16"/>
                <w:szCs w:val="16"/>
                <w:lang w:val="en-US"/>
              </w:rPr>
              <w:tab/>
            </w:r>
            <w:r w:rsidRPr="00E3602D">
              <w:rPr>
                <w:rFonts w:ascii="Verdana" w:hAnsi="Verdana"/>
                <w:sz w:val="16"/>
                <w:szCs w:val="16"/>
                <w:lang w:val="en-US"/>
              </w:rPr>
              <w:t>Petrochemicals: Liquids or gases obtained from the processing of natural gas or the refining of petroleum, which are commonly used as raw materials for industry;</w:t>
            </w:r>
          </w:p>
        </w:tc>
      </w:tr>
      <w:tr w:rsidR="003B20AD" w:rsidRPr="00475A0C" w14:paraId="08CB8970" w14:textId="519F00B6" w:rsidTr="007B36AB">
        <w:tc>
          <w:tcPr>
            <w:tcW w:w="4675" w:type="dxa"/>
          </w:tcPr>
          <w:p w14:paraId="50F2AC5F"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XXXIX.</w:t>
            </w:r>
            <w:r w:rsidRPr="00475A0C">
              <w:rPr>
                <w:rFonts w:ascii="Verdana" w:hAnsi="Verdana"/>
                <w:b/>
                <w:sz w:val="16"/>
                <w:szCs w:val="16"/>
              </w:rPr>
              <w:tab/>
            </w:r>
            <w:r w:rsidRPr="00475A0C">
              <w:rPr>
                <w:rFonts w:ascii="Verdana" w:hAnsi="Verdana"/>
                <w:sz w:val="16"/>
                <w:szCs w:val="16"/>
              </w:rPr>
              <w:t xml:space="preserve">Pozo Inviable: Pozo existente destinado para las actividades de Exploración y Extracción de Hidrocarburos determinado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como improductivo o inviable técnica o económicamente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de Hidrocarburos;</w:t>
            </w:r>
          </w:p>
        </w:tc>
        <w:tc>
          <w:tcPr>
            <w:tcW w:w="4675" w:type="dxa"/>
          </w:tcPr>
          <w:p w14:paraId="5BEB348F" w14:textId="2C5E0034"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XXXIX. </w:t>
            </w:r>
            <w:r w:rsidRPr="00E3602D">
              <w:rPr>
                <w:rFonts w:ascii="Verdana" w:hAnsi="Verdana"/>
                <w:b/>
                <w:sz w:val="16"/>
                <w:szCs w:val="16"/>
                <w:lang w:val="en-US"/>
              </w:rPr>
              <w:tab/>
            </w:r>
            <w:r w:rsidRPr="00E3602D">
              <w:rPr>
                <w:rFonts w:ascii="Verdana" w:hAnsi="Verdana"/>
                <w:sz w:val="16"/>
                <w:szCs w:val="16"/>
                <w:lang w:val="en-US"/>
              </w:rPr>
              <w:t>Unviable Well: Existing well intended for hydrocarbon exploration and extraction activities determined by the Secretary of Energy as unproductive or technically or economically unviable for the extraction of hydrocarbons;</w:t>
            </w:r>
          </w:p>
        </w:tc>
      </w:tr>
      <w:tr w:rsidR="003B20AD" w:rsidRPr="00475A0C" w14:paraId="3921AE8D" w14:textId="30A56B26" w:rsidTr="007B36AB">
        <w:tc>
          <w:tcPr>
            <w:tcW w:w="4675" w:type="dxa"/>
          </w:tcPr>
          <w:p w14:paraId="036447C3"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w:t>
            </w:r>
            <w:r w:rsidRPr="00475A0C">
              <w:rPr>
                <w:rFonts w:ascii="Verdana" w:hAnsi="Verdana"/>
                <w:b/>
                <w:sz w:val="16"/>
                <w:szCs w:val="16"/>
              </w:rPr>
              <w:tab/>
            </w:r>
            <w:r w:rsidRPr="00475A0C">
              <w:rPr>
                <w:rFonts w:ascii="Verdana" w:hAnsi="Verdana"/>
                <w:sz w:val="16"/>
                <w:szCs w:val="16"/>
              </w:rPr>
              <w:t>Procesamiento de Gas Natural: Separación del Gas Natural Asociado o Gas Natural No Asociado de otros gases o líquidos para su transformación o comercialización;</w:t>
            </w:r>
          </w:p>
        </w:tc>
        <w:tc>
          <w:tcPr>
            <w:tcW w:w="4675" w:type="dxa"/>
          </w:tcPr>
          <w:p w14:paraId="550C5331" w14:textId="5E8F02D1"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 </w:t>
            </w:r>
            <w:r w:rsidRPr="00E3602D">
              <w:rPr>
                <w:rFonts w:ascii="Verdana" w:hAnsi="Verdana"/>
                <w:b/>
                <w:sz w:val="16"/>
                <w:szCs w:val="16"/>
                <w:lang w:val="en-US"/>
              </w:rPr>
              <w:tab/>
            </w:r>
            <w:r w:rsidRPr="00E3602D">
              <w:rPr>
                <w:rFonts w:ascii="Verdana" w:hAnsi="Verdana"/>
                <w:sz w:val="16"/>
                <w:szCs w:val="16"/>
                <w:lang w:val="en-US"/>
              </w:rPr>
              <w:t>Natural Gas Processing: Separation of associated natural gas or non-associated natural gas from other gases or liquids for processing or marketing;</w:t>
            </w:r>
          </w:p>
        </w:tc>
      </w:tr>
      <w:tr w:rsidR="003B20AD" w:rsidRPr="00475A0C" w14:paraId="09E4E344" w14:textId="4C6D295B" w:rsidTr="007B36AB">
        <w:tc>
          <w:tcPr>
            <w:tcW w:w="4675" w:type="dxa"/>
          </w:tcPr>
          <w:p w14:paraId="5C321F3A"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XLI.</w:t>
            </w:r>
            <w:r w:rsidRPr="00475A0C">
              <w:rPr>
                <w:rFonts w:ascii="Verdana" w:hAnsi="Verdana"/>
                <w:b/>
                <w:sz w:val="16"/>
                <w:szCs w:val="16"/>
              </w:rPr>
              <w:tab/>
            </w:r>
            <w:r w:rsidRPr="00475A0C">
              <w:rPr>
                <w:rFonts w:ascii="Verdana" w:hAnsi="Verdana"/>
                <w:sz w:val="16"/>
                <w:szCs w:val="16"/>
              </w:rPr>
              <w:t xml:space="preserve">Recolección: Acopio de los Hidrocarburos de cada pozo del yacimiento una vez que han sido extraídos del subsuelo, mediante un sistema de líneas de descarga, que van desde el cabezal de los pozos </w:t>
            </w:r>
            <w:r w:rsidRPr="00475A0C">
              <w:rPr>
                <w:rFonts w:ascii="Verdana" w:hAnsi="Verdana"/>
                <w:sz w:val="16"/>
                <w:szCs w:val="16"/>
              </w:rPr>
              <w:lastRenderedPageBreak/>
              <w:t>hasta las primeras baterías de separación o, en su caso, hasta los sistemas de transporte, y que no se considera dentro de la actividad regulada de transporte;</w:t>
            </w:r>
          </w:p>
        </w:tc>
        <w:tc>
          <w:tcPr>
            <w:tcW w:w="4675" w:type="dxa"/>
          </w:tcPr>
          <w:p w14:paraId="12D86FEA" w14:textId="392D1E9F"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lastRenderedPageBreak/>
              <w:t xml:space="preserve">XLI. </w:t>
            </w:r>
            <w:r w:rsidRPr="00E3602D">
              <w:rPr>
                <w:rFonts w:ascii="Verdana" w:hAnsi="Verdana"/>
                <w:b/>
                <w:sz w:val="16"/>
                <w:szCs w:val="16"/>
                <w:lang w:val="en-US"/>
              </w:rPr>
              <w:tab/>
            </w:r>
            <w:r w:rsidRPr="00E3602D">
              <w:rPr>
                <w:rFonts w:ascii="Verdana" w:hAnsi="Verdana"/>
                <w:sz w:val="16"/>
                <w:szCs w:val="16"/>
                <w:lang w:val="en-US"/>
              </w:rPr>
              <w:t xml:space="preserve">Collection: The gathering of hydrocarbons from each well in the reservoir once they have been extracted from the subsoil, by means of a system of discharge lines, which run from the wellhead to the first </w:t>
            </w:r>
            <w:r w:rsidRPr="00E3602D">
              <w:rPr>
                <w:rFonts w:ascii="Verdana" w:hAnsi="Verdana"/>
                <w:sz w:val="16"/>
                <w:szCs w:val="16"/>
                <w:lang w:val="en-US"/>
              </w:rPr>
              <w:lastRenderedPageBreak/>
              <w:t>separation batteries or, where appropriate, to the transport systems, and which is not considered part of the regulated transport activity;</w:t>
            </w:r>
          </w:p>
        </w:tc>
      </w:tr>
      <w:tr w:rsidR="003B20AD" w:rsidRPr="00475A0C" w14:paraId="78BA20A7" w14:textId="22336B03" w:rsidTr="007B36AB">
        <w:tc>
          <w:tcPr>
            <w:tcW w:w="4675" w:type="dxa"/>
          </w:tcPr>
          <w:p w14:paraId="2CEF7076"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lastRenderedPageBreak/>
              <w:t>XLII.</w:t>
            </w:r>
            <w:r w:rsidRPr="00475A0C">
              <w:rPr>
                <w:rFonts w:ascii="Verdana" w:hAnsi="Verdana"/>
                <w:b/>
                <w:sz w:val="16"/>
                <w:szCs w:val="16"/>
              </w:rPr>
              <w:tab/>
            </w:r>
            <w:r w:rsidRPr="00475A0C">
              <w:rPr>
                <w:rFonts w:ascii="Verdana" w:hAnsi="Verdana"/>
                <w:sz w:val="16"/>
                <w:szCs w:val="16"/>
              </w:rPr>
              <w:t>Reconocimiento y Exploración Superficial: Todos aquellos estudios de evaluación que se valen únicamente de actividades sobre la superficie del terreno o del mar para considerar la posible existencia de Hidrocarburos en un área determinada; dentro de éstos se incluyen los trabajos para la adquisición, el procesamiento, reprocesamiento o interpretación de información;</w:t>
            </w:r>
          </w:p>
        </w:tc>
        <w:tc>
          <w:tcPr>
            <w:tcW w:w="4675" w:type="dxa"/>
          </w:tcPr>
          <w:p w14:paraId="299D178D" w14:textId="12FC9B65"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XLII. </w:t>
            </w:r>
            <w:r w:rsidRPr="00E3602D">
              <w:rPr>
                <w:rFonts w:ascii="Verdana" w:hAnsi="Verdana"/>
                <w:b/>
                <w:sz w:val="16"/>
                <w:szCs w:val="16"/>
                <w:lang w:val="en-US"/>
              </w:rPr>
              <w:tab/>
            </w:r>
            <w:r w:rsidRPr="00E3602D">
              <w:rPr>
                <w:rFonts w:ascii="Verdana" w:hAnsi="Verdana"/>
                <w:sz w:val="16"/>
                <w:szCs w:val="16"/>
                <w:lang w:val="en-US"/>
              </w:rPr>
              <w:t>Surface Reconnaissance and Exploration: All evaluation studies that rely solely on activities on the surface of the land or sea to consider the possible existence of hydrocarbons in a given area; these include work for the acquisition, processing, reprocessing, or interpretation of information;</w:t>
            </w:r>
          </w:p>
        </w:tc>
      </w:tr>
      <w:tr w:rsidR="003B20AD" w:rsidRPr="00475A0C" w14:paraId="2DA8ED29" w14:textId="4CA5D018" w:rsidTr="007B36AB">
        <w:tc>
          <w:tcPr>
            <w:tcW w:w="4675" w:type="dxa"/>
          </w:tcPr>
          <w:p w14:paraId="178392F1"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XLIII.</w:t>
            </w:r>
            <w:r w:rsidRPr="00475A0C">
              <w:rPr>
                <w:rFonts w:ascii="Verdana" w:hAnsi="Verdana"/>
                <w:b/>
                <w:sz w:val="16"/>
                <w:szCs w:val="16"/>
              </w:rPr>
              <w:tab/>
            </w:r>
            <w:r w:rsidRPr="00475A0C">
              <w:rPr>
                <w:rFonts w:ascii="Verdana" w:hAnsi="Verdana"/>
                <w:sz w:val="16"/>
                <w:szCs w:val="16"/>
              </w:rPr>
              <w:t>Recursos Contingentes: Volumen estimado de Hidrocarburos en una fecha dada, que potencialmente es recuperable pero que, bajo condiciones económicas de evaluación correspondientes a la fecha de estimación, no se considera comercialmente recuperable debido a una o más contingencias;</w:t>
            </w:r>
          </w:p>
        </w:tc>
        <w:tc>
          <w:tcPr>
            <w:tcW w:w="4675" w:type="dxa"/>
          </w:tcPr>
          <w:p w14:paraId="102D19A4" w14:textId="7FE23F2A"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XLIII. </w:t>
            </w:r>
            <w:r w:rsidRPr="00E3602D">
              <w:rPr>
                <w:rFonts w:ascii="Verdana" w:hAnsi="Verdana"/>
                <w:b/>
                <w:sz w:val="16"/>
                <w:szCs w:val="16"/>
                <w:lang w:val="en-US"/>
              </w:rPr>
              <w:tab/>
            </w:r>
            <w:r w:rsidRPr="00E3602D">
              <w:rPr>
                <w:rFonts w:ascii="Verdana" w:hAnsi="Verdana"/>
                <w:sz w:val="16"/>
                <w:szCs w:val="16"/>
                <w:lang w:val="en-US"/>
              </w:rPr>
              <w:t>Contingent Resources: Estimated volume of hydrocarbons on a given date, which is potentially recoverable but which, under economic evaluation conditions corresponding to the estimation date, is not considered commercially recoverable due to one or more contingencies;</w:t>
            </w:r>
          </w:p>
        </w:tc>
      </w:tr>
      <w:tr w:rsidR="003B20AD" w:rsidRPr="00475A0C" w14:paraId="24E5C9EA" w14:textId="18BB7ED9" w:rsidTr="007B36AB">
        <w:tc>
          <w:tcPr>
            <w:tcW w:w="4675" w:type="dxa"/>
          </w:tcPr>
          <w:p w14:paraId="449F0DEB"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XLIV.</w:t>
            </w:r>
            <w:r w:rsidRPr="00475A0C">
              <w:rPr>
                <w:rFonts w:ascii="Verdana" w:hAnsi="Verdana"/>
                <w:b/>
                <w:sz w:val="16"/>
                <w:szCs w:val="16"/>
              </w:rPr>
              <w:tab/>
            </w:r>
            <w:r w:rsidRPr="00475A0C">
              <w:rPr>
                <w:rFonts w:ascii="Verdana" w:hAnsi="Verdana"/>
                <w:sz w:val="16"/>
                <w:szCs w:val="16"/>
              </w:rPr>
              <w:t>Recursos Prospectivos: Volumen de Hidrocarburos estimado a una fecha determinada, que todavía no se descubre pero que ha sido inferido y que se estima potencialmente recuperable, mediante la aplicación de proyectos de desarrollo futuros;</w:t>
            </w:r>
          </w:p>
        </w:tc>
        <w:tc>
          <w:tcPr>
            <w:tcW w:w="4675" w:type="dxa"/>
          </w:tcPr>
          <w:p w14:paraId="6BFE0C18" w14:textId="259E276B"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XLIV. </w:t>
            </w:r>
            <w:r w:rsidRPr="00E3602D">
              <w:rPr>
                <w:rFonts w:ascii="Verdana" w:hAnsi="Verdana"/>
                <w:b/>
                <w:sz w:val="16"/>
                <w:szCs w:val="16"/>
                <w:lang w:val="en-US"/>
              </w:rPr>
              <w:tab/>
            </w:r>
            <w:r w:rsidRPr="00E3602D">
              <w:rPr>
                <w:rFonts w:ascii="Verdana" w:hAnsi="Verdana"/>
                <w:sz w:val="16"/>
                <w:szCs w:val="16"/>
                <w:lang w:val="en-US"/>
              </w:rPr>
              <w:t>Prospective Resources: Volume of hydrocarbons estimated at a given date, which has not yet been discovered but has been inferred and is estimated to be potentially recoverable through the application of future development projects;</w:t>
            </w:r>
          </w:p>
        </w:tc>
      </w:tr>
      <w:tr w:rsidR="003B20AD" w:rsidRPr="00475A0C" w14:paraId="27BA87B6" w14:textId="0ECD5032" w:rsidTr="007B36AB">
        <w:tc>
          <w:tcPr>
            <w:tcW w:w="4675" w:type="dxa"/>
          </w:tcPr>
          <w:p w14:paraId="1E7FCBCF"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XLV.</w:t>
            </w:r>
            <w:r w:rsidRPr="00475A0C">
              <w:rPr>
                <w:rFonts w:ascii="Verdana" w:hAnsi="Verdana"/>
                <w:b/>
                <w:sz w:val="16"/>
                <w:szCs w:val="16"/>
              </w:rPr>
              <w:tab/>
            </w:r>
            <w:r w:rsidRPr="00475A0C">
              <w:rPr>
                <w:rFonts w:ascii="Verdana" w:hAnsi="Verdana"/>
                <w:sz w:val="16"/>
                <w:szCs w:val="16"/>
              </w:rPr>
              <w:t>Reservas: Volumen de Hidrocarburos en el subsuelo, calculado a una fecha dada a condiciones atmosféricas, que se estima será producido técnica y económicamente, bajo las premisas económicas aplicables, con cualquiera de los métodos y sistemas de Extracción aplicables a la fecha de evaluación;</w:t>
            </w:r>
          </w:p>
        </w:tc>
        <w:tc>
          <w:tcPr>
            <w:tcW w:w="4675" w:type="dxa"/>
          </w:tcPr>
          <w:p w14:paraId="758A55DE" w14:textId="3F5B02C5"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XLV. </w:t>
            </w:r>
            <w:r w:rsidRPr="00E3602D">
              <w:rPr>
                <w:rFonts w:ascii="Verdana" w:hAnsi="Verdana"/>
                <w:b/>
                <w:sz w:val="16"/>
                <w:szCs w:val="16"/>
                <w:lang w:val="en-US"/>
              </w:rPr>
              <w:tab/>
            </w:r>
            <w:r w:rsidRPr="00E3602D">
              <w:rPr>
                <w:rFonts w:ascii="Verdana" w:hAnsi="Verdana"/>
                <w:sz w:val="16"/>
                <w:szCs w:val="16"/>
                <w:lang w:val="en-US"/>
              </w:rPr>
              <w:t>Reserves: Volume of hydrocarbons in the subsoil, calculated on a given date under atmospheric conditions, which are estimated to be technically and economically produced, under the applicable economic premises, with any of the extraction methods and systems applicable at the evaluation date;</w:t>
            </w:r>
          </w:p>
        </w:tc>
      </w:tr>
      <w:tr w:rsidR="003B20AD" w:rsidRPr="00475A0C" w14:paraId="0B86C150" w14:textId="69D13A8C" w:rsidTr="007B36AB">
        <w:tc>
          <w:tcPr>
            <w:tcW w:w="4675" w:type="dxa"/>
          </w:tcPr>
          <w:p w14:paraId="39F51DD8"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XLVI.</w:t>
            </w:r>
            <w:r w:rsidRPr="00475A0C">
              <w:rPr>
                <w:rFonts w:ascii="Verdana" w:hAnsi="Verdana"/>
                <w:b/>
                <w:sz w:val="16"/>
                <w:szCs w:val="16"/>
              </w:rPr>
              <w:tab/>
            </w:r>
            <w:r w:rsidRPr="00475A0C">
              <w:rPr>
                <w:rFonts w:ascii="Verdana" w:hAnsi="Verdana"/>
                <w:sz w:val="16"/>
                <w:szCs w:val="16"/>
              </w:rPr>
              <w:t>Sistema Integrado: Sistemas de Transporte por ducto o medios distintos a ductos, y de Almacenamiento interconectados, agrupados para efectos tarifarios y que cuentan con condiciones generales para la prestación de los servicios que permiten la coordinación operativa entre las diferentes instalaciones;</w:t>
            </w:r>
          </w:p>
        </w:tc>
        <w:tc>
          <w:tcPr>
            <w:tcW w:w="4675" w:type="dxa"/>
          </w:tcPr>
          <w:p w14:paraId="1AC00738" w14:textId="218623AC"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XLVI. </w:t>
            </w:r>
            <w:r w:rsidRPr="00E3602D">
              <w:rPr>
                <w:rFonts w:ascii="Verdana" w:hAnsi="Verdana"/>
                <w:b/>
                <w:sz w:val="16"/>
                <w:szCs w:val="16"/>
                <w:lang w:val="en-US"/>
              </w:rPr>
              <w:tab/>
            </w:r>
            <w:r w:rsidRPr="00E3602D">
              <w:rPr>
                <w:rFonts w:ascii="Verdana" w:hAnsi="Verdana"/>
                <w:sz w:val="16"/>
                <w:szCs w:val="16"/>
                <w:lang w:val="en-US"/>
              </w:rPr>
              <w:t>Integrated System: Transportation systems by pipeline or means other than pipelines, and interconnected storage, grouped for tariff purposes and that have general conditions for the provision of services that allow operational coordination between the different facilities;</w:t>
            </w:r>
          </w:p>
        </w:tc>
      </w:tr>
      <w:tr w:rsidR="003B20AD" w:rsidRPr="00475A0C" w14:paraId="244AA6E7" w14:textId="69118D18" w:rsidTr="007B36AB">
        <w:tc>
          <w:tcPr>
            <w:tcW w:w="4675" w:type="dxa"/>
          </w:tcPr>
          <w:p w14:paraId="4BB2C55F"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XLVII.</w:t>
            </w:r>
            <w:r w:rsidRPr="00475A0C">
              <w:rPr>
                <w:rFonts w:ascii="Verdana" w:hAnsi="Verdana"/>
                <w:b/>
                <w:sz w:val="16"/>
                <w:szCs w:val="16"/>
              </w:rPr>
              <w:tab/>
            </w:r>
            <w:r w:rsidRPr="00475A0C">
              <w:rPr>
                <w:rFonts w:ascii="Verdana" w:hAnsi="Verdana"/>
                <w:sz w:val="16"/>
                <w:szCs w:val="16"/>
              </w:rPr>
              <w:t xml:space="preserve">Testigo Social: Particular que cuenta con el registro correspondiente ante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15EC9FA" w14:textId="69F47C52"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XLVII. </w:t>
            </w:r>
            <w:r w:rsidRPr="00E3602D">
              <w:rPr>
                <w:rFonts w:ascii="Verdana" w:hAnsi="Verdana"/>
                <w:b/>
                <w:sz w:val="16"/>
                <w:szCs w:val="16"/>
                <w:lang w:val="en-US"/>
              </w:rPr>
              <w:tab/>
            </w:r>
            <w:r w:rsidRPr="00E3602D">
              <w:rPr>
                <w:rFonts w:ascii="Verdana" w:hAnsi="Verdana"/>
                <w:sz w:val="16"/>
                <w:szCs w:val="16"/>
                <w:lang w:val="en-US"/>
              </w:rPr>
              <w:t>Social Witness: Individual who has the corresponding registration with the Secretary of Energy;</w:t>
            </w:r>
          </w:p>
        </w:tc>
      </w:tr>
      <w:tr w:rsidR="003B20AD" w:rsidRPr="00475A0C" w14:paraId="7A7EE931" w14:textId="422ECFD2" w:rsidTr="007B36AB">
        <w:tc>
          <w:tcPr>
            <w:tcW w:w="4675" w:type="dxa"/>
          </w:tcPr>
          <w:p w14:paraId="5EF1BA24"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XLVIII.</w:t>
            </w:r>
            <w:r w:rsidRPr="00475A0C">
              <w:rPr>
                <w:rFonts w:ascii="Verdana" w:hAnsi="Verdana"/>
                <w:b/>
                <w:sz w:val="16"/>
                <w:szCs w:val="16"/>
              </w:rPr>
              <w:tab/>
            </w:r>
            <w:r w:rsidRPr="00475A0C">
              <w:rPr>
                <w:rFonts w:ascii="Verdana" w:hAnsi="Verdana"/>
                <w:sz w:val="16"/>
                <w:szCs w:val="16"/>
              </w:rPr>
              <w:t xml:space="preserve">Transporte: Actividad de recibir, entregar y, en su caso, conducir Hidrocarburos, Petrolíferos y Petroquímicos, de un lugar a otro por medio de ductos u otros medios, que no conlleva la compra venta o Comercialización de dichos productos por parte de quien la realiza. Se excluye de esta definición </w:t>
            </w:r>
            <w:smartTag w:uri="urn:schemas-microsoft-com:office:smarttags" w:element="PersonName">
              <w:smartTagPr>
                <w:attr w:name="ProductID" w:val="la Recolección"/>
              </w:smartTagPr>
              <w:r w:rsidRPr="00475A0C">
                <w:rPr>
                  <w:rFonts w:ascii="Verdana" w:hAnsi="Verdana"/>
                  <w:sz w:val="16"/>
                  <w:szCs w:val="16"/>
                </w:rPr>
                <w:t>la Recolección</w:t>
              </w:r>
            </w:smartTag>
            <w:r w:rsidRPr="00475A0C">
              <w:rPr>
                <w:rFonts w:ascii="Verdana" w:hAnsi="Verdana"/>
                <w:sz w:val="16"/>
                <w:szCs w:val="16"/>
              </w:rPr>
              <w:t xml:space="preserve"> y el desplazamiento de Hidrocarburos dentro del perímetro de un Área Contractual o de un Área de Asignación, así como </w:t>
            </w:r>
            <w:smartTag w:uri="urn:schemas-microsoft-com:office:smarttags" w:element="PersonName">
              <w:smartTagPr>
                <w:attr w:name="ProductID" w:val="la Distribución"/>
              </w:smartTagPr>
              <w:r w:rsidRPr="00475A0C">
                <w:rPr>
                  <w:rFonts w:ascii="Verdana" w:hAnsi="Verdana"/>
                  <w:sz w:val="16"/>
                  <w:szCs w:val="16"/>
                </w:rPr>
                <w:t>la Distribución</w:t>
              </w:r>
            </w:smartTag>
            <w:r w:rsidRPr="00475A0C">
              <w:rPr>
                <w:rFonts w:ascii="Verdana" w:hAnsi="Verdana"/>
                <w:sz w:val="16"/>
                <w:szCs w:val="16"/>
              </w:rPr>
              <w:t>;</w:t>
            </w:r>
          </w:p>
        </w:tc>
        <w:tc>
          <w:tcPr>
            <w:tcW w:w="4675" w:type="dxa"/>
          </w:tcPr>
          <w:p w14:paraId="18E77C4A" w14:textId="2B475323"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XLVIII. </w:t>
            </w:r>
            <w:r w:rsidRPr="00E3602D">
              <w:rPr>
                <w:rFonts w:ascii="Verdana" w:hAnsi="Verdana"/>
                <w:b/>
                <w:sz w:val="16"/>
                <w:szCs w:val="16"/>
                <w:lang w:val="en-US"/>
              </w:rPr>
              <w:tab/>
            </w:r>
            <w:r w:rsidRPr="00E3602D">
              <w:rPr>
                <w:rFonts w:ascii="Verdana" w:hAnsi="Verdana"/>
                <w:sz w:val="16"/>
                <w:szCs w:val="16"/>
                <w:lang w:val="en-US"/>
              </w:rPr>
              <w:t>Transportation: The activity of receiving, delivering and, where appropriate, transporting hydrocarbons, petroleum products and petrochemicals from one place to another by means of pipelines or other means, which does not involve the purchase, sale or marketing of said products by the person carrying it out. The collection and the movement of hydrocarbons within the perimeter of a Contractual Area or an Assignment Area are e</w:t>
            </w:r>
            <w:r w:rsidRPr="00E3602D">
              <w:rPr>
                <w:rFonts w:ascii="Verdana" w:hAnsi="Verdana"/>
                <w:sz w:val="16"/>
                <w:szCs w:val="16"/>
                <w:lang w:val="en-US"/>
              </w:rPr>
              <w:t>xcluded from this definition</w:t>
            </w:r>
            <w:r w:rsidRPr="00E3602D">
              <w:rPr>
                <w:rFonts w:ascii="Verdana" w:hAnsi="Verdana"/>
                <w:sz w:val="16"/>
                <w:szCs w:val="16"/>
                <w:lang w:val="en-US"/>
              </w:rPr>
              <w:t>, as well as the distribution;</w:t>
            </w:r>
          </w:p>
        </w:tc>
      </w:tr>
      <w:tr w:rsidR="003B20AD" w:rsidRPr="00475A0C" w14:paraId="2B17191D" w14:textId="73BAA551" w:rsidTr="007B36AB">
        <w:tc>
          <w:tcPr>
            <w:tcW w:w="4675" w:type="dxa"/>
          </w:tcPr>
          <w:p w14:paraId="71C4EF23"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XLIX.</w:t>
            </w:r>
            <w:r w:rsidRPr="00475A0C">
              <w:rPr>
                <w:rFonts w:ascii="Verdana" w:hAnsi="Verdana"/>
                <w:b/>
                <w:sz w:val="16"/>
                <w:szCs w:val="16"/>
              </w:rPr>
              <w:tab/>
            </w:r>
            <w:r w:rsidRPr="00475A0C">
              <w:rPr>
                <w:rFonts w:ascii="Verdana" w:hAnsi="Verdana"/>
                <w:sz w:val="16"/>
                <w:szCs w:val="16"/>
              </w:rPr>
              <w:t>Tratamiento: Acondicionamiento del Petróleo que comprende todos los procesos industriales realizados dentro o fuera de un Área Contractual o de un Área de Asignación y anteriores a la refinación;</w:t>
            </w:r>
          </w:p>
        </w:tc>
        <w:tc>
          <w:tcPr>
            <w:tcW w:w="4675" w:type="dxa"/>
          </w:tcPr>
          <w:p w14:paraId="5A65003F" w14:textId="39A495B9"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XLIX. </w:t>
            </w:r>
            <w:r w:rsidRPr="00E3602D">
              <w:rPr>
                <w:rFonts w:ascii="Verdana" w:hAnsi="Verdana"/>
                <w:b/>
                <w:sz w:val="16"/>
                <w:szCs w:val="16"/>
                <w:lang w:val="en-US"/>
              </w:rPr>
              <w:tab/>
            </w:r>
            <w:r w:rsidRPr="00E3602D">
              <w:rPr>
                <w:rFonts w:ascii="Verdana" w:hAnsi="Verdana"/>
                <w:sz w:val="16"/>
                <w:szCs w:val="16"/>
                <w:lang w:val="en-US"/>
              </w:rPr>
              <w:t>Treatment: Conditioning of Petroleum, which includes all industrial processes carried out within or outside a Contract Area or an Assignment Area and prior to refining;</w:t>
            </w:r>
          </w:p>
        </w:tc>
      </w:tr>
      <w:tr w:rsidR="003B20AD" w:rsidRPr="00475A0C" w14:paraId="02EBB2C4" w14:textId="0C289DA3" w:rsidTr="007B36AB">
        <w:tc>
          <w:tcPr>
            <w:tcW w:w="4675" w:type="dxa"/>
          </w:tcPr>
          <w:p w14:paraId="302B29B4"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L.</w:t>
            </w:r>
            <w:r w:rsidRPr="00475A0C">
              <w:rPr>
                <w:rFonts w:ascii="Verdana" w:hAnsi="Verdana"/>
                <w:b/>
                <w:sz w:val="16"/>
                <w:szCs w:val="16"/>
              </w:rPr>
              <w:tab/>
            </w:r>
            <w:r w:rsidRPr="00475A0C">
              <w:rPr>
                <w:rFonts w:ascii="Verdana" w:hAnsi="Verdana"/>
                <w:sz w:val="16"/>
                <w:szCs w:val="16"/>
              </w:rPr>
              <w:t>Usuaria: Persona Permisionaria que solicita o utiliza los servicios de otra persona Permisionaria;</w:t>
            </w:r>
          </w:p>
        </w:tc>
        <w:tc>
          <w:tcPr>
            <w:tcW w:w="4675" w:type="dxa"/>
          </w:tcPr>
          <w:p w14:paraId="0D3428B8" w14:textId="201B2629"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L. </w:t>
            </w:r>
            <w:r w:rsidRPr="00E3602D">
              <w:rPr>
                <w:rFonts w:ascii="Verdana" w:hAnsi="Verdana"/>
                <w:b/>
                <w:sz w:val="16"/>
                <w:szCs w:val="16"/>
                <w:lang w:val="en-US"/>
              </w:rPr>
              <w:tab/>
            </w:r>
            <w:r w:rsidRPr="00E3602D">
              <w:rPr>
                <w:rFonts w:ascii="Verdana" w:hAnsi="Verdana"/>
                <w:sz w:val="16"/>
                <w:szCs w:val="16"/>
                <w:lang w:val="en-US"/>
              </w:rPr>
              <w:t>User: Permit Holder who requests or uses the services of another Permit Holder;</w:t>
            </w:r>
          </w:p>
        </w:tc>
      </w:tr>
      <w:tr w:rsidR="003B20AD" w:rsidRPr="00475A0C" w14:paraId="50DC902E" w14:textId="56C7416C" w:rsidTr="007B36AB">
        <w:tc>
          <w:tcPr>
            <w:tcW w:w="4675" w:type="dxa"/>
          </w:tcPr>
          <w:p w14:paraId="2735AA8C"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lastRenderedPageBreak/>
              <w:t>LI.</w:t>
            </w:r>
            <w:r w:rsidRPr="00475A0C">
              <w:rPr>
                <w:rFonts w:ascii="Verdana" w:hAnsi="Verdana"/>
                <w:b/>
                <w:sz w:val="16"/>
                <w:szCs w:val="16"/>
              </w:rPr>
              <w:tab/>
            </w:r>
            <w:r w:rsidRPr="00475A0C">
              <w:rPr>
                <w:rFonts w:ascii="Verdana" w:hAnsi="Verdana"/>
                <w:sz w:val="16"/>
                <w:szCs w:val="16"/>
              </w:rPr>
              <w:t>Usuaria Final: Particular que adquiere para su consumo Gas Natural o Petrolíferos, o aquel Particular que adquiere petroquímicos para sus procesos industriales, y</w:t>
            </w:r>
          </w:p>
        </w:tc>
        <w:tc>
          <w:tcPr>
            <w:tcW w:w="4675" w:type="dxa"/>
          </w:tcPr>
          <w:p w14:paraId="35259F68" w14:textId="5F2C6D83"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LI. </w:t>
            </w:r>
            <w:r w:rsidRPr="00E3602D">
              <w:rPr>
                <w:rFonts w:ascii="Verdana" w:hAnsi="Verdana"/>
                <w:b/>
                <w:sz w:val="16"/>
                <w:szCs w:val="16"/>
                <w:lang w:val="en-US"/>
              </w:rPr>
              <w:tab/>
            </w:r>
            <w:r w:rsidRPr="00E3602D">
              <w:rPr>
                <w:rFonts w:ascii="Verdana" w:hAnsi="Verdana"/>
                <w:sz w:val="16"/>
                <w:szCs w:val="16"/>
                <w:lang w:val="en-US"/>
              </w:rPr>
              <w:t>End User: Individual who acquires natural gas or petroleum products for their consumption, or that Individual who acquires petrochemicals for their industrial processes, and</w:t>
            </w:r>
          </w:p>
        </w:tc>
      </w:tr>
      <w:tr w:rsidR="003B20AD" w:rsidRPr="00475A0C" w14:paraId="265A823A" w14:textId="69C96FEC" w:rsidTr="007B36AB">
        <w:tc>
          <w:tcPr>
            <w:tcW w:w="4675" w:type="dxa"/>
          </w:tcPr>
          <w:p w14:paraId="389424F4" w14:textId="77777777" w:rsidR="003B20AD" w:rsidRPr="00475A0C" w:rsidRDefault="003B20AD" w:rsidP="003B20AD">
            <w:pPr>
              <w:pStyle w:val="Texto"/>
              <w:spacing w:line="217" w:lineRule="exact"/>
              <w:ind w:firstLine="0"/>
              <w:rPr>
                <w:rFonts w:ascii="Verdana" w:hAnsi="Verdana"/>
                <w:sz w:val="16"/>
                <w:szCs w:val="16"/>
              </w:rPr>
            </w:pPr>
            <w:r w:rsidRPr="00475A0C">
              <w:rPr>
                <w:rFonts w:ascii="Verdana" w:hAnsi="Verdana"/>
                <w:b/>
                <w:sz w:val="16"/>
                <w:szCs w:val="16"/>
              </w:rPr>
              <w:t>LII.</w:t>
            </w:r>
            <w:r w:rsidRPr="00475A0C">
              <w:rPr>
                <w:rFonts w:ascii="Verdana" w:hAnsi="Verdana"/>
                <w:b/>
                <w:sz w:val="16"/>
                <w:szCs w:val="16"/>
              </w:rPr>
              <w:tab/>
            </w:r>
            <w:r w:rsidRPr="00475A0C">
              <w:rPr>
                <w:rFonts w:ascii="Verdana" w:hAnsi="Verdana"/>
                <w:sz w:val="16"/>
                <w:szCs w:val="16"/>
              </w:rPr>
              <w:t>Zona de Salvaguarda: Área de reserva en la que el Estado prohíbe las actividades de Exploración y Extracción de Hidrocarburos.</w:t>
            </w:r>
          </w:p>
        </w:tc>
        <w:tc>
          <w:tcPr>
            <w:tcW w:w="4675" w:type="dxa"/>
          </w:tcPr>
          <w:p w14:paraId="6FD7A95E" w14:textId="57B2D890" w:rsidR="003B20AD" w:rsidRPr="00E3602D" w:rsidRDefault="003B20AD" w:rsidP="003B20AD">
            <w:pPr>
              <w:pStyle w:val="Texto"/>
              <w:spacing w:line="217" w:lineRule="exact"/>
              <w:ind w:firstLine="0"/>
              <w:rPr>
                <w:rFonts w:ascii="Verdana" w:hAnsi="Verdana"/>
                <w:b/>
                <w:sz w:val="16"/>
                <w:szCs w:val="16"/>
                <w:lang w:val="en-US"/>
              </w:rPr>
            </w:pPr>
            <w:r w:rsidRPr="00E3602D">
              <w:rPr>
                <w:rFonts w:ascii="Verdana" w:hAnsi="Verdana"/>
                <w:b/>
                <w:sz w:val="16"/>
                <w:szCs w:val="16"/>
                <w:lang w:val="en-US"/>
              </w:rPr>
              <w:t xml:space="preserve">LII. </w:t>
            </w:r>
            <w:r w:rsidRPr="00E3602D">
              <w:rPr>
                <w:rFonts w:ascii="Verdana" w:hAnsi="Verdana"/>
                <w:b/>
                <w:sz w:val="16"/>
                <w:szCs w:val="16"/>
                <w:lang w:val="en-US"/>
              </w:rPr>
              <w:tab/>
            </w:r>
            <w:r w:rsidRPr="00E3602D">
              <w:rPr>
                <w:rFonts w:ascii="Verdana" w:hAnsi="Verdana"/>
                <w:sz w:val="16"/>
                <w:szCs w:val="16"/>
                <w:lang w:val="en-US"/>
              </w:rPr>
              <w:t>Safeguard Zone: Reserve area in which the State prohibits hydrocarbon exploration and extraction activities.</w:t>
            </w:r>
          </w:p>
        </w:tc>
      </w:tr>
      <w:tr w:rsidR="003B20AD" w:rsidRPr="00475A0C" w14:paraId="10C858FC" w14:textId="50566BAE" w:rsidTr="007B36AB">
        <w:tc>
          <w:tcPr>
            <w:tcW w:w="4675" w:type="dxa"/>
          </w:tcPr>
          <w:p w14:paraId="7942BFE3"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Artículo 6.-</w:t>
            </w:r>
            <w:r w:rsidRPr="00475A0C">
              <w:rPr>
                <w:rFonts w:ascii="Verdana" w:hAnsi="Verdana"/>
                <w:sz w:val="16"/>
                <w:szCs w:val="16"/>
              </w:rPr>
              <w:t xml:space="preserve"> Las actividades de Exploración y Extracción de Hidrocarburos, a que se refiere la fracción I del artículo 3 de esta Ley, se consideran estratégicas en los términos del párrafo cuarto del artículo 28 de </w:t>
            </w:r>
            <w:smartTag w:uri="urn:schemas-microsoft-com:office:smarttags" w:element="PersonName">
              <w:smartTagPr>
                <w:attr w:name="ProductID" w:val="la Constitución Política"/>
              </w:smartTagPr>
              <w:r w:rsidRPr="00475A0C">
                <w:rPr>
                  <w:rFonts w:ascii="Verdana" w:hAnsi="Verdana"/>
                  <w:sz w:val="16"/>
                  <w:szCs w:val="16"/>
                </w:rPr>
                <w:t>la Constitución Política</w:t>
              </w:r>
            </w:smartTag>
            <w:r w:rsidRPr="00475A0C">
              <w:rPr>
                <w:rFonts w:ascii="Verdana" w:hAnsi="Verdana"/>
                <w:sz w:val="16"/>
                <w:szCs w:val="16"/>
              </w:rPr>
              <w:t xml:space="preserve"> de los Estados Unidos Mexicanos. Sólo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las lleva a cabo, por conducto de personas Asignatarias y Contratistas, en términos de la presente Ley.</w:t>
            </w:r>
          </w:p>
        </w:tc>
        <w:tc>
          <w:tcPr>
            <w:tcW w:w="4675" w:type="dxa"/>
          </w:tcPr>
          <w:p w14:paraId="1E6DC443" w14:textId="1B87DD98"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Article 6.- </w:t>
            </w:r>
            <w:r w:rsidRPr="00E3602D">
              <w:rPr>
                <w:rFonts w:ascii="Verdana" w:hAnsi="Verdana"/>
                <w:sz w:val="16"/>
                <w:szCs w:val="16"/>
                <w:lang w:val="en-US"/>
              </w:rPr>
              <w:t xml:space="preserve">Hydrocarbon exploration and extraction activities, referred to in section I of Article 3 of this Law, are considered strategic under the terms of the fourth paragraph of Article 28 of the Political Constitution of the United Mexican States. Only the Nation carries them out through the action of Assignees and Contractors, under the terms of this Law. </w:t>
            </w:r>
          </w:p>
        </w:tc>
      </w:tr>
      <w:tr w:rsidR="003B20AD" w:rsidRPr="00475A0C" w14:paraId="3965FE70" w14:textId="2972CAD8" w:rsidTr="007B36AB">
        <w:tc>
          <w:tcPr>
            <w:tcW w:w="4675" w:type="dxa"/>
          </w:tcPr>
          <w:p w14:paraId="710A7637"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sz w:val="16"/>
                <w:szCs w:val="16"/>
              </w:rPr>
              <w:t>Las actividades de Reconocimiento y Exploración Superficial, así como las actividades referidas en las fracciones II a V del artículo 3 de esta Ley, pueden llevarse a cabo por Petróleos Mexicanos, cualquier otra empresa pública del Estado o entidad paraestatal, así como por cualquier persona, previa autorización o permiso, según corresponda, en los términos de la presente Ley y de las disposiciones reglamentarias, técnicas y de cualquier otra regulación que se expida.</w:t>
            </w:r>
          </w:p>
        </w:tc>
        <w:tc>
          <w:tcPr>
            <w:tcW w:w="4675" w:type="dxa"/>
          </w:tcPr>
          <w:p w14:paraId="33DC81E2" w14:textId="0A2876C6" w:rsidR="003B20AD" w:rsidRPr="00E3602D" w:rsidRDefault="003B20AD" w:rsidP="003B20AD">
            <w:pPr>
              <w:pStyle w:val="Texto"/>
              <w:spacing w:line="225" w:lineRule="exact"/>
              <w:ind w:firstLine="0"/>
              <w:rPr>
                <w:rFonts w:ascii="Verdana" w:hAnsi="Verdana"/>
                <w:sz w:val="16"/>
                <w:szCs w:val="16"/>
                <w:lang w:val="en-US"/>
              </w:rPr>
            </w:pPr>
            <w:r w:rsidRPr="00E3602D">
              <w:rPr>
                <w:rFonts w:ascii="Verdana" w:hAnsi="Verdana"/>
                <w:sz w:val="16"/>
                <w:szCs w:val="16"/>
                <w:lang w:val="en-US"/>
              </w:rPr>
              <w:t>The activities of surface reconnaissance and exploration, as well as the activities referred to in sections II to V of article 3 of this Law, may be carried out by Petróleos Mexicanos, any other public company of the State or parastatal entity, as well as by any person, with a prior authorization or permit, as appropriate, under the terms of this Law and the regulatory, technical provisions and any other regulation that is issued.</w:t>
            </w:r>
          </w:p>
        </w:tc>
      </w:tr>
      <w:tr w:rsidR="003B20AD" w:rsidRPr="00475A0C" w14:paraId="38B3E9ED" w14:textId="61F8D50A" w:rsidTr="007B36AB">
        <w:tc>
          <w:tcPr>
            <w:tcW w:w="4675" w:type="dxa"/>
          </w:tcPr>
          <w:p w14:paraId="18DEDC3E"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Capítulo II</w:t>
            </w:r>
          </w:p>
        </w:tc>
        <w:tc>
          <w:tcPr>
            <w:tcW w:w="4675" w:type="dxa"/>
          </w:tcPr>
          <w:p w14:paraId="2211CFE7" w14:textId="29C6E998"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Chapter II</w:t>
            </w:r>
          </w:p>
        </w:tc>
      </w:tr>
      <w:tr w:rsidR="003B20AD" w:rsidRPr="00475A0C" w14:paraId="5692DCFB" w14:textId="673101F4" w:rsidTr="007B36AB">
        <w:tc>
          <w:tcPr>
            <w:tcW w:w="4675" w:type="dxa"/>
          </w:tcPr>
          <w:p w14:paraId="6921F3CD"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PLANEACIÓN"/>
              </w:smartTagPr>
              <w:r w:rsidRPr="00475A0C">
                <w:rPr>
                  <w:rFonts w:ascii="Verdana" w:hAnsi="Verdana"/>
                  <w:b/>
                  <w:sz w:val="16"/>
                  <w:szCs w:val="16"/>
                </w:rPr>
                <w:t>la Planeación</w:t>
              </w:r>
            </w:smartTag>
            <w:r w:rsidRPr="00475A0C">
              <w:rPr>
                <w:rFonts w:ascii="Verdana" w:hAnsi="Verdana"/>
                <w:b/>
                <w:sz w:val="16"/>
                <w:szCs w:val="16"/>
              </w:rPr>
              <w:t xml:space="preserve"> y Control del Sector</w:t>
            </w:r>
          </w:p>
        </w:tc>
        <w:tc>
          <w:tcPr>
            <w:tcW w:w="4675" w:type="dxa"/>
          </w:tcPr>
          <w:p w14:paraId="5E24D604" w14:textId="64BFA926"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The Planning and Control of the Sector</w:t>
            </w:r>
          </w:p>
        </w:tc>
      </w:tr>
      <w:tr w:rsidR="003B20AD" w:rsidRPr="00475A0C" w14:paraId="07BB8155" w14:textId="16F30058" w:rsidTr="007B36AB">
        <w:tc>
          <w:tcPr>
            <w:tcW w:w="4675" w:type="dxa"/>
          </w:tcPr>
          <w:p w14:paraId="5B347D65"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Artículo 7.-</w:t>
            </w:r>
            <w:r w:rsidRPr="00475A0C">
              <w:rPr>
                <w:rFonts w:ascii="Verdana" w:hAnsi="Verdana"/>
                <w:sz w:val="16"/>
                <w:szCs w:val="16"/>
              </w:rPr>
              <w:t xml:space="preserve"> La regulación de las actividades referidas en el artículo 3 de esta Ley debe sujetarse y contribuir a los objetivos y acciones determinados en el Plan Nacional de Desarrollo, los programas que de él deriven y a la política pública que determine la persona Titular del Ejecutivo Federal, a través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0360DCB4" w14:textId="7AEF448E"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Article 7.- </w:t>
            </w:r>
            <w:r w:rsidRPr="00E3602D">
              <w:rPr>
                <w:rFonts w:ascii="Verdana" w:hAnsi="Verdana"/>
                <w:sz w:val="16"/>
                <w:szCs w:val="16"/>
                <w:lang w:val="en-US"/>
              </w:rPr>
              <w:t>The regulation of the activities referred to in Article 3 of this Law must be subject to and contribute to the objectives and actions determined in the National Development Plan, the programs derived from it, and the public policy determined by the Head of the Federal Executive, through the Secretary of Energy.</w:t>
            </w:r>
          </w:p>
        </w:tc>
      </w:tr>
      <w:tr w:rsidR="003B20AD" w:rsidRPr="00475A0C" w14:paraId="7A702216" w14:textId="3EE48A94" w:rsidTr="007B36AB">
        <w:tc>
          <w:tcPr>
            <w:tcW w:w="4675" w:type="dxa"/>
          </w:tcPr>
          <w:p w14:paraId="3F5D5419"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Artículo 8.-</w:t>
            </w:r>
            <w:r w:rsidRPr="00475A0C">
              <w:rPr>
                <w:rFonts w:ascii="Verdana" w:hAnsi="Verdana"/>
                <w:sz w:val="16"/>
                <w:szCs w:val="16"/>
              </w:rPr>
              <w:t xml:space="preserve"> La planeación del sector hidrocarburos tiene carácter vinculante y está a cargo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autoridad que debe emitir el Plan de Desarrollo del Sector Hidrocarburos, en términos de esta Ley y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Planeación y Transición Energética.</w:t>
            </w:r>
          </w:p>
        </w:tc>
        <w:tc>
          <w:tcPr>
            <w:tcW w:w="4675" w:type="dxa"/>
          </w:tcPr>
          <w:p w14:paraId="60A5258F" w14:textId="35A0269A"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Article 8.- </w:t>
            </w:r>
            <w:r w:rsidRPr="00E3602D">
              <w:rPr>
                <w:rFonts w:ascii="Verdana" w:hAnsi="Verdana"/>
                <w:sz w:val="16"/>
                <w:szCs w:val="16"/>
                <w:lang w:val="en-US"/>
              </w:rPr>
              <w:t>The hydrocarbon sector planning is binding and is the responsibility of the Secretary of Energy, which must issue the Hydrocarbon Sector Development Plan, in accordance with this Law and the Law of Energy Planning and Transition.</w:t>
            </w:r>
          </w:p>
        </w:tc>
      </w:tr>
      <w:tr w:rsidR="003B20AD" w:rsidRPr="00475A0C" w14:paraId="264408B4" w14:textId="1E9038AE" w:rsidTr="007B36AB">
        <w:tc>
          <w:tcPr>
            <w:tcW w:w="4675" w:type="dxa"/>
          </w:tcPr>
          <w:p w14:paraId="3AD8B27C"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sz w:val="16"/>
                <w:szCs w:val="16"/>
              </w:rPr>
              <w:t>La planeación vinculante en el sector hidrocarburos debe considerar lo siguiente:</w:t>
            </w:r>
          </w:p>
        </w:tc>
        <w:tc>
          <w:tcPr>
            <w:tcW w:w="4675" w:type="dxa"/>
          </w:tcPr>
          <w:p w14:paraId="1DDB3578" w14:textId="21FADEC3" w:rsidR="003B20AD" w:rsidRPr="00E3602D" w:rsidRDefault="003B20AD" w:rsidP="003B20AD">
            <w:pPr>
              <w:pStyle w:val="Texto"/>
              <w:spacing w:line="225" w:lineRule="exact"/>
              <w:ind w:firstLine="0"/>
              <w:rPr>
                <w:rFonts w:ascii="Verdana" w:hAnsi="Verdana"/>
                <w:sz w:val="16"/>
                <w:szCs w:val="16"/>
                <w:lang w:val="en-US"/>
              </w:rPr>
            </w:pPr>
            <w:r w:rsidRPr="00E3602D">
              <w:rPr>
                <w:rFonts w:ascii="Verdana" w:hAnsi="Verdana"/>
                <w:sz w:val="16"/>
                <w:szCs w:val="16"/>
                <w:lang w:val="en-US"/>
              </w:rPr>
              <w:t>Binding planning in the hydrocarbon sector must consider the following:</w:t>
            </w:r>
          </w:p>
        </w:tc>
      </w:tr>
      <w:tr w:rsidR="003B20AD" w:rsidRPr="00475A0C" w14:paraId="1C9F55B9" w14:textId="111D92C2" w:rsidTr="007B36AB">
        <w:tc>
          <w:tcPr>
            <w:tcW w:w="4675" w:type="dxa"/>
          </w:tcPr>
          <w:p w14:paraId="1B0EAA13"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Promover la justicia energética, la transición y la eficiencia energéticas, la sustentabilidad y el desarrollo de energías limpias y renovables;</w:t>
            </w:r>
          </w:p>
        </w:tc>
        <w:tc>
          <w:tcPr>
            <w:tcW w:w="4675" w:type="dxa"/>
          </w:tcPr>
          <w:p w14:paraId="3693CC6E" w14:textId="30409CA8"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Promote energy justice, energy transition and efficiency, sustainability and the development of clean and renewable energy;</w:t>
            </w:r>
          </w:p>
        </w:tc>
      </w:tr>
      <w:tr w:rsidR="003B20AD" w:rsidRPr="00475A0C" w14:paraId="021A3D53" w14:textId="1CA031D7" w:rsidTr="007B36AB">
        <w:tc>
          <w:tcPr>
            <w:tcW w:w="4675" w:type="dxa"/>
          </w:tcPr>
          <w:p w14:paraId="27A8643D"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Preservar la soberanía y seguridad energética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proveer al pueblo combustibles de la mejor calidad y al menor precio posible, y</w:t>
            </w:r>
          </w:p>
        </w:tc>
        <w:tc>
          <w:tcPr>
            <w:tcW w:w="4675" w:type="dxa"/>
          </w:tcPr>
          <w:p w14:paraId="48A4B6A2" w14:textId="56B0BA75"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Preserve the energy sovereignty and security of the Nation and provide the people with fuels of the best quality and at the lowest possible price, and</w:t>
            </w:r>
          </w:p>
        </w:tc>
      </w:tr>
      <w:tr w:rsidR="003B20AD" w:rsidRPr="00475A0C" w14:paraId="351EC50E" w14:textId="3AA81950" w:rsidTr="007B36AB">
        <w:tc>
          <w:tcPr>
            <w:tcW w:w="4675" w:type="dxa"/>
          </w:tcPr>
          <w:p w14:paraId="43AF3F5E"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Incentivar la ampliación y modernización de la infraestructura del sector, considerando entre otros aspectos, la seguridad, eficiencia y sustentabilidad operativa del sector.</w:t>
            </w:r>
          </w:p>
        </w:tc>
        <w:tc>
          <w:tcPr>
            <w:tcW w:w="4675" w:type="dxa"/>
          </w:tcPr>
          <w:p w14:paraId="5DDFF39E" w14:textId="15F15063"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Encourage the expansion and modernization of the sector's infrastructure, considering, among other aspects, the safety, efficiency, and operational sustainability of the sector.</w:t>
            </w:r>
          </w:p>
        </w:tc>
      </w:tr>
      <w:tr w:rsidR="003B20AD" w:rsidRPr="00475A0C" w14:paraId="0CD98728" w14:textId="32F293FF" w:rsidTr="007B36AB">
        <w:tc>
          <w:tcPr>
            <w:tcW w:w="4675" w:type="dxa"/>
          </w:tcPr>
          <w:p w14:paraId="787A74A3"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sz w:val="16"/>
                <w:szCs w:val="16"/>
              </w:rPr>
              <w:t xml:space="preserve">La Secretaría de Energía puede determinar los proyectos de infraestructura estratégicos necesarios </w:t>
            </w:r>
            <w:r w:rsidRPr="00475A0C">
              <w:rPr>
                <w:rFonts w:ascii="Verdana" w:hAnsi="Verdana"/>
                <w:sz w:val="16"/>
                <w:szCs w:val="16"/>
              </w:rPr>
              <w:lastRenderedPageBreak/>
              <w:t>para cumplir con la política energética nacional, e impulsar su ejecución.</w:t>
            </w:r>
          </w:p>
        </w:tc>
        <w:tc>
          <w:tcPr>
            <w:tcW w:w="4675" w:type="dxa"/>
          </w:tcPr>
          <w:p w14:paraId="1F247E4C" w14:textId="27CAF6D8" w:rsidR="003B20AD" w:rsidRPr="00E3602D" w:rsidRDefault="003B20AD" w:rsidP="003B20AD">
            <w:pPr>
              <w:pStyle w:val="Texto"/>
              <w:spacing w:line="225" w:lineRule="exact"/>
              <w:ind w:firstLine="0"/>
              <w:rPr>
                <w:rFonts w:ascii="Verdana" w:hAnsi="Verdana"/>
                <w:sz w:val="16"/>
                <w:szCs w:val="16"/>
                <w:lang w:val="en-US"/>
              </w:rPr>
            </w:pPr>
            <w:r w:rsidRPr="00E3602D">
              <w:rPr>
                <w:rFonts w:ascii="Verdana" w:hAnsi="Verdana"/>
                <w:sz w:val="16"/>
                <w:szCs w:val="16"/>
                <w:lang w:val="en-US"/>
              </w:rPr>
              <w:lastRenderedPageBreak/>
              <w:t xml:space="preserve">The Secretary of Energy can determine the strategic infrastructure projects necessary to comply with </w:t>
            </w:r>
            <w:r w:rsidRPr="00E3602D">
              <w:rPr>
                <w:rFonts w:ascii="Verdana" w:hAnsi="Verdana"/>
                <w:sz w:val="16"/>
                <w:szCs w:val="16"/>
                <w:lang w:val="en-US"/>
              </w:rPr>
              <w:lastRenderedPageBreak/>
              <w:t>national energy policy and promote their implementation.</w:t>
            </w:r>
          </w:p>
        </w:tc>
      </w:tr>
      <w:tr w:rsidR="003B20AD" w:rsidRPr="00475A0C" w14:paraId="1F2FCD9C" w14:textId="4CE9636F" w:rsidTr="007B36AB">
        <w:tc>
          <w:tcPr>
            <w:tcW w:w="4675" w:type="dxa"/>
          </w:tcPr>
          <w:p w14:paraId="1022B96A"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lastRenderedPageBreak/>
              <w:t>Artículo 9.-</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deben ejercer sus facultades de emisión de regulación y de otorgamiento de autorizaciones, aprobaciones y permisos, bajo los criterios de planeación vinculante del sector hidrocarburos, de forma que se garantice que dichas actividades contribuyan al cumplimiento de la política pública.</w:t>
            </w:r>
          </w:p>
        </w:tc>
        <w:tc>
          <w:tcPr>
            <w:tcW w:w="4675" w:type="dxa"/>
          </w:tcPr>
          <w:p w14:paraId="30987DF4" w14:textId="7AC5B33E"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Article 9.-</w:t>
            </w:r>
            <w:r w:rsidRPr="00E3602D">
              <w:rPr>
                <w:rFonts w:ascii="Verdana" w:hAnsi="Verdana"/>
                <w:sz w:val="16"/>
                <w:szCs w:val="16"/>
                <w:lang w:val="en-US"/>
              </w:rPr>
              <w:t xml:space="preserve"> The Secretary of Energy and the National Commission of Energy must exercise their powers to issue regulations and grant authorizations, approvals, and permits, under the criteria of binding planning for the hydrocarbon sector, in such a way as to ensure that these activities contribute to compliance with public policy.</w:t>
            </w:r>
          </w:p>
        </w:tc>
      </w:tr>
      <w:tr w:rsidR="003B20AD" w:rsidRPr="00475A0C" w14:paraId="0CDB72E9" w14:textId="21AB689F" w:rsidTr="007B36AB">
        <w:tc>
          <w:tcPr>
            <w:tcW w:w="4675" w:type="dxa"/>
          </w:tcPr>
          <w:p w14:paraId="07EF92B2"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sz w:val="16"/>
                <w:szCs w:val="16"/>
              </w:rPr>
              <w:t>Los planes de inversiones de las Empresas Públicas del Estado deben elaborarse considerando los criterios vinculantes de planeación como elementos rectores de los mismos.</w:t>
            </w:r>
          </w:p>
        </w:tc>
        <w:tc>
          <w:tcPr>
            <w:tcW w:w="4675" w:type="dxa"/>
          </w:tcPr>
          <w:p w14:paraId="47D95F1F" w14:textId="4E17BD82" w:rsidR="003B20AD" w:rsidRPr="00E3602D" w:rsidRDefault="003B20AD" w:rsidP="003B20AD">
            <w:pPr>
              <w:pStyle w:val="Texto"/>
              <w:spacing w:line="225" w:lineRule="exact"/>
              <w:ind w:firstLine="0"/>
              <w:rPr>
                <w:rFonts w:ascii="Verdana" w:hAnsi="Verdana"/>
                <w:sz w:val="16"/>
                <w:szCs w:val="16"/>
                <w:lang w:val="en-US"/>
              </w:rPr>
            </w:pPr>
            <w:r w:rsidRPr="00E3602D">
              <w:rPr>
                <w:rFonts w:ascii="Verdana" w:hAnsi="Verdana"/>
                <w:sz w:val="16"/>
                <w:szCs w:val="16"/>
                <w:lang w:val="en-US"/>
              </w:rPr>
              <w:t>The investment plans of State public enterprises must be drawn up considering binding planning criteria as their guiding elements.</w:t>
            </w:r>
          </w:p>
        </w:tc>
      </w:tr>
      <w:tr w:rsidR="003B20AD" w:rsidRPr="00475A0C" w14:paraId="3681DC59" w14:textId="69CCDADA" w:rsidTr="007B36AB">
        <w:tc>
          <w:tcPr>
            <w:tcW w:w="4675" w:type="dxa"/>
          </w:tcPr>
          <w:p w14:paraId="59D4099E"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TÍTULO SEGUNDO</w:t>
            </w:r>
          </w:p>
        </w:tc>
        <w:tc>
          <w:tcPr>
            <w:tcW w:w="4675" w:type="dxa"/>
          </w:tcPr>
          <w:p w14:paraId="72F4C498" w14:textId="4247B779"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SECOND TITLE</w:t>
            </w:r>
          </w:p>
        </w:tc>
      </w:tr>
      <w:tr w:rsidR="003B20AD" w:rsidRPr="00475A0C" w14:paraId="252CE043" w14:textId="61566B58" w:rsidTr="007B36AB">
        <w:tc>
          <w:tcPr>
            <w:tcW w:w="4675" w:type="dxa"/>
          </w:tcPr>
          <w:p w14:paraId="2EEF1607"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Exploración"/>
              </w:smartTagPr>
              <w:r w:rsidRPr="00475A0C">
                <w:rPr>
                  <w:rFonts w:ascii="Verdana" w:hAnsi="Verdana"/>
                  <w:b/>
                  <w:sz w:val="16"/>
                  <w:szCs w:val="16"/>
                </w:rPr>
                <w:t>la Exploración</w:t>
              </w:r>
            </w:smartTag>
            <w:r w:rsidRPr="00475A0C">
              <w:rPr>
                <w:rFonts w:ascii="Verdana" w:hAnsi="Verdana"/>
                <w:b/>
                <w:sz w:val="16"/>
                <w:szCs w:val="16"/>
              </w:rPr>
              <w:t xml:space="preserve"> y Extracción de Hidrocarburos y del Reconocimiento y Exploración Superficial</w:t>
            </w:r>
          </w:p>
        </w:tc>
        <w:tc>
          <w:tcPr>
            <w:tcW w:w="4675" w:type="dxa"/>
          </w:tcPr>
          <w:p w14:paraId="4B610BE0" w14:textId="49CA9B90"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The Exploration and Extraction of Hydrocarbons and the Surface Reconnaissance and Exploration</w:t>
            </w:r>
          </w:p>
        </w:tc>
      </w:tr>
      <w:tr w:rsidR="003B20AD" w:rsidRPr="00475A0C" w14:paraId="48AD77D5" w14:textId="23131E8A" w:rsidTr="007B36AB">
        <w:tc>
          <w:tcPr>
            <w:tcW w:w="4675" w:type="dxa"/>
          </w:tcPr>
          <w:p w14:paraId="45A43C63"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Capítulo I</w:t>
            </w:r>
          </w:p>
        </w:tc>
        <w:tc>
          <w:tcPr>
            <w:tcW w:w="4675" w:type="dxa"/>
          </w:tcPr>
          <w:p w14:paraId="2F876163" w14:textId="115AE157"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Chapter I</w:t>
            </w:r>
          </w:p>
        </w:tc>
      </w:tr>
      <w:tr w:rsidR="003B20AD" w:rsidRPr="00475A0C" w14:paraId="0A8FEB6A" w14:textId="37E34779" w:rsidTr="007B36AB">
        <w:tc>
          <w:tcPr>
            <w:tcW w:w="4675" w:type="dxa"/>
          </w:tcPr>
          <w:p w14:paraId="41DB065D" w14:textId="77777777" w:rsidR="003B20AD" w:rsidRPr="00475A0C" w:rsidRDefault="003B20AD" w:rsidP="003B20AD">
            <w:pPr>
              <w:pStyle w:val="Texto"/>
              <w:spacing w:line="225" w:lineRule="exact"/>
              <w:ind w:firstLine="0"/>
              <w:jc w:val="center"/>
              <w:rPr>
                <w:rFonts w:ascii="Verdana" w:hAnsi="Verdana"/>
                <w:b/>
                <w:sz w:val="16"/>
                <w:szCs w:val="16"/>
              </w:rPr>
            </w:pPr>
            <w:r w:rsidRPr="00475A0C">
              <w:rPr>
                <w:rFonts w:ascii="Verdana" w:hAnsi="Verdana"/>
                <w:b/>
                <w:sz w:val="16"/>
                <w:szCs w:val="16"/>
              </w:rPr>
              <w:t>Disposiciones Generales</w:t>
            </w:r>
          </w:p>
        </w:tc>
        <w:tc>
          <w:tcPr>
            <w:tcW w:w="4675" w:type="dxa"/>
          </w:tcPr>
          <w:p w14:paraId="2539CFDD" w14:textId="668381B9" w:rsidR="003B20AD" w:rsidRPr="00E3602D" w:rsidRDefault="003B20AD" w:rsidP="003B20AD">
            <w:pPr>
              <w:pStyle w:val="Texto"/>
              <w:spacing w:line="225" w:lineRule="exact"/>
              <w:ind w:firstLine="0"/>
              <w:jc w:val="center"/>
              <w:rPr>
                <w:rFonts w:ascii="Verdana" w:hAnsi="Verdana"/>
                <w:b/>
                <w:sz w:val="16"/>
                <w:szCs w:val="16"/>
                <w:lang w:val="en-US"/>
              </w:rPr>
            </w:pPr>
            <w:r w:rsidRPr="00E3602D">
              <w:rPr>
                <w:rFonts w:ascii="Verdana" w:hAnsi="Verdana"/>
                <w:b/>
                <w:sz w:val="16"/>
                <w:szCs w:val="16"/>
                <w:lang w:val="en-US"/>
              </w:rPr>
              <w:t>General Provisions</w:t>
            </w:r>
          </w:p>
        </w:tc>
      </w:tr>
      <w:tr w:rsidR="003B20AD" w:rsidRPr="00475A0C" w14:paraId="1439AD53" w14:textId="2CD3661F" w:rsidTr="007B36AB">
        <w:tc>
          <w:tcPr>
            <w:tcW w:w="4675" w:type="dxa"/>
          </w:tcPr>
          <w:p w14:paraId="4E46FBE0"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Artículo 10.-</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es la encargada de otorgar las Asignaciones a Petróleos Mexicanos, bajo las siguientes modalidades:</w:t>
            </w:r>
          </w:p>
        </w:tc>
        <w:tc>
          <w:tcPr>
            <w:tcW w:w="4675" w:type="dxa"/>
          </w:tcPr>
          <w:p w14:paraId="45017AE5" w14:textId="0017F9F5"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Article 10.-</w:t>
            </w:r>
            <w:r w:rsidRPr="00E3602D">
              <w:rPr>
                <w:rFonts w:ascii="Verdana" w:hAnsi="Verdana"/>
                <w:sz w:val="16"/>
                <w:szCs w:val="16"/>
                <w:lang w:val="en-US"/>
              </w:rPr>
              <w:t xml:space="preserve"> The Secretary of Energy is responsible for granting assignments to Petróleos Mexicanos, under the following modalities:</w:t>
            </w:r>
          </w:p>
        </w:tc>
      </w:tr>
      <w:tr w:rsidR="003B20AD" w:rsidRPr="00475A0C" w14:paraId="3815B72D" w14:textId="486F2BD6" w:rsidTr="007B36AB">
        <w:tc>
          <w:tcPr>
            <w:tcW w:w="4675" w:type="dxa"/>
          </w:tcPr>
          <w:p w14:paraId="03BB00AE"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Asignaciones para Desarrollo Propio, y</w:t>
            </w:r>
          </w:p>
        </w:tc>
        <w:tc>
          <w:tcPr>
            <w:tcW w:w="4675" w:type="dxa"/>
          </w:tcPr>
          <w:p w14:paraId="6BF18842" w14:textId="5B79A5C2"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Assignments for Self-Development, and</w:t>
            </w:r>
          </w:p>
        </w:tc>
      </w:tr>
      <w:tr w:rsidR="003B20AD" w:rsidRPr="00475A0C" w14:paraId="74FDDDB1" w14:textId="74BD8218" w:rsidTr="007B36AB">
        <w:tc>
          <w:tcPr>
            <w:tcW w:w="4675" w:type="dxa"/>
          </w:tcPr>
          <w:p w14:paraId="34211A61"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Asignaciones para Desarrollo Mixto.</w:t>
            </w:r>
          </w:p>
        </w:tc>
        <w:tc>
          <w:tcPr>
            <w:tcW w:w="4675" w:type="dxa"/>
          </w:tcPr>
          <w:p w14:paraId="2534BACC" w14:textId="6E368387"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Assignments for Mixed Development.</w:t>
            </w:r>
          </w:p>
        </w:tc>
      </w:tr>
      <w:tr w:rsidR="003B20AD" w:rsidRPr="00475A0C" w14:paraId="7EFE2F13" w14:textId="05CB42D0" w:rsidTr="007B36AB">
        <w:tc>
          <w:tcPr>
            <w:tcW w:w="4675" w:type="dxa"/>
          </w:tcPr>
          <w:p w14:paraId="4A2EC311"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Artículo 11.-</w:t>
            </w:r>
            <w:r w:rsidRPr="00475A0C">
              <w:rPr>
                <w:rFonts w:ascii="Verdana" w:hAnsi="Verdana"/>
                <w:sz w:val="16"/>
                <w:szCs w:val="16"/>
              </w:rPr>
              <w:t xml:space="preserve"> El otorgamiento de Asignaciones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se debe sujetar al orden de prelación siguiente:</w:t>
            </w:r>
          </w:p>
        </w:tc>
        <w:tc>
          <w:tcPr>
            <w:tcW w:w="4675" w:type="dxa"/>
          </w:tcPr>
          <w:p w14:paraId="61CEE0C1" w14:textId="65377ACB"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Article 11.- </w:t>
            </w:r>
            <w:r w:rsidRPr="00E3602D">
              <w:rPr>
                <w:rFonts w:ascii="Verdana" w:hAnsi="Verdana"/>
                <w:sz w:val="16"/>
                <w:szCs w:val="16"/>
                <w:lang w:val="en-US"/>
              </w:rPr>
              <w:t>The granting of Assignments for the exploration and extraction of Hydrocarbons, by the Secretary of Energy, must be subject to the following order of priority:</w:t>
            </w:r>
          </w:p>
        </w:tc>
      </w:tr>
      <w:tr w:rsidR="003B20AD" w:rsidRPr="00475A0C" w14:paraId="3951795A" w14:textId="07B98DAF" w:rsidTr="007B36AB">
        <w:tc>
          <w:tcPr>
            <w:tcW w:w="4675" w:type="dxa"/>
          </w:tcPr>
          <w:p w14:paraId="7860EC2D"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Asignación para Desarrollo Propio, y</w:t>
            </w:r>
          </w:p>
        </w:tc>
        <w:tc>
          <w:tcPr>
            <w:tcW w:w="4675" w:type="dxa"/>
          </w:tcPr>
          <w:p w14:paraId="747D2CDE" w14:textId="6E67D291"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Assignment for Self-Development, and</w:t>
            </w:r>
          </w:p>
        </w:tc>
      </w:tr>
      <w:tr w:rsidR="003B20AD" w:rsidRPr="00475A0C" w14:paraId="4A172033" w14:textId="0733842E" w:rsidTr="007B36AB">
        <w:tc>
          <w:tcPr>
            <w:tcW w:w="4675" w:type="dxa"/>
          </w:tcPr>
          <w:p w14:paraId="05A9470B"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Asignación para Desarrollo Mixto.</w:t>
            </w:r>
          </w:p>
        </w:tc>
        <w:tc>
          <w:tcPr>
            <w:tcW w:w="4675" w:type="dxa"/>
          </w:tcPr>
          <w:p w14:paraId="5E629E48" w14:textId="1E69A65B" w:rsidR="003B20AD" w:rsidRPr="00E3602D" w:rsidRDefault="003B20AD" w:rsidP="003B20AD">
            <w:pPr>
              <w:pStyle w:val="Texto"/>
              <w:spacing w:line="225"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Assignment for Mixed Development.</w:t>
            </w:r>
          </w:p>
        </w:tc>
      </w:tr>
      <w:tr w:rsidR="003B20AD" w:rsidRPr="00475A0C" w14:paraId="1D86F11D" w14:textId="53ABB192" w:rsidTr="007B36AB">
        <w:tc>
          <w:tcPr>
            <w:tcW w:w="4675" w:type="dxa"/>
          </w:tcPr>
          <w:p w14:paraId="743B2EFF" w14:textId="77777777" w:rsidR="003B20AD" w:rsidRPr="00475A0C" w:rsidRDefault="003B20AD" w:rsidP="003B20AD">
            <w:pPr>
              <w:pStyle w:val="Texto"/>
              <w:spacing w:line="225" w:lineRule="exact"/>
              <w:ind w:firstLine="0"/>
              <w:rPr>
                <w:rFonts w:ascii="Verdana" w:hAnsi="Verdana"/>
                <w:sz w:val="16"/>
                <w:szCs w:val="16"/>
              </w:rPr>
            </w:pPr>
            <w:r w:rsidRPr="00475A0C">
              <w:rPr>
                <w:rFonts w:ascii="Verdana" w:hAnsi="Verdana"/>
                <w:sz w:val="16"/>
                <w:szCs w:val="16"/>
              </w:rPr>
              <w:t xml:space="preserve">Cuando Petróleos Mexicanos de manera expresa y con autorización de su Consejo de Administración comunique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no tener interés o capacidad para su desarrollo a través de las fracciones I y II mencionadas, de manera excepcional, se pueden otorgar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en los términos de esta Ley.</w:t>
            </w:r>
          </w:p>
        </w:tc>
        <w:tc>
          <w:tcPr>
            <w:tcW w:w="4675" w:type="dxa"/>
          </w:tcPr>
          <w:p w14:paraId="7CC8088D" w14:textId="47990124" w:rsidR="003B20AD" w:rsidRPr="00E3602D" w:rsidRDefault="003B20AD" w:rsidP="003B20AD">
            <w:pPr>
              <w:pStyle w:val="Texto"/>
              <w:spacing w:line="225" w:lineRule="exact"/>
              <w:ind w:firstLine="0"/>
              <w:rPr>
                <w:rFonts w:ascii="Verdana" w:hAnsi="Verdana"/>
                <w:sz w:val="16"/>
                <w:szCs w:val="16"/>
                <w:lang w:val="en-US"/>
              </w:rPr>
            </w:pPr>
            <w:r w:rsidRPr="00E3602D">
              <w:rPr>
                <w:rFonts w:ascii="Verdana" w:hAnsi="Verdana"/>
                <w:sz w:val="16"/>
                <w:szCs w:val="16"/>
                <w:lang w:val="en-US"/>
              </w:rPr>
              <w:t>When Petróleos Mexicanos expressly and with the authorization of its Board of Directors informs the Secretary of Energy that it has no interest or capacity for its development through the aforementioned sections I and II, exceptionally, Contracts for exploration and extraction of hydrocarbons may be granted under the terms of this Law.</w:t>
            </w:r>
          </w:p>
        </w:tc>
      </w:tr>
      <w:tr w:rsidR="003B20AD" w:rsidRPr="00475A0C" w14:paraId="16B5D074" w14:textId="3461DCB1" w:rsidTr="007B36AB">
        <w:tc>
          <w:tcPr>
            <w:tcW w:w="4675" w:type="dxa"/>
          </w:tcPr>
          <w:p w14:paraId="5CDC9E68"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12.-</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 oficio o a petición de Petróleos Mexicanos, debe determinar el Área en posesión del Estado a otorgar en una Asignación, así como los términos y condiciones técnicas y operativas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y sus modificaciones.</w:t>
            </w:r>
          </w:p>
        </w:tc>
        <w:tc>
          <w:tcPr>
            <w:tcW w:w="4675" w:type="dxa"/>
          </w:tcPr>
          <w:p w14:paraId="295C409A" w14:textId="7747007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Article 12.-</w:t>
            </w:r>
            <w:r w:rsidRPr="00E3602D">
              <w:rPr>
                <w:rFonts w:ascii="Verdana" w:hAnsi="Verdana"/>
                <w:sz w:val="16"/>
                <w:szCs w:val="16"/>
                <w:lang w:val="en-US"/>
              </w:rPr>
              <w:t xml:space="preserve"> The Secretary of Energy, </w:t>
            </w:r>
            <w:r w:rsidRPr="00E3602D">
              <w:rPr>
                <w:rFonts w:ascii="Verdana" w:hAnsi="Verdana"/>
                <w:i/>
                <w:iCs/>
                <w:sz w:val="16"/>
                <w:szCs w:val="16"/>
                <w:lang w:val="en-US"/>
              </w:rPr>
              <w:t>ex officio</w:t>
            </w:r>
            <w:r w:rsidRPr="00E3602D">
              <w:rPr>
                <w:rFonts w:ascii="Verdana" w:hAnsi="Verdana"/>
                <w:sz w:val="16"/>
                <w:szCs w:val="16"/>
                <w:lang w:val="en-US"/>
              </w:rPr>
              <w:t xml:space="preserve"> or at the request of Petróleos Mexicanos, must determine the area in the possession of the State to be granted in an Assignment, as well as the technical and operational terms and conditions of the assignment, and its modifications.</w:t>
            </w:r>
          </w:p>
        </w:tc>
      </w:tr>
      <w:tr w:rsidR="003B20AD" w:rsidRPr="00475A0C" w14:paraId="2CF61F42" w14:textId="363A9914" w:rsidTr="007B36AB">
        <w:tc>
          <w:tcPr>
            <w:tcW w:w="4675" w:type="dxa"/>
          </w:tcPr>
          <w:p w14:paraId="580AAF5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Petróleos Mexicanos debe determinar si está de acuerdo con el otorgamiento del Área en posesión del Estado. En caso de proceder con su desarrollo debe comunicar la modalidad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a ser otorgada.</w:t>
            </w:r>
          </w:p>
        </w:tc>
        <w:tc>
          <w:tcPr>
            <w:tcW w:w="4675" w:type="dxa"/>
          </w:tcPr>
          <w:p w14:paraId="010F6544" w14:textId="4CB3EA4E"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Petróleos Mexicanos must determine whether it agrees to the granting of the State-owned Area. If it proceeds with its development, it must communicate the method of the assignment to be granted.</w:t>
            </w:r>
          </w:p>
        </w:tc>
      </w:tr>
      <w:tr w:rsidR="003B20AD" w:rsidRPr="00475A0C" w14:paraId="75C0A20B" w14:textId="68938DAA" w:rsidTr="007B36AB">
        <w:tc>
          <w:tcPr>
            <w:tcW w:w="4675" w:type="dxa"/>
          </w:tcPr>
          <w:p w14:paraId="791A01B6"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En el caso de que Petróleos Mexicanos decida no desarrollar el Área en posesión del Estado,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decidir que su desarrollo lo realicen </w:t>
            </w:r>
            <w:r w:rsidRPr="00475A0C">
              <w:rPr>
                <w:rFonts w:ascii="Verdana" w:hAnsi="Verdana"/>
                <w:sz w:val="16"/>
                <w:szCs w:val="16"/>
              </w:rPr>
              <w:lastRenderedPageBreak/>
              <w:t>otras Personas Morales a través de un Contrato, en cuyo caso deberá sujetarse a las disposiciones aplicables.</w:t>
            </w:r>
          </w:p>
        </w:tc>
        <w:tc>
          <w:tcPr>
            <w:tcW w:w="4675" w:type="dxa"/>
          </w:tcPr>
          <w:p w14:paraId="7FAE9669" w14:textId="28A52174"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lastRenderedPageBreak/>
              <w:t xml:space="preserve">In the event that Petróleos Mexicanos decides not to develop the Area held by the State, the Secretary of Energy may decide that its development be carried out </w:t>
            </w:r>
            <w:r w:rsidRPr="00E3602D">
              <w:rPr>
                <w:rFonts w:ascii="Verdana" w:hAnsi="Verdana"/>
                <w:sz w:val="16"/>
                <w:szCs w:val="16"/>
                <w:lang w:val="en-US"/>
              </w:rPr>
              <w:lastRenderedPageBreak/>
              <w:t>by other legal entities through a Contract, in which case it must be subject to the applicable provisions.</w:t>
            </w:r>
          </w:p>
        </w:tc>
      </w:tr>
      <w:tr w:rsidR="003B20AD" w:rsidRPr="00475A0C" w14:paraId="242F09EF" w14:textId="70986D05" w:rsidTr="007B36AB">
        <w:tc>
          <w:tcPr>
            <w:tcW w:w="4675" w:type="dxa"/>
          </w:tcPr>
          <w:p w14:paraId="7A1574CE" w14:textId="77777777" w:rsidR="003B20AD" w:rsidRPr="00475A0C" w:rsidRDefault="003B20AD" w:rsidP="003B20AD">
            <w:pPr>
              <w:pStyle w:val="Texto"/>
              <w:spacing w:line="218" w:lineRule="exact"/>
              <w:ind w:firstLine="0"/>
              <w:jc w:val="center"/>
              <w:rPr>
                <w:rFonts w:ascii="Verdana" w:hAnsi="Verdana"/>
                <w:b/>
                <w:sz w:val="16"/>
                <w:szCs w:val="16"/>
              </w:rPr>
            </w:pPr>
            <w:r w:rsidRPr="00475A0C">
              <w:rPr>
                <w:rFonts w:ascii="Verdana" w:hAnsi="Verdana"/>
                <w:b/>
                <w:sz w:val="16"/>
                <w:szCs w:val="16"/>
              </w:rPr>
              <w:lastRenderedPageBreak/>
              <w:t>Capítulo II</w:t>
            </w:r>
          </w:p>
        </w:tc>
        <w:tc>
          <w:tcPr>
            <w:tcW w:w="4675" w:type="dxa"/>
          </w:tcPr>
          <w:p w14:paraId="229B45D7" w14:textId="16E05DE8" w:rsidR="003B20AD" w:rsidRPr="00E3602D" w:rsidRDefault="003B20AD" w:rsidP="003B20AD">
            <w:pPr>
              <w:pStyle w:val="Texto"/>
              <w:spacing w:line="218" w:lineRule="exact"/>
              <w:ind w:firstLine="0"/>
              <w:jc w:val="center"/>
              <w:rPr>
                <w:rFonts w:ascii="Verdana" w:hAnsi="Verdana"/>
                <w:b/>
                <w:sz w:val="16"/>
                <w:szCs w:val="16"/>
                <w:lang w:val="en-US"/>
              </w:rPr>
            </w:pPr>
            <w:r w:rsidRPr="00E3602D">
              <w:rPr>
                <w:rFonts w:ascii="Verdana" w:hAnsi="Verdana"/>
                <w:b/>
                <w:sz w:val="16"/>
                <w:szCs w:val="16"/>
                <w:lang w:val="en-US"/>
              </w:rPr>
              <w:t>Chapter II</w:t>
            </w:r>
          </w:p>
        </w:tc>
      </w:tr>
      <w:tr w:rsidR="003B20AD" w:rsidRPr="00475A0C" w14:paraId="0BC33F8A" w14:textId="1DD716AF" w:rsidTr="007B36AB">
        <w:tc>
          <w:tcPr>
            <w:tcW w:w="4675" w:type="dxa"/>
          </w:tcPr>
          <w:p w14:paraId="3B9CDC7B" w14:textId="77777777" w:rsidR="003B20AD" w:rsidRPr="00475A0C" w:rsidRDefault="003B20AD" w:rsidP="003B20AD">
            <w:pPr>
              <w:pStyle w:val="Texto"/>
              <w:spacing w:line="218" w:lineRule="exact"/>
              <w:ind w:firstLine="0"/>
              <w:jc w:val="center"/>
              <w:rPr>
                <w:rFonts w:ascii="Verdana" w:hAnsi="Verdana"/>
                <w:b/>
                <w:sz w:val="16"/>
                <w:szCs w:val="16"/>
              </w:rPr>
            </w:pPr>
            <w:r w:rsidRPr="00475A0C">
              <w:rPr>
                <w:rFonts w:ascii="Verdana" w:hAnsi="Verdana"/>
                <w:b/>
                <w:sz w:val="16"/>
                <w:szCs w:val="16"/>
              </w:rPr>
              <w:t>De las Asignaciones para Desarrollo Propio</w:t>
            </w:r>
          </w:p>
        </w:tc>
        <w:tc>
          <w:tcPr>
            <w:tcW w:w="4675" w:type="dxa"/>
          </w:tcPr>
          <w:p w14:paraId="5F8DF098" w14:textId="189F937C" w:rsidR="003B20AD" w:rsidRPr="00E3602D" w:rsidRDefault="003B20AD" w:rsidP="003B20AD">
            <w:pPr>
              <w:pStyle w:val="Texto"/>
              <w:spacing w:line="218" w:lineRule="exact"/>
              <w:ind w:firstLine="0"/>
              <w:jc w:val="center"/>
              <w:rPr>
                <w:rFonts w:ascii="Verdana" w:hAnsi="Verdana"/>
                <w:b/>
                <w:sz w:val="16"/>
                <w:szCs w:val="16"/>
                <w:lang w:val="en-US"/>
              </w:rPr>
            </w:pPr>
            <w:r w:rsidRPr="00E3602D">
              <w:rPr>
                <w:rFonts w:ascii="Verdana" w:hAnsi="Verdana"/>
                <w:b/>
                <w:sz w:val="16"/>
                <w:szCs w:val="16"/>
                <w:lang w:val="en-US"/>
              </w:rPr>
              <w:t>The Assignments for Self-Development</w:t>
            </w:r>
          </w:p>
        </w:tc>
      </w:tr>
      <w:tr w:rsidR="003B20AD" w:rsidRPr="00475A0C" w14:paraId="50488603" w14:textId="5F5B29DB" w:rsidTr="007B36AB">
        <w:tc>
          <w:tcPr>
            <w:tcW w:w="4675" w:type="dxa"/>
          </w:tcPr>
          <w:p w14:paraId="5C69575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otorgar o modificar las Asignaciones para Desarrollo Propio para realizar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exclusivamente a Petróleos Mexicanos quien debe fungir como Operador Petrolero.</w:t>
            </w:r>
          </w:p>
        </w:tc>
        <w:tc>
          <w:tcPr>
            <w:tcW w:w="4675" w:type="dxa"/>
          </w:tcPr>
          <w:p w14:paraId="4761B09E" w14:textId="77201492"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Article 13.-</w:t>
            </w:r>
            <w:r w:rsidRPr="00E3602D">
              <w:rPr>
                <w:rFonts w:ascii="Verdana" w:hAnsi="Verdana"/>
                <w:sz w:val="16"/>
                <w:szCs w:val="16"/>
                <w:lang w:val="en-US"/>
              </w:rPr>
              <w:t xml:space="preserve"> The Secretary of Energy may grant or modify the Assignments for Self Development to carry out the exploration and extraction of Hydrocarbons exclusively to Petróleos Mexicanos, who must act as Petroleum Operator.</w:t>
            </w:r>
          </w:p>
        </w:tc>
      </w:tr>
      <w:tr w:rsidR="003B20AD" w:rsidRPr="00475A0C" w14:paraId="76EFC556" w14:textId="4A2574C8" w:rsidTr="007B36AB">
        <w:tc>
          <w:tcPr>
            <w:tcW w:w="4675" w:type="dxa"/>
          </w:tcPr>
          <w:p w14:paraId="094A000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14.</w:t>
            </w:r>
            <w:r w:rsidRPr="00475A0C">
              <w:rPr>
                <w:rFonts w:ascii="Verdana" w:hAnsi="Verdana"/>
                <w:sz w:val="16"/>
                <w:szCs w:val="16"/>
              </w:rPr>
              <w:t xml:space="preserve">- Los títulos de Asignación que otorgue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deben incluir, entre otros, los siguientes elementos:</w:t>
            </w:r>
          </w:p>
        </w:tc>
        <w:tc>
          <w:tcPr>
            <w:tcW w:w="4675" w:type="dxa"/>
          </w:tcPr>
          <w:p w14:paraId="19FDFCA4" w14:textId="11B0BA3F"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14. - </w:t>
            </w:r>
            <w:r w:rsidRPr="00E3602D">
              <w:rPr>
                <w:rFonts w:ascii="Verdana" w:hAnsi="Verdana"/>
                <w:bCs/>
                <w:sz w:val="16"/>
                <w:szCs w:val="16"/>
                <w:lang w:val="en-US"/>
              </w:rPr>
              <w:t>The</w:t>
            </w:r>
            <w:r w:rsidRPr="00E3602D">
              <w:rPr>
                <w:rFonts w:ascii="Verdana" w:hAnsi="Verdana"/>
                <w:b/>
                <w:sz w:val="16"/>
                <w:szCs w:val="16"/>
                <w:lang w:val="en-US"/>
              </w:rPr>
              <w:t xml:space="preserve"> </w:t>
            </w:r>
            <w:r w:rsidRPr="00E3602D">
              <w:rPr>
                <w:rFonts w:ascii="Verdana" w:hAnsi="Verdana"/>
                <w:sz w:val="16"/>
                <w:szCs w:val="16"/>
                <w:lang w:val="en-US"/>
              </w:rPr>
              <w:t>Energy Assignment Titles granted by the Secretary of Energy must include, among others, the following elements:</w:t>
            </w:r>
          </w:p>
        </w:tc>
      </w:tr>
      <w:tr w:rsidR="003B20AD" w:rsidRPr="00475A0C" w14:paraId="2B18601D" w14:textId="6DD4F4B4" w:rsidTr="007B36AB">
        <w:tc>
          <w:tcPr>
            <w:tcW w:w="4675" w:type="dxa"/>
          </w:tcPr>
          <w:p w14:paraId="6772684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El Área de Asignación;</w:t>
            </w:r>
          </w:p>
        </w:tc>
        <w:tc>
          <w:tcPr>
            <w:tcW w:w="4675" w:type="dxa"/>
          </w:tcPr>
          <w:p w14:paraId="1DBCA1CB" w14:textId="2D9F2D58"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Assignment Area;</w:t>
            </w:r>
          </w:p>
        </w:tc>
      </w:tr>
      <w:tr w:rsidR="003B20AD" w:rsidRPr="00475A0C" w14:paraId="70543ADE" w14:textId="713B04D0" w:rsidTr="007B36AB">
        <w:tc>
          <w:tcPr>
            <w:tcW w:w="4675" w:type="dxa"/>
          </w:tcPr>
          <w:p w14:paraId="612C01F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Los términos y condiciones que deben observarse en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en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de Hidrocarburos;</w:t>
            </w:r>
          </w:p>
        </w:tc>
        <w:tc>
          <w:tcPr>
            <w:tcW w:w="4675" w:type="dxa"/>
          </w:tcPr>
          <w:p w14:paraId="00348CAA" w14:textId="68976068"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terms and conditions to be observed in the exploration and in the extraction of Hydrocarbons;</w:t>
            </w:r>
          </w:p>
        </w:tc>
      </w:tr>
      <w:tr w:rsidR="003B20AD" w:rsidRPr="00475A0C" w14:paraId="7D3BFB37" w14:textId="098DA51D" w:rsidTr="007B36AB">
        <w:tc>
          <w:tcPr>
            <w:tcW w:w="4675" w:type="dxa"/>
          </w:tcPr>
          <w:p w14:paraId="6A63443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Las condiciones y los mecanismos para la reducción, ampliación, devolución y renuncia del Área de Asignación, así como las causales de revocación;</w:t>
            </w:r>
          </w:p>
        </w:tc>
        <w:tc>
          <w:tcPr>
            <w:tcW w:w="4675" w:type="dxa"/>
          </w:tcPr>
          <w:p w14:paraId="1A03F9CB" w14:textId="39081DEF"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conditions and mechanisms for the reduction, expansion, return and resignation of the Assignment Area, as well as the grounds for revocation;</w:t>
            </w:r>
          </w:p>
        </w:tc>
      </w:tr>
      <w:tr w:rsidR="003B20AD" w:rsidRPr="00475A0C" w14:paraId="7AF90F4C" w14:textId="15930BF1" w:rsidTr="007B36AB">
        <w:tc>
          <w:tcPr>
            <w:tcW w:w="4675" w:type="dxa"/>
          </w:tcPr>
          <w:p w14:paraId="01217102"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Las condiciones para la unificación de Áreas de Asignación o Áreas Contractuales;</w:t>
            </w:r>
          </w:p>
        </w:tc>
        <w:tc>
          <w:tcPr>
            <w:tcW w:w="4675" w:type="dxa"/>
          </w:tcPr>
          <w:p w14:paraId="453DE648" w14:textId="07712D7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The conditions for the unification of Assignment Areas or Contractual Areas;</w:t>
            </w:r>
          </w:p>
        </w:tc>
      </w:tr>
      <w:tr w:rsidR="003B20AD" w:rsidRPr="00475A0C" w14:paraId="2F9EEF2E" w14:textId="56A6CC77" w:rsidTr="007B36AB">
        <w:tc>
          <w:tcPr>
            <w:tcW w:w="4675" w:type="dxa"/>
          </w:tcPr>
          <w:p w14:paraId="3FCCD1F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La vigencia, así como las condiciones para su prórroga;</w:t>
            </w:r>
          </w:p>
        </w:tc>
        <w:tc>
          <w:tcPr>
            <w:tcW w:w="4675" w:type="dxa"/>
          </w:tcPr>
          <w:p w14:paraId="57FEE020" w14:textId="1BE93D2B"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The validity, as well as the conditions for its extension;</w:t>
            </w:r>
          </w:p>
        </w:tc>
      </w:tr>
      <w:tr w:rsidR="003B20AD" w:rsidRPr="00475A0C" w14:paraId="6A6B43A5" w14:textId="73674BED" w:rsidTr="007B36AB">
        <w:tc>
          <w:tcPr>
            <w:tcW w:w="4675" w:type="dxa"/>
          </w:tcPr>
          <w:p w14:paraId="7F4A8F60"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La adquisición de seguros;</w:t>
            </w:r>
          </w:p>
        </w:tc>
        <w:tc>
          <w:tcPr>
            <w:tcW w:w="4675" w:type="dxa"/>
          </w:tcPr>
          <w:p w14:paraId="5CD8BD28" w14:textId="5DDC4A6D"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The acquisition of insurance;</w:t>
            </w:r>
          </w:p>
        </w:tc>
      </w:tr>
      <w:tr w:rsidR="003B20AD" w:rsidRPr="00475A0C" w14:paraId="47ED0558" w14:textId="7348ED5E" w:rsidTr="007B36AB">
        <w:tc>
          <w:tcPr>
            <w:tcW w:w="4675" w:type="dxa"/>
          </w:tcPr>
          <w:p w14:paraId="300EEED4"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VII.</w:t>
            </w:r>
            <w:r w:rsidRPr="00475A0C">
              <w:rPr>
                <w:rFonts w:ascii="Verdana" w:hAnsi="Verdana"/>
                <w:sz w:val="16"/>
                <w:szCs w:val="16"/>
              </w:rPr>
              <w:tab/>
              <w:t>El porcentaje mínimo de contenido nacional;</w:t>
            </w:r>
          </w:p>
        </w:tc>
        <w:tc>
          <w:tcPr>
            <w:tcW w:w="4675" w:type="dxa"/>
          </w:tcPr>
          <w:p w14:paraId="4FC72682" w14:textId="67200D17"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The minimum percentage of national content;</w:t>
            </w:r>
          </w:p>
        </w:tc>
      </w:tr>
      <w:tr w:rsidR="003B20AD" w:rsidRPr="00475A0C" w14:paraId="02D4FC76" w14:textId="2A56EA53" w:rsidTr="007B36AB">
        <w:tc>
          <w:tcPr>
            <w:tcW w:w="4675" w:type="dxa"/>
          </w:tcPr>
          <w:p w14:paraId="6AF2E200"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 xml:space="preserve">El plazo para que la persona Asignataria presente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aprobación,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según corresponda, y</w:t>
            </w:r>
          </w:p>
        </w:tc>
        <w:tc>
          <w:tcPr>
            <w:tcW w:w="4675" w:type="dxa"/>
          </w:tcPr>
          <w:p w14:paraId="636837D5" w14:textId="5D57C1E5"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The deadline for the Assignee to submit to the Secretary of Energy, for approval, the exploration plan or the development plan for the extraction, as appropriate, and</w:t>
            </w:r>
          </w:p>
        </w:tc>
      </w:tr>
      <w:tr w:rsidR="003B20AD" w:rsidRPr="00475A0C" w14:paraId="711E0CDA" w14:textId="55BEE104" w:rsidTr="007B36AB">
        <w:tc>
          <w:tcPr>
            <w:tcW w:w="4675" w:type="dxa"/>
          </w:tcPr>
          <w:p w14:paraId="3FE5E20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IX.</w:t>
            </w:r>
            <w:r w:rsidRPr="00475A0C">
              <w:rPr>
                <w:rFonts w:ascii="Verdana" w:hAnsi="Verdana"/>
                <w:sz w:val="16"/>
                <w:szCs w:val="16"/>
              </w:rPr>
              <w:tab/>
              <w:t>Las obligaciones subsistentes a cargo de la persona Asignataria, en caso de devolución o renuncia.</w:t>
            </w:r>
          </w:p>
        </w:tc>
        <w:tc>
          <w:tcPr>
            <w:tcW w:w="4675" w:type="dxa"/>
          </w:tcPr>
          <w:p w14:paraId="16CB3CCF" w14:textId="7EF3F61B"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sz w:val="16"/>
                <w:szCs w:val="16"/>
                <w:lang w:val="en-US"/>
              </w:rPr>
              <w:tab/>
              <w:t>The obligations remaining as the responsibility of the Assignee, in case of return or resignation.</w:t>
            </w:r>
          </w:p>
        </w:tc>
      </w:tr>
      <w:tr w:rsidR="003B20AD" w:rsidRPr="00475A0C" w14:paraId="30F6BA5D" w14:textId="7E7916EC" w:rsidTr="007B36AB">
        <w:tc>
          <w:tcPr>
            <w:tcW w:w="4675" w:type="dxa"/>
          </w:tcPr>
          <w:p w14:paraId="28DFE8E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15.-</w:t>
            </w:r>
            <w:r w:rsidRPr="00475A0C">
              <w:rPr>
                <w:rFonts w:ascii="Verdana" w:hAnsi="Verdana"/>
                <w:sz w:val="16"/>
                <w:szCs w:val="16"/>
              </w:rPr>
              <w:t xml:space="preserve"> Cuando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modifique el título de una Asignación, y únicamente en caso de que dicha modificación impacte o modifique a su vez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o los planes o programas asociados a estos, la persona Asignataria debe presentar el plan modificado de que se trate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aprobación.</w:t>
            </w:r>
          </w:p>
        </w:tc>
        <w:tc>
          <w:tcPr>
            <w:tcW w:w="4675" w:type="dxa"/>
          </w:tcPr>
          <w:p w14:paraId="0671678E" w14:textId="5356FEAA"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15.- </w:t>
            </w:r>
            <w:r w:rsidRPr="00E3602D">
              <w:rPr>
                <w:rFonts w:ascii="Verdana" w:hAnsi="Verdana"/>
                <w:sz w:val="16"/>
                <w:szCs w:val="16"/>
                <w:lang w:val="en-US"/>
              </w:rPr>
              <w:t>When the Secretary of Energy modifies the title of an Assignment, and only in the event that said modification impacts or modifies the exploration plan or the development plan for the extraction or the plans or programs associated with these, the Assignee must submit the modified plan in question to the Secretary of Energy for its approval.</w:t>
            </w:r>
          </w:p>
        </w:tc>
      </w:tr>
      <w:tr w:rsidR="003B20AD" w:rsidRPr="00475A0C" w14:paraId="4B138E11" w14:textId="68C8EA7F" w:rsidTr="007B36AB">
        <w:tc>
          <w:tcPr>
            <w:tcW w:w="4675" w:type="dxa"/>
          </w:tcPr>
          <w:p w14:paraId="0458507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16.-</w:t>
            </w:r>
            <w:r w:rsidRPr="00475A0C">
              <w:rPr>
                <w:rFonts w:ascii="Verdana" w:hAnsi="Verdana"/>
                <w:sz w:val="16"/>
                <w:szCs w:val="16"/>
              </w:rPr>
              <w:t xml:space="preserve"> Cuando la persona Asignataria decida no continuar con los trabajos de Exploración o Extracción de Hidrocarburos puede renunciar 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correspondiente. Para lo anterior debe contar con la aprobación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7ED8F43B" w14:textId="1F2740BF"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16.- </w:t>
            </w:r>
            <w:r w:rsidRPr="00E3602D">
              <w:rPr>
                <w:rFonts w:ascii="Verdana" w:hAnsi="Verdana"/>
                <w:sz w:val="16"/>
                <w:szCs w:val="16"/>
                <w:lang w:val="en-US"/>
              </w:rPr>
              <w:t>When the Assignee decides not to continue with the hydrocarbon exploration or extraction work of hydrocarbons may waive the corresponding assignment. To do so, they must have the approval of the Secretary of Energy.</w:t>
            </w:r>
          </w:p>
        </w:tc>
      </w:tr>
      <w:tr w:rsidR="003B20AD" w:rsidRPr="00475A0C" w14:paraId="0CF15784" w14:textId="2D45DB5B" w:rsidTr="007B36AB">
        <w:tc>
          <w:tcPr>
            <w:tcW w:w="4675" w:type="dxa"/>
          </w:tcPr>
          <w:p w14:paraId="483DFBCA"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En el supuesto previsto en el párrafo anterior, el Área de Asignación debe ser devuelta al Estado, en buen estado, sin cargo, pago, ni indemnización alguna por parte de éste,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determinar su operación en los términos que considere convenientes conforme a esta Ley.</w:t>
            </w:r>
          </w:p>
        </w:tc>
        <w:tc>
          <w:tcPr>
            <w:tcW w:w="4675" w:type="dxa"/>
          </w:tcPr>
          <w:p w14:paraId="6BFCFCC3" w14:textId="01967A81"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In the event provided for in the preceding paragraph, the assignment area must be returned to the State, in good condition, without charge, payment, or compensation of any kind, and the Secretary of Energy may determine its operation under the terms it deems appropriate in accordance with this Law.</w:t>
            </w:r>
          </w:p>
        </w:tc>
      </w:tr>
      <w:tr w:rsidR="003B20AD" w:rsidRPr="00475A0C" w14:paraId="09AD5713" w14:textId="3EFECC49" w:rsidTr="007B36AB">
        <w:tc>
          <w:tcPr>
            <w:tcW w:w="4675" w:type="dxa"/>
          </w:tcPr>
          <w:p w14:paraId="21B72258"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lastRenderedPageBreak/>
              <w:t>Artículo 17.-</w:t>
            </w:r>
            <w:r w:rsidRPr="00475A0C">
              <w:rPr>
                <w:rFonts w:ascii="Verdana" w:hAnsi="Verdana"/>
                <w:sz w:val="16"/>
                <w:szCs w:val="16"/>
              </w:rPr>
              <w:t xml:space="preserve"> Para cumplir con el objeto de las Asignaciones para Desarrollo Propio, Petróleos Mexicanos sólo puede celebrar con Particulares contratos de servicios, bajo esquemas que les permitan la mayor productividad y rentabilidad, siempre que la contraprestación se realice en efectivo.</w:t>
            </w:r>
          </w:p>
        </w:tc>
        <w:tc>
          <w:tcPr>
            <w:tcW w:w="4675" w:type="dxa"/>
          </w:tcPr>
          <w:p w14:paraId="4FEFEB01" w14:textId="295B1FD7"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17.- </w:t>
            </w:r>
            <w:r w:rsidRPr="00E3602D">
              <w:rPr>
                <w:rFonts w:ascii="Verdana" w:hAnsi="Verdana"/>
                <w:sz w:val="16"/>
                <w:szCs w:val="16"/>
                <w:lang w:val="en-US"/>
              </w:rPr>
              <w:t>In order to fulfill the purpose of the Self-Development Assignments, Petróleos Mexicanos may only enter into service contracts with individuals, under schemes that allow for the greatest productivity and profitability, provided that the consideration is in cash.</w:t>
            </w:r>
          </w:p>
        </w:tc>
      </w:tr>
      <w:tr w:rsidR="003B20AD" w:rsidRPr="00475A0C" w14:paraId="39566BFD" w14:textId="4C2407F8" w:rsidTr="007B36AB">
        <w:tc>
          <w:tcPr>
            <w:tcW w:w="4675" w:type="dxa"/>
          </w:tcPr>
          <w:p w14:paraId="59F223D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Dichas contrataciones deben llevarse a cabo conforme a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w:t>
            </w:r>
            <w:smartTag w:uri="urn:schemas-microsoft-com:office:smarttags" w:element="PersonName">
              <w:smartTagPr>
                <w:attr w:name="ProductID" w:val="la Empresa Pública"/>
              </w:smartTagPr>
              <w:r w:rsidRPr="00475A0C">
                <w:rPr>
                  <w:rFonts w:ascii="Verdana" w:hAnsi="Verdana"/>
                  <w:sz w:val="16"/>
                  <w:szCs w:val="16"/>
                </w:rPr>
                <w:t>la Empresa Pública</w:t>
              </w:r>
            </w:smartTag>
            <w:r w:rsidRPr="00475A0C">
              <w:rPr>
                <w:rFonts w:ascii="Verdana" w:hAnsi="Verdana"/>
                <w:sz w:val="16"/>
                <w:szCs w:val="16"/>
              </w:rPr>
              <w:t xml:space="preserve"> del Estado, Petróleos Mexicanos.</w:t>
            </w:r>
          </w:p>
        </w:tc>
        <w:tc>
          <w:tcPr>
            <w:tcW w:w="4675" w:type="dxa"/>
          </w:tcPr>
          <w:p w14:paraId="1D528CB0" w14:textId="33C950B1"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These contracts must be carried out in accordance with the provisions in the Law of the Public Company of the State, Petróleos Mexicanos (Pemex).</w:t>
            </w:r>
          </w:p>
        </w:tc>
      </w:tr>
      <w:tr w:rsidR="003B20AD" w:rsidRPr="00475A0C" w14:paraId="2C9C0EF7" w14:textId="08805831" w:rsidTr="007B36AB">
        <w:tc>
          <w:tcPr>
            <w:tcW w:w="4675" w:type="dxa"/>
          </w:tcPr>
          <w:p w14:paraId="4379A42C"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18.-</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revocar una Asignación para Desarrollo Propio y recuperar el Área de Asignación cuando se presente alguna de las siguientes causas graves:</w:t>
            </w:r>
          </w:p>
        </w:tc>
        <w:tc>
          <w:tcPr>
            <w:tcW w:w="4675" w:type="dxa"/>
          </w:tcPr>
          <w:p w14:paraId="3EC402C1" w14:textId="6FA35E22"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Article 18.-</w:t>
            </w:r>
            <w:r w:rsidRPr="00E3602D">
              <w:rPr>
                <w:rFonts w:ascii="Verdana" w:hAnsi="Verdana"/>
                <w:sz w:val="16"/>
                <w:szCs w:val="16"/>
                <w:lang w:val="en-US"/>
              </w:rPr>
              <w:t xml:space="preserve"> The Secretary of Energy may revoke an Assignment for Self development and recover the Assignment Area when any of the following serious causes occur:</w:t>
            </w:r>
          </w:p>
        </w:tc>
      </w:tr>
      <w:tr w:rsidR="003B20AD" w:rsidRPr="00475A0C" w14:paraId="119D5D35" w14:textId="22FF9292" w:rsidTr="007B36AB">
        <w:tc>
          <w:tcPr>
            <w:tcW w:w="4675" w:type="dxa"/>
          </w:tcPr>
          <w:p w14:paraId="79F6F18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Que, por más de trescientos sesenta y cinco días naturales de forma continua, la persona Asignataria no inicie o suspenda las actividades previstas en el plan de Exploración o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en el Área de Asignación, sin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el que exponga las causas y motivos del no inicio o suspensión, y sin contar con prórrogas autorizadas, en los términos que establezca el título de Asignación;</w:t>
            </w:r>
          </w:p>
        </w:tc>
        <w:tc>
          <w:tcPr>
            <w:tcW w:w="4675" w:type="dxa"/>
          </w:tcPr>
          <w:p w14:paraId="41A6B495" w14:textId="396C9A84"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That, for more than three hundred and sixty-five calendar days continuously, the Assignee does not start or suspend the activities planned in the exploration or development plan for the extraction in the  assignment area, without notice to the Secretary of Energy in which are explained the causes and reasons for the non-start or suspension, and without having authorized extensions, under the terms established by the assignment title;</w:t>
            </w:r>
          </w:p>
        </w:tc>
      </w:tr>
      <w:tr w:rsidR="003B20AD" w:rsidRPr="00475A0C" w14:paraId="669677D8" w14:textId="2C5D27D4" w:rsidTr="007B36AB">
        <w:tc>
          <w:tcPr>
            <w:tcW w:w="4675" w:type="dxa"/>
          </w:tcPr>
          <w:p w14:paraId="5D0D6988"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Que la persona Asignataria no cumpla con el compromiso mínimo de trabajo, sin causa justificada, conforme a los términos y condiciones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otorgada;</w:t>
            </w:r>
          </w:p>
        </w:tc>
        <w:tc>
          <w:tcPr>
            <w:tcW w:w="4675" w:type="dxa"/>
          </w:tcPr>
          <w:p w14:paraId="0CCDCB95" w14:textId="0F039F1C"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 xml:space="preserve">That the Assignee does not comply with the minimum work commitment, without just cause, in accordance with the terms and conditions of the assignment granted; </w:t>
            </w:r>
          </w:p>
        </w:tc>
      </w:tr>
      <w:tr w:rsidR="003B20AD" w:rsidRPr="00475A0C" w14:paraId="2199ECE6" w14:textId="4B41798A" w:rsidTr="007B36AB">
        <w:tc>
          <w:tcPr>
            <w:tcW w:w="4675" w:type="dxa"/>
          </w:tcPr>
          <w:p w14:paraId="358099D2"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Que se presente un accidente grave causado por dolo o culpa de la persona Asignataria, que ocasione daño a instalaciones, fatalidad y pérdida de producción;</w:t>
            </w:r>
          </w:p>
        </w:tc>
        <w:tc>
          <w:tcPr>
            <w:tcW w:w="4675" w:type="dxa"/>
          </w:tcPr>
          <w:p w14:paraId="29E090FB" w14:textId="0BF17DEB"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That a serious accident occurs caused by the willful misconduct or negligence of the assignee, which causes damage to facilities, fatality and loss of production;</w:t>
            </w:r>
          </w:p>
        </w:tc>
      </w:tr>
      <w:tr w:rsidR="003B20AD" w:rsidRPr="00475A0C" w14:paraId="191B3C5E" w14:textId="2704DA9B" w:rsidTr="007B36AB">
        <w:tc>
          <w:tcPr>
            <w:tcW w:w="4675" w:type="dxa"/>
          </w:tcPr>
          <w:p w14:paraId="292204B4"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Que la persona Asignataria en más de una ocasión remita, a las Secretarías de Energía, de Hacienda y Crédito Público, de Economía o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de forma dolosa o injustificada, información o reportes falsos o incompletos, o los oculte, respecto de la producción, costos o cualquier otro aspecto relevante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o</w:t>
            </w:r>
          </w:p>
        </w:tc>
        <w:tc>
          <w:tcPr>
            <w:tcW w:w="4675" w:type="dxa"/>
          </w:tcPr>
          <w:p w14:paraId="00432482" w14:textId="7B43481D"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That the assignee person on more than one occasion sends, to the Secretaries of Energy, Finance and Public Credit, Economy or to the Agency, in a fraudulent or unjustified manner, false or incomplete information or reports, or hides them, regarding the production, costs or any other relevant aspect of the assignment, or</w:t>
            </w:r>
          </w:p>
        </w:tc>
      </w:tr>
      <w:tr w:rsidR="003B20AD" w:rsidRPr="00475A0C" w14:paraId="05F90F0E" w14:textId="36C4ADB0" w:rsidTr="007B36AB">
        <w:tc>
          <w:tcPr>
            <w:tcW w:w="4675" w:type="dxa"/>
          </w:tcPr>
          <w:p w14:paraId="44E7A6DC"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Las demás causales que se establezcan en el título de Asignación.</w:t>
            </w:r>
          </w:p>
        </w:tc>
        <w:tc>
          <w:tcPr>
            <w:tcW w:w="4675" w:type="dxa"/>
          </w:tcPr>
          <w:p w14:paraId="32480836" w14:textId="4D3DC520"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Other causes established in the assignment title.</w:t>
            </w:r>
          </w:p>
        </w:tc>
      </w:tr>
      <w:tr w:rsidR="003B20AD" w:rsidRPr="00475A0C" w14:paraId="6508365C" w14:textId="1D3DE4E6" w:rsidTr="007B36AB">
        <w:tc>
          <w:tcPr>
            <w:tcW w:w="4675" w:type="dxa"/>
          </w:tcPr>
          <w:p w14:paraId="3EC34A5A"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Artículo 19.-</w:t>
            </w:r>
            <w:r w:rsidRPr="00475A0C">
              <w:rPr>
                <w:rFonts w:ascii="Verdana" w:hAnsi="Verdana"/>
                <w:sz w:val="16"/>
                <w:szCs w:val="16"/>
              </w:rPr>
              <w:t xml:space="preserve"> La causal o causales que se invoquen para la revocación deben ser notificadas a la persona Asignataria a efecto de que, en el plazo máximo de sesenta días naturales, contados a partir de la fecha de la notificación, exponga lo que a su derecho convenga y aporte, en su caso, las pruebas que estime pertinentes.</w:t>
            </w:r>
          </w:p>
        </w:tc>
        <w:tc>
          <w:tcPr>
            <w:tcW w:w="4675" w:type="dxa"/>
          </w:tcPr>
          <w:p w14:paraId="6A831522" w14:textId="295BE990"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Article 19.- </w:t>
            </w:r>
            <w:r w:rsidRPr="00E3602D">
              <w:rPr>
                <w:rFonts w:ascii="Verdana" w:hAnsi="Verdana"/>
                <w:sz w:val="16"/>
                <w:szCs w:val="16"/>
                <w:lang w:val="en-US"/>
              </w:rPr>
              <w:t>The reason or reasons invoked for revocation must be notified to the assignee so that, within a maximum period of sixty calendar days, counted from the date of notification, he may state what is appropriate to his rights and provide, where appropriate, the evidence he deems pertinent.</w:t>
            </w:r>
          </w:p>
        </w:tc>
      </w:tr>
      <w:tr w:rsidR="003B20AD" w:rsidRPr="00475A0C" w14:paraId="1843169D" w14:textId="2282E293" w:rsidTr="007B36AB">
        <w:tc>
          <w:tcPr>
            <w:tcW w:w="4675" w:type="dxa"/>
          </w:tcPr>
          <w:p w14:paraId="071A5532"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sz w:val="16"/>
                <w:szCs w:val="16"/>
              </w:rPr>
              <w:t xml:space="preserve">Transcurrido el plazo a que se refiere el párrafo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el plazo de noventa días naturales debe resolver considerando los argumentos y pruebas que, en su caso, hubiere hecho valer la persona Asignataria. La determinación de revocar o no </w:t>
            </w:r>
            <w:smartTag w:uri="urn:schemas-microsoft-com:office:smarttags" w:element="PersonName">
              <w:smartTagPr>
                <w:attr w:name="ProductID" w:val="la Asignación"/>
              </w:smartTagPr>
              <w:r w:rsidRPr="00475A0C">
                <w:rPr>
                  <w:rFonts w:ascii="Verdana" w:hAnsi="Verdana"/>
                  <w:sz w:val="16"/>
                  <w:szCs w:val="16"/>
                </w:rPr>
                <w:t xml:space="preserve">la </w:t>
              </w:r>
              <w:r w:rsidRPr="00475A0C">
                <w:rPr>
                  <w:rFonts w:ascii="Verdana" w:hAnsi="Verdana"/>
                  <w:sz w:val="16"/>
                  <w:szCs w:val="16"/>
                </w:rPr>
                <w:lastRenderedPageBreak/>
                <w:t>Asignación</w:t>
              </w:r>
            </w:smartTag>
            <w:r w:rsidRPr="00475A0C">
              <w:rPr>
                <w:rFonts w:ascii="Verdana" w:hAnsi="Verdana"/>
                <w:sz w:val="16"/>
                <w:szCs w:val="16"/>
              </w:rPr>
              <w:t xml:space="preserve"> debe estar debidamente fundada y motivada, y ser notificada a la persona Asignataria.</w:t>
            </w:r>
          </w:p>
        </w:tc>
        <w:tc>
          <w:tcPr>
            <w:tcW w:w="4675" w:type="dxa"/>
          </w:tcPr>
          <w:p w14:paraId="123AEA16" w14:textId="37F015D0" w:rsidR="003B20AD" w:rsidRPr="00E3602D" w:rsidRDefault="003B20AD" w:rsidP="003B20AD">
            <w:pPr>
              <w:pStyle w:val="Texto"/>
              <w:spacing w:line="240" w:lineRule="exact"/>
              <w:ind w:firstLine="0"/>
              <w:rPr>
                <w:rFonts w:ascii="Verdana" w:hAnsi="Verdana"/>
                <w:sz w:val="16"/>
                <w:szCs w:val="16"/>
                <w:lang w:val="en-US"/>
              </w:rPr>
            </w:pPr>
            <w:r w:rsidRPr="00E3602D">
              <w:rPr>
                <w:rFonts w:ascii="Verdana" w:hAnsi="Verdana"/>
                <w:sz w:val="16"/>
                <w:szCs w:val="16"/>
                <w:lang w:val="en-US"/>
              </w:rPr>
              <w:lastRenderedPageBreak/>
              <w:t xml:space="preserve">After the period referred to in the preceding paragraph has elapsed, the Secretary of Energy must make a decision within ninety calendar days, considering the arguments and evidence, if any, presented by the Assignee. The determination to revoke or not revoke </w:t>
            </w:r>
            <w:r w:rsidRPr="00E3602D">
              <w:rPr>
                <w:rFonts w:ascii="Verdana" w:hAnsi="Verdana"/>
                <w:sz w:val="16"/>
                <w:szCs w:val="16"/>
                <w:lang w:val="en-US"/>
              </w:rPr>
              <w:lastRenderedPageBreak/>
              <w:t xml:space="preserve">the assignment must be duly substantiated and reasoned, and </w:t>
            </w:r>
            <w:r w:rsidRPr="00E3602D">
              <w:rPr>
                <w:rFonts w:ascii="Verdana" w:hAnsi="Verdana"/>
                <w:sz w:val="16"/>
                <w:szCs w:val="16"/>
                <w:lang w:val="en-US"/>
              </w:rPr>
              <w:t>the Assignee</w:t>
            </w:r>
            <w:r w:rsidRPr="00E3602D">
              <w:rPr>
                <w:rFonts w:ascii="Verdana" w:hAnsi="Verdana"/>
                <w:sz w:val="16"/>
                <w:szCs w:val="16"/>
                <w:lang w:val="en-US"/>
              </w:rPr>
              <w:t xml:space="preserve"> must be notified.</w:t>
            </w:r>
          </w:p>
        </w:tc>
      </w:tr>
      <w:tr w:rsidR="003B20AD" w:rsidRPr="00475A0C" w14:paraId="58312FD8" w14:textId="4E72D561" w:rsidTr="007B36AB">
        <w:tc>
          <w:tcPr>
            <w:tcW w:w="4675" w:type="dxa"/>
          </w:tcPr>
          <w:p w14:paraId="60C74865"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sz w:val="16"/>
                <w:szCs w:val="16"/>
              </w:rPr>
              <w:lastRenderedPageBreak/>
              <w:t xml:space="preserve">Si la persona Asignataria solventa la causal de revocación en que haya incurrido antes de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emita la resolución respectiva, el procedimiento iniciado queda sin efecto, previa aceptación y verificación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aplicando, en su caso, las penas correspondientes conforme a lo dispuesto en la presente Ley.</w:t>
            </w:r>
          </w:p>
        </w:tc>
        <w:tc>
          <w:tcPr>
            <w:tcW w:w="4675" w:type="dxa"/>
          </w:tcPr>
          <w:p w14:paraId="2670B6D1" w14:textId="386D1838" w:rsidR="003B20AD" w:rsidRPr="00E3602D" w:rsidRDefault="003B20AD" w:rsidP="003B20AD">
            <w:pPr>
              <w:pStyle w:val="Texto"/>
              <w:spacing w:line="240" w:lineRule="exact"/>
              <w:ind w:firstLine="0"/>
              <w:rPr>
                <w:rFonts w:ascii="Verdana" w:hAnsi="Verdana"/>
                <w:sz w:val="16"/>
                <w:szCs w:val="16"/>
                <w:lang w:val="en-US"/>
              </w:rPr>
            </w:pPr>
            <w:r w:rsidRPr="00E3602D">
              <w:rPr>
                <w:rFonts w:ascii="Verdana" w:hAnsi="Verdana"/>
                <w:sz w:val="16"/>
                <w:szCs w:val="16"/>
                <w:lang w:val="en-US"/>
              </w:rPr>
              <w:t>If the Assignee resolves the cause for revocation incurred before the Secretary of Energy issues the respective resolution, the initiated procedure is void, subject to acceptance and verification by the Secretary of Energy and applying, where applicable, the corresponding penalties in accordance with the provisions of this Law.</w:t>
            </w:r>
          </w:p>
        </w:tc>
      </w:tr>
      <w:tr w:rsidR="003B20AD" w:rsidRPr="00475A0C" w14:paraId="51631925" w14:textId="74493C19" w:rsidTr="007B36AB">
        <w:tc>
          <w:tcPr>
            <w:tcW w:w="4675" w:type="dxa"/>
          </w:tcPr>
          <w:p w14:paraId="7205538C"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Artículo 20.-</w:t>
            </w:r>
            <w:r w:rsidRPr="00475A0C">
              <w:rPr>
                <w:rFonts w:ascii="Verdana" w:hAnsi="Verdana"/>
                <w:sz w:val="16"/>
                <w:szCs w:val="16"/>
              </w:rPr>
              <w:t xml:space="preserve"> Como consecuencia de la revocación, la persona Asignataria debe transferir al Estado sin cargo, pago, ni indemnización alguna y en buenas condiciones el Área de Asignación. Asimismo, debe realizarse el finiquito correspondiente en términos de las disposiciones jurídicas aplicables y de las previsiones establecidas en el título de la Asignación.</w:t>
            </w:r>
          </w:p>
        </w:tc>
        <w:tc>
          <w:tcPr>
            <w:tcW w:w="4675" w:type="dxa"/>
          </w:tcPr>
          <w:p w14:paraId="389386B7" w14:textId="3AE20B75"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Article 20.- </w:t>
            </w:r>
            <w:r w:rsidRPr="00E3602D">
              <w:rPr>
                <w:rFonts w:ascii="Verdana" w:hAnsi="Verdana"/>
                <w:sz w:val="16"/>
                <w:szCs w:val="16"/>
                <w:lang w:val="en-US"/>
              </w:rPr>
              <w:t>As a result of the revocation, the Assignee must transfer the assignment area to the State without charge, payment, or compensation of any kind and in good condition. The corresponding settlement must also be made in accordance with the applicable legal provisions and the provisions established in the Assignment Title.</w:t>
            </w:r>
          </w:p>
        </w:tc>
      </w:tr>
      <w:tr w:rsidR="003B20AD" w:rsidRPr="00475A0C" w14:paraId="6404E272" w14:textId="0268B371" w:rsidTr="007B36AB">
        <w:tc>
          <w:tcPr>
            <w:tcW w:w="4675" w:type="dxa"/>
          </w:tcPr>
          <w:p w14:paraId="61C880DF"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sz w:val="16"/>
                <w:szCs w:val="16"/>
              </w:rPr>
              <w:t>En cualquier caso, corresponde a la persona Asignataria mantener la propiedad de los bienes e instalaciones que no sean conexos o accesorios exclusivos del área recuperada.</w:t>
            </w:r>
          </w:p>
        </w:tc>
        <w:tc>
          <w:tcPr>
            <w:tcW w:w="4675" w:type="dxa"/>
          </w:tcPr>
          <w:p w14:paraId="05B8B332" w14:textId="46C464BF" w:rsidR="003B20AD" w:rsidRPr="00E3602D" w:rsidRDefault="003B20AD" w:rsidP="003B20AD">
            <w:pPr>
              <w:pStyle w:val="Texto"/>
              <w:spacing w:line="240" w:lineRule="exact"/>
              <w:ind w:firstLine="0"/>
              <w:rPr>
                <w:rFonts w:ascii="Verdana" w:hAnsi="Verdana"/>
                <w:sz w:val="16"/>
                <w:szCs w:val="16"/>
                <w:lang w:val="en-US"/>
              </w:rPr>
            </w:pPr>
            <w:r w:rsidRPr="00E3602D">
              <w:rPr>
                <w:rFonts w:ascii="Verdana" w:hAnsi="Verdana"/>
                <w:sz w:val="16"/>
                <w:szCs w:val="16"/>
                <w:lang w:val="en-US"/>
              </w:rPr>
              <w:t>In any case, it is the Assignee's responsibility to maintain ownership of the assets and facilities that are not related to or exclusively accessory to the recovered area.</w:t>
            </w:r>
          </w:p>
        </w:tc>
      </w:tr>
      <w:tr w:rsidR="003B20AD" w:rsidRPr="00475A0C" w14:paraId="2A3370DA" w14:textId="726589B7" w:rsidTr="007B36AB">
        <w:tc>
          <w:tcPr>
            <w:tcW w:w="4675" w:type="dxa"/>
          </w:tcPr>
          <w:p w14:paraId="2A701DC9"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Artículo 21.-</w:t>
            </w:r>
            <w:r w:rsidRPr="00475A0C">
              <w:rPr>
                <w:rFonts w:ascii="Verdana" w:hAnsi="Verdana"/>
                <w:sz w:val="16"/>
                <w:szCs w:val="16"/>
              </w:rPr>
              <w:t xml:space="preserve"> La revocación de una Asignación para Desarrollo Propio, no exime a la persona Asignataria de la obligación de resarcir aquellos daños o perjuicios que correspondan en términos de las disposiciones jurídicas aplicables.</w:t>
            </w:r>
          </w:p>
        </w:tc>
        <w:tc>
          <w:tcPr>
            <w:tcW w:w="4675" w:type="dxa"/>
          </w:tcPr>
          <w:p w14:paraId="3C6118BB" w14:textId="18038BDF"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Article 21.- </w:t>
            </w:r>
            <w:r w:rsidRPr="00E3602D">
              <w:rPr>
                <w:rFonts w:ascii="Verdana" w:hAnsi="Verdana"/>
                <w:sz w:val="16"/>
                <w:szCs w:val="16"/>
                <w:lang w:val="en-US"/>
              </w:rPr>
              <w:t>The revocation of an Assignment for Self-Development does not exempt the Assignee from the obligation to compensate for any damages or losses that may be due in terms of the applicable legal provisions.</w:t>
            </w:r>
          </w:p>
        </w:tc>
      </w:tr>
      <w:tr w:rsidR="003B20AD" w:rsidRPr="00475A0C" w14:paraId="65D9096D" w14:textId="2C696C6E" w:rsidTr="007B36AB">
        <w:tc>
          <w:tcPr>
            <w:tcW w:w="4675" w:type="dxa"/>
          </w:tcPr>
          <w:p w14:paraId="127D23F4"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Artículo 22.-</w:t>
            </w:r>
            <w:r w:rsidRPr="00475A0C">
              <w:rPr>
                <w:rFonts w:ascii="Verdana" w:hAnsi="Verdana"/>
                <w:sz w:val="16"/>
                <w:szCs w:val="16"/>
              </w:rPr>
              <w:t xml:space="preserve"> En caso de que Petróleos Mexicanos requiera complementar sus capacidades técnicas, operativas, de ejecución o financieras, a efecto de cumplir con las actividades objeto de una Asignación para Desarrollo Propio, puede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previa autorización del Consejo de Administración de Petróleos Mexicanos, la sustitución de una Asignación para Desarrollo Propio por una Asignación para Desarrollo Mixto, para lo cual debe cumplir con lo dispuesto en el Capítulo III del presente Título de esta Ley.</w:t>
            </w:r>
          </w:p>
        </w:tc>
        <w:tc>
          <w:tcPr>
            <w:tcW w:w="4675" w:type="dxa"/>
          </w:tcPr>
          <w:p w14:paraId="637181D7" w14:textId="09C7CEC9"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Article 22.- </w:t>
            </w:r>
            <w:r w:rsidRPr="00E3602D">
              <w:rPr>
                <w:rFonts w:ascii="Verdana" w:hAnsi="Verdana"/>
                <w:sz w:val="16"/>
                <w:szCs w:val="16"/>
                <w:lang w:val="en-US"/>
              </w:rPr>
              <w:t>In the event that Petróleos Mexicanos (Pemex) needs to complement its technical, operational, execution or financial capabilities in order to comply with the activities subject to an Assignment for Self Development, it may request the Secretary of Energy, with prior authorization from the Board of Directors of Petróleos Mexicanos, to replace an Assignment for Self Development with an Assignment for mixed development, for which it must comply with the provisions of Chapter III of this Title of this Law.</w:t>
            </w:r>
          </w:p>
        </w:tc>
      </w:tr>
      <w:tr w:rsidR="003B20AD" w:rsidRPr="00475A0C" w14:paraId="3681DE8C" w14:textId="0AC5816B" w:rsidTr="007B36AB">
        <w:tc>
          <w:tcPr>
            <w:tcW w:w="4675" w:type="dxa"/>
          </w:tcPr>
          <w:p w14:paraId="524B86DE"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Artículo 23.-</w:t>
            </w:r>
            <w:r w:rsidRPr="00475A0C">
              <w:rPr>
                <w:rFonts w:ascii="Verdana" w:hAnsi="Verdana"/>
                <w:sz w:val="16"/>
                <w:szCs w:val="16"/>
              </w:rPr>
              <w:t xml:space="preserve"> En materia de Asignaciones para Desarrollo Propio,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5602A077" w14:textId="7EFB6498"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Article 23.- </w:t>
            </w:r>
            <w:r w:rsidRPr="00E3602D">
              <w:rPr>
                <w:rFonts w:ascii="Verdana" w:hAnsi="Verdana"/>
                <w:sz w:val="16"/>
                <w:szCs w:val="16"/>
                <w:lang w:val="en-US"/>
              </w:rPr>
              <w:t>In terms of Assignments for Self-Development, the following shall be the responsibility of  the Secretary of Energy:</w:t>
            </w:r>
          </w:p>
        </w:tc>
      </w:tr>
      <w:tr w:rsidR="003B20AD" w:rsidRPr="00475A0C" w14:paraId="484313AB" w14:textId="55B4859A" w:rsidTr="007B36AB">
        <w:tc>
          <w:tcPr>
            <w:tcW w:w="4675" w:type="dxa"/>
          </w:tcPr>
          <w:p w14:paraId="2F4369EA"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Otorgar o modificar las Asignaciones correspondientes;</w:t>
            </w:r>
          </w:p>
        </w:tc>
        <w:tc>
          <w:tcPr>
            <w:tcW w:w="4675" w:type="dxa"/>
          </w:tcPr>
          <w:p w14:paraId="09763B6B" w14:textId="79D7E17D"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Grant or modify the corresponding Assignments;</w:t>
            </w:r>
          </w:p>
        </w:tc>
      </w:tr>
      <w:tr w:rsidR="003B20AD" w:rsidRPr="00475A0C" w14:paraId="1D1D4BAE" w14:textId="7DCA6466" w:rsidTr="007B36AB">
        <w:tc>
          <w:tcPr>
            <w:tcW w:w="4675" w:type="dxa"/>
          </w:tcPr>
          <w:p w14:paraId="505662E8"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Determinar el Área en posesión del Estado a otorgar en una Asignación;</w:t>
            </w:r>
          </w:p>
        </w:tc>
        <w:tc>
          <w:tcPr>
            <w:tcW w:w="4675" w:type="dxa"/>
          </w:tcPr>
          <w:p w14:paraId="587A9444" w14:textId="69F28340"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Determine the Area in possession of the State to be granted in an Assignment;</w:t>
            </w:r>
          </w:p>
        </w:tc>
      </w:tr>
      <w:tr w:rsidR="003B20AD" w:rsidRPr="00475A0C" w14:paraId="2C1F75AE" w14:textId="7354AF98" w:rsidTr="007B36AB">
        <w:tc>
          <w:tcPr>
            <w:tcW w:w="4675" w:type="dxa"/>
          </w:tcPr>
          <w:p w14:paraId="07ED0D2F"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Determinar los términos técnicos y operativos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y el modelo del título de Asignación;</w:t>
            </w:r>
          </w:p>
        </w:tc>
        <w:tc>
          <w:tcPr>
            <w:tcW w:w="4675" w:type="dxa"/>
          </w:tcPr>
          <w:p w14:paraId="12E15B40" w14:textId="3295644D"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Determine the technical and operational terms the Assignment and the template of the Assignment Title;</w:t>
            </w:r>
          </w:p>
        </w:tc>
      </w:tr>
      <w:tr w:rsidR="003B20AD" w:rsidRPr="00475A0C" w14:paraId="641F2C50" w14:textId="5B10A5B8" w:rsidTr="007B36AB">
        <w:tc>
          <w:tcPr>
            <w:tcW w:w="4675" w:type="dxa"/>
          </w:tcPr>
          <w:p w14:paraId="4DF25121"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Administrar técnicamente y supervisar el cumplimiento de los términos y condiciones de estas;</w:t>
            </w:r>
          </w:p>
        </w:tc>
        <w:tc>
          <w:tcPr>
            <w:tcW w:w="4675" w:type="dxa"/>
          </w:tcPr>
          <w:p w14:paraId="28B27656" w14:textId="4175C57D"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Technically manage and supervise compliance with the terms and conditions of these;</w:t>
            </w:r>
          </w:p>
        </w:tc>
      </w:tr>
      <w:tr w:rsidR="003B20AD" w:rsidRPr="00475A0C" w14:paraId="19899B97" w14:textId="2329DABB" w:rsidTr="007B36AB">
        <w:tc>
          <w:tcPr>
            <w:tcW w:w="4675" w:type="dxa"/>
          </w:tcPr>
          <w:p w14:paraId="1AF3E44A"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lastRenderedPageBreak/>
              <w:t>V.</w:t>
            </w:r>
            <w:r w:rsidRPr="00475A0C">
              <w:rPr>
                <w:rFonts w:ascii="Verdana" w:hAnsi="Verdana"/>
                <w:b/>
                <w:sz w:val="16"/>
                <w:szCs w:val="16"/>
              </w:rPr>
              <w:tab/>
            </w:r>
            <w:r w:rsidRPr="00475A0C">
              <w:rPr>
                <w:rFonts w:ascii="Verdana" w:hAnsi="Verdana"/>
                <w:sz w:val="16"/>
                <w:szCs w:val="16"/>
              </w:rPr>
              <w:t>Aprobar la reducción, ampliación, devolución o renuncia del Área de Asignación, así como la revocación;</w:t>
            </w:r>
          </w:p>
        </w:tc>
        <w:tc>
          <w:tcPr>
            <w:tcW w:w="4675" w:type="dxa"/>
          </w:tcPr>
          <w:p w14:paraId="17B8FBF9" w14:textId="4C4A2AE7"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Approve the reduction, expansion, return or resignation of the assignment area, as well as the revocation;</w:t>
            </w:r>
          </w:p>
        </w:tc>
      </w:tr>
      <w:tr w:rsidR="003B20AD" w:rsidRPr="00475A0C" w14:paraId="7F428126" w14:textId="4F9115E5" w:rsidTr="007B36AB">
        <w:tc>
          <w:tcPr>
            <w:tcW w:w="4675" w:type="dxa"/>
          </w:tcPr>
          <w:p w14:paraId="4F22A5E1"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 xml:space="preserve">Aprobar los planes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así como sus modificaciones, y</w:t>
            </w:r>
          </w:p>
        </w:tc>
        <w:tc>
          <w:tcPr>
            <w:tcW w:w="4675" w:type="dxa"/>
          </w:tcPr>
          <w:p w14:paraId="0C01D939" w14:textId="4D396DF5"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Approve the Exploration and Development Plans for the extraction, as well as their modifications, and</w:t>
            </w:r>
          </w:p>
        </w:tc>
      </w:tr>
      <w:tr w:rsidR="003B20AD" w:rsidRPr="00475A0C" w14:paraId="7CA67B3A" w14:textId="48AB9B71" w:rsidTr="007B36AB">
        <w:tc>
          <w:tcPr>
            <w:tcW w:w="4675" w:type="dxa"/>
          </w:tcPr>
          <w:p w14:paraId="35619BE5" w14:textId="77777777" w:rsidR="003B20AD" w:rsidRPr="00475A0C" w:rsidRDefault="003B20AD" w:rsidP="003B20AD">
            <w:pPr>
              <w:pStyle w:val="Texto"/>
              <w:spacing w:line="240"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Aprobar la sustitución de una Asignación para Desarrollo Propio por una Asignación para Desarrollo Mixto.</w:t>
            </w:r>
          </w:p>
        </w:tc>
        <w:tc>
          <w:tcPr>
            <w:tcW w:w="4675" w:type="dxa"/>
          </w:tcPr>
          <w:p w14:paraId="7A772A2B" w14:textId="653FC4BE" w:rsidR="003B20AD" w:rsidRPr="00E3602D" w:rsidRDefault="003B20AD" w:rsidP="003B20AD">
            <w:pPr>
              <w:pStyle w:val="Texto"/>
              <w:spacing w:line="24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Approve the replacement of an Assignment for Self Development with an Assignment for Mixed Development.</w:t>
            </w:r>
          </w:p>
        </w:tc>
      </w:tr>
      <w:tr w:rsidR="003B20AD" w:rsidRPr="00475A0C" w14:paraId="3500E38E" w14:textId="4AD90445" w:rsidTr="007B36AB">
        <w:tc>
          <w:tcPr>
            <w:tcW w:w="4675" w:type="dxa"/>
          </w:tcPr>
          <w:p w14:paraId="19D25483" w14:textId="77777777" w:rsidR="003B20AD" w:rsidRPr="00475A0C" w:rsidRDefault="003B20AD" w:rsidP="003B20AD">
            <w:pPr>
              <w:pStyle w:val="Texto"/>
              <w:spacing w:after="80"/>
              <w:ind w:firstLine="0"/>
              <w:jc w:val="center"/>
              <w:rPr>
                <w:rFonts w:ascii="Verdana" w:hAnsi="Verdana"/>
                <w:b/>
                <w:sz w:val="16"/>
                <w:szCs w:val="16"/>
              </w:rPr>
            </w:pPr>
            <w:r w:rsidRPr="00475A0C">
              <w:rPr>
                <w:rFonts w:ascii="Verdana" w:hAnsi="Verdana"/>
                <w:b/>
                <w:sz w:val="16"/>
                <w:szCs w:val="16"/>
              </w:rPr>
              <w:t>Capítulo III</w:t>
            </w:r>
          </w:p>
        </w:tc>
        <w:tc>
          <w:tcPr>
            <w:tcW w:w="4675" w:type="dxa"/>
          </w:tcPr>
          <w:p w14:paraId="0285A5A9" w14:textId="59FA387E" w:rsidR="003B20AD" w:rsidRPr="00E3602D" w:rsidRDefault="003B20AD" w:rsidP="003B20AD">
            <w:pPr>
              <w:pStyle w:val="Texto"/>
              <w:spacing w:after="80"/>
              <w:ind w:firstLine="0"/>
              <w:jc w:val="center"/>
              <w:rPr>
                <w:rFonts w:ascii="Verdana" w:hAnsi="Verdana"/>
                <w:b/>
                <w:sz w:val="16"/>
                <w:szCs w:val="16"/>
                <w:lang w:val="en-US"/>
              </w:rPr>
            </w:pPr>
            <w:r w:rsidRPr="00E3602D">
              <w:rPr>
                <w:rFonts w:ascii="Verdana" w:hAnsi="Verdana"/>
                <w:b/>
                <w:sz w:val="16"/>
                <w:szCs w:val="16"/>
                <w:lang w:val="en-US"/>
              </w:rPr>
              <w:t>Chapter III</w:t>
            </w:r>
          </w:p>
        </w:tc>
      </w:tr>
      <w:tr w:rsidR="003B20AD" w:rsidRPr="00475A0C" w14:paraId="2AF170EA" w14:textId="37D1ED2A" w:rsidTr="007B36AB">
        <w:tc>
          <w:tcPr>
            <w:tcW w:w="4675" w:type="dxa"/>
          </w:tcPr>
          <w:p w14:paraId="7E26A0BD" w14:textId="77777777" w:rsidR="003B20AD" w:rsidRPr="00475A0C" w:rsidRDefault="003B20AD" w:rsidP="003B20AD">
            <w:pPr>
              <w:pStyle w:val="Texto"/>
              <w:spacing w:after="80"/>
              <w:ind w:firstLine="0"/>
              <w:jc w:val="center"/>
              <w:rPr>
                <w:rFonts w:ascii="Verdana" w:hAnsi="Verdana"/>
                <w:b/>
                <w:sz w:val="16"/>
                <w:szCs w:val="16"/>
              </w:rPr>
            </w:pPr>
            <w:r w:rsidRPr="00475A0C">
              <w:rPr>
                <w:rFonts w:ascii="Verdana" w:hAnsi="Verdana"/>
                <w:b/>
                <w:sz w:val="16"/>
                <w:szCs w:val="16"/>
              </w:rPr>
              <w:t>De las Asignaciones para Desarrollo Mixto</w:t>
            </w:r>
          </w:p>
        </w:tc>
        <w:tc>
          <w:tcPr>
            <w:tcW w:w="4675" w:type="dxa"/>
          </w:tcPr>
          <w:p w14:paraId="0B842A18" w14:textId="23E075DE" w:rsidR="003B20AD" w:rsidRPr="00E3602D" w:rsidRDefault="003B20AD" w:rsidP="003B20AD">
            <w:pPr>
              <w:pStyle w:val="Texto"/>
              <w:spacing w:after="80"/>
              <w:ind w:firstLine="0"/>
              <w:jc w:val="center"/>
              <w:rPr>
                <w:rFonts w:ascii="Verdana" w:hAnsi="Verdana"/>
                <w:b/>
                <w:sz w:val="16"/>
                <w:szCs w:val="16"/>
                <w:lang w:val="en-US"/>
              </w:rPr>
            </w:pPr>
            <w:r w:rsidRPr="00E3602D">
              <w:rPr>
                <w:rFonts w:ascii="Verdana" w:hAnsi="Verdana"/>
                <w:b/>
                <w:sz w:val="16"/>
                <w:szCs w:val="16"/>
                <w:lang w:val="en-US"/>
              </w:rPr>
              <w:t>Mixed Development Assignments</w:t>
            </w:r>
          </w:p>
        </w:tc>
      </w:tr>
      <w:tr w:rsidR="003B20AD" w:rsidRPr="00475A0C" w14:paraId="1FF4041C" w14:textId="4A4953F3" w:rsidTr="007B36AB">
        <w:tc>
          <w:tcPr>
            <w:tcW w:w="4675" w:type="dxa"/>
          </w:tcPr>
          <w:p w14:paraId="0B859D66"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24.-</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otorgar a Petróleos Mexicanos Asignaciones para Desarrollo Mixto, en caso de que requiera complementar sus capacidades técnicas, operativas, financieras o de ejecución para la realización de las actividades de Exploración y Extracción; para lo cual, debe contar con una o más personas Participantes. En estas Asignaciones para Desarrollo Mixto cualquier parte puede fungir como Operador Petrolero.</w:t>
            </w:r>
          </w:p>
        </w:tc>
        <w:tc>
          <w:tcPr>
            <w:tcW w:w="4675" w:type="dxa"/>
          </w:tcPr>
          <w:p w14:paraId="7A267095" w14:textId="1A951A89"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Article 24.-</w:t>
            </w:r>
            <w:r w:rsidRPr="00E3602D">
              <w:rPr>
                <w:rFonts w:ascii="Verdana" w:hAnsi="Verdana"/>
                <w:sz w:val="16"/>
                <w:szCs w:val="16"/>
                <w:lang w:val="en-US"/>
              </w:rPr>
              <w:t xml:space="preserve"> The Secretary of Energy may grant Petróleos Mexicanos (Pemex) Mixed Development Assignments if it needs to supplement its technical, operational, financial, or execution capabilities to carry out exploration and extraction activities; for this purpose, it must have one or more Participants. In these Mixed Development Assignments, any party may act as the Petroleum Operator.</w:t>
            </w:r>
          </w:p>
        </w:tc>
      </w:tr>
      <w:tr w:rsidR="003B20AD" w:rsidRPr="00475A0C" w14:paraId="2DC070BC" w14:textId="5F1C81DB" w:rsidTr="007B36AB">
        <w:tc>
          <w:tcPr>
            <w:tcW w:w="4675" w:type="dxa"/>
          </w:tcPr>
          <w:p w14:paraId="6F4E668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En las Asignaciones para Desarrollo Mixto, Petróleos Mexicanos mantiene el derecho exclusivo sobre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y no puede transferir, ceder u otorgar este derecho a terceros por ningún motivo. En el Contrato Mixto se debe convenir la forma en que se lleven a cabo las actividades. Petróleos Mexicanos puede realizar, de manera excepcional, aportaciones conforme se establezca en el Contrato Mixto, previa autorización de su Consejo de Administración.</w:t>
            </w:r>
          </w:p>
        </w:tc>
        <w:tc>
          <w:tcPr>
            <w:tcW w:w="4675" w:type="dxa"/>
          </w:tcPr>
          <w:p w14:paraId="63AEA804" w14:textId="469DB408"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In the Mixed Development Assignments, Petróleos Mexicanos retains exclusive rights over the Asssignment and may not transfer, assign, or grant this right to third parties for any reason. The Mixed Contract must specify the manner in which the activities will be carried out. Petróleos Mexicanos may, on an exceptional basis, make contributions as established in the Mixed Contract, subject to authorization from its Board of Directors.</w:t>
            </w:r>
          </w:p>
        </w:tc>
      </w:tr>
      <w:tr w:rsidR="003B20AD" w:rsidRPr="00475A0C" w14:paraId="1BDC4E76" w14:textId="4703CB29" w:rsidTr="007B36AB">
        <w:tc>
          <w:tcPr>
            <w:tcW w:w="4675" w:type="dxa"/>
          </w:tcPr>
          <w:p w14:paraId="4AB1A38E"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25.-</w:t>
            </w:r>
            <w:r w:rsidRPr="00475A0C">
              <w:rPr>
                <w:rFonts w:ascii="Verdana" w:hAnsi="Verdana"/>
                <w:sz w:val="16"/>
                <w:szCs w:val="16"/>
              </w:rPr>
              <w:t xml:space="preserve"> El proceso de otorgamiento de una nueva Asignación para Desarrollo Mixto debe establecerse en el Reglamento de esta Ley, y en las reglas que para tal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el cual debe considerar al menos lo siguiente:</w:t>
            </w:r>
          </w:p>
        </w:tc>
        <w:tc>
          <w:tcPr>
            <w:tcW w:w="4675" w:type="dxa"/>
          </w:tcPr>
          <w:p w14:paraId="7795B9D6" w14:textId="3C3039AA"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25.- </w:t>
            </w:r>
            <w:r w:rsidRPr="00E3602D">
              <w:rPr>
                <w:rFonts w:ascii="Verdana" w:hAnsi="Verdana"/>
                <w:sz w:val="16"/>
                <w:szCs w:val="16"/>
                <w:lang w:val="en-US"/>
              </w:rPr>
              <w:t>The process for granting a new Mixed Development Assignment must be established in the Regulation of this Law, and in the rules issued for this purpose by the Secretary of Energy, which must consider at least the following:</w:t>
            </w:r>
          </w:p>
        </w:tc>
      </w:tr>
      <w:tr w:rsidR="003B20AD" w:rsidRPr="00475A0C" w14:paraId="32DC7000" w14:textId="2ECE4579" w:rsidTr="007B36AB">
        <w:tc>
          <w:tcPr>
            <w:tcW w:w="4675" w:type="dxa"/>
          </w:tcPr>
          <w:p w14:paraId="6DBAD07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Petróleos Mexicanos, por conducto de la persona Titular de su Dirección General, debe presentar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autorización, la solicitud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 que debe contener, al menos:</w:t>
            </w:r>
          </w:p>
        </w:tc>
        <w:tc>
          <w:tcPr>
            <w:tcW w:w="4675" w:type="dxa"/>
          </w:tcPr>
          <w:p w14:paraId="3A4BEDC7" w14:textId="7D9B7F8B"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Petróleos Mexicanos, through the person in charge of its General Directorate, must submit to the Secretary of Energy, for its authorization, the request for the Assignment for Mixed Development, which must contain, at least:</w:t>
            </w:r>
          </w:p>
        </w:tc>
      </w:tr>
      <w:tr w:rsidR="003B20AD" w:rsidRPr="00475A0C" w14:paraId="115C769D" w14:textId="2A6327A4" w:rsidTr="007B36AB">
        <w:tc>
          <w:tcPr>
            <w:tcW w:w="4675" w:type="dxa"/>
          </w:tcPr>
          <w:p w14:paraId="4DC172C3"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El Área de Asignación y su vigencia;</w:t>
            </w:r>
          </w:p>
        </w:tc>
        <w:tc>
          <w:tcPr>
            <w:tcW w:w="4675" w:type="dxa"/>
          </w:tcPr>
          <w:p w14:paraId="38F48AA2" w14:textId="324E3C52"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Assignment Area and its validity;</w:t>
            </w:r>
          </w:p>
        </w:tc>
      </w:tr>
      <w:tr w:rsidR="003B20AD" w:rsidRPr="00475A0C" w14:paraId="47096659" w14:textId="4F5F2861" w:rsidTr="007B36AB">
        <w:tc>
          <w:tcPr>
            <w:tcW w:w="4675" w:type="dxa"/>
          </w:tcPr>
          <w:p w14:paraId="233F1B5C"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Las capacidades técnicas, operativas, de ejecución, financieras o de experiencia que deben cumplir las Personas Morales que participen en el procedimiento de selección correspondiente;</w:t>
            </w:r>
          </w:p>
        </w:tc>
        <w:tc>
          <w:tcPr>
            <w:tcW w:w="4675" w:type="dxa"/>
          </w:tcPr>
          <w:p w14:paraId="109CFF29" w14:textId="4BC12A0D"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 technical, operational, execution, financial or experience capabilities that must be met by the legal entities participating in the corresponding selection procedure;</w:t>
            </w:r>
          </w:p>
        </w:tc>
      </w:tr>
      <w:tr w:rsidR="003B20AD" w:rsidRPr="00475A0C" w14:paraId="26DBF5DE" w14:textId="66456968" w:rsidTr="007B36AB">
        <w:tc>
          <w:tcPr>
            <w:tcW w:w="4675" w:type="dxa"/>
          </w:tcPr>
          <w:p w14:paraId="4EA83A93"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El modelo de Contrato Mixto para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correspondiente, conforme a lo previsto en el artículo 28 de la presente Ley;</w:t>
            </w:r>
          </w:p>
        </w:tc>
        <w:tc>
          <w:tcPr>
            <w:tcW w:w="4675" w:type="dxa"/>
          </w:tcPr>
          <w:p w14:paraId="0FE99CDE" w14:textId="0A7B39CC"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The corresponding Mixed Contract model the Assignment, in accordance with the provisions of article 28 of this Law;</w:t>
            </w:r>
          </w:p>
        </w:tc>
      </w:tr>
      <w:tr w:rsidR="003B20AD" w:rsidRPr="00475A0C" w14:paraId="7FFDC8B9" w14:textId="7FB0D102" w:rsidTr="007B36AB">
        <w:tc>
          <w:tcPr>
            <w:tcW w:w="4675" w:type="dxa"/>
          </w:tcPr>
          <w:p w14:paraId="5F73FEAB"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 xml:space="preserve">La propuesta de términos técnicos y operativos para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 y</w:t>
            </w:r>
          </w:p>
        </w:tc>
        <w:tc>
          <w:tcPr>
            <w:tcW w:w="4675" w:type="dxa"/>
          </w:tcPr>
          <w:p w14:paraId="3D4F2819" w14:textId="7C224599"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The proposal of technical and operational terms for the Assignment for Mixed Development, and</w:t>
            </w:r>
          </w:p>
        </w:tc>
      </w:tr>
      <w:tr w:rsidR="003B20AD" w:rsidRPr="00475A0C" w14:paraId="1781484F" w14:textId="327926E2" w:rsidTr="007B36AB">
        <w:tc>
          <w:tcPr>
            <w:tcW w:w="4675" w:type="dxa"/>
          </w:tcPr>
          <w:p w14:paraId="460A62E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El tipo de procedimiento de contratación para la selección de la o las personas Participantes;</w:t>
            </w:r>
          </w:p>
        </w:tc>
        <w:tc>
          <w:tcPr>
            <w:tcW w:w="4675" w:type="dxa"/>
          </w:tcPr>
          <w:p w14:paraId="6CD57262" w14:textId="15BF4B2E"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The type of contracting procedure for the selection of the participant or participants;</w:t>
            </w:r>
          </w:p>
        </w:tc>
      </w:tr>
      <w:tr w:rsidR="003B20AD" w:rsidRPr="00475A0C" w14:paraId="3642D899" w14:textId="1BD53C42" w:rsidTr="007B36AB">
        <w:tc>
          <w:tcPr>
            <w:tcW w:w="4675" w:type="dxa"/>
          </w:tcPr>
          <w:p w14:paraId="55BFB300"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su caso autoriza la solicitud y otorga a Petróleos Mexicanos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w:t>
            </w:r>
            <w:r w:rsidRPr="00475A0C">
              <w:rPr>
                <w:rFonts w:ascii="Verdana" w:hAnsi="Verdana"/>
                <w:sz w:val="16"/>
                <w:szCs w:val="16"/>
              </w:rPr>
              <w:lastRenderedPageBreak/>
              <w:t>para Desarrollo Mixto, cuya vigencia debe iniciar una vez que se haya seleccionado a la o las personas Participantes y formalizado el Contrato Mixto correspondiente;</w:t>
            </w:r>
          </w:p>
        </w:tc>
        <w:tc>
          <w:tcPr>
            <w:tcW w:w="4675" w:type="dxa"/>
          </w:tcPr>
          <w:p w14:paraId="5E757608" w14:textId="0EB4EF3B"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lastRenderedPageBreak/>
              <w:t xml:space="preserve">II. </w:t>
            </w:r>
            <w:r w:rsidRPr="00E3602D">
              <w:rPr>
                <w:rFonts w:ascii="Verdana" w:hAnsi="Verdana"/>
                <w:b/>
                <w:sz w:val="16"/>
                <w:szCs w:val="16"/>
                <w:lang w:val="en-US"/>
              </w:rPr>
              <w:tab/>
            </w:r>
            <w:r w:rsidRPr="00E3602D">
              <w:rPr>
                <w:rFonts w:ascii="Verdana" w:hAnsi="Verdana"/>
                <w:sz w:val="16"/>
                <w:szCs w:val="16"/>
                <w:lang w:val="en-US"/>
              </w:rPr>
              <w:t xml:space="preserve">The Secretary of Energy, if applicable, authorizes the request and grants Petróleos Mexicanos </w:t>
            </w:r>
            <w:r w:rsidRPr="00E3602D">
              <w:rPr>
                <w:rFonts w:ascii="Verdana" w:hAnsi="Verdana"/>
                <w:sz w:val="16"/>
                <w:szCs w:val="16"/>
                <w:lang w:val="en-US"/>
              </w:rPr>
              <w:lastRenderedPageBreak/>
              <w:t>the Assignment for Mixed Development, the validity of which must begin once the participant or participants have been selected and the corresponding Mixed Contract has been formalized;</w:t>
            </w:r>
          </w:p>
        </w:tc>
      </w:tr>
      <w:tr w:rsidR="003B20AD" w:rsidRPr="00475A0C" w14:paraId="617D50B5" w14:textId="7EB47F26" w:rsidTr="007B36AB">
        <w:tc>
          <w:tcPr>
            <w:tcW w:w="4675" w:type="dxa"/>
          </w:tcPr>
          <w:p w14:paraId="3D7C3801"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lastRenderedPageBreak/>
              <w:t>III.</w:t>
            </w:r>
            <w:r w:rsidRPr="00475A0C">
              <w:rPr>
                <w:rFonts w:ascii="Verdana" w:hAnsi="Verdana"/>
                <w:b/>
                <w:sz w:val="16"/>
                <w:szCs w:val="16"/>
              </w:rPr>
              <w:tab/>
            </w:r>
            <w:r w:rsidRPr="00475A0C">
              <w:rPr>
                <w:rFonts w:ascii="Verdana" w:hAnsi="Verdana"/>
                <w:sz w:val="16"/>
                <w:szCs w:val="16"/>
              </w:rPr>
              <w:t xml:space="preserve">Petróleos Mexicanos lleva a cabo el procedimiento para la selección de la o las personas Participantes, que represente las mejores condiciones para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la empresa pública del Estado, observando las mejores prácticas en materia de transparencia y rendición de cuentas, en términos de lo autorizado por el Consejo de Administración de Petróleos Mexicanos, de conformidad con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w:t>
            </w:r>
            <w:smartTag w:uri="urn:schemas-microsoft-com:office:smarttags" w:element="PersonName">
              <w:smartTagPr>
                <w:attr w:name="ProductID" w:val="la Empresa Pública"/>
              </w:smartTagPr>
              <w:r w:rsidRPr="00475A0C">
                <w:rPr>
                  <w:rFonts w:ascii="Verdana" w:hAnsi="Verdana"/>
                  <w:sz w:val="16"/>
                  <w:szCs w:val="16"/>
                </w:rPr>
                <w:t>la Empresa Pública</w:t>
              </w:r>
            </w:smartTag>
            <w:r w:rsidRPr="00475A0C">
              <w:rPr>
                <w:rFonts w:ascii="Verdana" w:hAnsi="Verdana"/>
                <w:sz w:val="16"/>
                <w:szCs w:val="16"/>
              </w:rPr>
              <w:t xml:space="preserve"> del Estado, Petróleos Mexicanos y los lineamientos que para tal efecto emita el Consejo de Administración de Petróleos Mexicanos, los cuales deberán publicarse en el Diario Oficial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 y</w:t>
            </w:r>
          </w:p>
        </w:tc>
        <w:tc>
          <w:tcPr>
            <w:tcW w:w="4675" w:type="dxa"/>
          </w:tcPr>
          <w:p w14:paraId="6D7ECFE9" w14:textId="760962A7"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 xml:space="preserve">Petróleos Mexicanos carries out the procedure for the selection of </w:t>
            </w:r>
            <w:r w:rsidRPr="00E3602D">
              <w:rPr>
                <w:rFonts w:ascii="Verdana" w:hAnsi="Verdana"/>
                <w:sz w:val="16"/>
                <w:szCs w:val="16"/>
                <w:lang w:val="en-US"/>
              </w:rPr>
              <w:t xml:space="preserve">the participant or participants </w:t>
            </w:r>
            <w:r w:rsidRPr="00E3602D">
              <w:rPr>
                <w:rFonts w:ascii="Verdana" w:hAnsi="Verdana"/>
                <w:sz w:val="16"/>
                <w:szCs w:val="16"/>
                <w:lang w:val="en-US"/>
              </w:rPr>
              <w:t>who represents the best conditions for the Nation and the State's public company, observing the best practices in terms of transparency and accountability, in terms of what is authorized by the Board of Directors of Petróleos Mexicanos, in accordance with the provisions the Law of the Public State Company and the guidelines issued for such purpose by the Board of Directors of Petróleos Mexicanos, which must be published in the Official Daily of the Federation, and</w:t>
            </w:r>
          </w:p>
        </w:tc>
      </w:tr>
      <w:tr w:rsidR="003B20AD" w:rsidRPr="00475A0C" w14:paraId="2AA7D4A3" w14:textId="46BAF09D" w:rsidTr="007B36AB">
        <w:tc>
          <w:tcPr>
            <w:tcW w:w="4675" w:type="dxa"/>
          </w:tcPr>
          <w:p w14:paraId="1F8E217F"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Una vez formalizado el Contrato Mixto, Petróleos Mexicanos debe remitirlo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registro y control.</w:t>
            </w:r>
          </w:p>
        </w:tc>
        <w:tc>
          <w:tcPr>
            <w:tcW w:w="4675" w:type="dxa"/>
          </w:tcPr>
          <w:p w14:paraId="0CAD8856" w14:textId="77B7F3EF"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Once the Mixed Contract has been formalized, Petróleos Mexicanos must submit it to the Secretary of Energy for registration and control.</w:t>
            </w:r>
          </w:p>
        </w:tc>
      </w:tr>
      <w:tr w:rsidR="003B20AD" w:rsidRPr="00475A0C" w14:paraId="0FD21C41" w14:textId="1F6458F0" w:rsidTr="007B36AB">
        <w:tc>
          <w:tcPr>
            <w:tcW w:w="4675" w:type="dxa"/>
          </w:tcPr>
          <w:p w14:paraId="0395405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Tratándose de las Asignaciones para Desarrollo Propio en las que Petróleos Mexicanos requiera complementar sus capacidades de conformidad con el artículo 22 de esta Ley, previa autorización de su Consejo de Administración, debe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su sustitución a una Asignación para Desarrollo Mixto, en términos del presente artículo, acompañándola con la justificación de la necesidad de la sustitución.</w:t>
            </w:r>
          </w:p>
        </w:tc>
        <w:tc>
          <w:tcPr>
            <w:tcW w:w="4675" w:type="dxa"/>
          </w:tcPr>
          <w:p w14:paraId="67B4AD60" w14:textId="605423C9"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In the case of Assignments for Self Development in which Petróleos Mexicanos requires complementing its capacities in accordance with article 22 of this Law, upon prior authorization from its Board of Directors, it must request from the Secretary of Energy its replacement with an Assignment for Mixed Development, in terms of this article, accompanying it with the justification of the need for the replacement.</w:t>
            </w:r>
          </w:p>
        </w:tc>
      </w:tr>
      <w:tr w:rsidR="003B20AD" w:rsidRPr="00475A0C" w14:paraId="37A3D5E1" w14:textId="5D8805EA" w:rsidTr="007B36AB">
        <w:tc>
          <w:tcPr>
            <w:tcW w:w="4675" w:type="dxa"/>
          </w:tcPr>
          <w:p w14:paraId="0A92AA81"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26.-</w:t>
            </w:r>
            <w:r w:rsidRPr="00475A0C">
              <w:rPr>
                <w:rFonts w:ascii="Verdana" w:hAnsi="Verdana"/>
                <w:sz w:val="16"/>
                <w:szCs w:val="16"/>
              </w:rPr>
              <w:t xml:space="preserve"> Los títulos de Asignación para Desarrollo Mixto que otorgue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deben establecer la propiedad exclusiva del Estado Mexicano sobre los Hidrocarburos en el Subsuelo e incluirán, entre otros, los siguientes elementos:</w:t>
            </w:r>
          </w:p>
        </w:tc>
        <w:tc>
          <w:tcPr>
            <w:tcW w:w="4675" w:type="dxa"/>
          </w:tcPr>
          <w:p w14:paraId="4657CF41" w14:textId="0C44A363"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26.- </w:t>
            </w:r>
            <w:r w:rsidRPr="00E3602D">
              <w:rPr>
                <w:rFonts w:ascii="Verdana" w:hAnsi="Verdana"/>
                <w:sz w:val="16"/>
                <w:szCs w:val="16"/>
                <w:lang w:val="en-US"/>
              </w:rPr>
              <w:t>The Mixed Development Assignment Titles granted by the Secretary of Energy must establish the exclusive ownership of the Mexican State over the hydrocarbons in the subsoil and will include, among others, the following elements:</w:t>
            </w:r>
          </w:p>
        </w:tc>
      </w:tr>
      <w:tr w:rsidR="003B20AD" w:rsidRPr="00475A0C" w14:paraId="72155958" w14:textId="16B5935C" w:rsidTr="007B36AB">
        <w:tc>
          <w:tcPr>
            <w:tcW w:w="4675" w:type="dxa"/>
          </w:tcPr>
          <w:p w14:paraId="2350E95D"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El Área de Asignación;</w:t>
            </w:r>
          </w:p>
        </w:tc>
        <w:tc>
          <w:tcPr>
            <w:tcW w:w="4675" w:type="dxa"/>
          </w:tcPr>
          <w:p w14:paraId="4EE2DE6D" w14:textId="5EA9EF36"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Assignment Area;</w:t>
            </w:r>
          </w:p>
        </w:tc>
      </w:tr>
      <w:tr w:rsidR="003B20AD" w:rsidRPr="00475A0C" w14:paraId="0E970FB4" w14:textId="5076804A" w:rsidTr="007B36AB">
        <w:tc>
          <w:tcPr>
            <w:tcW w:w="4675" w:type="dxa"/>
          </w:tcPr>
          <w:p w14:paraId="38116687"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Los términos y condiciones que deben observarse en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en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de Hidrocarburos;</w:t>
            </w:r>
          </w:p>
        </w:tc>
        <w:tc>
          <w:tcPr>
            <w:tcW w:w="4675" w:type="dxa"/>
          </w:tcPr>
          <w:p w14:paraId="6D247D88" w14:textId="383F8482"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The terms and conditions to be observed in the exploration and in the extraction of hydrocarbons;</w:t>
            </w:r>
          </w:p>
        </w:tc>
      </w:tr>
      <w:tr w:rsidR="003B20AD" w:rsidRPr="00475A0C" w14:paraId="0973E650" w14:textId="386B69C2" w:rsidTr="007B36AB">
        <w:tc>
          <w:tcPr>
            <w:tcW w:w="4675" w:type="dxa"/>
          </w:tcPr>
          <w:p w14:paraId="54422AE1"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Las condiciones y los mecanismos para la reducción, ampliación, devolución y renuncia del Área de Asignación, así como las causales de revocación;</w:t>
            </w:r>
          </w:p>
        </w:tc>
        <w:tc>
          <w:tcPr>
            <w:tcW w:w="4675" w:type="dxa"/>
          </w:tcPr>
          <w:p w14:paraId="0BC50ABA" w14:textId="4D45FCC5"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conditions and mechanisms for the reduction, expansion, return and resignation of the Assignment area, as well as the grounds for revocation;</w:t>
            </w:r>
          </w:p>
        </w:tc>
      </w:tr>
      <w:tr w:rsidR="003B20AD" w:rsidRPr="00475A0C" w14:paraId="352958BE" w14:textId="76154856" w:rsidTr="007B36AB">
        <w:tc>
          <w:tcPr>
            <w:tcW w:w="4675" w:type="dxa"/>
          </w:tcPr>
          <w:p w14:paraId="3E57461B"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Las condiciones para la unificación de Áreas de Asignación o Áreas Contractuales;</w:t>
            </w:r>
          </w:p>
        </w:tc>
        <w:tc>
          <w:tcPr>
            <w:tcW w:w="4675" w:type="dxa"/>
          </w:tcPr>
          <w:p w14:paraId="2985005B" w14:textId="2E2ED220"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The conditions for the unification of Assignment areas or contractual areas;</w:t>
            </w:r>
          </w:p>
        </w:tc>
      </w:tr>
      <w:tr w:rsidR="003B20AD" w:rsidRPr="00475A0C" w14:paraId="0796E8C7" w14:textId="63D590DB" w:rsidTr="007B36AB">
        <w:tc>
          <w:tcPr>
            <w:tcW w:w="4675" w:type="dxa"/>
          </w:tcPr>
          <w:p w14:paraId="0E3E5030"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La vigencia, así como las condiciones para su prórroga;</w:t>
            </w:r>
          </w:p>
        </w:tc>
        <w:tc>
          <w:tcPr>
            <w:tcW w:w="4675" w:type="dxa"/>
          </w:tcPr>
          <w:p w14:paraId="1323121B" w14:textId="39893100"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The validity, as well as the conditions for its extension;</w:t>
            </w:r>
          </w:p>
        </w:tc>
      </w:tr>
      <w:tr w:rsidR="003B20AD" w:rsidRPr="00475A0C" w14:paraId="42329850" w14:textId="6EA8C207" w:rsidTr="007B36AB">
        <w:tc>
          <w:tcPr>
            <w:tcW w:w="4675" w:type="dxa"/>
          </w:tcPr>
          <w:p w14:paraId="436CDBA1"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La adquisición de seguros;</w:t>
            </w:r>
          </w:p>
        </w:tc>
        <w:tc>
          <w:tcPr>
            <w:tcW w:w="4675" w:type="dxa"/>
          </w:tcPr>
          <w:p w14:paraId="5B287FC7" w14:textId="5F29AD48"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The acquisition of insurance;</w:t>
            </w:r>
          </w:p>
        </w:tc>
      </w:tr>
      <w:tr w:rsidR="003B20AD" w:rsidRPr="00475A0C" w14:paraId="5F941DF5" w14:textId="747DC640" w:rsidTr="007B36AB">
        <w:tc>
          <w:tcPr>
            <w:tcW w:w="4675" w:type="dxa"/>
          </w:tcPr>
          <w:p w14:paraId="2A0A1353"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El porcentaje mínimo de contenido nacional;</w:t>
            </w:r>
          </w:p>
        </w:tc>
        <w:tc>
          <w:tcPr>
            <w:tcW w:w="4675" w:type="dxa"/>
          </w:tcPr>
          <w:p w14:paraId="182B8CB9" w14:textId="5CE98CA7"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The minimum percentage of national content;</w:t>
            </w:r>
          </w:p>
        </w:tc>
      </w:tr>
      <w:tr w:rsidR="003B20AD" w:rsidRPr="00475A0C" w14:paraId="62FF7A13" w14:textId="7DCFDA88" w:rsidTr="007B36AB">
        <w:tc>
          <w:tcPr>
            <w:tcW w:w="4675" w:type="dxa"/>
          </w:tcPr>
          <w:p w14:paraId="504E32CB"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VIII.</w:t>
            </w:r>
            <w:r w:rsidRPr="00475A0C">
              <w:rPr>
                <w:rFonts w:ascii="Verdana" w:hAnsi="Verdana"/>
                <w:b/>
                <w:sz w:val="16"/>
                <w:szCs w:val="16"/>
              </w:rPr>
              <w:tab/>
            </w:r>
            <w:r w:rsidRPr="00475A0C">
              <w:rPr>
                <w:rFonts w:ascii="Verdana" w:hAnsi="Verdana"/>
                <w:sz w:val="16"/>
                <w:szCs w:val="16"/>
              </w:rPr>
              <w:t xml:space="preserve">El plazo para que la persona Asignataria presente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aprobación,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según corresponda, y</w:t>
            </w:r>
          </w:p>
        </w:tc>
        <w:tc>
          <w:tcPr>
            <w:tcW w:w="4675" w:type="dxa"/>
          </w:tcPr>
          <w:p w14:paraId="29FF8932" w14:textId="1707819D"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The term for the Assignee to submit to the Secretary of Energy for approval, the Exploration plan or the development plan for the extraction, as appropriate, and</w:t>
            </w:r>
          </w:p>
        </w:tc>
      </w:tr>
      <w:tr w:rsidR="003B20AD" w:rsidRPr="00475A0C" w14:paraId="2330D058" w14:textId="02A17177" w:rsidTr="007B36AB">
        <w:tc>
          <w:tcPr>
            <w:tcW w:w="4675" w:type="dxa"/>
          </w:tcPr>
          <w:p w14:paraId="7DFB0D0E"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Las obligaciones subsistentes a cargo de la persona Asignataria en caso de devolución o renuncia.</w:t>
            </w:r>
          </w:p>
        </w:tc>
        <w:tc>
          <w:tcPr>
            <w:tcW w:w="4675" w:type="dxa"/>
          </w:tcPr>
          <w:p w14:paraId="068AA4C5" w14:textId="6F2D673C"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b/>
                <w:sz w:val="16"/>
                <w:szCs w:val="16"/>
                <w:lang w:val="en-US"/>
              </w:rPr>
              <w:tab/>
            </w:r>
            <w:r w:rsidRPr="00E3602D">
              <w:rPr>
                <w:rFonts w:ascii="Verdana" w:hAnsi="Verdana"/>
                <w:sz w:val="16"/>
                <w:szCs w:val="16"/>
                <w:lang w:val="en-US"/>
              </w:rPr>
              <w:t>The obligations remaining in charge of the Assignee in case of return or resignation.</w:t>
            </w:r>
          </w:p>
        </w:tc>
      </w:tr>
      <w:tr w:rsidR="003B20AD" w:rsidRPr="00475A0C" w14:paraId="267C69B1" w14:textId="3663A537" w:rsidTr="007B36AB">
        <w:tc>
          <w:tcPr>
            <w:tcW w:w="4675" w:type="dxa"/>
          </w:tcPr>
          <w:p w14:paraId="22B575FF"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27.-</w:t>
            </w:r>
            <w:r w:rsidRPr="00475A0C">
              <w:rPr>
                <w:rFonts w:ascii="Verdana" w:hAnsi="Verdana"/>
                <w:sz w:val="16"/>
                <w:szCs w:val="16"/>
              </w:rPr>
              <w:t xml:space="preserve"> Excepcionalmente, los términos y condiciones establecidos en los títulos de Asignación </w:t>
            </w:r>
            <w:r w:rsidRPr="00475A0C">
              <w:rPr>
                <w:rFonts w:ascii="Verdana" w:hAnsi="Verdana"/>
                <w:sz w:val="16"/>
                <w:szCs w:val="16"/>
              </w:rPr>
              <w:lastRenderedPageBreak/>
              <w:t xml:space="preserve">para Desarrollo Mixto pueden ser modificados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previo acuerdo con Petróleos Mexicanos. Lo anterior, de acuerdo con las condiciones establecidas en el Reglamento de esta Ley.</w:t>
            </w:r>
          </w:p>
        </w:tc>
        <w:tc>
          <w:tcPr>
            <w:tcW w:w="4675" w:type="dxa"/>
          </w:tcPr>
          <w:p w14:paraId="27C5FED2" w14:textId="23B10850"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lastRenderedPageBreak/>
              <w:t xml:space="preserve">Article 27.- </w:t>
            </w:r>
            <w:r w:rsidRPr="00E3602D">
              <w:rPr>
                <w:rFonts w:ascii="Verdana" w:hAnsi="Verdana"/>
                <w:sz w:val="16"/>
                <w:szCs w:val="16"/>
                <w:lang w:val="en-US"/>
              </w:rPr>
              <w:t xml:space="preserve">Exceptionally, the terms and conditions established in the Mixed Development Assignment </w:t>
            </w:r>
            <w:r w:rsidRPr="00E3602D">
              <w:rPr>
                <w:rFonts w:ascii="Verdana" w:hAnsi="Verdana"/>
                <w:sz w:val="16"/>
                <w:szCs w:val="16"/>
                <w:lang w:val="en-US"/>
              </w:rPr>
              <w:lastRenderedPageBreak/>
              <w:t>Titles may be modified by the Secretary of Energy, following agreement with Petróleos Mexicanos. This will be in accordance with the conditions established in the Regulation of this Law.</w:t>
            </w:r>
          </w:p>
        </w:tc>
      </w:tr>
      <w:tr w:rsidR="003B20AD" w:rsidRPr="00475A0C" w14:paraId="350233B9" w14:textId="41966FC3" w:rsidTr="007B36AB">
        <w:tc>
          <w:tcPr>
            <w:tcW w:w="4675" w:type="dxa"/>
          </w:tcPr>
          <w:p w14:paraId="0DEF6BAB"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sz w:val="16"/>
                <w:szCs w:val="16"/>
              </w:rPr>
              <w:lastRenderedPageBreak/>
              <w:t xml:space="preserve">En el supuesto de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modifique el título de una Asignación para Desarrollo Mixto, y únicamente en caso de que dicha modificación impacte o modifique a su vez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se requiere la presentación, por parte de la persona Asignataria, del plan modificado de que se trate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aprobación.</w:t>
            </w:r>
          </w:p>
        </w:tc>
        <w:tc>
          <w:tcPr>
            <w:tcW w:w="4675" w:type="dxa"/>
          </w:tcPr>
          <w:p w14:paraId="434A683A" w14:textId="208B4DA1" w:rsidR="003B20AD" w:rsidRPr="00E3602D" w:rsidRDefault="003B20AD" w:rsidP="003B20AD">
            <w:pPr>
              <w:pStyle w:val="Texto"/>
              <w:spacing w:after="96"/>
              <w:ind w:firstLine="0"/>
              <w:rPr>
                <w:rFonts w:ascii="Verdana" w:hAnsi="Verdana"/>
                <w:sz w:val="16"/>
                <w:szCs w:val="16"/>
                <w:lang w:val="en-US"/>
              </w:rPr>
            </w:pPr>
            <w:r w:rsidRPr="00E3602D">
              <w:rPr>
                <w:rFonts w:ascii="Verdana" w:hAnsi="Verdana"/>
                <w:sz w:val="16"/>
                <w:szCs w:val="16"/>
                <w:lang w:val="en-US"/>
              </w:rPr>
              <w:t>In the event that the Secretary of Energy modifies the Mixed Development Assignment T</w:t>
            </w:r>
            <w:r w:rsidRPr="00E3602D">
              <w:rPr>
                <w:rFonts w:ascii="Verdana" w:hAnsi="Verdana"/>
                <w:sz w:val="16"/>
                <w:szCs w:val="16"/>
                <w:lang w:val="en-US"/>
              </w:rPr>
              <w:t>itle</w:t>
            </w:r>
            <w:r w:rsidRPr="00E3602D">
              <w:rPr>
                <w:rFonts w:ascii="Verdana" w:hAnsi="Verdana"/>
                <w:sz w:val="16"/>
                <w:szCs w:val="16"/>
                <w:lang w:val="en-US"/>
              </w:rPr>
              <w:t>, and only in the event that said modification impacts or modifies the exploration plan or the development plan for the extraction, the Assignee is required to submit the modified plan in question to the Secretary of Energy for approval.</w:t>
            </w:r>
          </w:p>
        </w:tc>
      </w:tr>
      <w:tr w:rsidR="003B20AD" w:rsidRPr="00475A0C" w14:paraId="4730705D" w14:textId="2C9DCEE5" w:rsidTr="007B36AB">
        <w:tc>
          <w:tcPr>
            <w:tcW w:w="4675" w:type="dxa"/>
          </w:tcPr>
          <w:p w14:paraId="30870751"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28.-</w:t>
            </w:r>
            <w:r w:rsidRPr="00475A0C">
              <w:rPr>
                <w:rFonts w:ascii="Verdana" w:hAnsi="Verdana"/>
                <w:sz w:val="16"/>
                <w:szCs w:val="16"/>
              </w:rPr>
              <w:t xml:space="preserve"> El Contrato Mixto debe contener, por lo menos, lo siguiente:</w:t>
            </w:r>
          </w:p>
        </w:tc>
        <w:tc>
          <w:tcPr>
            <w:tcW w:w="4675" w:type="dxa"/>
          </w:tcPr>
          <w:p w14:paraId="3D16EE4D" w14:textId="29217066"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Article 28.- </w:t>
            </w:r>
            <w:r w:rsidRPr="00E3602D">
              <w:rPr>
                <w:rFonts w:ascii="Verdana" w:hAnsi="Verdana"/>
                <w:sz w:val="16"/>
                <w:szCs w:val="16"/>
                <w:lang w:val="en-US"/>
              </w:rPr>
              <w:t>The Mixed Contract must contain, at least, the following:</w:t>
            </w:r>
          </w:p>
        </w:tc>
      </w:tr>
      <w:tr w:rsidR="003B20AD" w:rsidRPr="00475A0C" w14:paraId="2487CB25" w14:textId="20B73C59" w:rsidTr="007B36AB">
        <w:tc>
          <w:tcPr>
            <w:tcW w:w="4675" w:type="dxa"/>
          </w:tcPr>
          <w:p w14:paraId="285373A2"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Objeto;</w:t>
            </w:r>
          </w:p>
        </w:tc>
        <w:tc>
          <w:tcPr>
            <w:tcW w:w="4675" w:type="dxa"/>
          </w:tcPr>
          <w:p w14:paraId="3092EE29" w14:textId="02E1B753"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Purpose;</w:t>
            </w:r>
          </w:p>
        </w:tc>
      </w:tr>
      <w:tr w:rsidR="003B20AD" w:rsidRPr="00475A0C" w14:paraId="0DDA8B82" w14:textId="0225A129" w:rsidTr="007B36AB">
        <w:tc>
          <w:tcPr>
            <w:tcW w:w="4675" w:type="dxa"/>
          </w:tcPr>
          <w:p w14:paraId="08891440"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Plazo o vigencia;</w:t>
            </w:r>
          </w:p>
        </w:tc>
        <w:tc>
          <w:tcPr>
            <w:tcW w:w="4675" w:type="dxa"/>
          </w:tcPr>
          <w:p w14:paraId="78A44C73" w14:textId="7A9E1CBE"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Effective term or validity;</w:t>
            </w:r>
          </w:p>
        </w:tc>
      </w:tr>
      <w:tr w:rsidR="003B20AD" w:rsidRPr="00475A0C" w14:paraId="2AC0259E" w14:textId="605B4E9F" w:rsidTr="007B36AB">
        <w:tc>
          <w:tcPr>
            <w:tcW w:w="4675" w:type="dxa"/>
          </w:tcPr>
          <w:p w14:paraId="1426ACCE"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Designación del Operador Petrolero;</w:t>
            </w:r>
          </w:p>
        </w:tc>
        <w:tc>
          <w:tcPr>
            <w:tcW w:w="4675" w:type="dxa"/>
          </w:tcPr>
          <w:p w14:paraId="29E419C8" w14:textId="06A1A2AD"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Designation of the Petroleum Operator;</w:t>
            </w:r>
          </w:p>
        </w:tc>
      </w:tr>
      <w:tr w:rsidR="003B20AD" w:rsidRPr="00475A0C" w14:paraId="666B7DAE" w14:textId="4A9C59A0" w:rsidTr="007B36AB">
        <w:tc>
          <w:tcPr>
            <w:tcW w:w="4675" w:type="dxa"/>
          </w:tcPr>
          <w:p w14:paraId="286FDC84"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Interés de participación de las partes, en porcentaje;</w:t>
            </w:r>
          </w:p>
        </w:tc>
        <w:tc>
          <w:tcPr>
            <w:tcW w:w="4675" w:type="dxa"/>
          </w:tcPr>
          <w:p w14:paraId="6B273AA5" w14:textId="22650E76"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Participation interest of the parties, in percentage;</w:t>
            </w:r>
          </w:p>
        </w:tc>
      </w:tr>
      <w:tr w:rsidR="003B20AD" w:rsidRPr="00475A0C" w14:paraId="4C47D1C4" w14:textId="67E6B004" w:rsidTr="007B36AB">
        <w:tc>
          <w:tcPr>
            <w:tcW w:w="4675" w:type="dxa"/>
          </w:tcPr>
          <w:p w14:paraId="44C17239"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Límite de recuperación de costos;</w:t>
            </w:r>
          </w:p>
        </w:tc>
        <w:tc>
          <w:tcPr>
            <w:tcW w:w="4675" w:type="dxa"/>
          </w:tcPr>
          <w:p w14:paraId="17FB805E" w14:textId="19E87F2A"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Cost recovery limit;</w:t>
            </w:r>
          </w:p>
        </w:tc>
      </w:tr>
      <w:tr w:rsidR="003B20AD" w:rsidRPr="00475A0C" w14:paraId="19FADE19" w14:textId="0E2352BE" w:rsidTr="007B36AB">
        <w:tc>
          <w:tcPr>
            <w:tcW w:w="4675" w:type="dxa"/>
          </w:tcPr>
          <w:p w14:paraId="7A473CF8"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Contraprestaciones, que pueden ser determinadas en porcentaje de la producción o de la utilidad derivada de la venta de la producción;</w:t>
            </w:r>
          </w:p>
        </w:tc>
        <w:tc>
          <w:tcPr>
            <w:tcW w:w="4675" w:type="dxa"/>
          </w:tcPr>
          <w:p w14:paraId="7C29F718" w14:textId="07632DE0"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Considerations, which may be determined as a percentage of the production or of the profit derived from the sale of the production;</w:t>
            </w:r>
          </w:p>
        </w:tc>
      </w:tr>
      <w:tr w:rsidR="003B20AD" w:rsidRPr="00475A0C" w14:paraId="1F926FDD" w14:textId="517B4D8A" w:rsidTr="007B36AB">
        <w:tc>
          <w:tcPr>
            <w:tcW w:w="4675" w:type="dxa"/>
          </w:tcPr>
          <w:p w14:paraId="48271D0E"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g)</w:t>
            </w:r>
            <w:r w:rsidRPr="00475A0C">
              <w:rPr>
                <w:rFonts w:ascii="Verdana" w:hAnsi="Verdana"/>
                <w:b/>
                <w:sz w:val="16"/>
                <w:szCs w:val="16"/>
              </w:rPr>
              <w:tab/>
            </w:r>
            <w:r w:rsidRPr="00475A0C">
              <w:rPr>
                <w:rFonts w:ascii="Verdana" w:hAnsi="Verdana"/>
                <w:sz w:val="16"/>
                <w:szCs w:val="16"/>
              </w:rPr>
              <w:t>Garantías y seguros;</w:t>
            </w:r>
          </w:p>
        </w:tc>
        <w:tc>
          <w:tcPr>
            <w:tcW w:w="4675" w:type="dxa"/>
          </w:tcPr>
          <w:p w14:paraId="025A7BCE" w14:textId="02E3A606"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g) </w:t>
            </w:r>
            <w:r w:rsidRPr="00E3602D">
              <w:rPr>
                <w:rFonts w:ascii="Verdana" w:hAnsi="Verdana"/>
                <w:b/>
                <w:sz w:val="16"/>
                <w:szCs w:val="16"/>
                <w:lang w:val="en-US"/>
              </w:rPr>
              <w:tab/>
            </w:r>
            <w:r w:rsidRPr="00E3602D">
              <w:rPr>
                <w:rFonts w:ascii="Verdana" w:hAnsi="Verdana"/>
                <w:sz w:val="16"/>
                <w:szCs w:val="16"/>
                <w:lang w:val="en-US"/>
              </w:rPr>
              <w:t>Guarantees and insurance;</w:t>
            </w:r>
          </w:p>
        </w:tc>
      </w:tr>
      <w:tr w:rsidR="003B20AD" w:rsidRPr="00475A0C" w14:paraId="01E03A90" w14:textId="2C5DC17A" w:rsidTr="007B36AB">
        <w:tc>
          <w:tcPr>
            <w:tcW w:w="4675" w:type="dxa"/>
          </w:tcPr>
          <w:p w14:paraId="4FDA3997"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h)</w:t>
            </w:r>
            <w:r w:rsidRPr="00475A0C">
              <w:rPr>
                <w:rFonts w:ascii="Verdana" w:hAnsi="Verdana"/>
                <w:b/>
                <w:sz w:val="16"/>
                <w:szCs w:val="16"/>
              </w:rPr>
              <w:tab/>
            </w:r>
            <w:r w:rsidRPr="00475A0C">
              <w:rPr>
                <w:rFonts w:ascii="Verdana" w:hAnsi="Verdana"/>
                <w:sz w:val="16"/>
                <w:szCs w:val="16"/>
              </w:rPr>
              <w:t xml:space="preserve">Elaboración y aprobación de la propuesta de planes y programas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w:t>
            </w:r>
          </w:p>
        </w:tc>
        <w:tc>
          <w:tcPr>
            <w:tcW w:w="4675" w:type="dxa"/>
          </w:tcPr>
          <w:p w14:paraId="23D434D2" w14:textId="271B81F8"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h) </w:t>
            </w:r>
            <w:r w:rsidRPr="00E3602D">
              <w:rPr>
                <w:rFonts w:ascii="Verdana" w:hAnsi="Verdana"/>
                <w:b/>
                <w:sz w:val="16"/>
                <w:szCs w:val="16"/>
                <w:lang w:val="en-US"/>
              </w:rPr>
              <w:tab/>
            </w:r>
            <w:r w:rsidRPr="00E3602D">
              <w:rPr>
                <w:rFonts w:ascii="Verdana" w:hAnsi="Verdana"/>
                <w:sz w:val="16"/>
                <w:szCs w:val="16"/>
                <w:lang w:val="en-US"/>
              </w:rPr>
              <w:t>Preparation and approval of the proposal for exploration and development plans and programs for the extraction;</w:t>
            </w:r>
          </w:p>
        </w:tc>
      </w:tr>
      <w:tr w:rsidR="003B20AD" w:rsidRPr="00475A0C" w14:paraId="57C063C7" w14:textId="0E52436C" w:rsidTr="007B36AB">
        <w:tc>
          <w:tcPr>
            <w:tcW w:w="4675" w:type="dxa"/>
          </w:tcPr>
          <w:p w14:paraId="12335E96"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Responsabilidad de las partes y determinación del Operador Petrolero;</w:t>
            </w:r>
          </w:p>
        </w:tc>
        <w:tc>
          <w:tcPr>
            <w:tcW w:w="4675" w:type="dxa"/>
          </w:tcPr>
          <w:p w14:paraId="04F14541" w14:textId="1C57E8D6"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Responsibility of the parties and determination of the Petroleum Operator;</w:t>
            </w:r>
          </w:p>
        </w:tc>
      </w:tr>
      <w:tr w:rsidR="003B20AD" w:rsidRPr="00475A0C" w14:paraId="1F5851D2" w14:textId="78E3CB61" w:rsidTr="007B36AB">
        <w:tc>
          <w:tcPr>
            <w:tcW w:w="4675" w:type="dxa"/>
          </w:tcPr>
          <w:p w14:paraId="0AC0BE7C"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j)</w:t>
            </w:r>
            <w:r w:rsidRPr="00475A0C">
              <w:rPr>
                <w:rFonts w:ascii="Verdana" w:hAnsi="Verdana"/>
                <w:b/>
                <w:sz w:val="16"/>
                <w:szCs w:val="16"/>
              </w:rPr>
              <w:tab/>
            </w:r>
            <w:r w:rsidRPr="00475A0C">
              <w:rPr>
                <w:rFonts w:ascii="Verdana" w:hAnsi="Verdana"/>
                <w:sz w:val="16"/>
                <w:szCs w:val="16"/>
              </w:rPr>
              <w:t>Condiciones para su modificación;</w:t>
            </w:r>
          </w:p>
        </w:tc>
        <w:tc>
          <w:tcPr>
            <w:tcW w:w="4675" w:type="dxa"/>
          </w:tcPr>
          <w:p w14:paraId="55FE351C" w14:textId="721DDE09"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j) </w:t>
            </w:r>
            <w:r w:rsidRPr="00E3602D">
              <w:rPr>
                <w:rFonts w:ascii="Verdana" w:hAnsi="Verdana"/>
                <w:b/>
                <w:sz w:val="16"/>
                <w:szCs w:val="16"/>
                <w:lang w:val="en-US"/>
              </w:rPr>
              <w:tab/>
            </w:r>
            <w:r w:rsidRPr="00E3602D">
              <w:rPr>
                <w:rFonts w:ascii="Verdana" w:hAnsi="Verdana"/>
                <w:sz w:val="16"/>
                <w:szCs w:val="16"/>
                <w:lang w:val="en-US"/>
              </w:rPr>
              <w:t>Conditions for its modification;</w:t>
            </w:r>
          </w:p>
        </w:tc>
      </w:tr>
      <w:tr w:rsidR="003B20AD" w:rsidRPr="00475A0C" w14:paraId="4C375546" w14:textId="493D8362" w:rsidTr="007B36AB">
        <w:tc>
          <w:tcPr>
            <w:tcW w:w="4675" w:type="dxa"/>
          </w:tcPr>
          <w:p w14:paraId="1A47B6AA"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k)</w:t>
            </w:r>
            <w:r w:rsidRPr="00475A0C">
              <w:rPr>
                <w:rFonts w:ascii="Verdana" w:hAnsi="Verdana"/>
                <w:b/>
                <w:sz w:val="16"/>
                <w:szCs w:val="16"/>
              </w:rPr>
              <w:tab/>
            </w:r>
            <w:r w:rsidRPr="00475A0C">
              <w:rPr>
                <w:rFonts w:ascii="Verdana" w:hAnsi="Verdana"/>
                <w:sz w:val="16"/>
                <w:szCs w:val="16"/>
              </w:rPr>
              <w:t>Condiciones para la cesión de derechos y obligaciones y cambio de control operativo;</w:t>
            </w:r>
          </w:p>
        </w:tc>
        <w:tc>
          <w:tcPr>
            <w:tcW w:w="4675" w:type="dxa"/>
          </w:tcPr>
          <w:p w14:paraId="57E62CF4" w14:textId="7EDBEF0F"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k) </w:t>
            </w:r>
            <w:r w:rsidRPr="00E3602D">
              <w:rPr>
                <w:rFonts w:ascii="Verdana" w:hAnsi="Verdana"/>
                <w:b/>
                <w:sz w:val="16"/>
                <w:szCs w:val="16"/>
                <w:lang w:val="en-US"/>
              </w:rPr>
              <w:tab/>
            </w:r>
            <w:r w:rsidRPr="00E3602D">
              <w:rPr>
                <w:rFonts w:ascii="Verdana" w:hAnsi="Verdana"/>
                <w:sz w:val="16"/>
                <w:szCs w:val="16"/>
                <w:lang w:val="en-US"/>
              </w:rPr>
              <w:t>Conditions for the transfer of rights and obligations and change of operational control;</w:t>
            </w:r>
          </w:p>
        </w:tc>
      </w:tr>
      <w:tr w:rsidR="003B20AD" w:rsidRPr="00475A0C" w14:paraId="06695856" w14:textId="06EF77AC" w:rsidTr="007B36AB">
        <w:tc>
          <w:tcPr>
            <w:tcW w:w="4675" w:type="dxa"/>
          </w:tcPr>
          <w:p w14:paraId="01CF3D25"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l)</w:t>
            </w:r>
            <w:r w:rsidRPr="00475A0C">
              <w:rPr>
                <w:rFonts w:ascii="Verdana" w:hAnsi="Verdana"/>
                <w:b/>
                <w:sz w:val="16"/>
                <w:szCs w:val="16"/>
              </w:rPr>
              <w:tab/>
            </w:r>
            <w:r w:rsidRPr="00475A0C">
              <w:rPr>
                <w:rFonts w:ascii="Verdana" w:hAnsi="Verdana"/>
                <w:sz w:val="16"/>
                <w:szCs w:val="16"/>
              </w:rPr>
              <w:t>Mecanismos de solución de controversias y Jurisdicción aplicable;</w:t>
            </w:r>
          </w:p>
        </w:tc>
        <w:tc>
          <w:tcPr>
            <w:tcW w:w="4675" w:type="dxa"/>
          </w:tcPr>
          <w:p w14:paraId="2BCEC093" w14:textId="566F12F3"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l) </w:t>
            </w:r>
            <w:r w:rsidRPr="00E3602D">
              <w:rPr>
                <w:rFonts w:ascii="Verdana" w:hAnsi="Verdana"/>
                <w:b/>
                <w:sz w:val="16"/>
                <w:szCs w:val="16"/>
                <w:lang w:val="en-US"/>
              </w:rPr>
              <w:tab/>
            </w:r>
            <w:r w:rsidRPr="00E3602D">
              <w:rPr>
                <w:rFonts w:ascii="Verdana" w:hAnsi="Verdana"/>
                <w:sz w:val="16"/>
                <w:szCs w:val="16"/>
                <w:lang w:val="en-US"/>
              </w:rPr>
              <w:t>Dispute resolution mechanisms and applicable jurisdiction;</w:t>
            </w:r>
          </w:p>
        </w:tc>
      </w:tr>
      <w:tr w:rsidR="003B20AD" w:rsidRPr="00475A0C" w14:paraId="366EB11F" w14:textId="5C8D83D5" w:rsidTr="007B36AB">
        <w:tc>
          <w:tcPr>
            <w:tcW w:w="4675" w:type="dxa"/>
          </w:tcPr>
          <w:p w14:paraId="126E8EF3"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m)</w:t>
            </w:r>
            <w:r w:rsidRPr="00475A0C">
              <w:rPr>
                <w:rFonts w:ascii="Verdana" w:hAnsi="Verdana"/>
                <w:b/>
                <w:sz w:val="16"/>
                <w:szCs w:val="16"/>
              </w:rPr>
              <w:tab/>
            </w:r>
            <w:r w:rsidRPr="00475A0C">
              <w:rPr>
                <w:rFonts w:ascii="Verdana" w:hAnsi="Verdana"/>
                <w:sz w:val="16"/>
                <w:szCs w:val="16"/>
              </w:rPr>
              <w:t>Cláusulas de salida, de terminación y anticorrupción;</w:t>
            </w:r>
          </w:p>
        </w:tc>
        <w:tc>
          <w:tcPr>
            <w:tcW w:w="4675" w:type="dxa"/>
          </w:tcPr>
          <w:p w14:paraId="3C076BCE" w14:textId="7E36E1E5"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m) </w:t>
            </w:r>
            <w:r w:rsidRPr="00E3602D">
              <w:rPr>
                <w:rFonts w:ascii="Verdana" w:hAnsi="Verdana"/>
                <w:b/>
                <w:sz w:val="16"/>
                <w:szCs w:val="16"/>
                <w:lang w:val="en-US"/>
              </w:rPr>
              <w:tab/>
            </w:r>
            <w:r w:rsidRPr="00E3602D">
              <w:rPr>
                <w:rFonts w:ascii="Verdana" w:hAnsi="Verdana"/>
                <w:sz w:val="16"/>
                <w:szCs w:val="16"/>
                <w:lang w:val="en-US"/>
              </w:rPr>
              <w:t>Exit, termination and anti-corruption clauses;</w:t>
            </w:r>
          </w:p>
        </w:tc>
      </w:tr>
      <w:tr w:rsidR="003B20AD" w:rsidRPr="00475A0C" w14:paraId="0E0B40F3" w14:textId="1286F2DF" w:rsidTr="007B36AB">
        <w:tc>
          <w:tcPr>
            <w:tcW w:w="4675" w:type="dxa"/>
          </w:tcPr>
          <w:p w14:paraId="4F8DCD56"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n)</w:t>
            </w:r>
            <w:r w:rsidRPr="00475A0C">
              <w:rPr>
                <w:rFonts w:ascii="Verdana" w:hAnsi="Verdana"/>
                <w:b/>
                <w:sz w:val="16"/>
                <w:szCs w:val="16"/>
              </w:rPr>
              <w:tab/>
            </w:r>
            <w:r w:rsidRPr="00475A0C">
              <w:rPr>
                <w:rFonts w:ascii="Verdana" w:hAnsi="Verdana"/>
                <w:sz w:val="16"/>
                <w:szCs w:val="16"/>
              </w:rPr>
              <w:t>Integración, funcionamiento y facultades del Comité Operativo;</w:t>
            </w:r>
          </w:p>
        </w:tc>
        <w:tc>
          <w:tcPr>
            <w:tcW w:w="4675" w:type="dxa"/>
          </w:tcPr>
          <w:p w14:paraId="5E201D2B" w14:textId="1A85046E"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n) </w:t>
            </w:r>
            <w:r w:rsidRPr="00E3602D">
              <w:rPr>
                <w:rFonts w:ascii="Verdana" w:hAnsi="Verdana"/>
                <w:b/>
                <w:sz w:val="16"/>
                <w:szCs w:val="16"/>
                <w:lang w:val="en-US"/>
              </w:rPr>
              <w:tab/>
            </w:r>
            <w:r w:rsidRPr="00E3602D">
              <w:rPr>
                <w:rFonts w:ascii="Verdana" w:hAnsi="Verdana"/>
                <w:sz w:val="16"/>
                <w:szCs w:val="16"/>
                <w:lang w:val="en-US"/>
              </w:rPr>
              <w:t>Integration, operation and powers of the Operating Committee;</w:t>
            </w:r>
          </w:p>
        </w:tc>
      </w:tr>
      <w:tr w:rsidR="003B20AD" w:rsidRPr="00475A0C" w14:paraId="5C1C7E82" w14:textId="1CBC8602" w:rsidTr="007B36AB">
        <w:tc>
          <w:tcPr>
            <w:tcW w:w="4675" w:type="dxa"/>
          </w:tcPr>
          <w:p w14:paraId="60C7628C"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o)</w:t>
            </w:r>
            <w:r w:rsidRPr="00475A0C">
              <w:rPr>
                <w:rFonts w:ascii="Verdana" w:hAnsi="Verdana"/>
                <w:b/>
                <w:sz w:val="16"/>
                <w:szCs w:val="16"/>
              </w:rPr>
              <w:tab/>
            </w:r>
            <w:r w:rsidRPr="00475A0C">
              <w:rPr>
                <w:rFonts w:ascii="Verdana" w:hAnsi="Verdana"/>
                <w:sz w:val="16"/>
                <w:szCs w:val="16"/>
              </w:rPr>
              <w:t>Reglas para la toma de decisiones técnicas y operativas;</w:t>
            </w:r>
          </w:p>
        </w:tc>
        <w:tc>
          <w:tcPr>
            <w:tcW w:w="4675" w:type="dxa"/>
          </w:tcPr>
          <w:p w14:paraId="076DB998" w14:textId="7C07BBB6"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o) </w:t>
            </w:r>
            <w:r w:rsidRPr="00E3602D">
              <w:rPr>
                <w:rFonts w:ascii="Verdana" w:hAnsi="Verdana"/>
                <w:b/>
                <w:sz w:val="16"/>
                <w:szCs w:val="16"/>
                <w:lang w:val="en-US"/>
              </w:rPr>
              <w:tab/>
            </w:r>
            <w:r w:rsidRPr="00E3602D">
              <w:rPr>
                <w:rFonts w:ascii="Verdana" w:hAnsi="Verdana"/>
                <w:sz w:val="16"/>
                <w:szCs w:val="16"/>
                <w:lang w:val="en-US"/>
              </w:rPr>
              <w:t>Rules for making technical and operational decisions;</w:t>
            </w:r>
          </w:p>
        </w:tc>
      </w:tr>
      <w:tr w:rsidR="003B20AD" w:rsidRPr="00475A0C" w14:paraId="2077E559" w14:textId="2595E170" w:rsidTr="007B36AB">
        <w:tc>
          <w:tcPr>
            <w:tcW w:w="4675" w:type="dxa"/>
          </w:tcPr>
          <w:p w14:paraId="4C2E1F69"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p)</w:t>
            </w:r>
            <w:r w:rsidRPr="00475A0C">
              <w:rPr>
                <w:rFonts w:ascii="Verdana" w:hAnsi="Verdana"/>
                <w:b/>
                <w:sz w:val="16"/>
                <w:szCs w:val="16"/>
              </w:rPr>
              <w:tab/>
            </w:r>
            <w:r w:rsidRPr="00475A0C">
              <w:rPr>
                <w:rFonts w:ascii="Verdana" w:hAnsi="Verdana"/>
                <w:sz w:val="16"/>
                <w:szCs w:val="16"/>
              </w:rPr>
              <w:t>Mecanismos de control de costos, mínimos y máximos;</w:t>
            </w:r>
          </w:p>
        </w:tc>
        <w:tc>
          <w:tcPr>
            <w:tcW w:w="4675" w:type="dxa"/>
          </w:tcPr>
          <w:p w14:paraId="01F6533E" w14:textId="4FB92775"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p) </w:t>
            </w:r>
            <w:r w:rsidRPr="00E3602D">
              <w:rPr>
                <w:rFonts w:ascii="Verdana" w:hAnsi="Verdana"/>
                <w:b/>
                <w:sz w:val="16"/>
                <w:szCs w:val="16"/>
                <w:lang w:val="en-US"/>
              </w:rPr>
              <w:tab/>
            </w:r>
            <w:r w:rsidRPr="00E3602D">
              <w:rPr>
                <w:rFonts w:ascii="Verdana" w:hAnsi="Verdana"/>
                <w:sz w:val="16"/>
                <w:szCs w:val="16"/>
                <w:lang w:val="en-US"/>
              </w:rPr>
              <w:t>Cost control mechanisms, minimum and maximum;</w:t>
            </w:r>
          </w:p>
        </w:tc>
      </w:tr>
      <w:tr w:rsidR="003B20AD" w:rsidRPr="00475A0C" w14:paraId="328636B2" w14:textId="4E0046FC" w:rsidTr="007B36AB">
        <w:tc>
          <w:tcPr>
            <w:tcW w:w="4675" w:type="dxa"/>
          </w:tcPr>
          <w:p w14:paraId="32A657E2"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q)</w:t>
            </w:r>
            <w:r w:rsidRPr="00475A0C">
              <w:rPr>
                <w:rFonts w:ascii="Verdana" w:hAnsi="Verdana"/>
                <w:b/>
                <w:sz w:val="16"/>
                <w:szCs w:val="16"/>
              </w:rPr>
              <w:tab/>
            </w:r>
            <w:r w:rsidRPr="00475A0C">
              <w:rPr>
                <w:rFonts w:ascii="Verdana" w:hAnsi="Verdana"/>
                <w:sz w:val="16"/>
                <w:szCs w:val="16"/>
              </w:rPr>
              <w:t>Auditoría para la revisión y autorización de los costos, y</w:t>
            </w:r>
          </w:p>
        </w:tc>
        <w:tc>
          <w:tcPr>
            <w:tcW w:w="4675" w:type="dxa"/>
          </w:tcPr>
          <w:p w14:paraId="7BB01CB1" w14:textId="0D2B948A"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q) </w:t>
            </w:r>
            <w:r w:rsidRPr="00E3602D">
              <w:rPr>
                <w:rFonts w:ascii="Verdana" w:hAnsi="Verdana"/>
                <w:b/>
                <w:sz w:val="16"/>
                <w:szCs w:val="16"/>
                <w:lang w:val="en-US"/>
              </w:rPr>
              <w:tab/>
            </w:r>
            <w:r w:rsidRPr="00E3602D">
              <w:rPr>
                <w:rFonts w:ascii="Verdana" w:hAnsi="Verdana"/>
                <w:sz w:val="16"/>
                <w:szCs w:val="16"/>
                <w:lang w:val="en-US"/>
              </w:rPr>
              <w:t>Audit for the review and authorization of costs, and</w:t>
            </w:r>
          </w:p>
        </w:tc>
      </w:tr>
      <w:tr w:rsidR="003B20AD" w:rsidRPr="00475A0C" w14:paraId="5DA4A851" w14:textId="49FB0B3E" w:rsidTr="007B36AB">
        <w:tc>
          <w:tcPr>
            <w:tcW w:w="4675" w:type="dxa"/>
          </w:tcPr>
          <w:p w14:paraId="61ED09FA"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r)</w:t>
            </w:r>
            <w:r w:rsidRPr="00475A0C">
              <w:rPr>
                <w:rFonts w:ascii="Verdana" w:hAnsi="Verdana"/>
                <w:b/>
                <w:sz w:val="16"/>
                <w:szCs w:val="16"/>
              </w:rPr>
              <w:tab/>
            </w:r>
            <w:r w:rsidRPr="00475A0C">
              <w:rPr>
                <w:rFonts w:ascii="Verdana" w:hAnsi="Verdana"/>
                <w:sz w:val="16"/>
                <w:szCs w:val="16"/>
              </w:rPr>
              <w:t>Reglas relativas al abandono y remediación.</w:t>
            </w:r>
          </w:p>
        </w:tc>
        <w:tc>
          <w:tcPr>
            <w:tcW w:w="4675" w:type="dxa"/>
          </w:tcPr>
          <w:p w14:paraId="3EEB2FA7" w14:textId="5BEE2E39"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r) </w:t>
            </w:r>
            <w:r w:rsidRPr="00E3602D">
              <w:rPr>
                <w:rFonts w:ascii="Verdana" w:hAnsi="Verdana"/>
                <w:b/>
                <w:sz w:val="16"/>
                <w:szCs w:val="16"/>
                <w:lang w:val="en-US"/>
              </w:rPr>
              <w:tab/>
            </w:r>
            <w:r w:rsidRPr="00E3602D">
              <w:rPr>
                <w:rFonts w:ascii="Verdana" w:hAnsi="Verdana"/>
                <w:sz w:val="16"/>
                <w:szCs w:val="16"/>
                <w:lang w:val="en-US"/>
              </w:rPr>
              <w:t>Rules relating to abandonment and remediation.</w:t>
            </w:r>
          </w:p>
        </w:tc>
      </w:tr>
      <w:tr w:rsidR="003B20AD" w:rsidRPr="00475A0C" w14:paraId="171FD258" w14:textId="62EFF5AB" w:rsidTr="007B36AB">
        <w:tc>
          <w:tcPr>
            <w:tcW w:w="4675" w:type="dxa"/>
          </w:tcPr>
          <w:p w14:paraId="10DA05DE"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29.-</w:t>
            </w:r>
            <w:r w:rsidRPr="00475A0C">
              <w:rPr>
                <w:rFonts w:ascii="Verdana" w:hAnsi="Verdana"/>
                <w:sz w:val="16"/>
                <w:szCs w:val="16"/>
              </w:rPr>
              <w:t xml:space="preserve"> La legislación mercantil y el derecho común son aplicables para la celebración y ejecución de los Contratos Mixtos.</w:t>
            </w:r>
          </w:p>
        </w:tc>
        <w:tc>
          <w:tcPr>
            <w:tcW w:w="4675" w:type="dxa"/>
          </w:tcPr>
          <w:p w14:paraId="2AB09124" w14:textId="5B703478"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Article 29.- </w:t>
            </w:r>
            <w:r w:rsidRPr="00E3602D">
              <w:rPr>
                <w:rFonts w:ascii="Verdana" w:hAnsi="Verdana"/>
                <w:sz w:val="16"/>
                <w:szCs w:val="16"/>
                <w:lang w:val="en-US"/>
              </w:rPr>
              <w:t>Commercial legislation and common law are applicable for the conclusion and execution of Mixed Contracts.</w:t>
            </w:r>
          </w:p>
        </w:tc>
      </w:tr>
      <w:tr w:rsidR="003B20AD" w:rsidRPr="00475A0C" w14:paraId="1FFAF78D" w14:textId="3CAE8E6D" w:rsidTr="007B36AB">
        <w:tc>
          <w:tcPr>
            <w:tcW w:w="4675" w:type="dxa"/>
          </w:tcPr>
          <w:p w14:paraId="3AD53264"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lastRenderedPageBreak/>
              <w:t>Artículo 30.-</w:t>
            </w:r>
            <w:r w:rsidRPr="00475A0C">
              <w:rPr>
                <w:rFonts w:ascii="Verdana" w:hAnsi="Verdana"/>
                <w:sz w:val="16"/>
                <w:szCs w:val="16"/>
              </w:rPr>
              <w:t xml:space="preserve"> Con los ingresos derivados del volumen de producción de Hidrocarburos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deben cubrirse en primer término las obligaciones fiscales inherentes 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en términos de lo previsto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 en segundo término, se debe cubrir la recuperación de costos que no puede ser mayor al treinta por ciento del ingreso obtenido, el resto de los ingresos del volumen de hidrocarburos producidos debe repartirse entre las partes de acuerdo a su porcentaje de interés de participación establecido en el Contrato Mixto, conforme a la modalidad de contraprestación que se determine.</w:t>
            </w:r>
          </w:p>
        </w:tc>
        <w:tc>
          <w:tcPr>
            <w:tcW w:w="4675" w:type="dxa"/>
          </w:tcPr>
          <w:p w14:paraId="0F9AB0C2" w14:textId="722C10DD"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Article 30.- </w:t>
            </w:r>
            <w:r w:rsidRPr="00E3602D">
              <w:rPr>
                <w:rFonts w:ascii="Verdana" w:hAnsi="Verdana"/>
                <w:sz w:val="16"/>
                <w:szCs w:val="16"/>
                <w:lang w:val="en-US"/>
              </w:rPr>
              <w:t>With the income derived from the volume of hydrocarbon production of the Assignment, the inherent fiscal obligations must be covered in the first term of the provisions of the Law of Revenue from  Hydrocarbons; secondly, the cost recovery must be covered, which cannot exceed thirty percent of the income obtained; the remaining income from the volume of hydrocarbons produced must be distributed among the parties according to the percentage of participation interest established in the Mixed Contract, in accordance with the compensation modality that is determined.</w:t>
            </w:r>
          </w:p>
        </w:tc>
      </w:tr>
      <w:tr w:rsidR="003B20AD" w:rsidRPr="00475A0C" w14:paraId="2E7ADC36" w14:textId="7B7C1ED2" w:rsidTr="007B36AB">
        <w:tc>
          <w:tcPr>
            <w:tcW w:w="4675" w:type="dxa"/>
          </w:tcPr>
          <w:p w14:paraId="79F7B22A"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sz w:val="16"/>
                <w:szCs w:val="16"/>
              </w:rPr>
              <w:t xml:space="preserve">En caso de que por la naturaleza del campo, yacimiento o proyecto sea necesario tener una recuperación de costos mayor del treinta por ciento, pero que en ningún caso exceda el cuarenta por ciento, se debe contar con la aprobación del Consejo de Administración de Petróleos Mexicanos, previa aprobación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3B75D4A" w14:textId="0DE50445" w:rsidR="003B20AD" w:rsidRPr="00E3602D" w:rsidRDefault="003B20AD" w:rsidP="003B20AD">
            <w:pPr>
              <w:pStyle w:val="Texto"/>
              <w:spacing w:after="96"/>
              <w:ind w:firstLine="0"/>
              <w:rPr>
                <w:rFonts w:ascii="Verdana" w:hAnsi="Verdana"/>
                <w:sz w:val="16"/>
                <w:szCs w:val="16"/>
                <w:lang w:val="en-US"/>
              </w:rPr>
            </w:pPr>
            <w:r w:rsidRPr="00E3602D">
              <w:rPr>
                <w:rFonts w:ascii="Verdana" w:hAnsi="Verdana"/>
                <w:sz w:val="16"/>
                <w:szCs w:val="16"/>
                <w:lang w:val="en-US"/>
              </w:rPr>
              <w:t>In the event that, due to the nature of the field, reservoir or project, it is necessary to have a cost recovery greater than thirty percent, but in no case exceeding forty percent, the approval of the Board of Directors of Petróleos Mexicanos must be obtained, with prior approval from the Secretary of Energy.</w:t>
            </w:r>
          </w:p>
        </w:tc>
      </w:tr>
      <w:tr w:rsidR="003B20AD" w:rsidRPr="00475A0C" w14:paraId="61F5BF1C" w14:textId="0DEFEAB6" w:rsidTr="007B36AB">
        <w:tc>
          <w:tcPr>
            <w:tcW w:w="4675" w:type="dxa"/>
          </w:tcPr>
          <w:p w14:paraId="3A5ECD46"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31.-</w:t>
            </w:r>
            <w:r w:rsidRPr="00475A0C">
              <w:rPr>
                <w:rFonts w:ascii="Verdana" w:hAnsi="Verdana"/>
                <w:sz w:val="16"/>
                <w:szCs w:val="16"/>
              </w:rPr>
              <w:t xml:space="preserve"> Petróleos Mexicanos debe mantener un porcentaje de interés de participación en los Contratos Mixtos no menor al cuarenta por ciento.</w:t>
            </w:r>
          </w:p>
        </w:tc>
        <w:tc>
          <w:tcPr>
            <w:tcW w:w="4675" w:type="dxa"/>
          </w:tcPr>
          <w:p w14:paraId="480BFFDD" w14:textId="1AA38692"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31.- </w:t>
            </w:r>
            <w:r w:rsidRPr="00E3602D">
              <w:rPr>
                <w:rFonts w:ascii="Verdana" w:hAnsi="Verdana"/>
                <w:sz w:val="16"/>
                <w:szCs w:val="16"/>
                <w:lang w:val="en-US"/>
              </w:rPr>
              <w:t>Petróleos Mexicanos must maintain a participation interest percentage in Mixed Contracts of no less than forty percent.</w:t>
            </w:r>
          </w:p>
        </w:tc>
      </w:tr>
      <w:tr w:rsidR="003B20AD" w:rsidRPr="00475A0C" w14:paraId="52164B16" w14:textId="553DC120" w:rsidTr="007B36AB">
        <w:tc>
          <w:tcPr>
            <w:tcW w:w="4675" w:type="dxa"/>
          </w:tcPr>
          <w:p w14:paraId="2BB1765B"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32.-</w:t>
            </w:r>
            <w:r w:rsidRPr="00475A0C">
              <w:rPr>
                <w:rFonts w:ascii="Verdana" w:hAnsi="Verdana"/>
                <w:sz w:val="16"/>
                <w:szCs w:val="16"/>
              </w:rPr>
              <w:t xml:space="preserve"> Las Secretarías de Energía y de Hacienda y Crédito Público tiene la facultad para revisar la efectiva recuperación de los costos incurridos y demás contabilidad involucrada en el cumplimiento de las actividades objeto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w:t>
            </w:r>
          </w:p>
        </w:tc>
        <w:tc>
          <w:tcPr>
            <w:tcW w:w="4675" w:type="dxa"/>
          </w:tcPr>
          <w:p w14:paraId="3D26D1E6" w14:textId="3273752C"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32.- </w:t>
            </w:r>
            <w:r w:rsidRPr="00E3602D">
              <w:rPr>
                <w:rFonts w:ascii="Verdana" w:hAnsi="Verdana"/>
                <w:sz w:val="16"/>
                <w:szCs w:val="16"/>
                <w:lang w:val="en-US"/>
              </w:rPr>
              <w:t xml:space="preserve">The Secretaries of Energy and Finance and Public Credit have the authority to review the effective recovery of costs incurred and other accounting involved in the fulfillment of the activities subject to the </w:t>
            </w:r>
            <w:r w:rsidRPr="00E3602D">
              <w:rPr>
                <w:rFonts w:ascii="Verdana" w:hAnsi="Verdana"/>
                <w:sz w:val="16"/>
                <w:szCs w:val="16"/>
                <w:lang w:val="en-US"/>
              </w:rPr>
              <w:br/>
              <w:t>Assignment for Mixed Development.</w:t>
            </w:r>
          </w:p>
        </w:tc>
      </w:tr>
      <w:tr w:rsidR="003B20AD" w:rsidRPr="00475A0C" w14:paraId="360E7288" w14:textId="535989B2" w:rsidTr="007B36AB">
        <w:tc>
          <w:tcPr>
            <w:tcW w:w="4675" w:type="dxa"/>
          </w:tcPr>
          <w:p w14:paraId="3C4B7684"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En los Contratos Mixtos se debe establecer esta facultad de revisión.</w:t>
            </w:r>
          </w:p>
        </w:tc>
        <w:tc>
          <w:tcPr>
            <w:tcW w:w="4675" w:type="dxa"/>
          </w:tcPr>
          <w:p w14:paraId="2D0440DD" w14:textId="374B1001"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In Mixed Contracts this power of review must be established.</w:t>
            </w:r>
          </w:p>
        </w:tc>
      </w:tr>
      <w:tr w:rsidR="003B20AD" w:rsidRPr="00475A0C" w14:paraId="0C558B9E" w14:textId="053E0055" w:rsidTr="007B36AB">
        <w:tc>
          <w:tcPr>
            <w:tcW w:w="4675" w:type="dxa"/>
          </w:tcPr>
          <w:p w14:paraId="634C974F"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33.-</w:t>
            </w:r>
            <w:r w:rsidRPr="00475A0C">
              <w:rPr>
                <w:rFonts w:ascii="Verdana" w:hAnsi="Verdana"/>
                <w:sz w:val="16"/>
                <w:szCs w:val="16"/>
              </w:rPr>
              <w:t xml:space="preserve"> En materia de Asignaciones para Desarrollo Mixto,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369F639E" w14:textId="25FB2A7B"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33.- </w:t>
            </w:r>
            <w:r w:rsidRPr="00E3602D">
              <w:rPr>
                <w:rFonts w:ascii="Verdana" w:hAnsi="Verdana"/>
                <w:sz w:val="16"/>
                <w:szCs w:val="16"/>
                <w:lang w:val="en-US"/>
              </w:rPr>
              <w:t>With regards to Assignments for Mixed Development, the following is the responsibility of the Secretary of Energy:</w:t>
            </w:r>
          </w:p>
        </w:tc>
      </w:tr>
      <w:tr w:rsidR="003B20AD" w:rsidRPr="00475A0C" w14:paraId="6940681D" w14:textId="256542E9" w:rsidTr="007B36AB">
        <w:tc>
          <w:tcPr>
            <w:tcW w:w="4675" w:type="dxa"/>
          </w:tcPr>
          <w:p w14:paraId="48D9DEAD"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Otorgar o modificar Asignaciones para Desarrollo Mixto;</w:t>
            </w:r>
          </w:p>
        </w:tc>
        <w:tc>
          <w:tcPr>
            <w:tcW w:w="4675" w:type="dxa"/>
          </w:tcPr>
          <w:p w14:paraId="38C4A143" w14:textId="5D031D83"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To grant or modify Mixed Development Assignments;</w:t>
            </w:r>
          </w:p>
        </w:tc>
      </w:tr>
      <w:tr w:rsidR="003B20AD" w:rsidRPr="00475A0C" w14:paraId="4A3097BB" w14:textId="70C7A4F1" w:rsidTr="007B36AB">
        <w:tc>
          <w:tcPr>
            <w:tcW w:w="4675" w:type="dxa"/>
          </w:tcPr>
          <w:p w14:paraId="66E7157F"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Determinar el Área en posesión del Estado a otorgar, así como las condiciones técnicas y operativas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w:t>
            </w:r>
          </w:p>
        </w:tc>
        <w:tc>
          <w:tcPr>
            <w:tcW w:w="4675" w:type="dxa"/>
          </w:tcPr>
          <w:p w14:paraId="360F9C06" w14:textId="78270CAC"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To determine the area in possession of the State to be granted, as well as the technical and operational conditions for the Assignment for Mixed Development;</w:t>
            </w:r>
          </w:p>
        </w:tc>
      </w:tr>
      <w:tr w:rsidR="003B20AD" w:rsidRPr="00475A0C" w14:paraId="535488E0" w14:textId="67410B75" w:rsidTr="007B36AB">
        <w:tc>
          <w:tcPr>
            <w:tcW w:w="4675" w:type="dxa"/>
          </w:tcPr>
          <w:p w14:paraId="4539BEAB"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Autorizar la solicitud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w:t>
            </w:r>
          </w:p>
        </w:tc>
        <w:tc>
          <w:tcPr>
            <w:tcW w:w="4675" w:type="dxa"/>
          </w:tcPr>
          <w:p w14:paraId="45616B75" w14:textId="78866739"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To authorize the request for the Assignment for Mixed Development;</w:t>
            </w:r>
          </w:p>
        </w:tc>
      </w:tr>
      <w:tr w:rsidR="003B20AD" w:rsidRPr="00475A0C" w14:paraId="2EEADC03" w14:textId="5DE72DB1" w:rsidTr="007B36AB">
        <w:tc>
          <w:tcPr>
            <w:tcW w:w="4675" w:type="dxa"/>
          </w:tcPr>
          <w:p w14:paraId="6D13E2A6"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Administrar técnicamente y supervisar el cumplimiento de los términos y condiciones de estas;</w:t>
            </w:r>
          </w:p>
        </w:tc>
        <w:tc>
          <w:tcPr>
            <w:tcW w:w="4675" w:type="dxa"/>
          </w:tcPr>
          <w:p w14:paraId="08D0C25C" w14:textId="065CE0DF"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To technically manage and supervise compliance with the terms and conditions of these;</w:t>
            </w:r>
          </w:p>
        </w:tc>
      </w:tr>
      <w:tr w:rsidR="003B20AD" w:rsidRPr="00475A0C" w14:paraId="4650DD72" w14:textId="713B823E" w:rsidTr="007B36AB">
        <w:tc>
          <w:tcPr>
            <w:tcW w:w="4675" w:type="dxa"/>
          </w:tcPr>
          <w:p w14:paraId="0307338A"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Llevar el registro de las Asignaciones para Desarrollo Mixto, así como de los Contratos Mixtos relacionados con las mismas;</w:t>
            </w:r>
          </w:p>
        </w:tc>
        <w:tc>
          <w:tcPr>
            <w:tcW w:w="4675" w:type="dxa"/>
          </w:tcPr>
          <w:p w14:paraId="13006B7A" w14:textId="0E558D43"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To keep records of the Mixed Development Assignments, as well as the Mixed Contracts related to them;</w:t>
            </w:r>
          </w:p>
        </w:tc>
      </w:tr>
      <w:tr w:rsidR="003B20AD" w:rsidRPr="00475A0C" w14:paraId="307ED0A7" w14:textId="3F4662AF" w:rsidTr="007B36AB">
        <w:tc>
          <w:tcPr>
            <w:tcW w:w="4675" w:type="dxa"/>
          </w:tcPr>
          <w:p w14:paraId="274C2D9E"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Aprobar la reducción, ampliación, devolución o renuncia del Área de Asignación, así como la revocación, y</w:t>
            </w:r>
          </w:p>
        </w:tc>
        <w:tc>
          <w:tcPr>
            <w:tcW w:w="4675" w:type="dxa"/>
          </w:tcPr>
          <w:p w14:paraId="0A449D9B" w14:textId="5374EC98"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To approve the reduction, expansion, return or waiver of the Assignment Area, as well as the revocation, and</w:t>
            </w:r>
          </w:p>
        </w:tc>
      </w:tr>
      <w:tr w:rsidR="003B20AD" w:rsidRPr="00475A0C" w14:paraId="7A4C9C82" w14:textId="5F7753E3" w:rsidTr="007B36AB">
        <w:tc>
          <w:tcPr>
            <w:tcW w:w="4675" w:type="dxa"/>
          </w:tcPr>
          <w:p w14:paraId="0C1770BC"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 xml:space="preserve">Aprobar los planes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así como sus modificaciones.</w:t>
            </w:r>
          </w:p>
        </w:tc>
        <w:tc>
          <w:tcPr>
            <w:tcW w:w="4675" w:type="dxa"/>
          </w:tcPr>
          <w:p w14:paraId="7FDA0560" w14:textId="2C8CE6FD"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To approve the Exploration and development plans for the extraction, as well as their modifications.</w:t>
            </w:r>
          </w:p>
        </w:tc>
      </w:tr>
      <w:tr w:rsidR="003B20AD" w:rsidRPr="00475A0C" w14:paraId="3F92EEBF" w14:textId="342D7633" w:rsidTr="007B36AB">
        <w:tc>
          <w:tcPr>
            <w:tcW w:w="4675" w:type="dxa"/>
          </w:tcPr>
          <w:p w14:paraId="681D1A9D"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lastRenderedPageBreak/>
              <w:t>Artículo 34.-</w:t>
            </w:r>
            <w:r w:rsidRPr="00475A0C">
              <w:rPr>
                <w:rFonts w:ascii="Verdana" w:hAnsi="Verdana"/>
                <w:sz w:val="16"/>
                <w:szCs w:val="16"/>
              </w:rPr>
              <w:t xml:space="preserve"> Cuando la persona Asignataria decida no continuar con los trabajos de Exploración o Extracción de Hidrocarburos, puede renunciar 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 correspondiente. Para lo anterior debe contar con la aprobación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4F1C46A3" w14:textId="577E9BC9"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34.- </w:t>
            </w:r>
            <w:r w:rsidRPr="00E3602D">
              <w:rPr>
                <w:rFonts w:ascii="Verdana" w:hAnsi="Verdana"/>
                <w:sz w:val="16"/>
                <w:szCs w:val="16"/>
                <w:lang w:val="en-US"/>
              </w:rPr>
              <w:t>When the Assignee decides not to continue with the hydrocarbon exploration or extraction works, they may renounce the Assignment corresponding to the Mixed Development. To do so, they must have the approval of the Secretary of Energy.</w:t>
            </w:r>
          </w:p>
        </w:tc>
      </w:tr>
      <w:tr w:rsidR="003B20AD" w:rsidRPr="00475A0C" w14:paraId="193D5E14" w14:textId="56EB9EA2" w:rsidTr="007B36AB">
        <w:tc>
          <w:tcPr>
            <w:tcW w:w="4675" w:type="dxa"/>
          </w:tcPr>
          <w:p w14:paraId="02DDFCF1"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 xml:space="preserve">En el supuesto previsto en el párrafo anterior, el Área de Asignación debe ser devuelta al Estado, en buen estado, sin cargo, pago, ni indemnización alguna por parte de éste,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determinar su operación en los términos que considere convenientes conforme a esta Ley.</w:t>
            </w:r>
          </w:p>
        </w:tc>
        <w:tc>
          <w:tcPr>
            <w:tcW w:w="4675" w:type="dxa"/>
          </w:tcPr>
          <w:p w14:paraId="2831906F" w14:textId="21862A58"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In the event provided for in the preceding paragraph, the Assignment Area must be returned to the State, in good condition, without charge, payment, or compensation of any kind, and the Secretary of Energy may determine its operation under the terms it deems appropriate in accordance with this Law.</w:t>
            </w:r>
          </w:p>
        </w:tc>
      </w:tr>
      <w:tr w:rsidR="003B20AD" w:rsidRPr="00475A0C" w14:paraId="07C3A3D9" w14:textId="4D02DF6B" w:rsidTr="007B36AB">
        <w:tc>
          <w:tcPr>
            <w:tcW w:w="4675" w:type="dxa"/>
          </w:tcPr>
          <w:p w14:paraId="624EE568"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Artículo 35.-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revocar una Asignación para Desarrollo Mixto y recuperar el Área de Asignación cuando se presente alguna de las causas graves previstas en el artículo 18 de la presente Ley.</w:t>
            </w:r>
          </w:p>
        </w:tc>
        <w:tc>
          <w:tcPr>
            <w:tcW w:w="4675" w:type="dxa"/>
          </w:tcPr>
          <w:p w14:paraId="0241DA2D" w14:textId="2F2B46A9"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35.- </w:t>
            </w:r>
            <w:r w:rsidRPr="00E3602D">
              <w:rPr>
                <w:rFonts w:ascii="Verdana" w:hAnsi="Verdana"/>
                <w:sz w:val="16"/>
                <w:szCs w:val="16"/>
                <w:lang w:val="en-US"/>
              </w:rPr>
              <w:t>The Secretary of Energy may revoke an Assignment for Mixed Development and recover the Assignment Area when any of the serious causes provided for in Article 18 of this Law arise.</w:t>
            </w:r>
          </w:p>
        </w:tc>
      </w:tr>
      <w:tr w:rsidR="003B20AD" w:rsidRPr="00475A0C" w14:paraId="5377D603" w14:textId="3E06BFEF" w:rsidTr="007B36AB">
        <w:tc>
          <w:tcPr>
            <w:tcW w:w="4675" w:type="dxa"/>
          </w:tcPr>
          <w:p w14:paraId="77715FDF"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36.-</w:t>
            </w:r>
            <w:r w:rsidRPr="00475A0C">
              <w:rPr>
                <w:rFonts w:ascii="Verdana" w:hAnsi="Verdana"/>
                <w:sz w:val="16"/>
                <w:szCs w:val="16"/>
              </w:rPr>
              <w:t xml:space="preserve"> Para la revocación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para Desarrollo Mixto debe atenderse lo establecido en los artículos 19, 20 y 21 de la presente Ley.</w:t>
            </w:r>
          </w:p>
        </w:tc>
        <w:tc>
          <w:tcPr>
            <w:tcW w:w="4675" w:type="dxa"/>
          </w:tcPr>
          <w:p w14:paraId="23FDFBC2" w14:textId="5EF981FD"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36.- </w:t>
            </w:r>
            <w:r w:rsidRPr="00E3602D">
              <w:rPr>
                <w:rFonts w:ascii="Verdana" w:hAnsi="Verdana"/>
                <w:sz w:val="16"/>
                <w:szCs w:val="16"/>
                <w:lang w:val="en-US"/>
              </w:rPr>
              <w:t>For the revocation of the Assignment for Mixed Development, the provisions of articles 19, 20 and 21 of this Law must be observed.</w:t>
            </w:r>
          </w:p>
        </w:tc>
      </w:tr>
      <w:tr w:rsidR="003B20AD" w:rsidRPr="00475A0C" w14:paraId="150E9660" w14:textId="2BAF6F76" w:rsidTr="007B36AB">
        <w:tc>
          <w:tcPr>
            <w:tcW w:w="4675" w:type="dxa"/>
          </w:tcPr>
          <w:p w14:paraId="375A0F6D" w14:textId="77777777" w:rsidR="003B20AD" w:rsidRPr="00475A0C" w:rsidRDefault="003B20AD" w:rsidP="003B20AD">
            <w:pPr>
              <w:pStyle w:val="Texto"/>
              <w:spacing w:line="222" w:lineRule="exact"/>
              <w:ind w:firstLine="0"/>
              <w:jc w:val="center"/>
              <w:rPr>
                <w:rFonts w:ascii="Verdana" w:hAnsi="Verdana"/>
                <w:b/>
                <w:sz w:val="16"/>
                <w:szCs w:val="16"/>
              </w:rPr>
            </w:pPr>
            <w:r w:rsidRPr="00475A0C">
              <w:rPr>
                <w:rFonts w:ascii="Verdana" w:hAnsi="Verdana"/>
                <w:b/>
                <w:sz w:val="16"/>
                <w:szCs w:val="16"/>
              </w:rPr>
              <w:t>Capítulo IV</w:t>
            </w:r>
          </w:p>
        </w:tc>
        <w:tc>
          <w:tcPr>
            <w:tcW w:w="4675" w:type="dxa"/>
          </w:tcPr>
          <w:p w14:paraId="0453CB4D" w14:textId="124EF657" w:rsidR="003B20AD" w:rsidRPr="00E3602D" w:rsidRDefault="003B20AD" w:rsidP="003B20AD">
            <w:pPr>
              <w:pStyle w:val="Texto"/>
              <w:spacing w:line="222" w:lineRule="exact"/>
              <w:ind w:firstLine="0"/>
              <w:jc w:val="center"/>
              <w:rPr>
                <w:rFonts w:ascii="Verdana" w:hAnsi="Verdana"/>
                <w:b/>
                <w:sz w:val="16"/>
                <w:szCs w:val="16"/>
                <w:lang w:val="en-US"/>
              </w:rPr>
            </w:pPr>
            <w:r w:rsidRPr="00E3602D">
              <w:rPr>
                <w:rFonts w:ascii="Verdana" w:hAnsi="Verdana"/>
                <w:b/>
                <w:sz w:val="16"/>
                <w:szCs w:val="16"/>
                <w:lang w:val="en-US"/>
              </w:rPr>
              <w:t>Chapter IV</w:t>
            </w:r>
          </w:p>
        </w:tc>
      </w:tr>
      <w:tr w:rsidR="003B20AD" w:rsidRPr="00475A0C" w14:paraId="33862E6A" w14:textId="2F5C51BB" w:rsidTr="007B36AB">
        <w:tc>
          <w:tcPr>
            <w:tcW w:w="4675" w:type="dxa"/>
          </w:tcPr>
          <w:p w14:paraId="6BABA92E" w14:textId="77777777" w:rsidR="003B20AD" w:rsidRPr="00475A0C" w:rsidRDefault="003B20AD" w:rsidP="003B20AD">
            <w:pPr>
              <w:pStyle w:val="Texto"/>
              <w:spacing w:line="222" w:lineRule="exact"/>
              <w:ind w:firstLine="0"/>
              <w:jc w:val="center"/>
              <w:rPr>
                <w:rFonts w:ascii="Verdana" w:hAnsi="Verdana"/>
                <w:b/>
                <w:sz w:val="16"/>
                <w:szCs w:val="16"/>
              </w:rPr>
            </w:pPr>
            <w:r w:rsidRPr="00475A0C">
              <w:rPr>
                <w:rFonts w:ascii="Verdana" w:hAnsi="Verdana"/>
                <w:b/>
                <w:sz w:val="16"/>
                <w:szCs w:val="16"/>
              </w:rPr>
              <w:t xml:space="preserve">De los Contratos para </w:t>
            </w:r>
            <w:smartTag w:uri="urn:schemas-microsoft-com:office:smarttags" w:element="PersonName">
              <w:smartTagPr>
                <w:attr w:name="ProductID" w:val="la Exploración"/>
              </w:smartTagPr>
              <w:r w:rsidRPr="00475A0C">
                <w:rPr>
                  <w:rFonts w:ascii="Verdana" w:hAnsi="Verdana"/>
                  <w:b/>
                  <w:sz w:val="16"/>
                  <w:szCs w:val="16"/>
                </w:rPr>
                <w:t>la Exploración</w:t>
              </w:r>
            </w:smartTag>
            <w:r w:rsidRPr="00475A0C">
              <w:rPr>
                <w:rFonts w:ascii="Verdana" w:hAnsi="Verdana"/>
                <w:b/>
                <w:sz w:val="16"/>
                <w:szCs w:val="16"/>
              </w:rPr>
              <w:t xml:space="preserve"> y Extracción</w:t>
            </w:r>
          </w:p>
        </w:tc>
        <w:tc>
          <w:tcPr>
            <w:tcW w:w="4675" w:type="dxa"/>
          </w:tcPr>
          <w:p w14:paraId="03B842A9" w14:textId="1FFCCB4A" w:rsidR="003B20AD" w:rsidRPr="00E3602D" w:rsidRDefault="003B20AD" w:rsidP="003B20AD">
            <w:pPr>
              <w:pStyle w:val="Texto"/>
              <w:spacing w:line="222" w:lineRule="exact"/>
              <w:ind w:firstLine="0"/>
              <w:jc w:val="center"/>
              <w:rPr>
                <w:rFonts w:ascii="Verdana" w:hAnsi="Verdana"/>
                <w:b/>
                <w:sz w:val="16"/>
                <w:szCs w:val="16"/>
                <w:lang w:val="en-US"/>
              </w:rPr>
            </w:pPr>
            <w:r w:rsidRPr="00E3602D">
              <w:rPr>
                <w:rFonts w:ascii="Verdana" w:hAnsi="Verdana"/>
                <w:b/>
                <w:sz w:val="16"/>
                <w:szCs w:val="16"/>
                <w:lang w:val="en-US"/>
              </w:rPr>
              <w:t>Contracts for exploration and extraction</w:t>
            </w:r>
          </w:p>
        </w:tc>
      </w:tr>
      <w:tr w:rsidR="003B20AD" w:rsidRPr="00475A0C" w14:paraId="0F7A89BB" w14:textId="36B52018" w:rsidTr="007B36AB">
        <w:tc>
          <w:tcPr>
            <w:tcW w:w="4675" w:type="dxa"/>
          </w:tcPr>
          <w:p w14:paraId="3DAF7725"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Artículo 37.-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 manera excepcional, puede celebrar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para lo anterior, debe expedir previamente los lineamientos que regulen su procedimiento de licitación. De la misma forma deben observarse los lineamientos que para tal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en el ámbito de su competencia.</w:t>
            </w:r>
          </w:p>
        </w:tc>
        <w:tc>
          <w:tcPr>
            <w:tcW w:w="4675" w:type="dxa"/>
          </w:tcPr>
          <w:p w14:paraId="5D9D1388" w14:textId="126D51D7"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37.- </w:t>
            </w:r>
            <w:r w:rsidRPr="00E3602D">
              <w:rPr>
                <w:rFonts w:ascii="Verdana" w:hAnsi="Verdana"/>
                <w:sz w:val="16"/>
                <w:szCs w:val="16"/>
                <w:lang w:val="en-US"/>
              </w:rPr>
              <w:t>The Secretary of Energy, on an exceptional basis, may enter into Contracts for exploration and extraction of hydrocarbons. To this end, it must first issue the guidelines governing its bidding process. Likewise, the guidelines issued for this purpose by the Secretary of Finance and Public Credit within its scope of jurisdiction must be observed.</w:t>
            </w:r>
          </w:p>
        </w:tc>
      </w:tr>
      <w:tr w:rsidR="003B20AD" w:rsidRPr="00475A0C" w14:paraId="5A5F0C50" w14:textId="0B7B632F" w:rsidTr="007B36AB">
        <w:tc>
          <w:tcPr>
            <w:tcW w:w="4675" w:type="dxa"/>
          </w:tcPr>
          <w:p w14:paraId="6B0282C1"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 xml:space="preserve">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deben establecer invariablemente que los Hidrocarburos en el Subsuelo son propiedad de la Nación.</w:t>
            </w:r>
          </w:p>
        </w:tc>
        <w:tc>
          <w:tcPr>
            <w:tcW w:w="4675" w:type="dxa"/>
          </w:tcPr>
          <w:p w14:paraId="1798ADFC" w14:textId="4000E8EC"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The Contracts for exploration and extraction must invariably establish that the hydrocarbons in the subsoil are the property of the Nation.</w:t>
            </w:r>
          </w:p>
        </w:tc>
      </w:tr>
      <w:tr w:rsidR="003B20AD" w:rsidRPr="00475A0C" w14:paraId="3BD0E769" w14:textId="0C1A4AE1" w:rsidTr="007B36AB">
        <w:tc>
          <w:tcPr>
            <w:tcW w:w="4675" w:type="dxa"/>
          </w:tcPr>
          <w:p w14:paraId="0B684FFA"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38.-</w:t>
            </w:r>
            <w:r w:rsidRPr="00475A0C">
              <w:rPr>
                <w:rFonts w:ascii="Verdana" w:hAnsi="Verdana"/>
                <w:sz w:val="16"/>
                <w:szCs w:val="16"/>
              </w:rPr>
              <w:t xml:space="preserve"> Petróleos Mexicanos puede celebrar alianzas o asociaciones para participar en los procesos de licitación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conforme a las disposiciones previstas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w:t>
            </w:r>
            <w:smartTag w:uri="urn:schemas-microsoft-com:office:smarttags" w:element="PersonName">
              <w:smartTagPr>
                <w:attr w:name="ProductID" w:val="la Empresa Pública"/>
              </w:smartTagPr>
              <w:r w:rsidRPr="00475A0C">
                <w:rPr>
                  <w:rFonts w:ascii="Verdana" w:hAnsi="Verdana"/>
                  <w:sz w:val="16"/>
                  <w:szCs w:val="16"/>
                </w:rPr>
                <w:t>la Empresa Pública</w:t>
              </w:r>
            </w:smartTag>
            <w:r w:rsidRPr="00475A0C">
              <w:rPr>
                <w:rFonts w:ascii="Verdana" w:hAnsi="Verdana"/>
                <w:sz w:val="16"/>
                <w:szCs w:val="16"/>
              </w:rPr>
              <w:t xml:space="preserve"> del Estado, Petróleos Mexicanos. La legislación mercantil y el derecho común son aplicables para la celebración y ejecución de las alianzas o asociaciones a que se refiere el presente artículo.</w:t>
            </w:r>
          </w:p>
        </w:tc>
        <w:tc>
          <w:tcPr>
            <w:tcW w:w="4675" w:type="dxa"/>
          </w:tcPr>
          <w:p w14:paraId="67B7498A" w14:textId="291C6D13"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38.- </w:t>
            </w:r>
            <w:r w:rsidRPr="00E3602D">
              <w:rPr>
                <w:rFonts w:ascii="Verdana" w:hAnsi="Verdana"/>
                <w:sz w:val="16"/>
                <w:szCs w:val="16"/>
                <w:lang w:val="en-US"/>
              </w:rPr>
              <w:t>Petróleos Mexicanos (Pemex) may enter into alliances or partnerships to participate in bidding processes for Contracts for exploration and extraction, in accordance with the provisions established in the Law of the Public Company of the State, Petróleos Mexicanos. The commercial legislation and common law shall apply to the conclusion and execution of the alliances or partnerships referred to in this article.</w:t>
            </w:r>
          </w:p>
        </w:tc>
      </w:tr>
      <w:tr w:rsidR="003B20AD" w:rsidRPr="00475A0C" w14:paraId="3F0940C9" w14:textId="27CE5BBE" w:rsidTr="007B36AB">
        <w:tc>
          <w:tcPr>
            <w:tcW w:w="4675" w:type="dxa"/>
          </w:tcPr>
          <w:p w14:paraId="584A8CD2"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 xml:space="preserve">Las alianzas o asociaciones pueden realizarse bajo esquemas que permitan la mayor productividad y rentabilidad, incluyendo modalidades en las que pueden compartir costos, gastos, inversiones, riesgos, así como utilidades, producción y demás aspectos de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la Extracción.</w:t>
            </w:r>
          </w:p>
        </w:tc>
        <w:tc>
          <w:tcPr>
            <w:tcW w:w="4675" w:type="dxa"/>
          </w:tcPr>
          <w:p w14:paraId="32A24085" w14:textId="2482AF66"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The alliances or partnerships can be established under schemes that allow for greater productivity and profitability, including modalities in which they can share costs, expenses, investments, risks, as well as profits, production, and other aspects of the exploration and extraction.</w:t>
            </w:r>
          </w:p>
        </w:tc>
      </w:tr>
      <w:tr w:rsidR="003B20AD" w:rsidRPr="00475A0C" w14:paraId="6D34208F" w14:textId="794D62AF" w:rsidTr="007B36AB">
        <w:tc>
          <w:tcPr>
            <w:tcW w:w="4675" w:type="dxa"/>
          </w:tcPr>
          <w:p w14:paraId="61073975"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Para realizar actividades de Exploración y Extracción de Hidrocarburos, Petróleos Mexicanos no puede celebrar con Particulares contratos de asociación público-privada en términos de la ley en la materia.</w:t>
            </w:r>
          </w:p>
        </w:tc>
        <w:tc>
          <w:tcPr>
            <w:tcW w:w="4675" w:type="dxa"/>
          </w:tcPr>
          <w:p w14:paraId="28CFBFEC" w14:textId="48D47519"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To carry out hydrocarbon exploration and extraction activities, Petróleos Mexicanos cannot enter into public-private partnership contracts with private parties under the relevant law.</w:t>
            </w:r>
          </w:p>
        </w:tc>
      </w:tr>
      <w:tr w:rsidR="003B20AD" w:rsidRPr="00475A0C" w14:paraId="2773B999" w14:textId="5342A489" w:rsidTr="007B36AB">
        <w:tc>
          <w:tcPr>
            <w:tcW w:w="4675" w:type="dxa"/>
          </w:tcPr>
          <w:p w14:paraId="03D1ECBD"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39.-</w:t>
            </w:r>
            <w:r w:rsidRPr="00475A0C">
              <w:rPr>
                <w:rFonts w:ascii="Verdana" w:hAnsi="Verdana"/>
                <w:sz w:val="16"/>
                <w:szCs w:val="16"/>
              </w:rPr>
              <w:t xml:space="preserve"> Sólo el Estado Mexicano, por conducto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otorgar Contratos para </w:t>
            </w:r>
            <w:smartTag w:uri="urn:schemas-microsoft-com:office:smarttags" w:element="PersonName">
              <w:smartTagPr>
                <w:attr w:name="ProductID" w:val="la Exploración"/>
              </w:smartTagPr>
              <w:r w:rsidRPr="00475A0C">
                <w:rPr>
                  <w:rFonts w:ascii="Verdana" w:hAnsi="Verdana"/>
                  <w:sz w:val="16"/>
                  <w:szCs w:val="16"/>
                </w:rPr>
                <w:lastRenderedPageBreak/>
                <w:t>la Exploración</w:t>
              </w:r>
            </w:smartTag>
            <w:r w:rsidRPr="00475A0C">
              <w:rPr>
                <w:rFonts w:ascii="Verdana" w:hAnsi="Verdana"/>
                <w:sz w:val="16"/>
                <w:szCs w:val="16"/>
              </w:rPr>
              <w:t xml:space="preserve"> y Extracción. La selección de la persona Contratista debe realizarse a través de un proceso de licitación, en términos de lo dispuesto por el artículo 50 del presente ordenamiento.</w:t>
            </w:r>
          </w:p>
        </w:tc>
        <w:tc>
          <w:tcPr>
            <w:tcW w:w="4675" w:type="dxa"/>
          </w:tcPr>
          <w:p w14:paraId="3EAEF4C9" w14:textId="5861A8BB"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39.- </w:t>
            </w:r>
            <w:r w:rsidRPr="00E3602D">
              <w:rPr>
                <w:rFonts w:ascii="Verdana" w:hAnsi="Verdana"/>
                <w:sz w:val="16"/>
                <w:szCs w:val="16"/>
                <w:lang w:val="en-US"/>
              </w:rPr>
              <w:t xml:space="preserve">Only the Mexican State, through the Secretary of Energy, may award Contracts for </w:t>
            </w:r>
            <w:r w:rsidRPr="00E3602D">
              <w:rPr>
                <w:rFonts w:ascii="Verdana" w:hAnsi="Verdana"/>
                <w:sz w:val="16"/>
                <w:szCs w:val="16"/>
                <w:lang w:val="en-US"/>
              </w:rPr>
              <w:lastRenderedPageBreak/>
              <w:t>exploration and extraction. The selection of the contractor must be carried out through a bidding process, in accordance with the provisions of Article 50 of this regulation.</w:t>
            </w:r>
          </w:p>
        </w:tc>
      </w:tr>
      <w:tr w:rsidR="003B20AD" w:rsidRPr="00475A0C" w14:paraId="31CDA9D2" w14:textId="5AC6756A" w:rsidTr="007B36AB">
        <w:tc>
          <w:tcPr>
            <w:tcW w:w="4675" w:type="dxa"/>
          </w:tcPr>
          <w:p w14:paraId="1DA3D922"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lastRenderedPageBreak/>
              <w:t>Artículo 40.-</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autorizar, de forma previa, la celebración de alianzas o asociaciones, en los que se ceda:</w:t>
            </w:r>
          </w:p>
        </w:tc>
        <w:tc>
          <w:tcPr>
            <w:tcW w:w="4675" w:type="dxa"/>
          </w:tcPr>
          <w:p w14:paraId="0A935600" w14:textId="73F08562"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Article 40.-</w:t>
            </w:r>
            <w:r w:rsidRPr="00E3602D">
              <w:rPr>
                <w:rFonts w:ascii="Verdana" w:hAnsi="Verdana"/>
                <w:sz w:val="16"/>
                <w:szCs w:val="16"/>
                <w:lang w:val="en-US"/>
              </w:rPr>
              <w:t xml:space="preserve"> The Secretary of Energy must authorize, in advance, the entering into of alliances or associations, in which the following are transferred:</w:t>
            </w:r>
          </w:p>
        </w:tc>
      </w:tr>
      <w:tr w:rsidR="003B20AD" w:rsidRPr="00475A0C" w14:paraId="1331FA36" w14:textId="0C69090D" w:rsidTr="007B36AB">
        <w:tc>
          <w:tcPr>
            <w:tcW w:w="4675" w:type="dxa"/>
          </w:tcPr>
          <w:p w14:paraId="39F8A72B"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El control corporativo y de gestión de la persona Contratista, o</w:t>
            </w:r>
          </w:p>
        </w:tc>
        <w:tc>
          <w:tcPr>
            <w:tcW w:w="4675" w:type="dxa"/>
          </w:tcPr>
          <w:p w14:paraId="348CFBC2" w14:textId="04D84F65"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corporate and management control of the Contractor, or</w:t>
            </w:r>
          </w:p>
        </w:tc>
      </w:tr>
      <w:tr w:rsidR="003B20AD" w:rsidRPr="00475A0C" w14:paraId="04CEDC0F" w14:textId="0C97E869" w:rsidTr="007B36AB">
        <w:tc>
          <w:tcPr>
            <w:tcW w:w="4675" w:type="dxa"/>
          </w:tcPr>
          <w:p w14:paraId="7F589812"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El control de las operaciones en el Área Contractual, de forma parcial o total.</w:t>
            </w:r>
          </w:p>
        </w:tc>
        <w:tc>
          <w:tcPr>
            <w:tcW w:w="4675" w:type="dxa"/>
          </w:tcPr>
          <w:p w14:paraId="3ABBC4E2" w14:textId="772338AC"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Control of the operations in the Contractual Area, partially or totally.</w:t>
            </w:r>
          </w:p>
        </w:tc>
      </w:tr>
      <w:tr w:rsidR="003B20AD" w:rsidRPr="00475A0C" w14:paraId="4B74EF5B" w14:textId="371C7D99" w:rsidTr="007B36AB">
        <w:tc>
          <w:tcPr>
            <w:tcW w:w="4675" w:type="dxa"/>
          </w:tcPr>
          <w:p w14:paraId="0EDCE61F"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Para autorizar la cesión del control de las operaciones a que se refiere la fracción II,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analizar, entre otros aspectos, que el operador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cuente con la experiencia, las capacidades técnicas y financieras para dirigir y llevar a cabo las actividades en el Área Contractual y asumir las responsabilidades inherentes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5B0B18D1" w14:textId="576677A6"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To authorize the transfer of control of the operations referred to in Section II, the Secretary of Energy must analyze, among other aspects, that the operator of the exploration and extraction Contract has the experience, technical and financial capabilities to direct and carry out the activities in the Contractual Area and assume the inherent responsibilities of the exploration and extraction Contract.</w:t>
            </w:r>
          </w:p>
        </w:tc>
      </w:tr>
      <w:tr w:rsidR="003B20AD" w:rsidRPr="00475A0C" w14:paraId="449BD1B2" w14:textId="4556DDD7" w:rsidTr="007B36AB">
        <w:tc>
          <w:tcPr>
            <w:tcW w:w="4675" w:type="dxa"/>
          </w:tcPr>
          <w:p w14:paraId="600F4375"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La Secretaría de Energía debe resolver lo conducente dentro de los treinta y cinco días posteriores a la entrega de la solicitud por parte de la persona Contratista.</w:t>
            </w:r>
          </w:p>
        </w:tc>
        <w:tc>
          <w:tcPr>
            <w:tcW w:w="4675" w:type="dxa"/>
          </w:tcPr>
          <w:p w14:paraId="308949A3" w14:textId="78640856"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Secretary of Energy must make the appropriate decision within thirty-five days after the Contractor submits the application.</w:t>
            </w:r>
          </w:p>
        </w:tc>
      </w:tr>
      <w:tr w:rsidR="003B20AD" w:rsidRPr="00475A0C" w14:paraId="2BFB796F" w14:textId="6B82B37C" w:rsidTr="007B36AB">
        <w:tc>
          <w:tcPr>
            <w:tcW w:w="4675" w:type="dxa"/>
          </w:tcPr>
          <w:p w14:paraId="28C86C9D"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Como consecuencia de los contratos o convenios a que se refiere este artículo,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realizar la adecuación correspondiente al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la cual no implica modificación alguna a los demás términos contractuales.</w:t>
            </w:r>
          </w:p>
        </w:tc>
        <w:tc>
          <w:tcPr>
            <w:tcW w:w="4675" w:type="dxa"/>
          </w:tcPr>
          <w:p w14:paraId="102C961C" w14:textId="5FC2485B"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As a result of the contracts or agreements referred to in this article, the Secretary of Energy must make the corresponding adjustment to the Contract for exploration and extraction, which does not imply any modification to the other contractual terms.</w:t>
            </w:r>
          </w:p>
        </w:tc>
      </w:tr>
      <w:tr w:rsidR="003B20AD" w:rsidRPr="00475A0C" w14:paraId="4C3A7277" w14:textId="29B3021E" w:rsidTr="007B36AB">
        <w:tc>
          <w:tcPr>
            <w:tcW w:w="4675" w:type="dxa"/>
          </w:tcPr>
          <w:p w14:paraId="696E6C37"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La cesión de derechos que se realice sin apegarse a lo establecido en este artículo y a los términos contractuales, es nula de pleno derecho.</w:t>
            </w:r>
          </w:p>
        </w:tc>
        <w:tc>
          <w:tcPr>
            <w:tcW w:w="4675" w:type="dxa"/>
          </w:tcPr>
          <w:p w14:paraId="5364F2F8" w14:textId="08FA31D0"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Any transfer of rights that is made without adhering to the provisions of this article and the contractual terms is null and void.</w:t>
            </w:r>
          </w:p>
        </w:tc>
      </w:tr>
      <w:tr w:rsidR="003B20AD" w:rsidRPr="00475A0C" w14:paraId="11AF940B" w14:textId="452C6B52" w:rsidTr="007B36AB">
        <w:tc>
          <w:tcPr>
            <w:tcW w:w="4675" w:type="dxa"/>
          </w:tcPr>
          <w:p w14:paraId="79461C1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Para el caso de una modificación a la estructura del capital social del Contratista que no implique un cambio en el control corporativo o de gestión del mismo, se debe 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dentro de los siguientes treinta días naturales a la realización de la misma. Tratándose de empresas que se encuentren listadas en </w:t>
            </w:r>
            <w:smartTag w:uri="urn:schemas-microsoft-com:office:smarttags" w:element="PersonName">
              <w:smartTagPr>
                <w:attr w:name="ProductID" w:val="la Bolsa Mexicana"/>
              </w:smartTagPr>
              <w:r w:rsidRPr="00475A0C">
                <w:rPr>
                  <w:rFonts w:ascii="Verdana" w:hAnsi="Verdana"/>
                  <w:sz w:val="16"/>
                  <w:szCs w:val="16"/>
                </w:rPr>
                <w:t>la Bolsa Mexicana</w:t>
              </w:r>
            </w:smartTag>
            <w:r w:rsidRPr="00475A0C">
              <w:rPr>
                <w:rFonts w:ascii="Verdana" w:hAnsi="Verdana"/>
                <w:sz w:val="16"/>
                <w:szCs w:val="16"/>
              </w:rPr>
              <w:t xml:space="preserve"> de Valores, el aviso aquí referido se debe efectuar de conformidad con lo establecido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del Mercado de Valores.</w:t>
            </w:r>
          </w:p>
        </w:tc>
        <w:tc>
          <w:tcPr>
            <w:tcW w:w="4675" w:type="dxa"/>
          </w:tcPr>
          <w:p w14:paraId="541DF18B" w14:textId="1107AFA1"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In the event of a modification to the Contractor's share capital structure that does not entail a change in corporate or management control, notice must be given to the Secretary of Energy within thirty calendar days of the modification. For companies listed on the Mexican stock exchange, the notification referred to herein must be made in accordance with the provisions of the Law of the Securities Market.</w:t>
            </w:r>
          </w:p>
        </w:tc>
      </w:tr>
      <w:tr w:rsidR="003B20AD" w:rsidRPr="00475A0C" w14:paraId="7DEA10CD" w14:textId="338CA284" w:rsidTr="007B36AB">
        <w:tc>
          <w:tcPr>
            <w:tcW w:w="4675" w:type="dxa"/>
          </w:tcPr>
          <w:p w14:paraId="17CF11C9"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41.-</w:t>
            </w:r>
            <w:r w:rsidRPr="00475A0C">
              <w:rPr>
                <w:rFonts w:ascii="Verdana" w:hAnsi="Verdana"/>
                <w:sz w:val="16"/>
                <w:szCs w:val="16"/>
              </w:rPr>
              <w:t xml:space="preserve"> Dentro de los lineamientos para la licitación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determine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se puede incluir una participación del Estado Mexicano, a través de Petróleos Mexicanos.</w:t>
            </w:r>
          </w:p>
        </w:tc>
        <w:tc>
          <w:tcPr>
            <w:tcW w:w="4675" w:type="dxa"/>
          </w:tcPr>
          <w:p w14:paraId="35436B02" w14:textId="643EF5A5"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41.- </w:t>
            </w:r>
            <w:r w:rsidRPr="00E3602D">
              <w:rPr>
                <w:rFonts w:ascii="Verdana" w:hAnsi="Verdana"/>
                <w:sz w:val="16"/>
                <w:szCs w:val="16"/>
                <w:lang w:val="en-US"/>
              </w:rPr>
              <w:t>Within the guidelines for the bidding of Contracts for exploration and extraction determined by the Secretary of Energy, a participation of the Mexican State, through Petróleos Mexicanos, may be included.</w:t>
            </w:r>
          </w:p>
        </w:tc>
      </w:tr>
      <w:tr w:rsidR="003B20AD" w:rsidRPr="00475A0C" w14:paraId="10797769" w14:textId="42C01138" w:rsidTr="007B36AB">
        <w:tc>
          <w:tcPr>
            <w:tcW w:w="4675" w:type="dxa"/>
          </w:tcPr>
          <w:p w14:paraId="17937EF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La Secretaría de Energía debe determinar el porcentaje de la participación de Petróleos Mexicanos en el Contrato de Exploración y Extracción correspondiente, con base en sus capacidades técnicas, operativas y económicas.</w:t>
            </w:r>
          </w:p>
        </w:tc>
        <w:tc>
          <w:tcPr>
            <w:tcW w:w="4675" w:type="dxa"/>
          </w:tcPr>
          <w:p w14:paraId="5D6179A4" w14:textId="7C8EB773"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Secretary of Energy must determine the percentage of Petróleos Mexicanos' participation in the corresponding exploration and extraction contract, based on its technical, operational, and economic capabilities.</w:t>
            </w:r>
          </w:p>
        </w:tc>
      </w:tr>
      <w:tr w:rsidR="003B20AD" w:rsidRPr="00475A0C" w14:paraId="12F2BE83" w14:textId="4D1682CD" w:rsidTr="007B36AB">
        <w:tc>
          <w:tcPr>
            <w:tcW w:w="4675" w:type="dxa"/>
          </w:tcPr>
          <w:p w14:paraId="1EE6AFCB"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La determinación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ser en todos los casos debidamente motivada y ser manifestada a los interesados en las bases del </w:t>
            </w:r>
            <w:r w:rsidRPr="00475A0C">
              <w:rPr>
                <w:rFonts w:ascii="Verdana" w:hAnsi="Verdana"/>
                <w:sz w:val="16"/>
                <w:szCs w:val="16"/>
              </w:rPr>
              <w:lastRenderedPageBreak/>
              <w:t>procedimiento de licitación y adjudicación del contrato respectivo, el cual debe establecer la forma, términos y condiciones en las que puede ejercerse la participación a que se refiere el presente artículo.</w:t>
            </w:r>
          </w:p>
        </w:tc>
        <w:tc>
          <w:tcPr>
            <w:tcW w:w="4675" w:type="dxa"/>
          </w:tcPr>
          <w:p w14:paraId="73A4D706" w14:textId="3DDD185C"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lastRenderedPageBreak/>
              <w:t xml:space="preserve">The determination of the Secretary of Energy must be duly justified in all cases and be communicated to the interested parties in the bidding and contract awarding </w:t>
            </w:r>
            <w:r w:rsidRPr="00E3602D">
              <w:rPr>
                <w:rFonts w:ascii="Verdana" w:hAnsi="Verdana"/>
                <w:sz w:val="16"/>
                <w:szCs w:val="16"/>
                <w:lang w:val="en-US"/>
              </w:rPr>
              <w:lastRenderedPageBreak/>
              <w:t>procedures, which must establish the form, terms and conditions under which the participation referred to in this article may be exercised.</w:t>
            </w:r>
          </w:p>
        </w:tc>
      </w:tr>
      <w:tr w:rsidR="003B20AD" w:rsidRPr="00475A0C" w14:paraId="1E9966B3" w14:textId="55976607" w:rsidTr="007B36AB">
        <w:tc>
          <w:tcPr>
            <w:tcW w:w="4675" w:type="dxa"/>
          </w:tcPr>
          <w:p w14:paraId="0583712C"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lastRenderedPageBreak/>
              <w:t>Artículo 42.-</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una participación obligatoria de Petróleos Mexicanos en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en aquellas Áreas Contractuales en las que exista la posibilidad de encontrar yacimientos transfronterizos.</w:t>
            </w:r>
          </w:p>
        </w:tc>
        <w:tc>
          <w:tcPr>
            <w:tcW w:w="4675" w:type="dxa"/>
          </w:tcPr>
          <w:p w14:paraId="2C3203AB" w14:textId="78AFDC1B"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Article 42.-</w:t>
            </w:r>
            <w:r w:rsidRPr="00E3602D">
              <w:rPr>
                <w:rFonts w:ascii="Verdana" w:hAnsi="Verdana"/>
                <w:sz w:val="16"/>
                <w:szCs w:val="16"/>
                <w:lang w:val="en-US"/>
              </w:rPr>
              <w:t xml:space="preserve"> The Secretary of Energy must establish mandatory participation of Petróleos Mexicanos in the Contracts for exploration and extraction in those Contractual Areas where there is the possibility of finding cross-border deposits.</w:t>
            </w:r>
          </w:p>
        </w:tc>
      </w:tr>
      <w:tr w:rsidR="003B20AD" w:rsidRPr="00475A0C" w14:paraId="38D6B6C0" w14:textId="5FA97AE0" w:rsidTr="007B36AB">
        <w:tc>
          <w:tcPr>
            <w:tcW w:w="4675" w:type="dxa"/>
          </w:tcPr>
          <w:p w14:paraId="7E059FF7"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En el supuesto a que hace referencia este artículo, la participación obligatoria debe ser de al menos veinte por ciento de la inversión del proyecto. La determinación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ser manifestada a los interesados en las bases del procedimiento de licitación y adjudicación del contrato respectivo.</w:t>
            </w:r>
          </w:p>
        </w:tc>
        <w:tc>
          <w:tcPr>
            <w:tcW w:w="4675" w:type="dxa"/>
          </w:tcPr>
          <w:p w14:paraId="03DBDFFC" w14:textId="5ABD9FFE"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In the case referred to in this article, the mandatory participation must be at least 20 percent of the project's investment. The determination of the Secretary of Energy must be communicated to interested parties in the bidding process and the award of the respective contract.</w:t>
            </w:r>
          </w:p>
        </w:tc>
      </w:tr>
      <w:tr w:rsidR="003B20AD" w:rsidRPr="00475A0C" w14:paraId="133FB904" w14:textId="17F143C3" w:rsidTr="007B36AB">
        <w:tc>
          <w:tcPr>
            <w:tcW w:w="4675" w:type="dxa"/>
          </w:tcPr>
          <w:p w14:paraId="202DAC82"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En caso de que se confirme la existencia de un yacimiento transfronterizo en el Área Contractual, debe observarse lo dispuesto en los convenios de operación respectivos que se pacten con base en los tratados internacionales que México haya suscrito.</w:t>
            </w:r>
          </w:p>
        </w:tc>
        <w:tc>
          <w:tcPr>
            <w:tcW w:w="4675" w:type="dxa"/>
          </w:tcPr>
          <w:p w14:paraId="1DC144D1" w14:textId="0F0B39B8"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If the existence of a cross-border deposit in the Contract Area is confirmed, the provisions of the respective operating agreements based on the international treaties to which Mexico has signed must be observed.</w:t>
            </w:r>
          </w:p>
        </w:tc>
      </w:tr>
      <w:tr w:rsidR="003B20AD" w:rsidRPr="00475A0C" w14:paraId="1AAD7952" w14:textId="7144183C" w:rsidTr="007B36AB">
        <w:tc>
          <w:tcPr>
            <w:tcW w:w="4675" w:type="dxa"/>
          </w:tcPr>
          <w:p w14:paraId="0EA9945D"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43.-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el modelo de contratación correspondiente para cada Área Contractual que se licite o se adjudique en términos de la presente Ley, para lo cual puede elegir, entre otros, los contratos de servicios, de utilidad o producción compartida, o de licencia.</w:t>
            </w:r>
          </w:p>
        </w:tc>
        <w:tc>
          <w:tcPr>
            <w:tcW w:w="4675" w:type="dxa"/>
          </w:tcPr>
          <w:p w14:paraId="5C62AE35" w14:textId="55842C19"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Article 43.-</w:t>
            </w:r>
            <w:r w:rsidRPr="00E3602D">
              <w:rPr>
                <w:rFonts w:ascii="Verdana" w:hAnsi="Verdana"/>
                <w:sz w:val="16"/>
                <w:szCs w:val="16"/>
                <w:lang w:val="en-US"/>
              </w:rPr>
              <w:t xml:space="preserve"> The Secretary of Energy must establish the corresponding contracting model for each Contractual Area that is tendered or awarded under the terms of this Law, for which it may choose, among others, service contracts, utility or shared production contracts, or license contracts.</w:t>
            </w:r>
          </w:p>
        </w:tc>
      </w:tr>
      <w:tr w:rsidR="003B20AD" w:rsidRPr="00475A0C" w14:paraId="777DC720" w14:textId="5B909E67" w:rsidTr="007B36AB">
        <w:tc>
          <w:tcPr>
            <w:tcW w:w="4675" w:type="dxa"/>
          </w:tcPr>
          <w:p w14:paraId="0C1407D9"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Las contraprestaciones establecidas en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deben sujetar a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5619B686" w14:textId="7A9763F4"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consideration established in the Contracts for exploration and extraction and must be subject to the provisions of the Law of Revenue from Hydrocarbons.</w:t>
            </w:r>
          </w:p>
        </w:tc>
      </w:tr>
      <w:tr w:rsidR="003B20AD" w:rsidRPr="00475A0C" w14:paraId="3BBC5167" w14:textId="60E99B8E" w:rsidTr="007B36AB">
        <w:tc>
          <w:tcPr>
            <w:tcW w:w="4675" w:type="dxa"/>
          </w:tcPr>
          <w:p w14:paraId="2F4D18C7"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44.-</w:t>
            </w:r>
            <w:r w:rsidRPr="00475A0C">
              <w:rPr>
                <w:rFonts w:ascii="Verdana" w:hAnsi="Verdana"/>
                <w:sz w:val="16"/>
                <w:szCs w:val="16"/>
              </w:rPr>
              <w:t xml:space="preserv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deben contar, al menos, con cláusulas sobre:</w:t>
            </w:r>
          </w:p>
        </w:tc>
        <w:tc>
          <w:tcPr>
            <w:tcW w:w="4675" w:type="dxa"/>
          </w:tcPr>
          <w:p w14:paraId="7D018C5F" w14:textId="7892C53C"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44.- </w:t>
            </w:r>
            <w:r w:rsidRPr="00E3602D">
              <w:rPr>
                <w:rFonts w:ascii="Verdana" w:hAnsi="Verdana"/>
                <w:sz w:val="16"/>
                <w:szCs w:val="16"/>
                <w:lang w:val="en-US"/>
              </w:rPr>
              <w:t>Contracts for exploration and extraction must have, at least, clauses on:</w:t>
            </w:r>
          </w:p>
        </w:tc>
      </w:tr>
      <w:tr w:rsidR="003B20AD" w:rsidRPr="00475A0C" w14:paraId="0146DCE8" w14:textId="7B14513A" w:rsidTr="007B36AB">
        <w:tc>
          <w:tcPr>
            <w:tcW w:w="4675" w:type="dxa"/>
          </w:tcPr>
          <w:p w14:paraId="428B9E5B"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definición del Área Contractual;</w:t>
            </w:r>
          </w:p>
        </w:tc>
        <w:tc>
          <w:tcPr>
            <w:tcW w:w="4675" w:type="dxa"/>
          </w:tcPr>
          <w:p w14:paraId="557D2936" w14:textId="2C440607"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definition of the Contractual Area;</w:t>
            </w:r>
          </w:p>
        </w:tc>
      </w:tr>
      <w:tr w:rsidR="003B20AD" w:rsidRPr="00475A0C" w14:paraId="7D996A34" w14:textId="4CC3AA76" w:rsidTr="007B36AB">
        <w:tc>
          <w:tcPr>
            <w:tcW w:w="4675" w:type="dxa"/>
          </w:tcPr>
          <w:p w14:paraId="16956D93"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Los planes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incluyendo el plazo para su presentación;</w:t>
            </w:r>
          </w:p>
        </w:tc>
        <w:tc>
          <w:tcPr>
            <w:tcW w:w="4675" w:type="dxa"/>
          </w:tcPr>
          <w:p w14:paraId="096F53ED" w14:textId="1CF00779"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Exploration and development plans for the extraction, including the deadline for their submission;</w:t>
            </w:r>
          </w:p>
        </w:tc>
      </w:tr>
      <w:tr w:rsidR="003B20AD" w:rsidRPr="00475A0C" w14:paraId="7FB40522" w14:textId="1C90A214" w:rsidTr="007B36AB">
        <w:tc>
          <w:tcPr>
            <w:tcW w:w="4675" w:type="dxa"/>
          </w:tcPr>
          <w:p w14:paraId="018C556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El programa mínimo de trabajo y de inversión, en su caso;</w:t>
            </w:r>
          </w:p>
        </w:tc>
        <w:tc>
          <w:tcPr>
            <w:tcW w:w="4675" w:type="dxa"/>
          </w:tcPr>
          <w:p w14:paraId="73A699DA" w14:textId="72063213"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minimum work and investment program, where applicable;</w:t>
            </w:r>
          </w:p>
        </w:tc>
      </w:tr>
      <w:tr w:rsidR="003B20AD" w:rsidRPr="00475A0C" w14:paraId="08815BF6" w14:textId="602A1EAA" w:rsidTr="007B36AB">
        <w:tc>
          <w:tcPr>
            <w:tcW w:w="4675" w:type="dxa"/>
          </w:tcPr>
          <w:p w14:paraId="3835F193"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Las obligaciones de la persona Contratista, incluyendo los términos económicos y fiscales;</w:t>
            </w:r>
          </w:p>
        </w:tc>
        <w:tc>
          <w:tcPr>
            <w:tcW w:w="4675" w:type="dxa"/>
          </w:tcPr>
          <w:p w14:paraId="4AE74B48" w14:textId="72BBF4A4"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The obligations of the Contractor, including economic and fiscal terms;</w:t>
            </w:r>
          </w:p>
        </w:tc>
      </w:tr>
      <w:tr w:rsidR="003B20AD" w:rsidRPr="00475A0C" w14:paraId="6CFCF43B" w14:textId="2125D372" w:rsidTr="007B36AB">
        <w:tc>
          <w:tcPr>
            <w:tcW w:w="4675" w:type="dxa"/>
          </w:tcPr>
          <w:p w14:paraId="65B1B1C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La vigencia, así como las condiciones para su prórroga;</w:t>
            </w:r>
          </w:p>
        </w:tc>
        <w:tc>
          <w:tcPr>
            <w:tcW w:w="4675" w:type="dxa"/>
          </w:tcPr>
          <w:p w14:paraId="432D6EB1" w14:textId="2FA52D97"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The validity, as well as the conditions for its extension;</w:t>
            </w:r>
          </w:p>
        </w:tc>
      </w:tr>
      <w:tr w:rsidR="003B20AD" w:rsidRPr="00475A0C" w14:paraId="0ACCFB49" w14:textId="59A187CF" w:rsidTr="007B36AB">
        <w:tc>
          <w:tcPr>
            <w:tcW w:w="4675" w:type="dxa"/>
          </w:tcPr>
          <w:p w14:paraId="3F326156"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La adquisición de garantías y seguros;</w:t>
            </w:r>
          </w:p>
        </w:tc>
        <w:tc>
          <w:tcPr>
            <w:tcW w:w="4675" w:type="dxa"/>
          </w:tcPr>
          <w:p w14:paraId="24E3EDF0" w14:textId="6ED2D6FD"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The acquisition of guarantees and insurance;</w:t>
            </w:r>
          </w:p>
        </w:tc>
      </w:tr>
      <w:tr w:rsidR="003B20AD" w:rsidRPr="00475A0C" w14:paraId="0878069E" w14:textId="2736E857" w:rsidTr="007B36AB">
        <w:tc>
          <w:tcPr>
            <w:tcW w:w="4675" w:type="dxa"/>
          </w:tcPr>
          <w:p w14:paraId="74D0C73B"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La existencia de un sistema de auditorías externas para supervisar la efectiva recuperación, en su caso, de los costos incurridos y demás contabilidad involucrada en la operación del contrato;</w:t>
            </w:r>
          </w:p>
        </w:tc>
        <w:tc>
          <w:tcPr>
            <w:tcW w:w="4675" w:type="dxa"/>
          </w:tcPr>
          <w:p w14:paraId="007C260E" w14:textId="298E9FA6"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The existence of an external audit system to supervise the effective recovery, where applicable, of the costs incurred and other accounting involved in the operation of the contract;</w:t>
            </w:r>
          </w:p>
        </w:tc>
      </w:tr>
      <w:tr w:rsidR="003B20AD" w:rsidRPr="00475A0C" w14:paraId="197B429F" w14:textId="140AA1B2" w:rsidTr="007B36AB">
        <w:tc>
          <w:tcPr>
            <w:tcW w:w="4675" w:type="dxa"/>
          </w:tcPr>
          <w:p w14:paraId="7FA2895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VIII.</w:t>
            </w:r>
            <w:r w:rsidRPr="00475A0C">
              <w:rPr>
                <w:rFonts w:ascii="Verdana" w:hAnsi="Verdana"/>
                <w:b/>
                <w:sz w:val="16"/>
                <w:szCs w:val="16"/>
              </w:rPr>
              <w:tab/>
            </w:r>
            <w:r w:rsidRPr="00475A0C">
              <w:rPr>
                <w:rFonts w:ascii="Verdana" w:hAnsi="Verdana"/>
                <w:sz w:val="16"/>
                <w:szCs w:val="16"/>
              </w:rPr>
              <w:t>Las causales de terminación del contrato, incluyendo la terminación anticipada y la rescisión administrativa;</w:t>
            </w:r>
          </w:p>
        </w:tc>
        <w:tc>
          <w:tcPr>
            <w:tcW w:w="4675" w:type="dxa"/>
          </w:tcPr>
          <w:p w14:paraId="76E9DE69" w14:textId="5F8F60F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The grounds for termination of the contract, including early termination and administrative rescission;</w:t>
            </w:r>
          </w:p>
        </w:tc>
      </w:tr>
      <w:tr w:rsidR="003B20AD" w:rsidRPr="00475A0C" w14:paraId="2289D6F9" w14:textId="0A42E0A0" w:rsidTr="007B36AB">
        <w:tc>
          <w:tcPr>
            <w:tcW w:w="4675" w:type="dxa"/>
          </w:tcPr>
          <w:p w14:paraId="28B77ED7"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 xml:space="preserve">Las obligaciones de transparencia que posibiliten el acceso a la información derivada de los contratos, incluyendo la divulgación de las </w:t>
            </w:r>
            <w:r w:rsidRPr="00475A0C">
              <w:rPr>
                <w:rFonts w:ascii="Verdana" w:hAnsi="Verdana"/>
                <w:sz w:val="16"/>
                <w:szCs w:val="16"/>
              </w:rPr>
              <w:lastRenderedPageBreak/>
              <w:t>contraprestaciones, contribuciones y pagos que se prevén en el propio contrato;</w:t>
            </w:r>
          </w:p>
        </w:tc>
        <w:tc>
          <w:tcPr>
            <w:tcW w:w="4675" w:type="dxa"/>
          </w:tcPr>
          <w:p w14:paraId="42B00C41" w14:textId="6E1B0ED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lastRenderedPageBreak/>
              <w:t xml:space="preserve">IX. </w:t>
            </w:r>
            <w:r w:rsidRPr="00E3602D">
              <w:rPr>
                <w:rFonts w:ascii="Verdana" w:hAnsi="Verdana"/>
                <w:b/>
                <w:sz w:val="16"/>
                <w:szCs w:val="16"/>
                <w:lang w:val="en-US"/>
              </w:rPr>
              <w:tab/>
            </w:r>
            <w:r w:rsidRPr="00E3602D">
              <w:rPr>
                <w:rFonts w:ascii="Verdana" w:hAnsi="Verdana"/>
                <w:sz w:val="16"/>
                <w:szCs w:val="16"/>
                <w:lang w:val="en-US"/>
              </w:rPr>
              <w:t xml:space="preserve">Transparency obligations that enable access to information derived from the contracts, including the </w:t>
            </w:r>
            <w:r w:rsidRPr="00E3602D">
              <w:rPr>
                <w:rFonts w:ascii="Verdana" w:hAnsi="Verdana"/>
                <w:sz w:val="16"/>
                <w:szCs w:val="16"/>
                <w:lang w:val="en-US"/>
              </w:rPr>
              <w:lastRenderedPageBreak/>
              <w:t>disclosure of the consideration, contributions and payments provided for in the contract itself;</w:t>
            </w:r>
          </w:p>
        </w:tc>
      </w:tr>
      <w:tr w:rsidR="003B20AD" w:rsidRPr="00475A0C" w14:paraId="7677634D" w14:textId="60CE2C08" w:rsidTr="007B36AB">
        <w:tc>
          <w:tcPr>
            <w:tcW w:w="4675" w:type="dxa"/>
          </w:tcPr>
          <w:p w14:paraId="1D08D245"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X.</w:t>
            </w:r>
            <w:r w:rsidRPr="00475A0C">
              <w:rPr>
                <w:rFonts w:ascii="Verdana" w:hAnsi="Verdana"/>
                <w:b/>
                <w:sz w:val="16"/>
                <w:szCs w:val="16"/>
              </w:rPr>
              <w:tab/>
            </w:r>
            <w:r w:rsidRPr="00475A0C">
              <w:rPr>
                <w:rFonts w:ascii="Verdana" w:hAnsi="Verdana"/>
                <w:sz w:val="16"/>
                <w:szCs w:val="16"/>
              </w:rPr>
              <w:t>El porcentaje mínimo de contenido nacional;</w:t>
            </w:r>
          </w:p>
        </w:tc>
        <w:tc>
          <w:tcPr>
            <w:tcW w:w="4675" w:type="dxa"/>
          </w:tcPr>
          <w:p w14:paraId="607C1AA7" w14:textId="6D11990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b/>
                <w:sz w:val="16"/>
                <w:szCs w:val="16"/>
                <w:lang w:val="en-US"/>
              </w:rPr>
              <w:tab/>
            </w:r>
            <w:r w:rsidRPr="00E3602D">
              <w:rPr>
                <w:rFonts w:ascii="Verdana" w:hAnsi="Verdana"/>
                <w:sz w:val="16"/>
                <w:szCs w:val="16"/>
                <w:lang w:val="en-US"/>
              </w:rPr>
              <w:t>The minimum percentage of national content;</w:t>
            </w:r>
          </w:p>
        </w:tc>
      </w:tr>
      <w:tr w:rsidR="003B20AD" w:rsidRPr="00475A0C" w14:paraId="19D5098C" w14:textId="5D1A7FCA" w:rsidTr="007B36AB">
        <w:tc>
          <w:tcPr>
            <w:tcW w:w="4675" w:type="dxa"/>
          </w:tcPr>
          <w:p w14:paraId="5D2970B0"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w:t>
            </w:r>
            <w:r w:rsidRPr="00475A0C">
              <w:rPr>
                <w:rFonts w:ascii="Verdana" w:hAnsi="Verdana"/>
                <w:b/>
                <w:sz w:val="16"/>
                <w:szCs w:val="16"/>
              </w:rPr>
              <w:tab/>
            </w:r>
            <w:r w:rsidRPr="00475A0C">
              <w:rPr>
                <w:rFonts w:ascii="Verdana" w:hAnsi="Verdana"/>
                <w:sz w:val="16"/>
                <w:szCs w:val="16"/>
              </w:rPr>
              <w:t>Las condiciones y los mecanismos para la reducción o devolución del Área Contractual;</w:t>
            </w:r>
          </w:p>
        </w:tc>
        <w:tc>
          <w:tcPr>
            <w:tcW w:w="4675" w:type="dxa"/>
          </w:tcPr>
          <w:p w14:paraId="5CA55CD2" w14:textId="5728C915"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b/>
                <w:sz w:val="16"/>
                <w:szCs w:val="16"/>
                <w:lang w:val="en-US"/>
              </w:rPr>
              <w:tab/>
            </w:r>
            <w:r w:rsidRPr="00E3602D">
              <w:rPr>
                <w:rFonts w:ascii="Verdana" w:hAnsi="Verdana"/>
                <w:sz w:val="16"/>
                <w:szCs w:val="16"/>
                <w:lang w:val="en-US"/>
              </w:rPr>
              <w:t>The conditions and mechanisms for the reduction or return of the Contractual Area;</w:t>
            </w:r>
          </w:p>
        </w:tc>
      </w:tr>
      <w:tr w:rsidR="003B20AD" w:rsidRPr="00475A0C" w14:paraId="41B066C3" w14:textId="14F246B3" w:rsidTr="007B36AB">
        <w:tc>
          <w:tcPr>
            <w:tcW w:w="4675" w:type="dxa"/>
          </w:tcPr>
          <w:p w14:paraId="1CDC1222"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XII.</w:t>
            </w:r>
            <w:r w:rsidRPr="00475A0C">
              <w:rPr>
                <w:rFonts w:ascii="Verdana" w:hAnsi="Verdana"/>
                <w:b/>
                <w:sz w:val="16"/>
                <w:szCs w:val="16"/>
              </w:rPr>
              <w:tab/>
            </w:r>
            <w:r w:rsidRPr="00475A0C">
              <w:rPr>
                <w:rFonts w:ascii="Verdana" w:hAnsi="Verdana"/>
                <w:sz w:val="16"/>
                <w:szCs w:val="16"/>
              </w:rPr>
              <w:t xml:space="preserve">La solución de controversias, incluyendo los medios alternativos de solución de conflictos, en términos de </w:t>
            </w:r>
            <w:smartTag w:uri="urn:schemas-microsoft-com:office:smarttags" w:element="PersonName">
              <w:smartTagPr>
                <w:attr w:name="ProductID" w:val="la Ley General"/>
              </w:smartTagPr>
              <w:r w:rsidRPr="00475A0C">
                <w:rPr>
                  <w:rFonts w:ascii="Verdana" w:hAnsi="Verdana"/>
                  <w:sz w:val="16"/>
                  <w:szCs w:val="16"/>
                </w:rPr>
                <w:t>la Ley General</w:t>
              </w:r>
            </w:smartTag>
            <w:r w:rsidRPr="00475A0C">
              <w:rPr>
                <w:rFonts w:ascii="Verdana" w:hAnsi="Verdana"/>
                <w:sz w:val="16"/>
                <w:szCs w:val="16"/>
              </w:rPr>
              <w:t xml:space="preserve"> de Mecanismos Alternativos de Solución de Controversias;</w:t>
            </w:r>
          </w:p>
        </w:tc>
        <w:tc>
          <w:tcPr>
            <w:tcW w:w="4675" w:type="dxa"/>
          </w:tcPr>
          <w:p w14:paraId="2D8EF63A" w14:textId="5A70375A"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b/>
                <w:sz w:val="16"/>
                <w:szCs w:val="16"/>
                <w:lang w:val="en-US"/>
              </w:rPr>
              <w:tab/>
            </w:r>
            <w:r w:rsidRPr="00E3602D">
              <w:rPr>
                <w:rFonts w:ascii="Verdana" w:hAnsi="Verdana"/>
                <w:sz w:val="16"/>
                <w:szCs w:val="16"/>
                <w:lang w:val="en-US"/>
              </w:rPr>
              <w:t>Dispute resolution, including alternative means of conflict resolution, in terms of the General Law of  Alternative Dispute Resolution Mechanisms;</w:t>
            </w:r>
          </w:p>
        </w:tc>
      </w:tr>
      <w:tr w:rsidR="003B20AD" w:rsidRPr="00475A0C" w14:paraId="1FFAEF9E" w14:textId="472AFEC8" w:rsidTr="007B36AB">
        <w:tc>
          <w:tcPr>
            <w:tcW w:w="4675" w:type="dxa"/>
          </w:tcPr>
          <w:p w14:paraId="27631A76"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XIII.</w:t>
            </w:r>
            <w:r w:rsidRPr="00475A0C">
              <w:rPr>
                <w:rFonts w:ascii="Verdana" w:hAnsi="Verdana"/>
                <w:b/>
                <w:sz w:val="16"/>
                <w:szCs w:val="16"/>
              </w:rPr>
              <w:tab/>
            </w:r>
            <w:r w:rsidRPr="00475A0C">
              <w:rPr>
                <w:rFonts w:ascii="Verdana" w:hAnsi="Verdana"/>
                <w:sz w:val="16"/>
                <w:szCs w:val="16"/>
              </w:rPr>
              <w:t>Las penas aplicables en caso de incumplimiento de las obligaciones contractuales;</w:t>
            </w:r>
          </w:p>
        </w:tc>
        <w:tc>
          <w:tcPr>
            <w:tcW w:w="4675" w:type="dxa"/>
          </w:tcPr>
          <w:p w14:paraId="577D2C93" w14:textId="530DB770"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b/>
                <w:sz w:val="16"/>
                <w:szCs w:val="16"/>
                <w:lang w:val="en-US"/>
              </w:rPr>
              <w:tab/>
            </w:r>
            <w:r w:rsidRPr="00E3602D">
              <w:rPr>
                <w:rFonts w:ascii="Verdana" w:hAnsi="Verdana"/>
                <w:sz w:val="16"/>
                <w:szCs w:val="16"/>
                <w:lang w:val="en-US"/>
              </w:rPr>
              <w:t>The penalties applicable in the event of non-compliance with contractual obligations;</w:t>
            </w:r>
          </w:p>
        </w:tc>
      </w:tr>
      <w:tr w:rsidR="003B20AD" w:rsidRPr="00475A0C" w14:paraId="1250CE2C" w14:textId="5F52E47F" w:rsidTr="007B36AB">
        <w:tc>
          <w:tcPr>
            <w:tcW w:w="4675" w:type="dxa"/>
          </w:tcPr>
          <w:p w14:paraId="78C75690"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XIV.</w:t>
            </w:r>
            <w:r w:rsidRPr="00475A0C">
              <w:rPr>
                <w:rFonts w:ascii="Verdana" w:hAnsi="Verdana"/>
                <w:b/>
                <w:sz w:val="16"/>
                <w:szCs w:val="16"/>
              </w:rPr>
              <w:tab/>
            </w:r>
            <w:r w:rsidRPr="00475A0C">
              <w:rPr>
                <w:rFonts w:ascii="Verdana" w:hAnsi="Verdana"/>
                <w:sz w:val="16"/>
                <w:szCs w:val="16"/>
              </w:rPr>
              <w:t>La responsabilidad de la persona Contratista y del operador conforme a las mejores prácticas internacionales. En caso de accidente, no se limitará la responsabilidad de la persona Contratista u operador si se comprueba dolo o culpa por parte de éstos, y</w:t>
            </w:r>
          </w:p>
        </w:tc>
        <w:tc>
          <w:tcPr>
            <w:tcW w:w="4675" w:type="dxa"/>
          </w:tcPr>
          <w:p w14:paraId="0A14BE26" w14:textId="504316C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XIV. </w:t>
            </w:r>
            <w:r w:rsidRPr="00E3602D">
              <w:rPr>
                <w:rFonts w:ascii="Verdana" w:hAnsi="Verdana"/>
                <w:b/>
                <w:sz w:val="16"/>
                <w:szCs w:val="16"/>
                <w:lang w:val="en-US"/>
              </w:rPr>
              <w:tab/>
            </w:r>
            <w:r w:rsidRPr="00E3602D">
              <w:rPr>
                <w:rFonts w:ascii="Verdana" w:hAnsi="Verdana"/>
                <w:sz w:val="16"/>
                <w:szCs w:val="16"/>
                <w:lang w:val="en-US"/>
              </w:rPr>
              <w:t>The liability of the Contractor and the operator in accordance with international best practices. In the event of an accident, the liability of the Contractor or operator shall not be limited if intent or negligence on their part is proven, and</w:t>
            </w:r>
          </w:p>
        </w:tc>
      </w:tr>
      <w:tr w:rsidR="003B20AD" w:rsidRPr="00475A0C" w14:paraId="0B402CBB" w14:textId="534C3F95" w:rsidTr="007B36AB">
        <w:tc>
          <w:tcPr>
            <w:tcW w:w="4675" w:type="dxa"/>
          </w:tcPr>
          <w:p w14:paraId="41022B3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XV.</w:t>
            </w:r>
            <w:r w:rsidRPr="00475A0C">
              <w:rPr>
                <w:rFonts w:ascii="Verdana" w:hAnsi="Verdana"/>
                <w:b/>
                <w:sz w:val="16"/>
                <w:szCs w:val="16"/>
              </w:rPr>
              <w:tab/>
            </w:r>
            <w:r w:rsidRPr="00475A0C">
              <w:rPr>
                <w:rFonts w:ascii="Verdana" w:hAnsi="Verdana"/>
                <w:sz w:val="16"/>
                <w:szCs w:val="16"/>
              </w:rPr>
              <w:t>La observancia de mejores prácticas internacionales para la operación en el Área Contractual.</w:t>
            </w:r>
          </w:p>
        </w:tc>
        <w:tc>
          <w:tcPr>
            <w:tcW w:w="4675" w:type="dxa"/>
          </w:tcPr>
          <w:p w14:paraId="2F302905" w14:textId="277DD8F0"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XV. </w:t>
            </w:r>
            <w:r w:rsidRPr="00E3602D">
              <w:rPr>
                <w:rFonts w:ascii="Verdana" w:hAnsi="Verdana"/>
                <w:b/>
                <w:sz w:val="16"/>
                <w:szCs w:val="16"/>
                <w:lang w:val="en-US"/>
              </w:rPr>
              <w:tab/>
            </w:r>
            <w:r w:rsidRPr="00E3602D">
              <w:rPr>
                <w:rFonts w:ascii="Verdana" w:hAnsi="Verdana"/>
                <w:sz w:val="16"/>
                <w:szCs w:val="16"/>
                <w:lang w:val="en-US"/>
              </w:rPr>
              <w:t>The observance of international best practices for operations in the Contractual Area.</w:t>
            </w:r>
          </w:p>
        </w:tc>
      </w:tr>
      <w:tr w:rsidR="003B20AD" w:rsidRPr="00475A0C" w14:paraId="0E5ECD45" w14:textId="0E77E189" w:rsidTr="007B36AB">
        <w:tc>
          <w:tcPr>
            <w:tcW w:w="4675" w:type="dxa"/>
          </w:tcPr>
          <w:p w14:paraId="3800B64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45.-</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rescindir administrativamente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recuperar el Área Contractual únicamente cuando se presente alguna de las siguientes causas graves:</w:t>
            </w:r>
          </w:p>
        </w:tc>
        <w:tc>
          <w:tcPr>
            <w:tcW w:w="4675" w:type="dxa"/>
          </w:tcPr>
          <w:p w14:paraId="2813FE9E" w14:textId="0AC3E25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Article 45.-</w:t>
            </w:r>
            <w:r w:rsidRPr="00E3602D">
              <w:rPr>
                <w:rFonts w:ascii="Verdana" w:hAnsi="Verdana"/>
                <w:sz w:val="16"/>
                <w:szCs w:val="16"/>
                <w:lang w:val="en-US"/>
              </w:rPr>
              <w:t xml:space="preserve"> The Secretary of Energy may administratively terminate the Contracts for exploration and extraction and recover the Contract Area only when any of the following serious causes occur:</w:t>
            </w:r>
          </w:p>
        </w:tc>
      </w:tr>
      <w:tr w:rsidR="003B20AD" w:rsidRPr="00475A0C" w14:paraId="15099116" w14:textId="60C5EE10" w:rsidTr="007B36AB">
        <w:tc>
          <w:tcPr>
            <w:tcW w:w="4675" w:type="dxa"/>
          </w:tcPr>
          <w:p w14:paraId="65F57800"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Que, por más de ciento ochenta días naturales de forma continua, la persona Contratista no inicie o suspenda las actividades previstas en el plan de Exploración o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en el Área Contractual, sin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el que exponga las causas y motivos del no inicio o suspensión, y sin contar con prórrogas autorizadas;</w:t>
            </w:r>
          </w:p>
        </w:tc>
        <w:tc>
          <w:tcPr>
            <w:tcW w:w="4675" w:type="dxa"/>
          </w:tcPr>
          <w:p w14:paraId="244AD580" w14:textId="20A3CB14"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That, for more than one hundred and eighty calendar days continuously, the Contractor does not start or suspend the activities planned in the exploration or development plan for the extraction in the Contract Area, without notice to the Secretary of Energy in which it explains the causes and reasons for the non-start or suspension, and without having authorized extensions;</w:t>
            </w:r>
          </w:p>
        </w:tc>
      </w:tr>
      <w:tr w:rsidR="003B20AD" w:rsidRPr="00475A0C" w14:paraId="16662618" w14:textId="6FE36609" w:rsidTr="007B36AB">
        <w:tc>
          <w:tcPr>
            <w:tcW w:w="4675" w:type="dxa"/>
          </w:tcPr>
          <w:p w14:paraId="2B0FC0D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Que el Contratista no cumpla el compromiso mínimo de trabajo, sin causa justificada, conforme a los términos y condiciones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01CE58DD" w14:textId="5A13F83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That the Contractor does not comply with the minimum work commitment, without just cause, in accordance with the terms and conditions of the Contract for the exploration and extraction;</w:t>
            </w:r>
          </w:p>
        </w:tc>
      </w:tr>
      <w:tr w:rsidR="003B20AD" w:rsidRPr="00475A0C" w14:paraId="34369119" w14:textId="11A5C86E" w:rsidTr="007B36AB">
        <w:tc>
          <w:tcPr>
            <w:tcW w:w="4675" w:type="dxa"/>
          </w:tcPr>
          <w:p w14:paraId="67D0115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Que la persona Contratista ceda parcial o totalmente la operación o los derechos conferidos en el Contrato de Exploración y Extracción, sin contar con la autorización previa en términos de lo dispuesto en el artículo 40 de esta Ley;</w:t>
            </w:r>
          </w:p>
        </w:tc>
        <w:tc>
          <w:tcPr>
            <w:tcW w:w="4675" w:type="dxa"/>
          </w:tcPr>
          <w:p w14:paraId="2006E2D4" w14:textId="49BC20E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That the Contractor partially or totally transfers the operation or the rights conferred in the exploration and extraction Contract, without having prior authorization in terms of the provisions of article 40 of this Law;</w:t>
            </w:r>
          </w:p>
        </w:tc>
      </w:tr>
      <w:tr w:rsidR="003B20AD" w:rsidRPr="00475A0C" w14:paraId="5BBDD6A6" w14:textId="153E8F9C" w:rsidTr="007B36AB">
        <w:tc>
          <w:tcPr>
            <w:tcW w:w="4675" w:type="dxa"/>
          </w:tcPr>
          <w:p w14:paraId="2C69390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Que se presente un accidente grave causado por dolo o culpa de la persona Contratista, que ocasione daño a instalaciones, fatalidad y pérdida de producción;</w:t>
            </w:r>
          </w:p>
        </w:tc>
        <w:tc>
          <w:tcPr>
            <w:tcW w:w="4675" w:type="dxa"/>
          </w:tcPr>
          <w:p w14:paraId="1C18213A" w14:textId="30360C8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That a serious accident occurs caused by the Contractor's fraud or negligence, causing damage to facilities, fatality and loss of production;</w:t>
            </w:r>
          </w:p>
        </w:tc>
      </w:tr>
      <w:tr w:rsidR="003B20AD" w:rsidRPr="00475A0C" w14:paraId="6D1A1655" w14:textId="504A15E8" w:rsidTr="007B36AB">
        <w:tc>
          <w:tcPr>
            <w:tcW w:w="4675" w:type="dxa"/>
          </w:tcPr>
          <w:p w14:paraId="1CE089FB"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 xml:space="preserve">Que la persona Contratista en más de una ocasión remita de forma dolosa o injustificada, información o reportes falsos o incompletos, o los oculte, a las Secretarías de Energía, de Hacienda y Crédito Público o de Economía o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respecto de la producción, costos o cualquier otro aspecto relevante del Contrato;</w:t>
            </w:r>
          </w:p>
        </w:tc>
        <w:tc>
          <w:tcPr>
            <w:tcW w:w="4675" w:type="dxa"/>
          </w:tcPr>
          <w:p w14:paraId="45373322" w14:textId="102392B4"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That the Contractor on more than one occasion fraudulently or unjustifiably sends false or incomplete information or reports, or hides them, to the Secretaries of Energy, Finance and Public Credit or Economy or to the Agency, regarding the production, costs or any other relevant aspect of the Contract;</w:t>
            </w:r>
          </w:p>
        </w:tc>
      </w:tr>
      <w:tr w:rsidR="003B20AD" w:rsidRPr="00475A0C" w14:paraId="17DE0CA9" w14:textId="446C8ED7" w:rsidTr="007B36AB">
        <w:tc>
          <w:tcPr>
            <w:tcW w:w="4675" w:type="dxa"/>
          </w:tcPr>
          <w:p w14:paraId="1CD7A4E8"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VI.</w:t>
            </w:r>
            <w:r w:rsidRPr="00475A0C">
              <w:rPr>
                <w:rFonts w:ascii="Verdana" w:hAnsi="Verdana"/>
                <w:b/>
                <w:sz w:val="16"/>
                <w:szCs w:val="16"/>
              </w:rPr>
              <w:tab/>
            </w:r>
            <w:r w:rsidRPr="00475A0C">
              <w:rPr>
                <w:rFonts w:ascii="Verdana" w:hAnsi="Verdana"/>
                <w:sz w:val="16"/>
                <w:szCs w:val="16"/>
              </w:rPr>
              <w:t>Que el Contratista incumpla una resolución definitiva de órganos jurisdiccionales federales, que constituya cosa juzgada, o</w:t>
            </w:r>
          </w:p>
        </w:tc>
        <w:tc>
          <w:tcPr>
            <w:tcW w:w="4675" w:type="dxa"/>
          </w:tcPr>
          <w:p w14:paraId="13B094D7" w14:textId="15707486"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 xml:space="preserve">That the Contractor fails to comply with a final resolution of federal jurisdictional bodies, which constitutes </w:t>
            </w:r>
            <w:r w:rsidRPr="00E3602D">
              <w:rPr>
                <w:rFonts w:ascii="Verdana" w:hAnsi="Verdana"/>
                <w:i/>
                <w:iCs/>
                <w:sz w:val="16"/>
                <w:szCs w:val="16"/>
                <w:lang w:val="en-US"/>
              </w:rPr>
              <w:t>res judicata</w:t>
            </w:r>
            <w:r w:rsidRPr="00E3602D">
              <w:rPr>
                <w:rFonts w:ascii="Verdana" w:hAnsi="Verdana"/>
                <w:sz w:val="16"/>
                <w:szCs w:val="16"/>
                <w:lang w:val="en-US"/>
              </w:rPr>
              <w:t>, or</w:t>
            </w:r>
          </w:p>
        </w:tc>
      </w:tr>
      <w:tr w:rsidR="003B20AD" w:rsidRPr="00475A0C" w14:paraId="3CE4F8E2" w14:textId="3747AFC6" w:rsidTr="007B36AB">
        <w:tc>
          <w:tcPr>
            <w:tcW w:w="4675" w:type="dxa"/>
          </w:tcPr>
          <w:p w14:paraId="3C98619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 xml:space="preserve">Que el Contratista omita, sin causa justificada, algún pago al Estado o entrega de Hidrocarburos a éste, conforme a los plazos y términos estipulados en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542F01EA" w14:textId="19A270CA"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That the Contractor fails, without just cause, to make any payment to the State or deliver Hydrocarbons to it, in accordance with the terms and deadlines stipulated in the Contract for the exploration and extraction.</w:t>
            </w:r>
          </w:p>
        </w:tc>
      </w:tr>
      <w:tr w:rsidR="003B20AD" w:rsidRPr="00475A0C" w14:paraId="4C210E82" w14:textId="7EE6119A" w:rsidTr="007B36AB">
        <w:tc>
          <w:tcPr>
            <w:tcW w:w="4675" w:type="dxa"/>
          </w:tcPr>
          <w:p w14:paraId="372CC8D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El Contrato de Exploración y Extracción debe establecer las causales de terminación y rescisión de este, sin menoscabo de las causales de rescisión administrativa contempladas en el presente artículo.</w:t>
            </w:r>
          </w:p>
        </w:tc>
        <w:tc>
          <w:tcPr>
            <w:tcW w:w="4675" w:type="dxa"/>
          </w:tcPr>
          <w:p w14:paraId="5B3E32FC" w14:textId="70A59434"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The exploration and extraction Contract must establish the grounds for termination and rescission thereof, without prejudice to the grounds for administrative rescission contemplated in this article.</w:t>
            </w:r>
          </w:p>
        </w:tc>
      </w:tr>
      <w:tr w:rsidR="003B20AD" w:rsidRPr="00475A0C" w14:paraId="62D2D00B" w14:textId="28D1CEF4" w:rsidTr="007B36AB">
        <w:tc>
          <w:tcPr>
            <w:tcW w:w="4675" w:type="dxa"/>
          </w:tcPr>
          <w:p w14:paraId="2B36727C"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46.-</w:t>
            </w:r>
            <w:r w:rsidRPr="00475A0C">
              <w:rPr>
                <w:rFonts w:ascii="Verdana" w:hAnsi="Verdana"/>
                <w:sz w:val="16"/>
                <w:szCs w:val="16"/>
              </w:rPr>
              <w:t xml:space="preserve"> La declaración de rescisión administrativa requiere notificación previa a la persona Contratista de la causal o causales que se invoquen y se rige por la presente Ley y su Reglamento. Una vez notificada la causal, el Contratista tiene un máximo de treinta días naturales, contados a partir de la fecha de la notificación, para exponer lo que a su derecho convenga y aportar, en su caso, las pruebas que estime pertinentes.</w:t>
            </w:r>
          </w:p>
        </w:tc>
        <w:tc>
          <w:tcPr>
            <w:tcW w:w="4675" w:type="dxa"/>
          </w:tcPr>
          <w:p w14:paraId="13FD2822" w14:textId="421F7045"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46.- </w:t>
            </w:r>
            <w:r w:rsidRPr="00E3602D">
              <w:rPr>
                <w:rFonts w:ascii="Verdana" w:hAnsi="Verdana"/>
                <w:sz w:val="16"/>
                <w:szCs w:val="16"/>
                <w:lang w:val="en-US"/>
              </w:rPr>
              <w:t>The declaration of administrative termination requires prior notification to the Contractor of the cause or causes invoked and is governed by this Law and its Regulation. Once notified of the cause, the Contractor has a maximum of thirty calendar days, counted from the date of notification to state what is appropriate for its rights and, where appropriate, provide any evidence it deems relevant.</w:t>
            </w:r>
          </w:p>
        </w:tc>
      </w:tr>
      <w:tr w:rsidR="003B20AD" w:rsidRPr="00475A0C" w14:paraId="03689F03" w14:textId="4DFEC41A" w:rsidTr="007B36AB">
        <w:tc>
          <w:tcPr>
            <w:tcW w:w="4675" w:type="dxa"/>
          </w:tcPr>
          <w:p w14:paraId="4C841D66"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Transcurrido el plazo a que se refiere el párrafo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cuenta con un plazo de noventa días naturales para resolver considerando los argumentos y pruebas que, en su caso, haga valer la persona Contratista. La determinación de dar o no por rescindido administrativamente el contrato debe ser debidamente fundada y motivada, y notificada al Contratista.</w:t>
            </w:r>
          </w:p>
        </w:tc>
        <w:tc>
          <w:tcPr>
            <w:tcW w:w="4675" w:type="dxa"/>
          </w:tcPr>
          <w:p w14:paraId="41B60531" w14:textId="7D7737F2"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After the period referred to in the preceding paragraph has elapsed, the Secretary of Energy has a period of ninety calendar days to make a decision, considering the arguments and evidence, if any, presented by the Contractor. The decision to administratively terminate the contract must be duly substantiated and justified and the Contractor must be notified.</w:t>
            </w:r>
          </w:p>
        </w:tc>
      </w:tr>
      <w:tr w:rsidR="003B20AD" w:rsidRPr="00475A0C" w14:paraId="6B776F7A" w14:textId="4A35E47D" w:rsidTr="007B36AB">
        <w:tc>
          <w:tcPr>
            <w:tcW w:w="4675" w:type="dxa"/>
          </w:tcPr>
          <w:p w14:paraId="5FA8D81B"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Si el Contratista solventa la causal de rescisión en que haya incurrido antes de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emita la resolución respectiva, el procedimiento iniciado queda sin efecto, previa aceptación y verificación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aplicando, en su caso, las penas correspondientes conforme a lo dispuesto en la presente Ley.</w:t>
            </w:r>
          </w:p>
        </w:tc>
        <w:tc>
          <w:tcPr>
            <w:tcW w:w="4675" w:type="dxa"/>
          </w:tcPr>
          <w:p w14:paraId="108B5D7D" w14:textId="6FF4E9B5"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If the Contractor resolves the cause for termination incurred before the Secretary of Energy issues the respective resolution, the initiated procedure is void, subject to acceptance and verification by the Secretary of Energy and, where applicable, the corresponding penalties shall be applied in accordance with the provisions of this Law.</w:t>
            </w:r>
          </w:p>
        </w:tc>
      </w:tr>
      <w:tr w:rsidR="003B20AD" w:rsidRPr="00475A0C" w14:paraId="7901142F" w14:textId="4D131A04" w:rsidTr="007B36AB">
        <w:tc>
          <w:tcPr>
            <w:tcW w:w="4675" w:type="dxa"/>
          </w:tcPr>
          <w:p w14:paraId="5FFC9C32"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Artículo 47.-</w:t>
            </w:r>
            <w:r w:rsidRPr="00475A0C">
              <w:rPr>
                <w:rFonts w:ascii="Verdana" w:hAnsi="Verdana"/>
                <w:sz w:val="16"/>
                <w:szCs w:val="16"/>
              </w:rPr>
              <w:t xml:space="preserve"> Como consecuencia de la rescisión administrativa, la persona Contratista debe transferir al Estado, en buen estado, sin cargo, ni pago, ni indemnización alguna, el Área Contractual. Asimismo, se debe realizar el finiquito correspondiente en términos de las disposiciones jurídicas aplicables y de las previsiones contractuales.</w:t>
            </w:r>
          </w:p>
        </w:tc>
        <w:tc>
          <w:tcPr>
            <w:tcW w:w="4675" w:type="dxa"/>
          </w:tcPr>
          <w:p w14:paraId="70D9E703" w14:textId="7B7E709B"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Article 47.- </w:t>
            </w:r>
            <w:r w:rsidRPr="00E3602D">
              <w:rPr>
                <w:rFonts w:ascii="Verdana" w:hAnsi="Verdana"/>
                <w:sz w:val="16"/>
                <w:szCs w:val="16"/>
                <w:lang w:val="en-US"/>
              </w:rPr>
              <w:t>As a result of administrative termination, the Contractor must transfer to the State, in good condition, without charge, payment, or compensation of any kind, the Contractual Area. The corresponding settlement must also be made in accordance with the applicable legal provisions and contractual provisions.</w:t>
            </w:r>
          </w:p>
        </w:tc>
      </w:tr>
      <w:tr w:rsidR="003B20AD" w:rsidRPr="00475A0C" w14:paraId="24BDC732" w14:textId="124062AD" w:rsidTr="007B36AB">
        <w:tc>
          <w:tcPr>
            <w:tcW w:w="4675" w:type="dxa"/>
          </w:tcPr>
          <w:p w14:paraId="3970501A"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determina las condiciones de tal transferencia y las obligaciones a cargo del Contratista.</w:t>
            </w:r>
          </w:p>
        </w:tc>
        <w:tc>
          <w:tcPr>
            <w:tcW w:w="4675" w:type="dxa"/>
          </w:tcPr>
          <w:p w14:paraId="4B16512D" w14:textId="7BF2C221"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Contract for the exploration and extraction determines the conditions of such transfer and the obligations of the Contractor.</w:t>
            </w:r>
          </w:p>
        </w:tc>
      </w:tr>
      <w:tr w:rsidR="003B20AD" w:rsidRPr="00475A0C" w14:paraId="5FA785FF" w14:textId="0F81C511" w:rsidTr="007B36AB">
        <w:tc>
          <w:tcPr>
            <w:tcW w:w="4675" w:type="dxa"/>
          </w:tcPr>
          <w:p w14:paraId="1F8F8329"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En cualquier caso, corresponde al Contratista mantener la propiedad de los bienes e instalaciones que no sean conexos o accesorios exclusivos del área recuperada.</w:t>
            </w:r>
          </w:p>
        </w:tc>
        <w:tc>
          <w:tcPr>
            <w:tcW w:w="4675" w:type="dxa"/>
          </w:tcPr>
          <w:p w14:paraId="0071E902" w14:textId="56232063"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In any case, it is the Contractor's responsibility to retain ownership of any assets and facilities that are not connected to or exclusively accessory to the recovered area.</w:t>
            </w:r>
          </w:p>
        </w:tc>
      </w:tr>
      <w:tr w:rsidR="003B20AD" w:rsidRPr="00475A0C" w14:paraId="17760C72" w14:textId="40EFA443" w:rsidTr="007B36AB">
        <w:tc>
          <w:tcPr>
            <w:tcW w:w="4675" w:type="dxa"/>
          </w:tcPr>
          <w:p w14:paraId="38CC7A21"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La rescisión administrativa del Contrato no exime a la persona Contratista de la obligación de resarcir aquellos </w:t>
            </w:r>
            <w:r w:rsidRPr="00475A0C">
              <w:rPr>
                <w:rFonts w:ascii="Verdana" w:hAnsi="Verdana"/>
                <w:sz w:val="16"/>
                <w:szCs w:val="16"/>
              </w:rPr>
              <w:lastRenderedPageBreak/>
              <w:t>daños o perjuicios que correspondan, en términos de las disposiciones jurídicas aplicables.</w:t>
            </w:r>
          </w:p>
        </w:tc>
        <w:tc>
          <w:tcPr>
            <w:tcW w:w="4675" w:type="dxa"/>
          </w:tcPr>
          <w:p w14:paraId="447D7F1C" w14:textId="1C9E5D25"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lastRenderedPageBreak/>
              <w:t xml:space="preserve">The administrative termination of the Contract does not exempt the Contractor from the obligation to </w:t>
            </w:r>
            <w:r w:rsidRPr="00E3602D">
              <w:rPr>
                <w:rFonts w:ascii="Verdana" w:hAnsi="Verdana"/>
                <w:sz w:val="16"/>
                <w:szCs w:val="16"/>
                <w:lang w:val="en-US"/>
              </w:rPr>
              <w:lastRenderedPageBreak/>
              <w:t>compensate for any damages or losses that may apply, in accordance with the applicable legal provisions.</w:t>
            </w:r>
          </w:p>
        </w:tc>
      </w:tr>
      <w:tr w:rsidR="003B20AD" w:rsidRPr="00475A0C" w14:paraId="6AF385B1" w14:textId="225E4A50" w:rsidTr="007B36AB">
        <w:tc>
          <w:tcPr>
            <w:tcW w:w="4675" w:type="dxa"/>
          </w:tcPr>
          <w:p w14:paraId="26C83DB1"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lastRenderedPageBreak/>
              <w:t>Artículo 48.-</w:t>
            </w:r>
            <w:r w:rsidRPr="00475A0C">
              <w:rPr>
                <w:rFonts w:ascii="Verdana" w:hAnsi="Verdana"/>
                <w:sz w:val="16"/>
                <w:szCs w:val="16"/>
              </w:rPr>
              <w:t xml:space="preserve"> Tratándose de las controversias referidas a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 excepción de lo mencionado en el artículo anterior, se pueden prever mecanismos alternativos para su solución, acudiendo a los mecanismos previstos por </w:t>
            </w:r>
            <w:smartTag w:uri="urn:schemas-microsoft-com:office:smarttags" w:element="PersonName">
              <w:smartTagPr>
                <w:attr w:name="ProductID" w:val="la Ley General"/>
              </w:smartTagPr>
              <w:r w:rsidRPr="00475A0C">
                <w:rPr>
                  <w:rFonts w:ascii="Verdana" w:hAnsi="Verdana"/>
                  <w:sz w:val="16"/>
                  <w:szCs w:val="16"/>
                </w:rPr>
                <w:t>la Ley General</w:t>
              </w:r>
            </w:smartTag>
            <w:r w:rsidRPr="00475A0C">
              <w:rPr>
                <w:rFonts w:ascii="Verdana" w:hAnsi="Verdana"/>
                <w:sz w:val="16"/>
                <w:szCs w:val="16"/>
              </w:rPr>
              <w:t xml:space="preserve"> de Mecanismos Alternativos de Solución de Controversias, a los acuerdos arbitrales en términos de lo dispuesto en el Título Cuarto del Libro Quinto del Código de Comercio, o a lo previsto en los tratados internacionales en materia de arbitraje y solución de controversias de los que México sea parte.</w:t>
            </w:r>
          </w:p>
        </w:tc>
        <w:tc>
          <w:tcPr>
            <w:tcW w:w="4675" w:type="dxa"/>
          </w:tcPr>
          <w:p w14:paraId="165597C9" w14:textId="1488E873"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Article 48.- </w:t>
            </w:r>
            <w:r w:rsidRPr="00E3602D">
              <w:rPr>
                <w:rFonts w:ascii="Verdana" w:hAnsi="Verdana"/>
                <w:sz w:val="16"/>
                <w:szCs w:val="16"/>
                <w:lang w:val="en-US"/>
              </w:rPr>
              <w:t>In the case of disputes relating to Contracts for exploration and extraction, with the exception of what is mentioned in the preceding article, may provide alternative mechanisms for their resolution, resorting to the mechanisms provided for by the General Law of Alternative Mechanisms of Dispute Resolution, to arbitration agreements in terms of the provisions of the Fourth Title of the Fifth Book of the Commercial Code, or to the provisions of international treaties on arbitration and dispute resolution to which Mexico is a party.</w:t>
            </w:r>
          </w:p>
        </w:tc>
      </w:tr>
      <w:tr w:rsidR="003B20AD" w:rsidRPr="00475A0C" w14:paraId="507FC72B" w14:textId="46F0D690" w:rsidTr="007B36AB">
        <w:tc>
          <w:tcPr>
            <w:tcW w:w="4675" w:type="dxa"/>
          </w:tcPr>
          <w:p w14:paraId="1B5CC1B4"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La Secretaría de Energía y las personas Contratistas no se someten, en ningún caso, a leyes extranjeras. El procedimiento arbitral en todo caso, debe ajustarse a lo siguiente:</w:t>
            </w:r>
          </w:p>
        </w:tc>
        <w:tc>
          <w:tcPr>
            <w:tcW w:w="4675" w:type="dxa"/>
          </w:tcPr>
          <w:p w14:paraId="20643B11" w14:textId="0A3F6915"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Secretary of Energy and the Contractors are not, under any circumstances, subject to foreign laws. The arbitration procedure must, in any case, comply with the following:</w:t>
            </w:r>
          </w:p>
        </w:tc>
      </w:tr>
      <w:tr w:rsidR="003B20AD" w:rsidRPr="00475A0C" w14:paraId="52EE0E1D" w14:textId="0317E8B7" w:rsidTr="007B36AB">
        <w:tc>
          <w:tcPr>
            <w:tcW w:w="4675" w:type="dxa"/>
          </w:tcPr>
          <w:p w14:paraId="51089FFA"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Aplicación de las leyes federales mexicanas;</w:t>
            </w:r>
          </w:p>
        </w:tc>
        <w:tc>
          <w:tcPr>
            <w:tcW w:w="4675" w:type="dxa"/>
          </w:tcPr>
          <w:p w14:paraId="474775F8" w14:textId="4D777EB8"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Application of Mexican federal laws;</w:t>
            </w:r>
          </w:p>
        </w:tc>
      </w:tr>
      <w:tr w:rsidR="003B20AD" w:rsidRPr="00475A0C" w14:paraId="4F0225A8" w14:textId="1AE9B99A" w:rsidTr="007B36AB">
        <w:tc>
          <w:tcPr>
            <w:tcW w:w="4675" w:type="dxa"/>
          </w:tcPr>
          <w:p w14:paraId="11A055A4"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Sede en </w:t>
            </w:r>
            <w:smartTag w:uri="urn:schemas-microsoft-com:office:smarttags" w:element="PersonName">
              <w:smartTagPr>
                <w:attr w:name="ProductID" w:val="la Ciudad"/>
              </w:smartTagPr>
              <w:r w:rsidRPr="00475A0C">
                <w:rPr>
                  <w:rFonts w:ascii="Verdana" w:hAnsi="Verdana"/>
                  <w:sz w:val="16"/>
                  <w:szCs w:val="16"/>
                </w:rPr>
                <w:t>la Ciudad</w:t>
              </w:r>
            </w:smartTag>
            <w:r w:rsidRPr="00475A0C">
              <w:rPr>
                <w:rFonts w:ascii="Verdana" w:hAnsi="Verdana"/>
                <w:sz w:val="16"/>
                <w:szCs w:val="16"/>
              </w:rPr>
              <w:t xml:space="preserve"> de México y en idioma español, y</w:t>
            </w:r>
          </w:p>
        </w:tc>
        <w:tc>
          <w:tcPr>
            <w:tcW w:w="4675" w:type="dxa"/>
          </w:tcPr>
          <w:p w14:paraId="13820F4E" w14:textId="3D48E9B7"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Headquarters in Mexico City and in the Spanish language, and</w:t>
            </w:r>
          </w:p>
        </w:tc>
      </w:tr>
      <w:tr w:rsidR="003B20AD" w:rsidRPr="00475A0C" w14:paraId="55BD195D" w14:textId="210E7CE2" w:rsidTr="007B36AB">
        <w:tc>
          <w:tcPr>
            <w:tcW w:w="4675" w:type="dxa"/>
          </w:tcPr>
          <w:p w14:paraId="206B76E6"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El laudo es obligatorio y firme para ambas partes, y debe dictarse en estricto derecho.</w:t>
            </w:r>
          </w:p>
        </w:tc>
        <w:tc>
          <w:tcPr>
            <w:tcW w:w="4675" w:type="dxa"/>
          </w:tcPr>
          <w:p w14:paraId="43D9B7BA" w14:textId="6274A4E3"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award is binding and final for both parties and must be issued in strict accordance with the law.</w:t>
            </w:r>
          </w:p>
        </w:tc>
      </w:tr>
      <w:tr w:rsidR="003B20AD" w:rsidRPr="00475A0C" w14:paraId="03D9B853" w14:textId="7C8E4641" w:rsidTr="007B36AB">
        <w:tc>
          <w:tcPr>
            <w:tcW w:w="4675" w:type="dxa"/>
          </w:tcPr>
          <w:p w14:paraId="5282ED62"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Artículo 49.-</w:t>
            </w:r>
            <w:r w:rsidRPr="00475A0C">
              <w:rPr>
                <w:rFonts w:ascii="Verdana" w:hAnsi="Verdana"/>
                <w:sz w:val="16"/>
                <w:szCs w:val="16"/>
              </w:rPr>
              <w:t xml:space="preserv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regulan por lo dispuesto en la presente Ley y su Reglamento. Para los efectos de su ejecución es aplicable, supletoriamente y en lo que no se oponga a la presente Ley y su Reglamento, la legislación mercantil y el derecho común.</w:t>
            </w:r>
          </w:p>
        </w:tc>
        <w:tc>
          <w:tcPr>
            <w:tcW w:w="4675" w:type="dxa"/>
          </w:tcPr>
          <w:p w14:paraId="792A1C4D" w14:textId="6F501374"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Article 49.- </w:t>
            </w:r>
            <w:r w:rsidRPr="00E3602D">
              <w:rPr>
                <w:rFonts w:ascii="Verdana" w:hAnsi="Verdana"/>
                <w:sz w:val="16"/>
                <w:szCs w:val="16"/>
                <w:lang w:val="en-US"/>
              </w:rPr>
              <w:t>Contracts for exploration and extraction are governed by the provisions of this Law and its Regulation. For the purposes of their execution, the Law and its Regulation shall apply, supplementarily and to the extent not inconsistent with this Law and its Regulation, legislation and common law.</w:t>
            </w:r>
          </w:p>
        </w:tc>
      </w:tr>
      <w:tr w:rsidR="003B20AD" w:rsidRPr="00475A0C" w14:paraId="38424CAC" w14:textId="64CC6494" w:rsidTr="007B36AB">
        <w:tc>
          <w:tcPr>
            <w:tcW w:w="4675" w:type="dxa"/>
          </w:tcPr>
          <w:p w14:paraId="5280F4F5"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b/>
                <w:sz w:val="16"/>
                <w:szCs w:val="16"/>
              </w:rPr>
              <w:t>Artículo 50.-</w:t>
            </w:r>
            <w:r w:rsidRPr="00475A0C">
              <w:rPr>
                <w:rFonts w:ascii="Verdana" w:hAnsi="Verdana"/>
                <w:sz w:val="16"/>
                <w:szCs w:val="16"/>
              </w:rPr>
              <w:t xml:space="preserve"> La adjudicación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debe llevarse a cabo mediante licitación que realice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Las bases de licitación deben prever que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puede formalizar de manera individual, en consorcio, o asociación en participación, en términos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103B6FD7" w14:textId="4221614D" w:rsidR="003B20AD" w:rsidRPr="00E3602D" w:rsidRDefault="003B20AD" w:rsidP="003B20AD">
            <w:pPr>
              <w:pStyle w:val="Texto"/>
              <w:spacing w:line="228" w:lineRule="exact"/>
              <w:ind w:firstLine="0"/>
              <w:rPr>
                <w:rFonts w:ascii="Verdana" w:hAnsi="Verdana"/>
                <w:b/>
                <w:sz w:val="16"/>
                <w:szCs w:val="16"/>
                <w:lang w:val="en-US"/>
              </w:rPr>
            </w:pPr>
            <w:r w:rsidRPr="00E3602D">
              <w:rPr>
                <w:rFonts w:ascii="Verdana" w:hAnsi="Verdana"/>
                <w:b/>
                <w:sz w:val="16"/>
                <w:szCs w:val="16"/>
                <w:lang w:val="en-US"/>
              </w:rPr>
              <w:t xml:space="preserve">Article 50.- </w:t>
            </w:r>
            <w:r w:rsidRPr="00E3602D">
              <w:rPr>
                <w:rFonts w:ascii="Verdana" w:hAnsi="Verdana"/>
                <w:sz w:val="16"/>
                <w:szCs w:val="16"/>
                <w:lang w:val="en-US"/>
              </w:rPr>
              <w:t xml:space="preserve">The awarding of </w:t>
            </w:r>
            <w:r w:rsidRPr="00E3602D">
              <w:rPr>
                <w:rFonts w:ascii="Verdana" w:hAnsi="Verdana"/>
                <w:sz w:val="16"/>
                <w:szCs w:val="16"/>
                <w:lang w:val="en-US"/>
              </w:rPr>
              <w:t>e</w:t>
            </w:r>
            <w:r w:rsidRPr="00E3602D">
              <w:rPr>
                <w:rFonts w:ascii="Verdana" w:hAnsi="Verdana"/>
                <w:sz w:val="16"/>
                <w:szCs w:val="16"/>
                <w:lang w:val="en-US"/>
              </w:rPr>
              <w:t xml:space="preserve">xploration and </w:t>
            </w:r>
            <w:r w:rsidRPr="00E3602D">
              <w:rPr>
                <w:rFonts w:ascii="Verdana" w:hAnsi="Verdana"/>
                <w:sz w:val="16"/>
                <w:szCs w:val="16"/>
                <w:lang w:val="en-US"/>
              </w:rPr>
              <w:t>e</w:t>
            </w:r>
            <w:r w:rsidRPr="00E3602D">
              <w:rPr>
                <w:rFonts w:ascii="Verdana" w:hAnsi="Verdana"/>
                <w:sz w:val="16"/>
                <w:szCs w:val="16"/>
                <w:lang w:val="en-US"/>
              </w:rPr>
              <w:t xml:space="preserve">xtraction Contracts must be carried out through a bidding process conducted by the </w:t>
            </w:r>
            <w:r w:rsidRPr="00E3602D">
              <w:rPr>
                <w:rFonts w:ascii="Verdana" w:hAnsi="Verdana"/>
                <w:sz w:val="16"/>
                <w:szCs w:val="16"/>
                <w:lang w:val="en-US"/>
              </w:rPr>
              <w:t>Secretary</w:t>
            </w:r>
            <w:r w:rsidRPr="00E3602D">
              <w:rPr>
                <w:rFonts w:ascii="Verdana" w:hAnsi="Verdana"/>
                <w:sz w:val="16"/>
                <w:szCs w:val="16"/>
                <w:lang w:val="en-US"/>
              </w:rPr>
              <w:t xml:space="preserve"> of Energy. The bidding c</w:t>
            </w:r>
            <w:r w:rsidRPr="00E3602D">
              <w:rPr>
                <w:rFonts w:ascii="Verdana" w:hAnsi="Verdana"/>
                <w:sz w:val="16"/>
                <w:szCs w:val="16"/>
                <w:lang w:val="en-US"/>
              </w:rPr>
              <w:t>riteria</w:t>
            </w:r>
            <w:r w:rsidRPr="00E3602D">
              <w:rPr>
                <w:rFonts w:ascii="Verdana" w:hAnsi="Verdana"/>
                <w:sz w:val="16"/>
                <w:szCs w:val="16"/>
                <w:lang w:val="en-US"/>
              </w:rPr>
              <w:t xml:space="preserve"> must provide that the </w:t>
            </w:r>
            <w:r w:rsidRPr="00E3602D">
              <w:rPr>
                <w:rFonts w:ascii="Verdana" w:hAnsi="Verdana"/>
                <w:sz w:val="16"/>
                <w:szCs w:val="16"/>
                <w:lang w:val="en-US"/>
              </w:rPr>
              <w:t>e</w:t>
            </w:r>
            <w:r w:rsidRPr="00E3602D">
              <w:rPr>
                <w:rFonts w:ascii="Verdana" w:hAnsi="Verdana"/>
                <w:sz w:val="16"/>
                <w:szCs w:val="16"/>
                <w:lang w:val="en-US"/>
              </w:rPr>
              <w:t xml:space="preserve">xploration and </w:t>
            </w:r>
            <w:r w:rsidRPr="00E3602D">
              <w:rPr>
                <w:rFonts w:ascii="Verdana" w:hAnsi="Verdana"/>
                <w:sz w:val="16"/>
                <w:szCs w:val="16"/>
                <w:lang w:val="en-US"/>
              </w:rPr>
              <w:t>e</w:t>
            </w:r>
            <w:r w:rsidRPr="00E3602D">
              <w:rPr>
                <w:rFonts w:ascii="Verdana" w:hAnsi="Verdana"/>
                <w:sz w:val="16"/>
                <w:szCs w:val="16"/>
                <w:lang w:val="en-US"/>
              </w:rPr>
              <w:t>xtraction Contract may be formalized individually, in a consortium, or as a joint venture, in accordance with the</w:t>
            </w:r>
            <w:r w:rsidRPr="00E3602D">
              <w:rPr>
                <w:rFonts w:ascii="Verdana" w:hAnsi="Verdana"/>
                <w:sz w:val="16"/>
                <w:szCs w:val="16"/>
                <w:lang w:val="en-US"/>
              </w:rPr>
              <w:t xml:space="preserve"> Law of Revenue on</w:t>
            </w:r>
            <w:r w:rsidRPr="00E3602D">
              <w:rPr>
                <w:rFonts w:ascii="Verdana" w:hAnsi="Verdana"/>
                <w:sz w:val="16"/>
                <w:szCs w:val="16"/>
                <w:lang w:val="en-US"/>
              </w:rPr>
              <w:t xml:space="preserve"> Hydrocarbon</w:t>
            </w:r>
            <w:r w:rsidRPr="00E3602D">
              <w:rPr>
                <w:rFonts w:ascii="Verdana" w:hAnsi="Verdana"/>
                <w:sz w:val="16"/>
                <w:szCs w:val="16"/>
                <w:lang w:val="en-US"/>
              </w:rPr>
              <w:t>s</w:t>
            </w:r>
            <w:r w:rsidRPr="00E3602D">
              <w:rPr>
                <w:rFonts w:ascii="Verdana" w:hAnsi="Verdana"/>
                <w:sz w:val="16"/>
                <w:szCs w:val="16"/>
                <w:lang w:val="en-US"/>
              </w:rPr>
              <w:t>.</w:t>
            </w:r>
          </w:p>
        </w:tc>
      </w:tr>
      <w:tr w:rsidR="003B20AD" w:rsidRPr="00475A0C" w14:paraId="03730BB4" w14:textId="4624B460" w:rsidTr="007B36AB">
        <w:tc>
          <w:tcPr>
            <w:tcW w:w="4675" w:type="dxa"/>
          </w:tcPr>
          <w:p w14:paraId="62842B03"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El proceso de licitación inicia con la publicación de la convocatoria en el Diario Oficial de la Federación.</w:t>
            </w:r>
          </w:p>
        </w:tc>
        <w:tc>
          <w:tcPr>
            <w:tcW w:w="4675" w:type="dxa"/>
          </w:tcPr>
          <w:p w14:paraId="09289AE0" w14:textId="707B64C6"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bidding process begins with the publication of the call for proposals in the Official Daily of the Federation.</w:t>
            </w:r>
          </w:p>
        </w:tc>
      </w:tr>
      <w:tr w:rsidR="003B20AD" w:rsidRPr="00475A0C" w14:paraId="346FE262" w14:textId="4B1BE76F" w:rsidTr="007B36AB">
        <w:tc>
          <w:tcPr>
            <w:tcW w:w="4675" w:type="dxa"/>
          </w:tcPr>
          <w:p w14:paraId="6F94A44C"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El proceso de licitación comprende los actos y las etapas que se establezcan en los lineamientos y las disposiciones que para tal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Las personas interesadas en presentar propuestas deben cumplir con los criterios de precalificación respecto de los elementos técnicos, financieros, de ejecución y de experiencia, en los términos señalados en los lineamientos que al efecto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088A6631" w14:textId="2FF28C91"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bidding process includes the steps and stages established in the guidelines and regulations issued by the Secretary of Energy for this purpose. Those interested in submitting proposals must meet the prequalification criteria regarding technical, financial, execution, and experience, in accordance with the terms established in the guidelines established by the Secretary of Energy for this purpose.</w:t>
            </w:r>
          </w:p>
        </w:tc>
      </w:tr>
      <w:tr w:rsidR="003B20AD" w:rsidRPr="00475A0C" w14:paraId="6D3B4253" w14:textId="357B6E7C" w:rsidTr="007B36AB">
        <w:tc>
          <w:tcPr>
            <w:tcW w:w="4675" w:type="dxa"/>
          </w:tcPr>
          <w:p w14:paraId="434C9D4C"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Entre la fecha de publicación de la convocatoria en el Diario Oficial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 xml:space="preserve"> y aquélla en la que se presenten las propuestas deben mediar al menos noventa días naturales. El mecanismo de adjudicación puede ser, entre otros, una subasta ascendente, una subasta descendente o una subasta al primer precio en </w:t>
            </w:r>
            <w:r w:rsidRPr="00475A0C">
              <w:rPr>
                <w:rFonts w:ascii="Verdana" w:hAnsi="Verdana"/>
                <w:sz w:val="16"/>
                <w:szCs w:val="16"/>
              </w:rPr>
              <w:lastRenderedPageBreak/>
              <w:t>sobre cerrado, en cuyo caso los sobres deben ser presentados y abiertos en una misma sesión pública. En los procesos de licitación se deben contemplar criterios de desempate, los cuales se deben incluir en las bases de licitación correspondientes.</w:t>
            </w:r>
          </w:p>
        </w:tc>
        <w:tc>
          <w:tcPr>
            <w:tcW w:w="4675" w:type="dxa"/>
          </w:tcPr>
          <w:p w14:paraId="5B4A48C9" w14:textId="51F97B53"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lastRenderedPageBreak/>
              <w:t xml:space="preserve">There must be at least 90 calendar days between the date of publication of the call for proposals in the Official </w:t>
            </w:r>
            <w:r w:rsidRPr="00E3602D">
              <w:rPr>
                <w:rFonts w:ascii="Verdana" w:hAnsi="Verdana"/>
                <w:sz w:val="16"/>
                <w:szCs w:val="16"/>
                <w:lang w:val="en-US"/>
              </w:rPr>
              <w:t>Daily</w:t>
            </w:r>
            <w:r w:rsidRPr="00E3602D">
              <w:rPr>
                <w:rFonts w:ascii="Verdana" w:hAnsi="Verdana"/>
                <w:sz w:val="16"/>
                <w:szCs w:val="16"/>
                <w:lang w:val="en-US"/>
              </w:rPr>
              <w:t xml:space="preserve"> of the Federation and the date on which the proposals are submitted. The awarding mechanism may include, among others, an ascending auction, a descending auction, or a </w:t>
            </w:r>
            <w:r w:rsidRPr="00E3602D">
              <w:rPr>
                <w:rFonts w:ascii="Verdana" w:hAnsi="Verdana"/>
                <w:sz w:val="16"/>
                <w:szCs w:val="16"/>
                <w:lang w:val="en-US"/>
              </w:rPr>
              <w:t>first price</w:t>
            </w:r>
            <w:r w:rsidRPr="00E3602D">
              <w:rPr>
                <w:rFonts w:ascii="Verdana" w:hAnsi="Verdana"/>
                <w:sz w:val="16"/>
                <w:szCs w:val="16"/>
                <w:lang w:val="en-US"/>
              </w:rPr>
              <w:t xml:space="preserve"> sealed-bid auction, </w:t>
            </w:r>
            <w:r w:rsidRPr="00E3602D">
              <w:rPr>
                <w:rFonts w:ascii="Verdana" w:hAnsi="Verdana"/>
                <w:sz w:val="16"/>
                <w:szCs w:val="16"/>
                <w:lang w:val="en-US"/>
              </w:rPr>
              <w:lastRenderedPageBreak/>
              <w:t>in which case the bids must be presented and opened in a single public session. Tendering processes must consider tiebreaker criteria, which must be included in the corresponding bidding conditions.</w:t>
            </w:r>
          </w:p>
        </w:tc>
      </w:tr>
      <w:tr w:rsidR="003B20AD" w:rsidRPr="00475A0C" w14:paraId="7A0E0441" w14:textId="33C20FFF" w:rsidTr="007B36AB">
        <w:tc>
          <w:tcPr>
            <w:tcW w:w="4675" w:type="dxa"/>
          </w:tcPr>
          <w:p w14:paraId="156C6291"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lastRenderedPageBreak/>
              <w:t>En cualquier caso, los procesos de licitación se deben llevar a cabo bajo los principios de transparencia, máxima publicidad, igualdad, competitividad y sencillez. Las propuestas pueden ser presentadas y analizadas a través de medios electrónicos, en los términos que establezca el Reglamento.</w:t>
            </w:r>
          </w:p>
        </w:tc>
        <w:tc>
          <w:tcPr>
            <w:tcW w:w="4675" w:type="dxa"/>
          </w:tcPr>
          <w:p w14:paraId="36EC85A6" w14:textId="6AFCF937"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In any case, bidding processes must be carried out under the principles of transparency, maximum publicity, equality, competitiveness, and simplicity. Proposals may be submitted and analyzed electronically, under the terms established in the Regulation.</w:t>
            </w:r>
          </w:p>
        </w:tc>
      </w:tr>
      <w:tr w:rsidR="003B20AD" w:rsidRPr="00475A0C" w14:paraId="78A93C54" w14:textId="24B632DD" w:rsidTr="007B36AB">
        <w:tc>
          <w:tcPr>
            <w:tcW w:w="4675" w:type="dxa"/>
          </w:tcPr>
          <w:p w14:paraId="06C61892"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El fallo correspondiente debe publicarse en el Diario Oficial de la Federación.</w:t>
            </w:r>
          </w:p>
        </w:tc>
        <w:tc>
          <w:tcPr>
            <w:tcW w:w="4675" w:type="dxa"/>
          </w:tcPr>
          <w:p w14:paraId="7CCA20FF" w14:textId="4D6F56CA"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corresponding ruling must be published in the Official Daily of the Federation.</w:t>
            </w:r>
          </w:p>
        </w:tc>
      </w:tr>
      <w:tr w:rsidR="003B20AD" w:rsidRPr="00475A0C" w14:paraId="2F51BC48" w14:textId="1FB31322" w:rsidTr="007B36AB">
        <w:tc>
          <w:tcPr>
            <w:tcW w:w="4675" w:type="dxa"/>
          </w:tcPr>
          <w:p w14:paraId="0F7C5190" w14:textId="77777777" w:rsidR="003B20AD" w:rsidRPr="00475A0C" w:rsidRDefault="003B20AD" w:rsidP="003B20AD">
            <w:pPr>
              <w:pStyle w:val="Texto"/>
              <w:spacing w:line="228" w:lineRule="exact"/>
              <w:ind w:firstLine="0"/>
              <w:rPr>
                <w:rFonts w:ascii="Verdana" w:hAnsi="Verdana"/>
                <w:sz w:val="16"/>
                <w:szCs w:val="16"/>
              </w:rPr>
            </w:pPr>
            <w:r w:rsidRPr="00475A0C">
              <w:rPr>
                <w:rFonts w:ascii="Verdana" w:hAnsi="Verdana"/>
                <w:sz w:val="16"/>
                <w:szCs w:val="16"/>
              </w:rPr>
              <w:t xml:space="preserve">Los procedimientos de adjudicación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rigen por esta Ley y no son aplicables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Obras Públicas y Servicios Relacionados con las Mismas,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Adquisiciones, Arrendamientos y Servicios del Sector Público, ni las disposiciones que deriven de dichas leyes.</w:t>
            </w:r>
          </w:p>
        </w:tc>
        <w:tc>
          <w:tcPr>
            <w:tcW w:w="4675" w:type="dxa"/>
          </w:tcPr>
          <w:p w14:paraId="33F1B60D" w14:textId="33A36E5A" w:rsidR="003B20AD" w:rsidRPr="00E3602D" w:rsidRDefault="003B20AD" w:rsidP="003B20AD">
            <w:pPr>
              <w:pStyle w:val="Texto"/>
              <w:spacing w:line="228" w:lineRule="exact"/>
              <w:ind w:firstLine="0"/>
              <w:rPr>
                <w:rFonts w:ascii="Verdana" w:hAnsi="Verdana"/>
                <w:sz w:val="16"/>
                <w:szCs w:val="16"/>
                <w:lang w:val="en-US"/>
              </w:rPr>
            </w:pPr>
            <w:r w:rsidRPr="00E3602D">
              <w:rPr>
                <w:rFonts w:ascii="Verdana" w:hAnsi="Verdana"/>
                <w:sz w:val="16"/>
                <w:szCs w:val="16"/>
                <w:lang w:val="en-US"/>
              </w:rPr>
              <w:t>The procedures for awarding Contracts for exploration and extraction are governed by this Law and the Law of Public Works and Related Services, the Law of Acquisitions and Leases and Services of the Public Sector are not applicable, nor are the provisions that derive from said laws.</w:t>
            </w:r>
          </w:p>
        </w:tc>
      </w:tr>
      <w:tr w:rsidR="003B20AD" w:rsidRPr="00475A0C" w14:paraId="37ABFE8B" w14:textId="1028D277" w:rsidTr="007B36AB">
        <w:tc>
          <w:tcPr>
            <w:tcW w:w="4675" w:type="dxa"/>
          </w:tcPr>
          <w:p w14:paraId="6DB0EE1F"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Artículo 51.-</w:t>
            </w:r>
            <w:r w:rsidRPr="00475A0C">
              <w:rPr>
                <w:rFonts w:ascii="Verdana" w:hAnsi="Verdana"/>
                <w:sz w:val="16"/>
                <w:szCs w:val="16"/>
              </w:rPr>
              <w:t xml:space="preserve"> Las bases del procedimiento de licitación y adjudicación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se pongan a disposición de los interesados, deben:</w:t>
            </w:r>
          </w:p>
        </w:tc>
        <w:tc>
          <w:tcPr>
            <w:tcW w:w="4675" w:type="dxa"/>
          </w:tcPr>
          <w:p w14:paraId="091EC6A5" w14:textId="20C1C3AB"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Article 51.- </w:t>
            </w:r>
            <w:r w:rsidRPr="00E3602D">
              <w:rPr>
                <w:rFonts w:ascii="Verdana" w:hAnsi="Verdana"/>
                <w:sz w:val="16"/>
                <w:szCs w:val="16"/>
                <w:lang w:val="en-US"/>
              </w:rPr>
              <w:t>The criteria of the bidding and awarding procedure for Contracts for exploration and extraction, which are made available to interested parties, must:</w:t>
            </w:r>
          </w:p>
        </w:tc>
      </w:tr>
      <w:tr w:rsidR="003B20AD" w:rsidRPr="00475A0C" w14:paraId="26DD2E62" w14:textId="2C95507E" w:rsidTr="007B36AB">
        <w:tc>
          <w:tcPr>
            <w:tcW w:w="4675" w:type="dxa"/>
          </w:tcPr>
          <w:p w14:paraId="5C50E7E5"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Sujetarse a los lineamientos técnicos y a las condiciones económicas relativas a los términos fiscales que para cada caso establezcan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respectivamente;</w:t>
            </w:r>
          </w:p>
        </w:tc>
        <w:tc>
          <w:tcPr>
            <w:tcW w:w="4675" w:type="dxa"/>
          </w:tcPr>
          <w:p w14:paraId="773DB50E" w14:textId="4A4EEB8D"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Comply with the technical guidelines and economic conditions relating to the fiscal terms established for each case by the Secretary of Energy and the Secretary of the Treasury and Public Credit, respectively;</w:t>
            </w:r>
          </w:p>
        </w:tc>
      </w:tr>
      <w:tr w:rsidR="003B20AD" w:rsidRPr="00475A0C" w14:paraId="2A0B2F9F" w14:textId="3F247081" w:rsidTr="007B36AB">
        <w:tc>
          <w:tcPr>
            <w:tcW w:w="4675" w:type="dxa"/>
          </w:tcPr>
          <w:p w14:paraId="0E49388D"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Señalar, entre otros aspectos, el tipo de contrato, los criterios y plazos para el proceso de precalificación y de aclaración de las bases, las variables de adjudicación, el mecanismo para determinar al ganador y, en su caso, la modificación de sus términos y condiciones.</w:t>
            </w:r>
          </w:p>
        </w:tc>
        <w:tc>
          <w:tcPr>
            <w:tcW w:w="4675" w:type="dxa"/>
          </w:tcPr>
          <w:p w14:paraId="73FCE4B2" w14:textId="4B956DAF"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Specify, among other aspects, the type of contract, the criteria and deadlines for the prequalification process and clarification of the bidding rules, the award variables, the mechanism for determining the winner, and, where appropriate, any modifications to its terms and conditions.</w:t>
            </w:r>
          </w:p>
        </w:tc>
      </w:tr>
      <w:tr w:rsidR="003B20AD" w:rsidRPr="00475A0C" w14:paraId="3DE1EE27" w14:textId="2E550514" w:rsidTr="007B36AB">
        <w:tc>
          <w:tcPr>
            <w:tcW w:w="4675" w:type="dxa"/>
          </w:tcPr>
          <w:p w14:paraId="0A2EBBA9"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Una vez suscrito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no pueden realizarse modificaciones en lo relativo a criterios de precalificación, condiciones económicas ni Área Contractual, o elementos esenciales establecidos en las bases de licitación que impliquen o puedan implicar inequidad en el procedimiento de licitación realizado, o los que así se establezcan expresamente en el mismo contrato.</w:t>
            </w:r>
          </w:p>
        </w:tc>
        <w:tc>
          <w:tcPr>
            <w:tcW w:w="4675" w:type="dxa"/>
          </w:tcPr>
          <w:p w14:paraId="0EB0ACF5" w14:textId="645A8A92"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ab/>
              <w:t>Once the Contract for the exploration and extraction has been signed, no modifications may be made to the prequalification criteria, economic conditions, or Contractual Area, or to any essential elements established in the bidding rules that imply or may imply inequity in the bidding procedure carried out, or those that are expressly established in the contract itself.</w:t>
            </w:r>
          </w:p>
        </w:tc>
      </w:tr>
      <w:tr w:rsidR="003B20AD" w:rsidRPr="00475A0C" w14:paraId="2CD0A13A" w14:textId="1A1A8DD6" w:rsidTr="007B36AB">
        <w:tc>
          <w:tcPr>
            <w:tcW w:w="4675" w:type="dxa"/>
          </w:tcPr>
          <w:p w14:paraId="1F7A2B02"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Para el caso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no hayan sido licitados, no pueden realizarse modificaciones a lo relativo a condiciones económicas, Área Contractual o los que así se establezcan expresamente en el mismo contrato, y</w:t>
            </w:r>
          </w:p>
        </w:tc>
        <w:tc>
          <w:tcPr>
            <w:tcW w:w="4675" w:type="dxa"/>
          </w:tcPr>
          <w:p w14:paraId="07C003C4" w14:textId="6F1B4BF8"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ab/>
              <w:t>In the case of Contracts for exploration and extraction that have not been tendered, no modifications may be made to the economic conditions, Contractual Area or those expressly established in the contract itself, and</w:t>
            </w:r>
          </w:p>
        </w:tc>
      </w:tr>
      <w:tr w:rsidR="003B20AD" w:rsidRPr="00475A0C" w14:paraId="78641BBF" w14:textId="17C021C7" w:rsidTr="007B36AB">
        <w:tc>
          <w:tcPr>
            <w:tcW w:w="4675" w:type="dxa"/>
          </w:tcPr>
          <w:p w14:paraId="5AC5FC12"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Contar con opinión previa de la autoridad competente en materia de competencia económica, la cual debe versar exclusivamente sobre los criterios de precalificación y el mecanismo de adjudicación a que se refiere el artículo 50 del presente ordenamiento. La opinión de la autoridad competente en materia de competencia económica debe ser proporcionada en un </w:t>
            </w:r>
            <w:r w:rsidRPr="00475A0C">
              <w:rPr>
                <w:rFonts w:ascii="Verdana" w:hAnsi="Verdana"/>
                <w:sz w:val="16"/>
                <w:szCs w:val="16"/>
              </w:rPr>
              <w:lastRenderedPageBreak/>
              <w:t>plazo no mayor a treinta días a partir de la solicitud correspondiente; en caso de no emitirse la opinión, dentro del plazo establecido, ésta se entiende en sentido favorable.</w:t>
            </w:r>
          </w:p>
        </w:tc>
        <w:tc>
          <w:tcPr>
            <w:tcW w:w="4675" w:type="dxa"/>
          </w:tcPr>
          <w:p w14:paraId="40DC8398" w14:textId="1236A859"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lastRenderedPageBreak/>
              <w:t xml:space="preserve">III. </w:t>
            </w:r>
            <w:r w:rsidRPr="00E3602D">
              <w:rPr>
                <w:rFonts w:ascii="Verdana" w:hAnsi="Verdana"/>
                <w:b/>
                <w:sz w:val="16"/>
                <w:szCs w:val="16"/>
                <w:lang w:val="en-US"/>
              </w:rPr>
              <w:tab/>
            </w:r>
            <w:r w:rsidRPr="00E3602D">
              <w:rPr>
                <w:rFonts w:ascii="Verdana" w:hAnsi="Verdana"/>
                <w:sz w:val="16"/>
                <w:szCs w:val="16"/>
                <w:lang w:val="en-US"/>
              </w:rPr>
              <w:t xml:space="preserve">Obtain a prior opinion from the appropriate authority in matters of economic competition, which must address exclusively the prequalification criteria and the award mechanism referred to in Article 50 of this regulation. The opinion of the appropriate authority in matters of economic competition must be provided within a period of no more than thirty days from the </w:t>
            </w:r>
            <w:r w:rsidRPr="00E3602D">
              <w:rPr>
                <w:rFonts w:ascii="Verdana" w:hAnsi="Verdana"/>
                <w:sz w:val="16"/>
                <w:szCs w:val="16"/>
                <w:lang w:val="en-US"/>
              </w:rPr>
              <w:lastRenderedPageBreak/>
              <w:t>corresponding request; if the opinion is not issued within the established period, it is deemed to be favorable.</w:t>
            </w:r>
          </w:p>
        </w:tc>
      </w:tr>
      <w:tr w:rsidR="003B20AD" w:rsidRPr="00475A0C" w14:paraId="3A2AEB30" w14:textId="094C23AF" w:rsidTr="007B36AB">
        <w:tc>
          <w:tcPr>
            <w:tcW w:w="4675" w:type="dxa"/>
          </w:tcPr>
          <w:p w14:paraId="33896D17"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lastRenderedPageBreak/>
              <w:t>Artículo 52.-</w:t>
            </w:r>
            <w:r w:rsidRPr="00475A0C">
              <w:rPr>
                <w:rFonts w:ascii="Verdana" w:hAnsi="Verdana"/>
                <w:sz w:val="16"/>
                <w:szCs w:val="16"/>
              </w:rPr>
              <w:t xml:space="preserve"> Contra las resoluciones mediante las cuales se asigne al ganador o se declare desierto el proceso de licitación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únicamente procede el juicio de amparo indirecto.</w:t>
            </w:r>
          </w:p>
        </w:tc>
        <w:tc>
          <w:tcPr>
            <w:tcW w:w="4675" w:type="dxa"/>
          </w:tcPr>
          <w:p w14:paraId="49019597" w14:textId="44CDAC34"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Article 52.- </w:t>
            </w:r>
            <w:r w:rsidRPr="00E3602D">
              <w:rPr>
                <w:rFonts w:ascii="Verdana" w:hAnsi="Verdana"/>
                <w:sz w:val="16"/>
                <w:szCs w:val="16"/>
                <w:lang w:val="en-US"/>
              </w:rPr>
              <w:t>Against the resolutions by which the winner is assigned or the bidding process for Contracts for exploration and extraction is declared void, only the indirect promotion of amparo</w:t>
            </w:r>
            <w:r w:rsidRPr="00E3602D">
              <w:rPr>
                <w:rStyle w:val="FootnoteReference"/>
                <w:rFonts w:ascii="Verdana" w:hAnsi="Verdana"/>
                <w:sz w:val="16"/>
                <w:szCs w:val="16"/>
                <w:lang w:val="en-US"/>
              </w:rPr>
              <w:footnoteReference w:id="1"/>
            </w:r>
            <w:r w:rsidRPr="00E3602D">
              <w:rPr>
                <w:rFonts w:ascii="Verdana" w:hAnsi="Verdana"/>
                <w:sz w:val="16"/>
                <w:szCs w:val="16"/>
                <w:lang w:val="en-US"/>
              </w:rPr>
              <w:t xml:space="preserve"> is admissible.</w:t>
            </w:r>
          </w:p>
        </w:tc>
      </w:tr>
      <w:tr w:rsidR="003B20AD" w:rsidRPr="00475A0C" w14:paraId="1D078263" w14:textId="618E20B8" w:rsidTr="007B36AB">
        <w:tc>
          <w:tcPr>
            <w:tcW w:w="4675" w:type="dxa"/>
          </w:tcPr>
          <w:p w14:paraId="1B8D767E"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rPr>
              <w:t xml:space="preserve">Los actos relacionados con el procedimiento de licitación y adjudicación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consideran de orden público e interés social.</w:t>
            </w:r>
          </w:p>
        </w:tc>
        <w:tc>
          <w:tcPr>
            <w:tcW w:w="4675" w:type="dxa"/>
          </w:tcPr>
          <w:p w14:paraId="248A1A19" w14:textId="336FD7FF"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The acts related to the bidding and awarding process for Contracts for exploration and extraction are considered to be of public order and social interest.</w:t>
            </w:r>
          </w:p>
        </w:tc>
      </w:tr>
      <w:tr w:rsidR="003B20AD" w:rsidRPr="00475A0C" w14:paraId="6113D809" w14:textId="5D614750" w:rsidTr="007B36AB">
        <w:tc>
          <w:tcPr>
            <w:tcW w:w="4675" w:type="dxa"/>
          </w:tcPr>
          <w:p w14:paraId="4421D5CC"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Artículo 53.-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abstenerse de considerar propuestas o celebrar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 quienes:</w:t>
            </w:r>
          </w:p>
        </w:tc>
        <w:tc>
          <w:tcPr>
            <w:tcW w:w="4675" w:type="dxa"/>
          </w:tcPr>
          <w:p w14:paraId="77F9A9B1" w14:textId="6AA006A4"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Article 53.-</w:t>
            </w:r>
            <w:r w:rsidRPr="00E3602D">
              <w:rPr>
                <w:rFonts w:ascii="Verdana" w:hAnsi="Verdana"/>
                <w:sz w:val="16"/>
                <w:szCs w:val="16"/>
                <w:lang w:val="en-US"/>
              </w:rPr>
              <w:t xml:space="preserve"> The Secretary of Energy must refrain from considering proposals or entering into Contracts for exploration and extraction and with those who:</w:t>
            </w:r>
          </w:p>
        </w:tc>
      </w:tr>
      <w:tr w:rsidR="003B20AD" w:rsidRPr="00475A0C" w14:paraId="15B2167D" w14:textId="50F531F1" w:rsidTr="007B36AB">
        <w:tc>
          <w:tcPr>
            <w:tcW w:w="4675" w:type="dxa"/>
          </w:tcPr>
          <w:p w14:paraId="5153C4CF"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Se encuentren inhabilitados o impedidos por autoridad competente para contratar con autoridades federales, en términos de las disposiciones aplicables;</w:t>
            </w:r>
          </w:p>
        </w:tc>
        <w:tc>
          <w:tcPr>
            <w:tcW w:w="4675" w:type="dxa"/>
          </w:tcPr>
          <w:p w14:paraId="6989BF98" w14:textId="246FE738"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Are disqualified or prevented by the appropriate authority from contracting with federal authorities, under the terms of the applicable provisions;</w:t>
            </w:r>
          </w:p>
        </w:tc>
      </w:tr>
      <w:tr w:rsidR="003B20AD" w:rsidRPr="00475A0C" w14:paraId="0DD0E8B3" w14:textId="42A42494" w:rsidTr="007B36AB">
        <w:tc>
          <w:tcPr>
            <w:tcW w:w="4675" w:type="dxa"/>
          </w:tcPr>
          <w:p w14:paraId="6C15725A"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Tengan incumplimientos graves pendientes de solventar respecto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adjudicados con anterioridad;</w:t>
            </w:r>
          </w:p>
        </w:tc>
        <w:tc>
          <w:tcPr>
            <w:tcW w:w="4675" w:type="dxa"/>
          </w:tcPr>
          <w:p w14:paraId="2E1C08B9" w14:textId="612ECD68"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Have serious outstanding breaches to be resolved with respect to Contracts for exploration and extraction previously awarded;</w:t>
            </w:r>
          </w:p>
        </w:tc>
      </w:tr>
      <w:tr w:rsidR="003B20AD" w:rsidRPr="00475A0C" w14:paraId="038872B6" w14:textId="77ECEA87" w:rsidTr="007B36AB">
        <w:tc>
          <w:tcPr>
            <w:tcW w:w="4675" w:type="dxa"/>
          </w:tcPr>
          <w:p w14:paraId="227BD433"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Utilicen a terceros para evadir lo dispuesto en este artículo;</w:t>
            </w:r>
          </w:p>
        </w:tc>
        <w:tc>
          <w:tcPr>
            <w:tcW w:w="4675" w:type="dxa"/>
          </w:tcPr>
          <w:p w14:paraId="56EE3441" w14:textId="6C2DF9B4"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Use third parties to evade the provisions of this article;</w:t>
            </w:r>
          </w:p>
        </w:tc>
      </w:tr>
      <w:tr w:rsidR="003B20AD" w:rsidRPr="00475A0C" w14:paraId="76E7DB87" w14:textId="7A1B7763" w:rsidTr="007B36AB">
        <w:tc>
          <w:tcPr>
            <w:tcW w:w="4675" w:type="dxa"/>
          </w:tcPr>
          <w:p w14:paraId="24A55CDA"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Presenten información falsa o incompleta. En este último caso,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prevenir, por una sola vez, a los interesados para que subsanen la omisión dentro del término que para tal efecto se establezca, y</w:t>
            </w:r>
          </w:p>
        </w:tc>
        <w:tc>
          <w:tcPr>
            <w:tcW w:w="4675" w:type="dxa"/>
          </w:tcPr>
          <w:p w14:paraId="0AC0040F" w14:textId="402CF1EF"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Submit false or incomplete information. In the latter case, the Secretary of Energy must, for a single time, notify the interested parties to correct the omission within the period established for that purpose, and</w:t>
            </w:r>
          </w:p>
        </w:tc>
      </w:tr>
      <w:tr w:rsidR="003B20AD" w:rsidRPr="00475A0C" w14:paraId="50AABB65" w14:textId="029D55F6" w:rsidTr="007B36AB">
        <w:tc>
          <w:tcPr>
            <w:tcW w:w="4675" w:type="dxa"/>
          </w:tcPr>
          <w:p w14:paraId="37DDBD0F"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Las demás que se establezcan en las bases de licitación.</w:t>
            </w:r>
          </w:p>
        </w:tc>
        <w:tc>
          <w:tcPr>
            <w:tcW w:w="4675" w:type="dxa"/>
          </w:tcPr>
          <w:p w14:paraId="68F7663A" w14:textId="5ECA12F2"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All others established in the bidding rules.</w:t>
            </w:r>
          </w:p>
        </w:tc>
      </w:tr>
      <w:tr w:rsidR="003B20AD" w:rsidRPr="00475A0C" w14:paraId="033FAD0A" w14:textId="2D391DC3" w:rsidTr="007B36AB">
        <w:tc>
          <w:tcPr>
            <w:tcW w:w="4675" w:type="dxa"/>
          </w:tcPr>
          <w:p w14:paraId="40E3EE74"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rPr>
              <w:t>La Secretaría de Energía puede revocar el fallo para adjudicar un Contrato de Exploración y Extracción si se comprueba que la información presentada por el participante ganador durante la licitación es falsa. En dicho caso el contrato resultante es nulo de pleno derecho.</w:t>
            </w:r>
          </w:p>
        </w:tc>
        <w:tc>
          <w:tcPr>
            <w:tcW w:w="4675" w:type="dxa"/>
          </w:tcPr>
          <w:p w14:paraId="03379E28" w14:textId="76DE63C3"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The Secretary of Energy may revoke the decision to award an exploration and extraction contract if it is proven that the information presented by the winning bidder during the bidding process is false. In such a case, the resulting contract is null and void.</w:t>
            </w:r>
          </w:p>
        </w:tc>
      </w:tr>
      <w:tr w:rsidR="003B20AD" w:rsidRPr="00475A0C" w14:paraId="2C5B4D2B" w14:textId="3D23A3AF" w:rsidTr="007B36AB">
        <w:tc>
          <w:tcPr>
            <w:tcW w:w="4675" w:type="dxa"/>
          </w:tcPr>
          <w:p w14:paraId="3CDE0464"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Artículo 54.-</w:t>
            </w:r>
            <w:r w:rsidRPr="00475A0C">
              <w:rPr>
                <w:rFonts w:ascii="Verdana" w:hAnsi="Verdana"/>
                <w:sz w:val="16"/>
                <w:szCs w:val="16"/>
              </w:rPr>
              <w:t xml:space="preserve"> Petróleos Mexicanos puede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 migración de las Asignaciones para Desarrollo Propio de las que es titular a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1B4B4941" w14:textId="7B418AF9"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Article 54.- </w:t>
            </w:r>
            <w:r w:rsidRPr="00E3602D">
              <w:rPr>
                <w:rFonts w:ascii="Verdana" w:hAnsi="Verdana"/>
                <w:sz w:val="16"/>
                <w:szCs w:val="16"/>
                <w:lang w:val="en-US"/>
              </w:rPr>
              <w:t>Petróleos Mexicanos may request from the Secretary of Energy to migrate the Assignments for Self Development of which it is the holder to Contracts for exploration and extraction.</w:t>
            </w:r>
          </w:p>
        </w:tc>
      </w:tr>
      <w:tr w:rsidR="003B20AD" w:rsidRPr="00475A0C" w14:paraId="7ACB8B8E" w14:textId="53E46F95" w:rsidTr="007B36AB">
        <w:tc>
          <w:tcPr>
            <w:tcW w:w="4675" w:type="dxa"/>
          </w:tcPr>
          <w:p w14:paraId="45AC371F"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rPr>
              <w:lastRenderedPageBreak/>
              <w:t xml:space="preserve">En caso de que la migración sea procedente,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debe establecer las condiciones económicas relativas a los términos fiscales que correspondan, según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7D9982EA" w14:textId="00D3856C"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In the event that the migration is appropriate, the Secretary of the Treasury and Public Credit must establish the economic conditions relating to the corresponding fiscal terms, as provided for in the Law of Revenue on Hydrocarbons.</w:t>
            </w:r>
          </w:p>
        </w:tc>
      </w:tr>
      <w:tr w:rsidR="003B20AD" w:rsidRPr="00475A0C" w14:paraId="7238FDE2" w14:textId="7916A5B6" w:rsidTr="007B36AB">
        <w:tc>
          <w:tcPr>
            <w:tcW w:w="4675" w:type="dxa"/>
          </w:tcPr>
          <w:p w14:paraId="6DB5CAFB"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b/>
                <w:sz w:val="16"/>
                <w:szCs w:val="16"/>
              </w:rPr>
              <w:t>Artículo 55.-</w:t>
            </w:r>
            <w:r w:rsidRPr="00475A0C">
              <w:rPr>
                <w:rFonts w:ascii="Verdana" w:hAnsi="Verdana"/>
                <w:sz w:val="16"/>
                <w:szCs w:val="16"/>
              </w:rPr>
              <w:t xml:space="preserve"> En los casos de Asignaciones para Desarrollo Propio que migren a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Petróleos Mexicanos puede celebrar alianzas o asociaciones con Personas Morales.</w:t>
            </w:r>
          </w:p>
        </w:tc>
        <w:tc>
          <w:tcPr>
            <w:tcW w:w="4675" w:type="dxa"/>
          </w:tcPr>
          <w:p w14:paraId="74E040C2" w14:textId="1356F290" w:rsidR="003B20AD" w:rsidRPr="00E3602D" w:rsidRDefault="003B20AD" w:rsidP="003B20AD">
            <w:pPr>
              <w:pStyle w:val="Texto"/>
              <w:spacing w:after="82"/>
              <w:ind w:firstLine="0"/>
              <w:rPr>
                <w:rFonts w:ascii="Verdana" w:hAnsi="Verdana"/>
                <w:b/>
                <w:sz w:val="16"/>
                <w:szCs w:val="16"/>
                <w:lang w:val="en-US"/>
              </w:rPr>
            </w:pPr>
            <w:r w:rsidRPr="00E3602D">
              <w:rPr>
                <w:rFonts w:ascii="Verdana" w:hAnsi="Verdana"/>
                <w:b/>
                <w:sz w:val="16"/>
                <w:szCs w:val="16"/>
                <w:lang w:val="en-US"/>
              </w:rPr>
              <w:t xml:space="preserve">Article 55.- </w:t>
            </w:r>
            <w:r w:rsidRPr="00E3602D">
              <w:rPr>
                <w:rFonts w:ascii="Verdana" w:hAnsi="Verdana"/>
                <w:sz w:val="16"/>
                <w:szCs w:val="16"/>
                <w:lang w:val="en-US"/>
              </w:rPr>
              <w:t>In the cases of Assignments for Self-Development that migrate to Contracts for exploration and extraction, Petróleos Mexicanos may enter into alliances or associations with legal entities.</w:t>
            </w:r>
          </w:p>
        </w:tc>
      </w:tr>
      <w:tr w:rsidR="003B20AD" w:rsidRPr="00475A0C" w14:paraId="7580C2BC" w14:textId="48352383" w:rsidTr="007B36AB">
        <w:tc>
          <w:tcPr>
            <w:tcW w:w="4675" w:type="dxa"/>
          </w:tcPr>
          <w:p w14:paraId="0F70CD4D" w14:textId="77777777" w:rsidR="003B20AD" w:rsidRPr="00475A0C" w:rsidRDefault="003B20AD" w:rsidP="003B20AD">
            <w:pPr>
              <w:pStyle w:val="Texto"/>
              <w:spacing w:after="82"/>
              <w:ind w:firstLine="0"/>
              <w:rPr>
                <w:rFonts w:ascii="Verdana" w:hAnsi="Verdana"/>
                <w:sz w:val="16"/>
                <w:szCs w:val="16"/>
              </w:rPr>
            </w:pPr>
            <w:r w:rsidRPr="00475A0C">
              <w:rPr>
                <w:rFonts w:ascii="Verdana" w:hAnsi="Verdana"/>
                <w:sz w:val="16"/>
                <w:szCs w:val="16"/>
              </w:rPr>
              <w:t xml:space="preserve">Para las alianzas o asociaciones a que se refiere este artículo, la selección del socio de Petróleos Mexicanos debe realizarse mediante licitación que represente las mejores condiciones de selección y que más convenga a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observando las mejores prácticas en materia de transparencia. Dicha licitación debe llevarse a cabo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conforme a los lineamientos técnicos y las condiciones económicas relativas a los términos fiscales que al efecto establezcan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respectivamente.</w:t>
            </w:r>
          </w:p>
        </w:tc>
        <w:tc>
          <w:tcPr>
            <w:tcW w:w="4675" w:type="dxa"/>
          </w:tcPr>
          <w:p w14:paraId="39A0313B" w14:textId="01723891" w:rsidR="003B20AD" w:rsidRPr="00E3602D" w:rsidRDefault="003B20AD" w:rsidP="003B20AD">
            <w:pPr>
              <w:pStyle w:val="Texto"/>
              <w:spacing w:after="82"/>
              <w:ind w:firstLine="0"/>
              <w:rPr>
                <w:rFonts w:ascii="Verdana" w:hAnsi="Verdana"/>
                <w:sz w:val="16"/>
                <w:szCs w:val="16"/>
                <w:lang w:val="en-US"/>
              </w:rPr>
            </w:pPr>
            <w:r w:rsidRPr="00E3602D">
              <w:rPr>
                <w:rFonts w:ascii="Verdana" w:hAnsi="Verdana"/>
                <w:sz w:val="16"/>
                <w:szCs w:val="16"/>
                <w:lang w:val="en-US"/>
              </w:rPr>
              <w:t>For the alliances or partnerships referred to in this article, the selection of Petróleos Mexicanos' partner must be carried out through a bidding process that represents the best selection conditions and is most convenient for the Nation, observing best practices in transparency. Said bidding process must be carried out by the Secretary of Energy and in accordance with the technical guidelines and economic conditions relating to the fiscal terms established for this purpose by the Secretary of Energy and the Secretary of the Treasury and Public Credit, respectively.</w:t>
            </w:r>
          </w:p>
        </w:tc>
      </w:tr>
      <w:tr w:rsidR="003B20AD" w:rsidRPr="00475A0C" w14:paraId="227F8A63" w14:textId="21992482" w:rsidTr="007B36AB">
        <w:tc>
          <w:tcPr>
            <w:tcW w:w="4675" w:type="dxa"/>
          </w:tcPr>
          <w:p w14:paraId="67BB963D"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En la elaboración de los lineamientos técnicos del procedimiento de licitación a que se refiere este artículo,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solicitar opinión favorable a Petróleos Mexicanos respecto de los elementos técnicos, financieros, de ejecución y de experiencia que debieran reunir las Personas Morales que participen en la licitación.</w:t>
            </w:r>
          </w:p>
        </w:tc>
        <w:tc>
          <w:tcPr>
            <w:tcW w:w="4675" w:type="dxa"/>
          </w:tcPr>
          <w:p w14:paraId="0B1A469A" w14:textId="10B84F05"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In preparing the technical guidelines for the bidding process referred to in this article, the Secretary of Energy must request a favorable opinion from Petróleos Mexicanos regarding the technical, financial, execution, and experience requirements that the legal entities participating in the bidding process must meet.</w:t>
            </w:r>
          </w:p>
        </w:tc>
      </w:tr>
      <w:tr w:rsidR="003B20AD" w:rsidRPr="00475A0C" w14:paraId="434853E2" w14:textId="27A973A9" w:rsidTr="007B36AB">
        <w:tc>
          <w:tcPr>
            <w:tcW w:w="4675" w:type="dxa"/>
          </w:tcPr>
          <w:p w14:paraId="11ECC4D8"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Los procedimientos de licitación establecidos en el presente artículo se sujetan, en lo conducente, a lo dispuesto en esta Ley para la adjudicación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 excepción de lo dispuesto por la fracción III del artículo 51 de esta Ley.</w:t>
            </w:r>
          </w:p>
        </w:tc>
        <w:tc>
          <w:tcPr>
            <w:tcW w:w="4675" w:type="dxa"/>
          </w:tcPr>
          <w:p w14:paraId="2AC6EED7" w14:textId="7EB42051"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The bidding procedures established in this article are subject, where applicable, to the provisions of this Law for the awarding of Contracts for exploration and extraction, with the exception of the provisions of Section III of Article 51 of this Law.</w:t>
            </w:r>
          </w:p>
        </w:tc>
      </w:tr>
      <w:tr w:rsidR="003B20AD" w:rsidRPr="00475A0C" w14:paraId="0DEE118C" w14:textId="4ADC522C" w:rsidTr="007B36AB">
        <w:tc>
          <w:tcPr>
            <w:tcW w:w="4675" w:type="dxa"/>
          </w:tcPr>
          <w:p w14:paraId="48C6CE88"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Como parte del proceso de precalificación que se lleve a cabo durante la licitación para seleccionar al socio de Petróleos Mexicanos,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solicitar la opinión de Petróleos Mexicanos.</w:t>
            </w:r>
          </w:p>
        </w:tc>
        <w:tc>
          <w:tcPr>
            <w:tcW w:w="4675" w:type="dxa"/>
          </w:tcPr>
          <w:p w14:paraId="0149451E" w14:textId="240F0CDD"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As part of the prequalification process carried out during the bidding process to select the partner of Petróleos Mexicanos, the Secretary of Energy must request the opinion of Petróleos Mexicanos.</w:t>
            </w:r>
          </w:p>
        </w:tc>
      </w:tr>
      <w:tr w:rsidR="003B20AD" w:rsidRPr="00475A0C" w14:paraId="5A9641E6" w14:textId="5F38237A" w:rsidTr="007B36AB">
        <w:tc>
          <w:tcPr>
            <w:tcW w:w="4675" w:type="dxa"/>
          </w:tcPr>
          <w:p w14:paraId="0123EF0C"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Una vez seleccionado el socio en los términos de este artículo,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proceder a la suscripción o modificación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al efecto se celebre. A dichos contratos les es aplicable lo dispuesto en los artículos 39 y 40 de esta Ley.</w:t>
            </w:r>
          </w:p>
        </w:tc>
        <w:tc>
          <w:tcPr>
            <w:tcW w:w="4675" w:type="dxa"/>
          </w:tcPr>
          <w:p w14:paraId="07B5E8AC" w14:textId="46E1C7BD"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Once the partner has been selected under the terms of this article, the Secretary of Energy must proceed with the signing or modification of the Contract for exploration and extraction that for the purpose are entered into. The provisions of Articles 39 and 40 of this Law apply to these contracts.</w:t>
            </w:r>
          </w:p>
        </w:tc>
      </w:tr>
      <w:tr w:rsidR="003B20AD" w:rsidRPr="00475A0C" w14:paraId="12842513" w14:textId="21E25B60" w:rsidTr="007B36AB">
        <w:tc>
          <w:tcPr>
            <w:tcW w:w="4675" w:type="dxa"/>
          </w:tcPr>
          <w:p w14:paraId="516B0AA4"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Artículo 56.-</w:t>
            </w:r>
            <w:r w:rsidRPr="00475A0C">
              <w:rPr>
                <w:rFonts w:ascii="Verdana" w:hAnsi="Verdana"/>
                <w:sz w:val="16"/>
                <w:szCs w:val="16"/>
              </w:rPr>
              <w:t xml:space="preserve"> No se requiere llevar a cabo un proceso de licitación y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se puede adjudicar directamente a los titulares de concesiones mineras, exclusivamente para las actividades de Exploración y Extracción de Gas Natural para autoconsumo contenido en la veta de carbón mineral y producido por la misma. Para cada mina en que se realicen o se vayan a iniciar actividades de extracción de carbón, se puede solicitar la adjudicación del Contrato de Exploración y Extracción, en los términos del presente párrafo.</w:t>
            </w:r>
          </w:p>
        </w:tc>
        <w:tc>
          <w:tcPr>
            <w:tcW w:w="4675" w:type="dxa"/>
          </w:tcPr>
          <w:p w14:paraId="03D83D8E" w14:textId="4B1B46E3"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Article 56.- </w:t>
            </w:r>
            <w:r w:rsidRPr="00E3602D">
              <w:rPr>
                <w:rFonts w:ascii="Verdana" w:hAnsi="Verdana"/>
                <w:sz w:val="16"/>
                <w:szCs w:val="16"/>
                <w:lang w:val="en-US"/>
              </w:rPr>
              <w:t>No bidding process is required, and the Contract for exploration and extraction and may be awarded directly to mining concession holders, exclusively for the activities of exploration and extraction of natural gas for self-consumption contained in and produced by the coal seam. For each mine where coal extraction activities are being carried out or are to be initiated, the awarding of an exploration and extraction Contract may be requested, under the terms of this paragraph.</w:t>
            </w:r>
          </w:p>
        </w:tc>
      </w:tr>
      <w:tr w:rsidR="003B20AD" w:rsidRPr="00475A0C" w14:paraId="74393149" w14:textId="710B77D9" w:rsidTr="007B36AB">
        <w:tc>
          <w:tcPr>
            <w:tcW w:w="4675" w:type="dxa"/>
          </w:tcPr>
          <w:p w14:paraId="728F082A"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La Secretaría de Energía debe suscribir el contrato correspondiente, siempre y cuando los concesionarios mineros acrediten que cuentan con solvencia económica </w:t>
            </w:r>
            <w:r w:rsidRPr="00475A0C">
              <w:rPr>
                <w:rFonts w:ascii="Verdana" w:hAnsi="Verdana"/>
                <w:sz w:val="16"/>
                <w:szCs w:val="16"/>
              </w:rPr>
              <w:lastRenderedPageBreak/>
              <w:t>y la capacidad técnica, administrativa y financiera necesarias para llevar a cabo las actividades de Exploración y Extracción del Gas Natural producido y contenido en la veta del carbón mineral.</w:t>
            </w:r>
          </w:p>
        </w:tc>
        <w:tc>
          <w:tcPr>
            <w:tcW w:w="4675" w:type="dxa"/>
          </w:tcPr>
          <w:p w14:paraId="6001BF5C" w14:textId="68CE16F0"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lastRenderedPageBreak/>
              <w:t xml:space="preserve">The Secretary of Energy must sign the corresponding contract, provided that the mining concessionaires demonstrate that they have the financial solvency and </w:t>
            </w:r>
            <w:r w:rsidRPr="00E3602D">
              <w:rPr>
                <w:rFonts w:ascii="Verdana" w:hAnsi="Verdana"/>
                <w:sz w:val="16"/>
                <w:szCs w:val="16"/>
                <w:lang w:val="en-US"/>
              </w:rPr>
              <w:lastRenderedPageBreak/>
              <w:t>the technical, administrative, and financial capacity necessary to carry out the exploration and extraction activities for the natural gas produced and contained in the coal seam.</w:t>
            </w:r>
          </w:p>
        </w:tc>
      </w:tr>
      <w:tr w:rsidR="003B20AD" w:rsidRPr="00475A0C" w14:paraId="06D1D383" w14:textId="068605BC" w:rsidTr="007B36AB">
        <w:tc>
          <w:tcPr>
            <w:tcW w:w="4675" w:type="dxa"/>
          </w:tcPr>
          <w:p w14:paraId="5124AB70"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lastRenderedPageBreak/>
              <w:t xml:space="preserve">La Exploración y Extracción de Hidrocarburos que existan en el área correspondiente a una concesión minera y que no se encuentren asociados al carbón mineral sólo se puede realizar a través de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adjudique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por medio de una licitación en los términos de este Capítulo o a través de una Asignación. Lo anterior en el entendido de que una concesión minera no otorga derechos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exceptuándose el Gas Natural producido y contenido en la veta de carbón mineral que se encuentre en extracción, al que se refiere el primer párrafo del presente artículo.</w:t>
            </w:r>
          </w:p>
        </w:tc>
        <w:tc>
          <w:tcPr>
            <w:tcW w:w="4675" w:type="dxa"/>
          </w:tcPr>
          <w:p w14:paraId="5E96C321" w14:textId="259E4E89"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The exploration and extraction of hydrocarbons that exist in the area corresponding to a mining concession and that are not associated with mineral coal may only be carried out through a Contract for the exploration and extraction awarded by the Secretary of Energy through a bidding process under the terms of this Chapter or through an Assignment. This is understood to mean that a mining concession does not grant rights to the exploration and extraction of hydrocarbons, with the exception of natural gas produced and contained in the mineral coal seam being extracted, as referred to in the first paragraph of this article.</w:t>
            </w:r>
          </w:p>
        </w:tc>
      </w:tr>
      <w:tr w:rsidR="003B20AD" w:rsidRPr="00475A0C" w14:paraId="752270A0" w14:textId="0C742126" w:rsidTr="007B36AB">
        <w:tc>
          <w:tcPr>
            <w:tcW w:w="4675" w:type="dxa"/>
          </w:tcPr>
          <w:p w14:paraId="3AAC0AAD"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La Exploración y Extracción del Gas Natural asociado al carbón mineral que se realice sin explotar el carbón, sólo se puede realizar a través de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adjudique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por medio de una licitación en los términos de este Capítulo o a través de una Asignación.</w:t>
            </w:r>
          </w:p>
        </w:tc>
        <w:tc>
          <w:tcPr>
            <w:tcW w:w="4675" w:type="dxa"/>
          </w:tcPr>
          <w:p w14:paraId="5E2867C0" w14:textId="67858B3D"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The exploration and extraction of natural gas associated with mineral coal that is carried out without exploiting the coal, can only be carried out through a Contract for the exploration and extraction awarded by the Secretary of Energy through a tender under the terms of this Chapter or through an Assignment.</w:t>
            </w:r>
          </w:p>
        </w:tc>
      </w:tr>
      <w:tr w:rsidR="003B20AD" w:rsidRPr="00475A0C" w14:paraId="699A8778" w14:textId="0BDA45D0" w:rsidTr="007B36AB">
        <w:tc>
          <w:tcPr>
            <w:tcW w:w="4675" w:type="dxa"/>
          </w:tcPr>
          <w:p w14:paraId="4547ABE7"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Si una vez concluida la licitación a cargo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adjudicar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u otorgada una Asignación, existiera una posible afectación a los derechos de una concesión minera respecto de la superficie objeto de la concesión en el que efectivamente se esté llevando a cabo la extracción de minerales, se debe considerar un periodo de noventa días para que la persona Contratista o Asignataria y el concesionario minero lleven a cabo las negociaciones y alcancen el acuerdo que permita el desarrollo del proyecto a cargo de la persona Contratista o Asignataria.</w:t>
            </w:r>
          </w:p>
        </w:tc>
        <w:tc>
          <w:tcPr>
            <w:tcW w:w="4675" w:type="dxa"/>
          </w:tcPr>
          <w:p w14:paraId="4FB4ED6A" w14:textId="154CC918"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If, once the bidding process carried out by the Secretary of Energy to award a Contract for the exploration and extraction of hydrocarbons has been concluded, or an Assignment has been granted, there is a possible impact on the rights of a mining concession with respect to the surface area subject to the concession where mineral extraction is actually being carried out, a period of ninety days must be considered for the Contractor or Assignee and the mining concessionaire to carry out negotiations and reach an agreement that allows the development of the project carried out by the Contractor or Assignee.</w:t>
            </w:r>
          </w:p>
        </w:tc>
      </w:tr>
      <w:tr w:rsidR="003B20AD" w:rsidRPr="00475A0C" w14:paraId="4623C380" w14:textId="1D0CC4DA" w:rsidTr="007B36AB">
        <w:tc>
          <w:tcPr>
            <w:tcW w:w="4675" w:type="dxa"/>
          </w:tcPr>
          <w:p w14:paraId="684BFC87"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La negociación y acuerdo a que se refiere el párrafo anterior debe realizarse de manera transparente y sujetarse a lo señalado en el Reglamento y a las siguientes bases:</w:t>
            </w:r>
          </w:p>
        </w:tc>
        <w:tc>
          <w:tcPr>
            <w:tcW w:w="4675" w:type="dxa"/>
          </w:tcPr>
          <w:p w14:paraId="0DE89AB1" w14:textId="3AF658E0"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The negotiation and agreement referred to in the preceding paragraph must be carried out in a transparent manner and subject to the provisions of the Regulation and the following criteria:</w:t>
            </w:r>
          </w:p>
        </w:tc>
      </w:tr>
      <w:tr w:rsidR="003B20AD" w:rsidRPr="00475A0C" w14:paraId="2B45D1CF" w14:textId="22F7FEA8" w:rsidTr="007B36AB">
        <w:tc>
          <w:tcPr>
            <w:tcW w:w="4675" w:type="dxa"/>
          </w:tcPr>
          <w:p w14:paraId="650FD406"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La persona Contratista o Asignataria debe notificar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del inicio de las negociaciones con el concesionario minero;</w:t>
            </w:r>
          </w:p>
        </w:tc>
        <w:tc>
          <w:tcPr>
            <w:tcW w:w="4675" w:type="dxa"/>
          </w:tcPr>
          <w:p w14:paraId="1EF1459B" w14:textId="6184D746"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Contractor or Assignee must notify the Secretary of Energy of the start of negotiations with the mining concessionaire;</w:t>
            </w:r>
          </w:p>
        </w:tc>
      </w:tr>
      <w:tr w:rsidR="003B20AD" w:rsidRPr="00475A0C" w14:paraId="6CAA41AE" w14:textId="04D4904B" w:rsidTr="007B36AB">
        <w:tc>
          <w:tcPr>
            <w:tcW w:w="4675" w:type="dxa"/>
          </w:tcPr>
          <w:p w14:paraId="308EADB2"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La contraprestación que se acuerde debe ser proporcional a los requerimientos de la persona Contratista o Asignataria conforme a las actividades que se realicen al amparo del Contrato o Asignación;</w:t>
            </w:r>
          </w:p>
        </w:tc>
        <w:tc>
          <w:tcPr>
            <w:tcW w:w="4675" w:type="dxa"/>
          </w:tcPr>
          <w:p w14:paraId="69B02EF6" w14:textId="14FEEA28"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 xml:space="preserve">The compensation </w:t>
            </w:r>
            <w:r w:rsidRPr="00E3602D">
              <w:rPr>
                <w:rFonts w:ascii="Verdana" w:hAnsi="Verdana"/>
                <w:sz w:val="16"/>
                <w:szCs w:val="16"/>
                <w:lang w:val="en-US"/>
              </w:rPr>
              <w:t>agreed</w:t>
            </w:r>
            <w:r w:rsidRPr="00E3602D">
              <w:rPr>
                <w:rFonts w:ascii="Verdana" w:hAnsi="Verdana"/>
                <w:sz w:val="16"/>
                <w:szCs w:val="16"/>
                <w:lang w:val="en-US"/>
              </w:rPr>
              <w:t xml:space="preserve"> on must be proportional to the requirements of the Contractor or Assignee in accordance with the activities carried out under the Contract or Assignment;</w:t>
            </w:r>
          </w:p>
        </w:tc>
      </w:tr>
      <w:tr w:rsidR="003B20AD" w:rsidRPr="00475A0C" w14:paraId="44E225AD" w14:textId="1003C729" w:rsidTr="007B36AB">
        <w:tc>
          <w:tcPr>
            <w:tcW w:w="4675" w:type="dxa"/>
          </w:tcPr>
          <w:p w14:paraId="5AA69D01"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Los pagos de las contraprestaciones que se pacten pueden cubrirse en efectivo o, en su caso, mediante el compromiso para formar parte del proyecto extractivo de Hidrocarburos, o una combinación de las anteriores. En ningún caso se puede pactar una contraprestación asociada a una parte de la producción de Hidrocarburos del proyecto a cargo de la persona Contratista, y</w:t>
            </w:r>
          </w:p>
        </w:tc>
        <w:tc>
          <w:tcPr>
            <w:tcW w:w="4675" w:type="dxa"/>
          </w:tcPr>
          <w:p w14:paraId="7BFC3247" w14:textId="60DB00A0"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Payments of the agreed consideration may be covered in cash or, where appropriate, through a commitment to participate in the hydrocarbon extraction project, or a combination of the above. Under no circumstances may a consideration associated with a portion of the hydrocarbon production of the project be agreed upon by the Contractor, and</w:t>
            </w:r>
          </w:p>
        </w:tc>
      </w:tr>
      <w:tr w:rsidR="003B20AD" w:rsidRPr="00475A0C" w14:paraId="5E6A5927" w14:textId="695E5CAD" w:rsidTr="007B36AB">
        <w:tc>
          <w:tcPr>
            <w:tcW w:w="4675" w:type="dxa"/>
          </w:tcPr>
          <w:p w14:paraId="32CC306B"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lastRenderedPageBreak/>
              <w:t>IV.</w:t>
            </w:r>
            <w:r w:rsidRPr="00475A0C">
              <w:rPr>
                <w:rFonts w:ascii="Verdana" w:hAnsi="Verdana"/>
                <w:b/>
                <w:sz w:val="16"/>
                <w:szCs w:val="16"/>
              </w:rPr>
              <w:tab/>
            </w:r>
            <w:r w:rsidRPr="00475A0C">
              <w:rPr>
                <w:rFonts w:ascii="Verdana" w:hAnsi="Verdana"/>
                <w:sz w:val="16"/>
                <w:szCs w:val="16"/>
              </w:rPr>
              <w:t>La contraprestación, así como los demás términos y condiciones que se pacten entre la persona Contratista o Asignataria y el concesionario minero, deben constar invariablemente en un contrato por escrito, mismo que debe contener, al menos, los derechos y obligaciones de las partes, así como posibles mecanismos de solución de controversias.</w:t>
            </w:r>
          </w:p>
        </w:tc>
        <w:tc>
          <w:tcPr>
            <w:tcW w:w="4675" w:type="dxa"/>
          </w:tcPr>
          <w:p w14:paraId="64163C93" w14:textId="4CB3EEDD"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The consideration, as well as any other terms and conditions agreed upon between the Contractor or Assignee and the mining concessionaire, must invariably be included in a written contract, which must contain, at a minimum, the rights and obligations of the parties, as well as possible dispute resolution mechanisms.</w:t>
            </w:r>
          </w:p>
        </w:tc>
      </w:tr>
      <w:tr w:rsidR="003B20AD" w:rsidRPr="00475A0C" w14:paraId="45D16E5F" w14:textId="5C9F13CD" w:rsidTr="007B36AB">
        <w:tc>
          <w:tcPr>
            <w:tcW w:w="4675" w:type="dxa"/>
          </w:tcPr>
          <w:p w14:paraId="30EB16AB"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En caso de que la persona Contratista o Asignataria y el concesionario minero no alcancen un acuerdo en el plazo de noventa días referido con antelación,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la asistencia de las autoridades que resulten competentes, debe determinar si ambas actividades extractivas pueden coexistir y si existe o no una afectación a los derechos de una concesión minera respecto de la superficie objeto de la concesión en el que efectivamente se esté llevando a cabo la extracción de minerales.</w:t>
            </w:r>
          </w:p>
        </w:tc>
        <w:tc>
          <w:tcPr>
            <w:tcW w:w="4675" w:type="dxa"/>
          </w:tcPr>
          <w:p w14:paraId="5DC78D17" w14:textId="08FF64F1"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In the event that the Contractor or Assignee and the mining concessionaire do not reach an agreement within the ninety-day period previously mentioned, the Secretary of Energy, with the assistance of the appropriate authorities, must determine whether both extractive activities can coexist and whether or not there is an impact on the rights of a mining concession with respect to the surface area subject to the concession where mineral extraction is actually being carried out.</w:t>
            </w:r>
          </w:p>
        </w:tc>
      </w:tr>
      <w:tr w:rsidR="003B20AD" w:rsidRPr="00475A0C" w14:paraId="78316904" w14:textId="257BCFB2" w:rsidTr="007B36AB">
        <w:tc>
          <w:tcPr>
            <w:tcW w:w="4675" w:type="dxa"/>
          </w:tcPr>
          <w:p w14:paraId="0E83FA99"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En el caso de que no exista acuerdo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determine que sí existe una afectación a los derechos de una concesión minera respecto de la superficie objeto de la concesión en el que efectivamente se esté llevando a cabo la extracción de minerales,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determinar el monto y los plazos en que la indemnización correspondiente sea cubierta por la persona Contratista o Asignataria, a favor del concesionario minero, de conformidad con el avalúo respectivo, o en su caso, atendiendo a la gravedad de la afectación puede fijar una contraprestación a favor del concesionario minero que puede ser del punto cinco por ciento al dos por ciento de la utilidad del Contratista después del pago de contribuciones.</w:t>
            </w:r>
          </w:p>
        </w:tc>
        <w:tc>
          <w:tcPr>
            <w:tcW w:w="4675" w:type="dxa"/>
          </w:tcPr>
          <w:p w14:paraId="19DBA26E" w14:textId="062B730B"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In the event that there is no agreement and the Secretary of Energy determines that there is an impact on the rights of a mining concession with respect to the surface area subject to the concession where mineral extraction is actually being carried out, the Secretary of Energy must determine the amount and timeframe in which the corresponding compensation is to be covered by the Contractor or Assignee, in favor of the mining concessionaire, in accordance with the respective appraisal, or where appropriate, taking into account the seriousness of the impact, it may set a compensation in favor of the mining concessionaire that may be from five percent to two percent of the Contractor's profit after payment of taxes.</w:t>
            </w:r>
          </w:p>
        </w:tc>
      </w:tr>
      <w:tr w:rsidR="003B20AD" w:rsidRPr="00475A0C" w14:paraId="20EF894E" w14:textId="79E724AA" w:rsidTr="007B36AB">
        <w:tc>
          <w:tcPr>
            <w:tcW w:w="4675" w:type="dxa"/>
          </w:tcPr>
          <w:p w14:paraId="1A96A974"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Secretaría de Energía puede autorizar a los titulares de concesiones mineras para realizar actividades específicas de exploración superficial de Hidrocarburos en las áreas en que coexistan sus derechos de conformidad con lo dispuesto en esta Ley y el Reglamento respectivo.</w:t>
            </w:r>
          </w:p>
        </w:tc>
        <w:tc>
          <w:tcPr>
            <w:tcW w:w="4675" w:type="dxa"/>
          </w:tcPr>
          <w:p w14:paraId="33768A5D" w14:textId="4BE92724"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Secretary of Energy may authorize mining concession holders to carry out specific surface hydrocarbon exploration activities in areas where their rights coexist, in accordance with the provisions of this Law and the respective Regulation.</w:t>
            </w:r>
          </w:p>
        </w:tc>
      </w:tr>
      <w:tr w:rsidR="003B20AD" w:rsidRPr="00475A0C" w14:paraId="7F2D8B7F" w14:textId="501F9190" w:rsidTr="007B36AB">
        <w:tc>
          <w:tcPr>
            <w:tcW w:w="4675" w:type="dxa"/>
          </w:tcPr>
          <w:p w14:paraId="207337BA"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En el caso de que los concesionarios mineros estén llevando a cabo obras y trabajos de exploración al amparo de su concesión, debe aplicar lo dispuesto en este artículo en cuanto al acuerdo con la persona Contratista o Asignataria; en caso de que no exista acuerdo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determinar el monto y los plazos de la indemnización de conformidad con el avalúo respectivo. Para que sea aplicable lo dispuesto en este párrafo en relación al acuerdo con la persona Contratista o Asignataria y, en su caso, la indemnización, las obras y trabajos de exploración de la concesión minera deben constar en el informe de comprobación a que se refiere el artículo 28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Minería, rendido el año anterior a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determine el monto de la indemnización. El informe de comprobación referido debe notificarse también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6201D06" w14:textId="7DB43B3E"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In the event that mining concessionaires are carrying out exploration works and activities under their concession, the provisions of this article must apply regarding the agreement with the Contractor or Assignee; if no agreement exists, the Secretary of Energy must determine the amount and terms of compensation in accordance with the respective appraisal. For the provisions of this paragraph to apply to the agreement with the Contractor or Assignee and, where applicable, the compensation, the exploration works and activities of the mining concession must be recorded in the verification report referred to in Article 28 of the Law of Mining, submitted the year prior to the Secretary of Energy determining the compensation amount. The aforementioned verification report must also be notified to the Secretary of Energy.</w:t>
            </w:r>
          </w:p>
        </w:tc>
      </w:tr>
      <w:tr w:rsidR="003B20AD" w:rsidRPr="00475A0C" w14:paraId="6411E003" w14:textId="719D1094" w:rsidTr="007B36AB">
        <w:tc>
          <w:tcPr>
            <w:tcW w:w="4675" w:type="dxa"/>
          </w:tcPr>
          <w:p w14:paraId="114D786E"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El concesionario minero que realice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o Extracción de Hidrocarburos a que se refiere este </w:t>
            </w:r>
            <w:r w:rsidRPr="00475A0C">
              <w:rPr>
                <w:rFonts w:ascii="Verdana" w:hAnsi="Verdana"/>
                <w:sz w:val="16"/>
                <w:szCs w:val="16"/>
              </w:rPr>
              <w:lastRenderedPageBreak/>
              <w:t xml:space="preserve">artículo, sin contar con el Contrato de Exploración y Extracción correspondiente, debe ser sancionado conforme a lo establecido en esta Ley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previo aviso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sancionar a dicho concesionario con la cancelación de la concesión minera respectiva conforme a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Minería.</w:t>
            </w:r>
          </w:p>
        </w:tc>
        <w:tc>
          <w:tcPr>
            <w:tcW w:w="4675" w:type="dxa"/>
          </w:tcPr>
          <w:p w14:paraId="3191F282" w14:textId="14E94A14"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lastRenderedPageBreak/>
              <w:t xml:space="preserve">The mining concessionaire that carries out the exploration or extraction of hydrocarbons referred to in </w:t>
            </w:r>
            <w:r w:rsidRPr="00E3602D">
              <w:rPr>
                <w:rFonts w:ascii="Verdana" w:hAnsi="Verdana"/>
                <w:sz w:val="16"/>
                <w:szCs w:val="16"/>
                <w:lang w:val="en-US"/>
              </w:rPr>
              <w:lastRenderedPageBreak/>
              <w:t>this article, without having the corresponding exploration and extraction contract, must be sanctioned in accordance with the provisions of this Law and the Secretary of Economy, upon prior notice from the Secretary of Energy, must sanction said concessionaire with the cancellation of the respective mining concession in accordance with the provisions of the Law of Mining.</w:t>
            </w:r>
          </w:p>
        </w:tc>
      </w:tr>
      <w:tr w:rsidR="003B20AD" w:rsidRPr="00475A0C" w14:paraId="4ECF7FF3" w14:textId="03F468C0" w:rsidTr="007B36AB">
        <w:tc>
          <w:tcPr>
            <w:tcW w:w="4675" w:type="dxa"/>
          </w:tcPr>
          <w:p w14:paraId="1CCBBAF1"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57.-</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 petición del Fondo Mexicano del Petróleo para </w:t>
            </w:r>
            <w:smartTag w:uri="urn:schemas-microsoft-com:office:smarttags" w:element="PersonName">
              <w:smartTagPr>
                <w:attr w:name="ProductID" w:val="la Estabilización"/>
              </w:smartTagPr>
              <w:r w:rsidRPr="00475A0C">
                <w:rPr>
                  <w:rFonts w:ascii="Verdana" w:hAnsi="Verdana"/>
                  <w:sz w:val="16"/>
                  <w:szCs w:val="16"/>
                </w:rPr>
                <w:t>la Estabilización</w:t>
              </w:r>
            </w:smartTag>
            <w:r w:rsidRPr="00475A0C">
              <w:rPr>
                <w:rFonts w:ascii="Verdana" w:hAnsi="Verdana"/>
                <w:sz w:val="16"/>
                <w:szCs w:val="16"/>
              </w:rPr>
              <w:t xml:space="preserve"> y el Desarrollo, debe contratar a Petróleos Mexicanos o a una empresa filial de Petróleos Mexicanos, para que a cambio de una contraprestación, comercialice los Hidrocarburos que el Estado obtenga como resultado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5263353D" w14:textId="1298FC38"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Article 57.-</w:t>
            </w:r>
            <w:r w:rsidRPr="00E3602D">
              <w:rPr>
                <w:rFonts w:ascii="Verdana" w:hAnsi="Verdana"/>
                <w:sz w:val="16"/>
                <w:szCs w:val="16"/>
                <w:lang w:val="en-US"/>
              </w:rPr>
              <w:t xml:space="preserve"> The Secretary of Energy, at the request of the Mexican Fund for Petroleum for the stabilization and the development, must contract Petróleos Mexicanos or a subsidiary company of Petróleos Mexicanos, so that in exchange for compensation, it markets the hydrocarbons that the State obtains as a result of the Contracts for exploration and extraction.</w:t>
            </w:r>
          </w:p>
        </w:tc>
      </w:tr>
      <w:tr w:rsidR="003B20AD" w:rsidRPr="00475A0C" w14:paraId="1E2A222B" w14:textId="682EB14A" w:rsidTr="007B36AB">
        <w:tc>
          <w:tcPr>
            <w:tcW w:w="4675" w:type="dxa"/>
          </w:tcPr>
          <w:p w14:paraId="096C634C"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Con independencia de lo dispuesto en el párrafo anterior, las facultades del Banco de México previstas en el artículo 34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del Banco de México resultan aplicables a cualquier persona que comercialice Hidrocarburos que se obtengan como resultado de Asignaciones o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e ingrese divisas al país, así como a Petróleos Mexicanos y sus empresas filiales.</w:t>
            </w:r>
          </w:p>
        </w:tc>
        <w:tc>
          <w:tcPr>
            <w:tcW w:w="4675" w:type="dxa"/>
          </w:tcPr>
          <w:p w14:paraId="62544A02" w14:textId="7A730B6C"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Notwithstanding the provisions of the preceding paragraph, the powers of the Bank of Mexico provided for in Article 34 of la Leythe Bank of Mexico are applicable to any person who markets Hydrocarbons obtained as a result of Assignments or Contracts for exploration and extraction and brings foreign currency into the country, as well as to Petróleos Mexicanos and its subsidiaries.</w:t>
            </w:r>
          </w:p>
        </w:tc>
      </w:tr>
      <w:tr w:rsidR="003B20AD" w:rsidRPr="00475A0C" w14:paraId="7360B4D8" w14:textId="3A695978" w:rsidTr="007B36AB">
        <w:tc>
          <w:tcPr>
            <w:tcW w:w="4675" w:type="dxa"/>
          </w:tcPr>
          <w:p w14:paraId="516D9101"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58.-</w:t>
            </w:r>
            <w:r w:rsidRPr="00475A0C">
              <w:rPr>
                <w:rFonts w:ascii="Verdana" w:hAnsi="Verdana"/>
                <w:sz w:val="16"/>
                <w:szCs w:val="16"/>
              </w:rPr>
              <w:t xml:space="preserve"> Respecto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769A1A3F" w14:textId="12C828FE"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58.- </w:t>
            </w:r>
            <w:r w:rsidRPr="00E3602D">
              <w:rPr>
                <w:rFonts w:ascii="Verdana" w:hAnsi="Verdana"/>
                <w:sz w:val="16"/>
                <w:szCs w:val="16"/>
                <w:lang w:val="en-US"/>
              </w:rPr>
              <w:t>Regarding Contracts for exploration and extraction, the following is the responsibility of the Secretary of Energy:</w:t>
            </w:r>
          </w:p>
        </w:tc>
      </w:tr>
      <w:tr w:rsidR="003B20AD" w:rsidRPr="00475A0C" w14:paraId="7A761F8C" w14:textId="7D75DBB5" w:rsidTr="007B36AB">
        <w:tc>
          <w:tcPr>
            <w:tcW w:w="4675" w:type="dxa"/>
          </w:tcPr>
          <w:p w14:paraId="6006A85F"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Seleccionar las Áreas Contractuales conforme a los criterios que la misma establezca.</w:t>
            </w:r>
          </w:p>
        </w:tc>
        <w:tc>
          <w:tcPr>
            <w:tcW w:w="4675" w:type="dxa"/>
          </w:tcPr>
          <w:p w14:paraId="2D7AB866" w14:textId="7D7CCB7F"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Select the contractual areas according to the criteria established by the same.</w:t>
            </w:r>
          </w:p>
        </w:tc>
      </w:tr>
      <w:tr w:rsidR="003B20AD" w:rsidRPr="00475A0C" w14:paraId="7C8771EF" w14:textId="5006F1D3" w:rsidTr="007B36AB">
        <w:tc>
          <w:tcPr>
            <w:tcW w:w="4675" w:type="dxa"/>
          </w:tcPr>
          <w:p w14:paraId="20A5324D"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Petróleos Mexicanos o cualquier Persona Moral pueden someter a consideración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áreas sobre las cuales exista interés para llevar a cabo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Dicha propuesta no es vinculante, ni otorga derechos preferenciales en relación con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3578086A" w14:textId="61757F58"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ab/>
              <w:t>Petróleos Mexicanos or any legal entity may submit for consideration by la Secretary of Energy Commission areas in which there is interest to carry out the exploration and extraction of hydrocarbons. This proposal is not binding, nor does it grant preferential rights with regard to the Contracts for exploration and extraction of hydrocarbons.</w:t>
            </w:r>
          </w:p>
        </w:tc>
      </w:tr>
      <w:tr w:rsidR="003B20AD" w:rsidRPr="00475A0C" w14:paraId="4FD39602" w14:textId="1549FEF9" w:rsidTr="007B36AB">
        <w:tc>
          <w:tcPr>
            <w:tcW w:w="4675" w:type="dxa"/>
          </w:tcPr>
          <w:p w14:paraId="732AE657"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Establecer el modelo de contratación para cada Área Contractual que mejor convenga para maximizar los ingresos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con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w:t>
            </w:r>
          </w:p>
        </w:tc>
        <w:tc>
          <w:tcPr>
            <w:tcW w:w="4675" w:type="dxa"/>
          </w:tcPr>
          <w:p w14:paraId="52C74BF4" w14:textId="4C14E6A1"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Establish the contracting model for each contractual area that best suits to maximize the income of the Nation, with the opinion of the Secretary of Treasury and Public Credit;</w:t>
            </w:r>
          </w:p>
        </w:tc>
      </w:tr>
      <w:tr w:rsidR="003B20AD" w:rsidRPr="00475A0C" w14:paraId="31E483E6" w14:textId="22DDDABF" w:rsidTr="007B36AB">
        <w:tc>
          <w:tcPr>
            <w:tcW w:w="4675" w:type="dxa"/>
          </w:tcPr>
          <w:p w14:paraId="032EB50E"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Diseñar los términos y condiciones técnicas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341D8ADC" w14:textId="58E09D28"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Design the technical terms and conditions of the Contracts for exploration and extraction;</w:t>
            </w:r>
          </w:p>
        </w:tc>
      </w:tr>
      <w:tr w:rsidR="003B20AD" w:rsidRPr="00475A0C" w14:paraId="1BBFBE0C" w14:textId="508D8C36" w:rsidTr="007B36AB">
        <w:tc>
          <w:tcPr>
            <w:tcW w:w="4675" w:type="dxa"/>
          </w:tcPr>
          <w:p w14:paraId="26A4CFAC"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Emitir los lineamientos técnicos y las bases que se observen en el procedimiento de licitación y adjudicación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Lo anterior, siguiendo los lineamientos económicos relativos a los términos fiscales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w:t>
            </w:r>
          </w:p>
        </w:tc>
        <w:tc>
          <w:tcPr>
            <w:tcW w:w="4675" w:type="dxa"/>
          </w:tcPr>
          <w:p w14:paraId="6148DF96" w14:textId="1A10FCF2"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Issue the technical guidelines and criteria to be followed in the bidding and awarding process for contracts for exploration and extraction. This shall be done in accordance with the economic guidelines regarding fiscal terms issued by the Secretary of the Treasury and Public Credit;</w:t>
            </w:r>
          </w:p>
        </w:tc>
      </w:tr>
      <w:tr w:rsidR="003B20AD" w:rsidRPr="00475A0C" w14:paraId="32454718" w14:textId="0EAF77F5" w:rsidTr="007B36AB">
        <w:tc>
          <w:tcPr>
            <w:tcW w:w="4675" w:type="dxa"/>
          </w:tcPr>
          <w:p w14:paraId="25EA8D8E"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Determinar el porcentaje de la participación de Petróleos Mexicanos en el Contrato de Exploración y Extracción, así como la participación obligatoria en yacimientos transfronterizos;</w:t>
            </w:r>
          </w:p>
        </w:tc>
        <w:tc>
          <w:tcPr>
            <w:tcW w:w="4675" w:type="dxa"/>
          </w:tcPr>
          <w:p w14:paraId="7C99B583" w14:textId="05DB3F3A"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Determine the percentage of the participation of Petróleos Mexicanos in the exploration and extraction contract, as well as the mandatory participation in cross border deposits;</w:t>
            </w:r>
          </w:p>
        </w:tc>
      </w:tr>
      <w:tr w:rsidR="003B20AD" w:rsidRPr="00475A0C" w14:paraId="77674DA9" w14:textId="38A19A65" w:rsidTr="007B36AB">
        <w:tc>
          <w:tcPr>
            <w:tcW w:w="4675" w:type="dxa"/>
          </w:tcPr>
          <w:p w14:paraId="26C53AA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 xml:space="preserve">Realizar las licitaciones para la adjudicación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2AACEE15" w14:textId="6F15E53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Conduct tenders for the awarding of contracts for exploration and extraction;</w:t>
            </w:r>
          </w:p>
        </w:tc>
      </w:tr>
      <w:tr w:rsidR="003B20AD" w:rsidRPr="00475A0C" w14:paraId="205BEFA3" w14:textId="2C36430B" w:rsidTr="007B36AB">
        <w:tc>
          <w:tcPr>
            <w:tcW w:w="4675" w:type="dxa"/>
          </w:tcPr>
          <w:p w14:paraId="511B536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 xml:space="preserve">Suscribir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así como rescindirlos;</w:t>
            </w:r>
          </w:p>
        </w:tc>
        <w:tc>
          <w:tcPr>
            <w:tcW w:w="4675" w:type="dxa"/>
          </w:tcPr>
          <w:p w14:paraId="38B6B784" w14:textId="3608142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Sign the Contracts for exploration and extraction, as well as terminate them;</w:t>
            </w:r>
          </w:p>
        </w:tc>
      </w:tr>
      <w:tr w:rsidR="003B20AD" w:rsidRPr="00475A0C" w14:paraId="165598D3" w14:textId="015DA907" w:rsidTr="007B36AB">
        <w:tc>
          <w:tcPr>
            <w:tcW w:w="4675" w:type="dxa"/>
          </w:tcPr>
          <w:p w14:paraId="020509CC"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VIII.</w:t>
            </w:r>
            <w:r w:rsidRPr="00475A0C">
              <w:rPr>
                <w:rFonts w:ascii="Verdana" w:hAnsi="Verdana"/>
                <w:b/>
                <w:sz w:val="16"/>
                <w:szCs w:val="16"/>
              </w:rPr>
              <w:tab/>
            </w:r>
            <w:r w:rsidRPr="00475A0C">
              <w:rPr>
                <w:rFonts w:ascii="Verdana" w:hAnsi="Verdana"/>
                <w:sz w:val="16"/>
                <w:szCs w:val="16"/>
              </w:rPr>
              <w:t xml:space="preserve">Aprobar, en su caso, la modificación, cancelación o terminación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conforme a las cláusulas que se prevén en el contrato respectivo y de acuerdo con los lineamientos técnicos y las condiciones económicas relativas a los términos fiscales que al efecto establezcan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respectivamente;</w:t>
            </w:r>
          </w:p>
        </w:tc>
        <w:tc>
          <w:tcPr>
            <w:tcW w:w="4675" w:type="dxa"/>
          </w:tcPr>
          <w:p w14:paraId="012A252C" w14:textId="5B0EF719"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Approve, where appropriate, the modification, cancellation or termination of the Contracts for exploration and extraction, in accordance with the clauses provided in the respective contract and in accordance with the technical guidelines and economic conditions with regard to the fiscal terms established for this purpose by the Secretary of Energy and the Secretary of Finance and Public Credit, respectively;</w:t>
            </w:r>
          </w:p>
        </w:tc>
      </w:tr>
      <w:tr w:rsidR="003B20AD" w:rsidRPr="00475A0C" w14:paraId="327BC8E1" w14:textId="105CA24A" w:rsidTr="007B36AB">
        <w:tc>
          <w:tcPr>
            <w:tcW w:w="4675" w:type="dxa"/>
          </w:tcPr>
          <w:p w14:paraId="6CD49598"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 xml:space="preserve">Aprobar los planes de Exploración o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que maximicen la productividad del Área Contractual en el tiempo, así como sus modificaciones y supervisar el cumplimiento de estos, de acuerdo con la regulación que al respecto emita;</w:t>
            </w:r>
          </w:p>
        </w:tc>
        <w:tc>
          <w:tcPr>
            <w:tcW w:w="4675" w:type="dxa"/>
          </w:tcPr>
          <w:p w14:paraId="4CCAAF73" w14:textId="2375A79B"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b/>
                <w:sz w:val="16"/>
                <w:szCs w:val="16"/>
                <w:lang w:val="en-US"/>
              </w:rPr>
              <w:tab/>
            </w:r>
            <w:r w:rsidRPr="00E3602D">
              <w:rPr>
                <w:rFonts w:ascii="Verdana" w:hAnsi="Verdana"/>
                <w:sz w:val="16"/>
                <w:szCs w:val="16"/>
                <w:lang w:val="en-US"/>
              </w:rPr>
              <w:t>Approve exploration or development plans to for extraction that maximize the productivity of the contractual area over time, as well as their modifications and supervise compliance with these, in accordance with the regulation issued in this regard;</w:t>
            </w:r>
          </w:p>
        </w:tc>
      </w:tr>
      <w:tr w:rsidR="003B20AD" w:rsidRPr="00475A0C" w14:paraId="1E836172" w14:textId="567CAF68" w:rsidTr="007B36AB">
        <w:tc>
          <w:tcPr>
            <w:tcW w:w="4675" w:type="dxa"/>
          </w:tcPr>
          <w:p w14:paraId="51D61F80"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w:t>
            </w:r>
            <w:r w:rsidRPr="00475A0C">
              <w:rPr>
                <w:rFonts w:ascii="Verdana" w:hAnsi="Verdana"/>
                <w:b/>
                <w:sz w:val="16"/>
                <w:szCs w:val="16"/>
              </w:rPr>
              <w:tab/>
            </w:r>
            <w:r w:rsidRPr="00475A0C">
              <w:rPr>
                <w:rFonts w:ascii="Verdana" w:hAnsi="Verdana"/>
                <w:sz w:val="16"/>
                <w:szCs w:val="16"/>
              </w:rPr>
              <w:t xml:space="preserve">Administrar y supervisar, en materia técnica,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La administración y supervisión técnica de los contratos pueden realizarse con el apoyo de auditores o inspectores externos, mediante la contratación de los servicios correspondientes;</w:t>
            </w:r>
          </w:p>
        </w:tc>
        <w:tc>
          <w:tcPr>
            <w:tcW w:w="4675" w:type="dxa"/>
          </w:tcPr>
          <w:p w14:paraId="0862046C" w14:textId="1A309BC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b/>
                <w:sz w:val="16"/>
                <w:szCs w:val="16"/>
                <w:lang w:val="en-US"/>
              </w:rPr>
              <w:tab/>
            </w:r>
            <w:r w:rsidRPr="00E3602D">
              <w:rPr>
                <w:rFonts w:ascii="Verdana" w:hAnsi="Verdana"/>
                <w:sz w:val="16"/>
                <w:szCs w:val="16"/>
                <w:lang w:val="en-US"/>
              </w:rPr>
              <w:t>To administer and supervise, in technical matters, the contracts for exploration and extraction. The administration and technical supervision of the contracts may be carried out with the support of external auditors or inspectors, by contracting the corresponding services;</w:t>
            </w:r>
          </w:p>
        </w:tc>
      </w:tr>
      <w:tr w:rsidR="003B20AD" w:rsidRPr="00475A0C" w14:paraId="3596F4EE" w14:textId="7E580592" w:rsidTr="007B36AB">
        <w:tc>
          <w:tcPr>
            <w:tcW w:w="4675" w:type="dxa"/>
          </w:tcPr>
          <w:p w14:paraId="313E1421"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w:t>
            </w:r>
            <w:r w:rsidRPr="00475A0C">
              <w:rPr>
                <w:rFonts w:ascii="Verdana" w:hAnsi="Verdana"/>
                <w:sz w:val="16"/>
                <w:szCs w:val="16"/>
              </w:rPr>
              <w:tab/>
              <w:t>Autorizar la cesión del control corporativo o de las operaciones, en términos de lo establecido en el artículo 40 de esta Ley y en los lineamientos que al efecto emita;</w:t>
            </w:r>
          </w:p>
        </w:tc>
        <w:tc>
          <w:tcPr>
            <w:tcW w:w="4675" w:type="dxa"/>
          </w:tcPr>
          <w:p w14:paraId="11DA9C5E" w14:textId="39F919D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sz w:val="16"/>
                <w:szCs w:val="16"/>
                <w:lang w:val="en-US"/>
              </w:rPr>
              <w:tab/>
              <w:t>Authorize the transfer of corporate control or operations, in accordance with the provisions of Article 40 of this Law and the guidelines issued for this purpose;</w:t>
            </w:r>
          </w:p>
        </w:tc>
      </w:tr>
      <w:tr w:rsidR="003B20AD" w:rsidRPr="00475A0C" w14:paraId="3E8CFF94" w14:textId="0708157F" w:rsidTr="007B36AB">
        <w:tc>
          <w:tcPr>
            <w:tcW w:w="4675" w:type="dxa"/>
          </w:tcPr>
          <w:p w14:paraId="7B3F181D"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XII.</w:t>
            </w:r>
            <w:r w:rsidRPr="00475A0C">
              <w:rPr>
                <w:rFonts w:ascii="Verdana" w:hAnsi="Verdana"/>
                <w:sz w:val="16"/>
                <w:szCs w:val="16"/>
              </w:rPr>
              <w:tab/>
              <w:t xml:space="preserve">Apoyar técnicamente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y al Fondo Mexicano del Petróleo para </w:t>
            </w:r>
            <w:smartTag w:uri="urn:schemas-microsoft-com:office:smarttags" w:element="PersonName">
              <w:smartTagPr>
                <w:attr w:name="ProductID" w:val="la Estabilización"/>
              </w:smartTagPr>
              <w:r w:rsidRPr="00475A0C">
                <w:rPr>
                  <w:rFonts w:ascii="Verdana" w:hAnsi="Verdana"/>
                  <w:sz w:val="16"/>
                  <w:szCs w:val="16"/>
                </w:rPr>
                <w:t>la Estabilización</w:t>
              </w:r>
            </w:smartTag>
            <w:r w:rsidRPr="00475A0C">
              <w:rPr>
                <w:rFonts w:ascii="Verdana" w:hAnsi="Verdana"/>
                <w:sz w:val="16"/>
                <w:szCs w:val="16"/>
              </w:rPr>
              <w:t xml:space="preserve"> y el Desarrollo en el ejercicio de sus funciones, en términos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5C2D6DC5" w14:textId="1A609B3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sz w:val="16"/>
                <w:szCs w:val="16"/>
                <w:lang w:val="en-US"/>
              </w:rPr>
              <w:tab/>
              <w:t>Provide technical support to the Secretary of Finance and Public Credit and the Mexican Fund for Petroleum for the stabilization and development in the exercise of their functions, in terms of the Law of Revenue of Hydrocarbons;</w:t>
            </w:r>
          </w:p>
        </w:tc>
      </w:tr>
      <w:tr w:rsidR="003B20AD" w:rsidRPr="00475A0C" w14:paraId="20FE410D" w14:textId="3815711A" w:rsidTr="007B36AB">
        <w:tc>
          <w:tcPr>
            <w:tcW w:w="4675" w:type="dxa"/>
          </w:tcPr>
          <w:p w14:paraId="4235B21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XIII.</w:t>
            </w:r>
            <w:r w:rsidRPr="00475A0C">
              <w:rPr>
                <w:rFonts w:ascii="Verdana" w:hAnsi="Verdana"/>
                <w:b/>
                <w:sz w:val="16"/>
                <w:szCs w:val="16"/>
              </w:rPr>
              <w:tab/>
            </w:r>
            <w:r w:rsidRPr="00475A0C">
              <w:rPr>
                <w:rFonts w:ascii="Verdana" w:hAnsi="Verdana"/>
                <w:sz w:val="16"/>
                <w:szCs w:val="16"/>
              </w:rPr>
              <w:t xml:space="preserve">Aprobar, en su caso, los programas anuales de inversión y operación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29A0BD61" w14:textId="5AFCA745"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b/>
                <w:sz w:val="16"/>
                <w:szCs w:val="16"/>
                <w:lang w:val="en-US"/>
              </w:rPr>
              <w:tab/>
            </w:r>
            <w:r w:rsidRPr="00E3602D">
              <w:rPr>
                <w:rFonts w:ascii="Verdana" w:hAnsi="Verdana"/>
                <w:sz w:val="16"/>
                <w:szCs w:val="16"/>
                <w:lang w:val="en-US"/>
              </w:rPr>
              <w:t>Approve, where appropriate, the annual investment and operation programs of the contracts for exploration and extraction;</w:t>
            </w:r>
          </w:p>
        </w:tc>
      </w:tr>
      <w:tr w:rsidR="003B20AD" w:rsidRPr="00475A0C" w14:paraId="3A12FCE8" w14:textId="4033E51C" w:rsidTr="007B36AB">
        <w:tc>
          <w:tcPr>
            <w:tcW w:w="4675" w:type="dxa"/>
          </w:tcPr>
          <w:p w14:paraId="55124CA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XIV.</w:t>
            </w:r>
            <w:r w:rsidRPr="00475A0C">
              <w:rPr>
                <w:rFonts w:ascii="Verdana" w:hAnsi="Verdana"/>
                <w:b/>
                <w:sz w:val="16"/>
                <w:szCs w:val="16"/>
              </w:rPr>
              <w:tab/>
            </w:r>
            <w:r w:rsidRPr="00475A0C">
              <w:rPr>
                <w:rFonts w:ascii="Verdana" w:hAnsi="Verdana"/>
                <w:sz w:val="16"/>
                <w:szCs w:val="16"/>
              </w:rPr>
              <w:t>Desarrollar, administrar y publicar la información técnica sobre las Áreas Contractuales sujetas a licitación;</w:t>
            </w:r>
          </w:p>
        </w:tc>
        <w:tc>
          <w:tcPr>
            <w:tcW w:w="4675" w:type="dxa"/>
          </w:tcPr>
          <w:p w14:paraId="21E9391E" w14:textId="2900E59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XIV. </w:t>
            </w:r>
            <w:r w:rsidRPr="00E3602D">
              <w:rPr>
                <w:rFonts w:ascii="Verdana" w:hAnsi="Verdana"/>
                <w:b/>
                <w:sz w:val="16"/>
                <w:szCs w:val="16"/>
                <w:lang w:val="en-US"/>
              </w:rPr>
              <w:tab/>
            </w:r>
            <w:r w:rsidRPr="00E3602D">
              <w:rPr>
                <w:rFonts w:ascii="Verdana" w:hAnsi="Verdana"/>
                <w:sz w:val="16"/>
                <w:szCs w:val="16"/>
                <w:lang w:val="en-US"/>
              </w:rPr>
              <w:t>Develop, manage and publish technical information on the Contractual Areas subject to bidding;</w:t>
            </w:r>
          </w:p>
        </w:tc>
      </w:tr>
      <w:tr w:rsidR="003B20AD" w:rsidRPr="00475A0C" w14:paraId="2AA0DD25" w14:textId="795E7A1D" w:rsidTr="007B36AB">
        <w:tc>
          <w:tcPr>
            <w:tcW w:w="4675" w:type="dxa"/>
          </w:tcPr>
          <w:p w14:paraId="057D1525"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XV.</w:t>
            </w:r>
            <w:r w:rsidRPr="00475A0C">
              <w:rPr>
                <w:rFonts w:ascii="Verdana" w:hAnsi="Verdana"/>
                <w:sz w:val="16"/>
                <w:szCs w:val="16"/>
              </w:rPr>
              <w:tab/>
              <w:t xml:space="preserve">Aprobar las migraciones de las Asignaciones a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en su caso, realizar la licitación para la selección del socio de Petróleos Mexicanos, y</w:t>
            </w:r>
          </w:p>
        </w:tc>
        <w:tc>
          <w:tcPr>
            <w:tcW w:w="4675" w:type="dxa"/>
          </w:tcPr>
          <w:p w14:paraId="387F93F6" w14:textId="33D0A2B9"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XV. </w:t>
            </w:r>
            <w:r w:rsidRPr="00E3602D">
              <w:rPr>
                <w:rFonts w:ascii="Verdana" w:hAnsi="Verdana"/>
                <w:sz w:val="16"/>
                <w:szCs w:val="16"/>
                <w:lang w:val="en-US"/>
              </w:rPr>
              <w:tab/>
              <w:t>Approve the migrations of the Assignments to Contracts for exploration and extraction and, where appropriate, carry out the bidding for the selection of the partner of Petróleos Mexicanos, and</w:t>
            </w:r>
          </w:p>
        </w:tc>
      </w:tr>
      <w:tr w:rsidR="003B20AD" w:rsidRPr="00475A0C" w14:paraId="4A9C8D6E" w14:textId="477D658B" w:rsidTr="007B36AB">
        <w:tc>
          <w:tcPr>
            <w:tcW w:w="4675" w:type="dxa"/>
          </w:tcPr>
          <w:p w14:paraId="7850B0D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XVI.</w:t>
            </w:r>
            <w:r w:rsidRPr="00475A0C">
              <w:rPr>
                <w:rFonts w:ascii="Verdana" w:hAnsi="Verdana"/>
                <w:b/>
                <w:sz w:val="16"/>
                <w:szCs w:val="16"/>
              </w:rPr>
              <w:tab/>
            </w:r>
            <w:r w:rsidRPr="00475A0C">
              <w:rPr>
                <w:rFonts w:ascii="Verdana" w:hAnsi="Verdana"/>
                <w:sz w:val="16"/>
                <w:szCs w:val="16"/>
              </w:rPr>
              <w:t xml:space="preserve">Las demás que se prevén en los propios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en las leyes aplicables.</w:t>
            </w:r>
          </w:p>
        </w:tc>
        <w:tc>
          <w:tcPr>
            <w:tcW w:w="4675" w:type="dxa"/>
          </w:tcPr>
          <w:p w14:paraId="30AD4E07" w14:textId="3A1048B9"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XVI. </w:t>
            </w:r>
            <w:r w:rsidRPr="00E3602D">
              <w:rPr>
                <w:rFonts w:ascii="Verdana" w:hAnsi="Verdana"/>
                <w:b/>
                <w:sz w:val="16"/>
                <w:szCs w:val="16"/>
                <w:lang w:val="en-US"/>
              </w:rPr>
              <w:tab/>
            </w:r>
            <w:r w:rsidRPr="00E3602D">
              <w:rPr>
                <w:rFonts w:ascii="Verdana" w:hAnsi="Verdana"/>
                <w:sz w:val="16"/>
                <w:szCs w:val="16"/>
                <w:lang w:val="en-US"/>
              </w:rPr>
              <w:t>Others provided for in the exploration and extraction contracts themselves and in the applicable laws.</w:t>
            </w:r>
          </w:p>
        </w:tc>
      </w:tr>
      <w:tr w:rsidR="003B20AD" w:rsidRPr="00475A0C" w14:paraId="2D6389E7" w14:textId="5E10E970" w:rsidTr="007B36AB">
        <w:tc>
          <w:tcPr>
            <w:tcW w:w="4675" w:type="dxa"/>
          </w:tcPr>
          <w:p w14:paraId="72EA9BA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59.-</w:t>
            </w:r>
            <w:r w:rsidRPr="00475A0C">
              <w:rPr>
                <w:rFonts w:ascii="Verdana" w:hAnsi="Verdana"/>
                <w:sz w:val="16"/>
                <w:szCs w:val="16"/>
              </w:rPr>
              <w:t xml:space="preserve"> Respecto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w:t>
            </w:r>
          </w:p>
        </w:tc>
        <w:tc>
          <w:tcPr>
            <w:tcW w:w="4675" w:type="dxa"/>
          </w:tcPr>
          <w:p w14:paraId="49D867AC" w14:textId="37E5F261"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59.- </w:t>
            </w:r>
            <w:r w:rsidRPr="00E3602D">
              <w:rPr>
                <w:rFonts w:ascii="Verdana" w:hAnsi="Verdana"/>
                <w:sz w:val="16"/>
                <w:szCs w:val="16"/>
                <w:lang w:val="en-US"/>
              </w:rPr>
              <w:t>Regarding Contracts for exploration and extraction, the following is the responsibility of the Secretary of the Treasury and Public Credit:</w:t>
            </w:r>
          </w:p>
        </w:tc>
      </w:tr>
      <w:tr w:rsidR="003B20AD" w:rsidRPr="00475A0C" w14:paraId="5A94D038" w14:textId="0E6F803A" w:rsidTr="007B36AB">
        <w:tc>
          <w:tcPr>
            <w:tcW w:w="4675" w:type="dxa"/>
          </w:tcPr>
          <w:p w14:paraId="5EAE2A2C"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Establecer las condiciones económicas relativas a los términos fiscales de las licitaciones y de los contratos que permitan a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obtener, en el tiempo, ingresos que contribuyan a su desarrollo de largo plazo, en términos de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6696EE36" w14:textId="3BDB75C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Establish the economic conditions relating to the fiscal terms of the bids and contracts that allow for the Nation to obtain, over time, of income that contributes to its long-term development, in terms of the provisions of the Law of Revenue from Hydrocarbons;</w:t>
            </w:r>
          </w:p>
        </w:tc>
      </w:tr>
      <w:tr w:rsidR="003B20AD" w:rsidRPr="00475A0C" w14:paraId="4904491A" w14:textId="52857C7E" w:rsidTr="007B36AB">
        <w:tc>
          <w:tcPr>
            <w:tcW w:w="4675" w:type="dxa"/>
          </w:tcPr>
          <w:p w14:paraId="1A04E650"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II.</w:t>
            </w:r>
            <w:r w:rsidRPr="00475A0C">
              <w:rPr>
                <w:rFonts w:ascii="Verdana" w:hAnsi="Verdana"/>
                <w:b/>
                <w:sz w:val="16"/>
                <w:szCs w:val="16"/>
              </w:rPr>
              <w:tab/>
            </w:r>
            <w:r w:rsidRPr="00475A0C">
              <w:rPr>
                <w:rFonts w:ascii="Verdana" w:hAnsi="Verdana"/>
                <w:sz w:val="16"/>
                <w:szCs w:val="16"/>
              </w:rPr>
              <w:t xml:space="preserve">Determinar las variables de adjudicación de los procesos de licitación, en términos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6605BF98" w14:textId="01535A8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 xml:space="preserve">Determine the award variables of the bidding processes, in terms of </w:t>
            </w:r>
            <w:r w:rsidRPr="00E3602D">
              <w:rPr>
                <w:rFonts w:ascii="Verdana" w:hAnsi="Verdana"/>
                <w:sz w:val="16"/>
                <w:szCs w:val="16"/>
                <w:lang w:val="en-US"/>
              </w:rPr>
              <w:t>Law of Revenue from Hydrocarbons</w:t>
            </w:r>
            <w:r w:rsidRPr="00E3602D">
              <w:rPr>
                <w:rFonts w:ascii="Verdana" w:hAnsi="Verdana"/>
                <w:sz w:val="16"/>
                <w:szCs w:val="16"/>
                <w:lang w:val="en-US"/>
              </w:rPr>
              <w:t>;</w:t>
            </w:r>
          </w:p>
        </w:tc>
      </w:tr>
      <w:tr w:rsidR="003B20AD" w:rsidRPr="00475A0C" w14:paraId="6413DBCF" w14:textId="59BE43F8" w:rsidTr="007B36AB">
        <w:tc>
          <w:tcPr>
            <w:tcW w:w="4675" w:type="dxa"/>
          </w:tcPr>
          <w:p w14:paraId="44755392"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Participar en la administración y auditoría contables relativas a los términos fiscales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en términos de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 Lo anterior puede realizarse con el apoyo de auditores o inspectores externos, mediante la contratación de los servicios correspondientes, y</w:t>
            </w:r>
          </w:p>
        </w:tc>
        <w:tc>
          <w:tcPr>
            <w:tcW w:w="4675" w:type="dxa"/>
          </w:tcPr>
          <w:p w14:paraId="73426C63" w14:textId="553F8395"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 xml:space="preserve">Participate in the accounting administration and auditing related to the fiscal terms of the Contracts for exploration and extraction in terms of the provisions of the </w:t>
            </w:r>
            <w:r w:rsidRPr="00E3602D">
              <w:rPr>
                <w:rFonts w:ascii="Verdana" w:hAnsi="Verdana"/>
                <w:sz w:val="16"/>
                <w:szCs w:val="16"/>
                <w:lang w:val="en-US"/>
              </w:rPr>
              <w:t>Law of Revenue from Hydrocarbons</w:t>
            </w:r>
            <w:r w:rsidRPr="00E3602D">
              <w:rPr>
                <w:rFonts w:ascii="Verdana" w:hAnsi="Verdana"/>
                <w:sz w:val="16"/>
                <w:szCs w:val="16"/>
                <w:lang w:val="en-US"/>
              </w:rPr>
              <w:t>. This may be done with the support of external auditors or inspectors, by contracting the corresponding services, and</w:t>
            </w:r>
          </w:p>
        </w:tc>
      </w:tr>
      <w:tr w:rsidR="003B20AD" w:rsidRPr="00475A0C" w14:paraId="1ECB8265" w14:textId="14F89963" w:rsidTr="007B36AB">
        <w:tc>
          <w:tcPr>
            <w:tcW w:w="4675" w:type="dxa"/>
          </w:tcPr>
          <w:p w14:paraId="68E470E2"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Las demás que se prevén en los propios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en las leyes aplicables.</w:t>
            </w:r>
          </w:p>
        </w:tc>
        <w:tc>
          <w:tcPr>
            <w:tcW w:w="4675" w:type="dxa"/>
          </w:tcPr>
          <w:p w14:paraId="202123B0" w14:textId="37605C8B"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All others provided for in the exploration and extraction Contracts themselves and in the applicable laws.</w:t>
            </w:r>
          </w:p>
        </w:tc>
      </w:tr>
      <w:tr w:rsidR="003B20AD" w:rsidRPr="00475A0C" w14:paraId="002D1981" w14:textId="209C0A01" w:rsidTr="007B36AB">
        <w:tc>
          <w:tcPr>
            <w:tcW w:w="4675" w:type="dxa"/>
          </w:tcPr>
          <w:p w14:paraId="00560C93" w14:textId="77777777" w:rsidR="003B20AD" w:rsidRPr="00475A0C" w:rsidRDefault="003B20AD" w:rsidP="003B20AD">
            <w:pPr>
              <w:pStyle w:val="Texto"/>
              <w:spacing w:line="220" w:lineRule="exact"/>
              <w:ind w:firstLine="0"/>
              <w:jc w:val="center"/>
              <w:rPr>
                <w:rFonts w:ascii="Verdana" w:hAnsi="Verdana"/>
                <w:b/>
                <w:sz w:val="16"/>
                <w:szCs w:val="16"/>
              </w:rPr>
            </w:pPr>
            <w:r w:rsidRPr="00475A0C">
              <w:rPr>
                <w:rFonts w:ascii="Verdana" w:hAnsi="Verdana"/>
                <w:b/>
                <w:sz w:val="16"/>
                <w:szCs w:val="16"/>
              </w:rPr>
              <w:t>Capítulo V</w:t>
            </w:r>
          </w:p>
        </w:tc>
        <w:tc>
          <w:tcPr>
            <w:tcW w:w="4675" w:type="dxa"/>
          </w:tcPr>
          <w:p w14:paraId="1D3883C9" w14:textId="4280BFA4" w:rsidR="003B20AD" w:rsidRPr="00E3602D" w:rsidRDefault="003B20AD" w:rsidP="003B20AD">
            <w:pPr>
              <w:pStyle w:val="Texto"/>
              <w:spacing w:line="220" w:lineRule="exact"/>
              <w:ind w:firstLine="0"/>
              <w:jc w:val="center"/>
              <w:rPr>
                <w:rFonts w:ascii="Verdana" w:hAnsi="Verdana"/>
                <w:b/>
                <w:sz w:val="16"/>
                <w:szCs w:val="16"/>
                <w:lang w:val="en-US"/>
              </w:rPr>
            </w:pPr>
            <w:r w:rsidRPr="00E3602D">
              <w:rPr>
                <w:rFonts w:ascii="Verdana" w:hAnsi="Verdana"/>
                <w:b/>
                <w:sz w:val="16"/>
                <w:szCs w:val="16"/>
                <w:lang w:val="en-US"/>
              </w:rPr>
              <w:t>Chapter V</w:t>
            </w:r>
          </w:p>
        </w:tc>
      </w:tr>
      <w:tr w:rsidR="003B20AD" w:rsidRPr="00475A0C" w14:paraId="4D9F2915" w14:textId="0CD5D44C" w:rsidTr="007B36AB">
        <w:tc>
          <w:tcPr>
            <w:tcW w:w="4675" w:type="dxa"/>
          </w:tcPr>
          <w:p w14:paraId="5D3822E2" w14:textId="77777777" w:rsidR="003B20AD" w:rsidRPr="00475A0C" w:rsidRDefault="003B20AD" w:rsidP="003B20AD">
            <w:pPr>
              <w:pStyle w:val="Texto"/>
              <w:spacing w:line="220" w:lineRule="exact"/>
              <w:ind w:firstLine="0"/>
              <w:jc w:val="center"/>
              <w:rPr>
                <w:rFonts w:ascii="Verdana" w:hAnsi="Verdana"/>
                <w:b/>
                <w:sz w:val="16"/>
                <w:szCs w:val="16"/>
              </w:rPr>
            </w:pPr>
            <w:r w:rsidRPr="00475A0C">
              <w:rPr>
                <w:rFonts w:ascii="Verdana" w:hAnsi="Verdana"/>
                <w:b/>
                <w:sz w:val="16"/>
                <w:szCs w:val="16"/>
              </w:rPr>
              <w:t>De la información obtenida de las actividades de Reconocimiento y Exploración Superficial, Exploración y Extracción de Hidrocarburos</w:t>
            </w:r>
          </w:p>
        </w:tc>
        <w:tc>
          <w:tcPr>
            <w:tcW w:w="4675" w:type="dxa"/>
          </w:tcPr>
          <w:p w14:paraId="023E1758" w14:textId="3B124C38" w:rsidR="003B20AD" w:rsidRPr="00E3602D" w:rsidRDefault="003B20AD" w:rsidP="003B20AD">
            <w:pPr>
              <w:pStyle w:val="Texto"/>
              <w:spacing w:line="220" w:lineRule="exact"/>
              <w:ind w:firstLine="0"/>
              <w:jc w:val="center"/>
              <w:rPr>
                <w:rFonts w:ascii="Verdana" w:hAnsi="Verdana"/>
                <w:b/>
                <w:sz w:val="16"/>
                <w:szCs w:val="16"/>
                <w:lang w:val="en-US"/>
              </w:rPr>
            </w:pPr>
            <w:r w:rsidRPr="00E3602D">
              <w:rPr>
                <w:rFonts w:ascii="Verdana" w:hAnsi="Verdana"/>
                <w:b/>
                <w:sz w:val="16"/>
                <w:szCs w:val="16"/>
                <w:lang w:val="en-US"/>
              </w:rPr>
              <w:t>Information obtained from the activities of Surface Reconnaissance and Exploration, Exploration and Extraction of Hydrocarbons</w:t>
            </w:r>
          </w:p>
        </w:tc>
      </w:tr>
      <w:tr w:rsidR="003B20AD" w:rsidRPr="00475A0C" w14:paraId="58AE90A7" w14:textId="1CC75FE6" w:rsidTr="007B36AB">
        <w:tc>
          <w:tcPr>
            <w:tcW w:w="4675" w:type="dxa"/>
          </w:tcPr>
          <w:p w14:paraId="6DF7DB8D"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60.-</w:t>
            </w:r>
            <w:r w:rsidRPr="00475A0C">
              <w:rPr>
                <w:rFonts w:ascii="Verdana" w:hAnsi="Verdana"/>
                <w:sz w:val="16"/>
                <w:szCs w:val="16"/>
              </w:rPr>
              <w:t xml:space="preserve"> Pertenece a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la información geológica, geofísica, petrofísica, petroquímica y, en general, la que se obtenga o se haya obtenido de las actividades de Reconocimiento y Exploración Superficial, así como de Exploración y Extracción, llevadas a cabo por parte de Petróleos Mexicanos, o por cualquier persona.</w:t>
            </w:r>
          </w:p>
        </w:tc>
        <w:tc>
          <w:tcPr>
            <w:tcW w:w="4675" w:type="dxa"/>
          </w:tcPr>
          <w:p w14:paraId="27B6AD82" w14:textId="0B6361E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60.- </w:t>
            </w:r>
            <w:r w:rsidRPr="00E3602D">
              <w:rPr>
                <w:rFonts w:ascii="Verdana" w:hAnsi="Verdana"/>
                <w:bCs/>
                <w:sz w:val="16"/>
                <w:szCs w:val="16"/>
                <w:lang w:val="en-US"/>
              </w:rPr>
              <w:t>The Nation owns all geological, geophysical, petrophysical, petrochemical information, and, in general, all information obtained or obtained from surface reconnaissance and exploration activities, as well as exploration and extraction, carried out by Petróleos Mexicanos or any other person.</w:t>
            </w:r>
          </w:p>
        </w:tc>
      </w:tr>
      <w:tr w:rsidR="003B20AD" w:rsidRPr="00475A0C" w14:paraId="0CF409B0" w14:textId="0E36B057" w:rsidTr="007B36AB">
        <w:tc>
          <w:tcPr>
            <w:tcW w:w="4675" w:type="dxa"/>
          </w:tcPr>
          <w:p w14:paraId="3BF04E2E"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el acopio, resguardo, uso, administración y actualización, así como la publicación de la información referida en el presente artículo, por medio de la plataforma de información electrónica que establezca.</w:t>
            </w:r>
          </w:p>
        </w:tc>
        <w:tc>
          <w:tcPr>
            <w:tcW w:w="4675" w:type="dxa"/>
          </w:tcPr>
          <w:p w14:paraId="6317B7A5" w14:textId="260300A3"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The Secretary of Energy is responsible for the collection, storage, use, administration, updating, and publication of the information referred to in this article through the electronic information platform it establishes.</w:t>
            </w:r>
          </w:p>
        </w:tc>
      </w:tr>
      <w:tr w:rsidR="003B20AD" w:rsidRPr="00475A0C" w14:paraId="54F5CE6F" w14:textId="3A33319A" w:rsidTr="007B36AB">
        <w:tc>
          <w:tcPr>
            <w:tcW w:w="4675" w:type="dxa"/>
          </w:tcPr>
          <w:p w14:paraId="092469A7"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t xml:space="preserve">Se prohíbe a Petróleos Mexicanos, así como a los Particulares, publicar, entregar o allegarse de información a la que se refiere el párrafo anterior, por medios distintos a los contemplados por esta Ley o sin contar con el consentimiento previo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Lo anterior, sin perjuicio del aprovechamiento comercial de la información que sea obtenida por personas Asignatarias, Contratistas o Autorizadas, conforme a lo dispuesto en el artículo 61 de la presente Ley.</w:t>
            </w:r>
          </w:p>
        </w:tc>
        <w:tc>
          <w:tcPr>
            <w:tcW w:w="4675" w:type="dxa"/>
          </w:tcPr>
          <w:p w14:paraId="5902AEDF" w14:textId="772ECF31"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t>Petróleos Mexicanos, as well as private individuals, are prohibited from publishing, delivering, or obtaining information referred to in the preceding paragraph by means other than those contemplated by this Law or without the prior consent of the Secretary of Energy. This is without prejudice to the commercial use of information obtained by assignees, contractors, or authorized persons, in accordance with the provisions of Article 61 of this Law.</w:t>
            </w:r>
          </w:p>
        </w:tc>
      </w:tr>
      <w:tr w:rsidR="003B20AD" w:rsidRPr="00475A0C" w14:paraId="36E3D44F" w14:textId="086D194A" w:rsidTr="007B36AB">
        <w:tc>
          <w:tcPr>
            <w:tcW w:w="4675" w:type="dxa"/>
          </w:tcPr>
          <w:p w14:paraId="74FD5CF3"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Artículo 61.-</w:t>
            </w:r>
            <w:r w:rsidRPr="00475A0C">
              <w:rPr>
                <w:rFonts w:ascii="Verdana" w:hAnsi="Verdana"/>
                <w:sz w:val="16"/>
                <w:szCs w:val="16"/>
              </w:rPr>
              <w:t xml:space="preserve"> La información que se obtenga de las actividades de Reconocimiento y Exploración Superficial debe entregarse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Esta información incluye:</w:t>
            </w:r>
          </w:p>
        </w:tc>
        <w:tc>
          <w:tcPr>
            <w:tcW w:w="4675" w:type="dxa"/>
          </w:tcPr>
          <w:p w14:paraId="5C6FE820" w14:textId="49E8D769"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Article 61.- </w:t>
            </w:r>
            <w:r w:rsidRPr="00E3602D">
              <w:rPr>
                <w:rFonts w:ascii="Verdana" w:hAnsi="Verdana"/>
                <w:sz w:val="16"/>
                <w:szCs w:val="16"/>
                <w:lang w:val="en-US"/>
              </w:rPr>
              <w:t>Information obtained from surface reconnaissance and exploration activities must be submitted to the Secretary of Energy. This information includes:</w:t>
            </w:r>
          </w:p>
        </w:tc>
      </w:tr>
      <w:tr w:rsidR="003B20AD" w:rsidRPr="00475A0C" w14:paraId="12E1835D" w14:textId="7591201E" w:rsidTr="007B36AB">
        <w:tc>
          <w:tcPr>
            <w:tcW w:w="4675" w:type="dxa"/>
          </w:tcPr>
          <w:p w14:paraId="5D54A241"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Adquisición, procesamiento, reprocesamiento, interpretación y control geológico de la sísmica 2D, 3D y multicomponente 3C;</w:t>
            </w:r>
          </w:p>
        </w:tc>
        <w:tc>
          <w:tcPr>
            <w:tcW w:w="4675" w:type="dxa"/>
          </w:tcPr>
          <w:p w14:paraId="5B8A1AFA" w14:textId="0B56CCFB"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Acquisition, processing, reprocessing, interpretation and geological control of 2D, 3D and multi-component 3C seismic;</w:t>
            </w:r>
          </w:p>
        </w:tc>
      </w:tr>
      <w:tr w:rsidR="003B20AD" w:rsidRPr="00475A0C" w14:paraId="76E220D1" w14:textId="2D34EBF5" w:rsidTr="007B36AB">
        <w:tc>
          <w:tcPr>
            <w:tcW w:w="4675" w:type="dxa"/>
          </w:tcPr>
          <w:p w14:paraId="707941E7"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Pre-proceso, interpretación de datos sísmicos, modelo de velocidades y migración, en tiempo y en profundidad;</w:t>
            </w:r>
          </w:p>
        </w:tc>
        <w:tc>
          <w:tcPr>
            <w:tcW w:w="4675" w:type="dxa"/>
          </w:tcPr>
          <w:p w14:paraId="624CE3A1" w14:textId="1C02725B"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Pre-processing, interpretation of seismic data, velocity and migration model, in time and depth;</w:t>
            </w:r>
          </w:p>
        </w:tc>
      </w:tr>
      <w:tr w:rsidR="003B20AD" w:rsidRPr="00475A0C" w14:paraId="37B0ABAB" w14:textId="127F99C5" w:rsidTr="007B36AB">
        <w:tc>
          <w:tcPr>
            <w:tcW w:w="4675" w:type="dxa"/>
          </w:tcPr>
          <w:p w14:paraId="5C11F353"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Adquisición magnética, gravimétrica, geoeléctrica y magnetotelúrica, y</w:t>
            </w:r>
          </w:p>
        </w:tc>
        <w:tc>
          <w:tcPr>
            <w:tcW w:w="4675" w:type="dxa"/>
          </w:tcPr>
          <w:p w14:paraId="443AE4E5" w14:textId="24E9D73D"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Magnetic, gravimetric, geoelectric and magnetotelluric acquisition, and</w:t>
            </w:r>
          </w:p>
        </w:tc>
      </w:tr>
      <w:tr w:rsidR="003B20AD" w:rsidRPr="00475A0C" w14:paraId="67EF2B61" w14:textId="614867A8" w:rsidTr="007B36AB">
        <w:tc>
          <w:tcPr>
            <w:tcW w:w="4675" w:type="dxa"/>
          </w:tcPr>
          <w:p w14:paraId="0FB683E9"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lastRenderedPageBreak/>
              <w:t>IV.</w:t>
            </w:r>
            <w:r w:rsidRPr="00475A0C">
              <w:rPr>
                <w:rFonts w:ascii="Verdana" w:hAnsi="Verdana"/>
                <w:b/>
                <w:sz w:val="16"/>
                <w:szCs w:val="16"/>
              </w:rPr>
              <w:tab/>
            </w:r>
            <w:r w:rsidRPr="00475A0C">
              <w:rPr>
                <w:rFonts w:ascii="Verdana" w:hAnsi="Verdana"/>
                <w:sz w:val="16"/>
                <w:szCs w:val="16"/>
              </w:rPr>
              <w:t>Cualquier otra que se obtenga por medios diferentes a los previamente listados.</w:t>
            </w:r>
          </w:p>
        </w:tc>
        <w:tc>
          <w:tcPr>
            <w:tcW w:w="4675" w:type="dxa"/>
          </w:tcPr>
          <w:p w14:paraId="31BD8A39" w14:textId="68060615"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Any other that is obtained by means other than those previously listed.</w:t>
            </w:r>
          </w:p>
        </w:tc>
      </w:tr>
      <w:tr w:rsidR="003B20AD" w:rsidRPr="00475A0C" w14:paraId="483C5F6D" w14:textId="4E857EDB" w:rsidTr="007B36AB">
        <w:tc>
          <w:tcPr>
            <w:tcW w:w="4675" w:type="dxa"/>
          </w:tcPr>
          <w:p w14:paraId="5D6008BF"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t xml:space="preserve">Las personas Asignatarias, Contratistas y todas las Autorizadas que realicen actividades de Reconocimiento y Exploración Superficial tienen derecho al aprovechamiento comercial de la información que obtengan con motivo de sus actividades dentro del plazo que al efecto se establezca en la regulación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726069AD" w14:textId="02356AA9"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t>The Assignees, Contractors and all Authorized Persons who carry out surface reconnaissance and exploration activities have the right to commercial use of the information they obtain as a result of their activities within the period established for this purpose in the Regulation issued by the Secretary of Energy.</w:t>
            </w:r>
          </w:p>
        </w:tc>
      </w:tr>
      <w:tr w:rsidR="003B20AD" w:rsidRPr="00475A0C" w14:paraId="76B0C809" w14:textId="5607BDA7" w:rsidTr="007B36AB">
        <w:tc>
          <w:tcPr>
            <w:tcW w:w="4675" w:type="dxa"/>
          </w:tcPr>
          <w:p w14:paraId="4F25C2D8"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t>La Secretaría de Energía debe garantizar la confidencialidad de la información conforme a los plazos y criterios que establezca la regulación que al efecto emita. La interpretación de datos sísmicos es considerada información confidencial y debe reservarse por el periodo que corresponda conforme a lo establecido en la regulación respectiva.</w:t>
            </w:r>
          </w:p>
        </w:tc>
        <w:tc>
          <w:tcPr>
            <w:tcW w:w="4675" w:type="dxa"/>
          </w:tcPr>
          <w:p w14:paraId="02038FBB" w14:textId="03EA3305"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t>The Secretary of Energy must guarantee the confidentiality of information in accordance with the timeframes and criteria established by the regulation it issues for this purpose. The interpretation of seismic data is considered confidential information and must be kept confidential for the period established in the respective regulation.</w:t>
            </w:r>
          </w:p>
        </w:tc>
      </w:tr>
      <w:tr w:rsidR="003B20AD" w:rsidRPr="00475A0C" w14:paraId="79E9D431" w14:textId="239092F9" w:rsidTr="007B36AB">
        <w:tc>
          <w:tcPr>
            <w:tcW w:w="4675" w:type="dxa"/>
          </w:tcPr>
          <w:p w14:paraId="76F6ECDD"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Artículo 62.-</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realizar o contratar, conforme a las disposiciones aplicables en materia de contrataciones públicas, a Petróleos Mexicanos, a otras entidades públicas, a instituciones académicas y a cualquier otra persona para llevar a cabo actividades de Reconocimiento y Exploración Superficial, a cambio de una contraprestación, que en todos los casos debe estar referida a condiciones de mercado.</w:t>
            </w:r>
          </w:p>
        </w:tc>
        <w:tc>
          <w:tcPr>
            <w:tcW w:w="4675" w:type="dxa"/>
          </w:tcPr>
          <w:p w14:paraId="7C632BC0" w14:textId="7459AF24"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Article 62.-</w:t>
            </w:r>
            <w:r w:rsidRPr="00E3602D">
              <w:rPr>
                <w:rFonts w:ascii="Verdana" w:hAnsi="Verdana"/>
                <w:sz w:val="16"/>
                <w:szCs w:val="16"/>
                <w:lang w:val="en-US"/>
              </w:rPr>
              <w:t xml:space="preserve"> The Secretary of Energy may carry out or contract, in accordance with the applicable provisions on public procurement, Petróleos Mexicanos, other public entities, academic institutions and any other person to carry out surface reconnaissance and exploration activities, in exchange for compensation, which in all cases must be referred to market conditions.</w:t>
            </w:r>
          </w:p>
        </w:tc>
      </w:tr>
      <w:tr w:rsidR="003B20AD" w:rsidRPr="00475A0C" w14:paraId="79EA8325" w14:textId="77A0E9F7" w:rsidTr="007B36AB">
        <w:tc>
          <w:tcPr>
            <w:tcW w:w="4675" w:type="dxa"/>
          </w:tcPr>
          <w:p w14:paraId="1A7E4A06"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Artículo 63.-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y administrar una plataforma de información electrónica para recabar, acopiar, resguardar, administrar, usar, analizar, mantener actualizada y publicar la información y estadística relativa a:</w:t>
            </w:r>
          </w:p>
        </w:tc>
        <w:tc>
          <w:tcPr>
            <w:tcW w:w="4675" w:type="dxa"/>
          </w:tcPr>
          <w:p w14:paraId="733CACAD" w14:textId="44C1C250"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Article 63.-</w:t>
            </w:r>
            <w:r w:rsidRPr="00E3602D">
              <w:rPr>
                <w:rFonts w:ascii="Verdana" w:hAnsi="Verdana"/>
                <w:sz w:val="16"/>
                <w:szCs w:val="16"/>
                <w:lang w:val="en-US"/>
              </w:rPr>
              <w:t xml:space="preserve"> The Secretary of Energy must establish and manage an electronic information platform to collect, gather, safeguard, manage, use, analyze, update and publish information and statistics related to:</w:t>
            </w:r>
          </w:p>
        </w:tc>
      </w:tr>
      <w:tr w:rsidR="003B20AD" w:rsidRPr="00475A0C" w14:paraId="4A1408FF" w14:textId="7E85343D" w:rsidTr="007B36AB">
        <w:tc>
          <w:tcPr>
            <w:tcW w:w="4675" w:type="dxa"/>
          </w:tcPr>
          <w:p w14:paraId="34B620C6"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producción de Hidrocarburos;</w:t>
            </w:r>
          </w:p>
        </w:tc>
        <w:tc>
          <w:tcPr>
            <w:tcW w:w="4675" w:type="dxa"/>
          </w:tcPr>
          <w:p w14:paraId="57320D3B" w14:textId="13D2946E"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Hydrocarbon production;</w:t>
            </w:r>
          </w:p>
        </w:tc>
      </w:tr>
      <w:tr w:rsidR="003B20AD" w:rsidRPr="00475A0C" w14:paraId="7CE4CF88" w14:textId="37B76A99" w:rsidTr="007B36AB">
        <w:tc>
          <w:tcPr>
            <w:tcW w:w="4675" w:type="dxa"/>
          </w:tcPr>
          <w:p w14:paraId="7DA9F9E5"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Las Reservas, incluyendo la información de reportes de estimación y estudios de evaluación o cuantificación y certificación;</w:t>
            </w:r>
          </w:p>
        </w:tc>
        <w:tc>
          <w:tcPr>
            <w:tcW w:w="4675" w:type="dxa"/>
          </w:tcPr>
          <w:p w14:paraId="12813C9D" w14:textId="1094EB59"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Reserves, including information from estimation reports and evaluation or quantification and certification studies;</w:t>
            </w:r>
          </w:p>
        </w:tc>
      </w:tr>
      <w:tr w:rsidR="003B20AD" w:rsidRPr="00475A0C" w14:paraId="57D939C8" w14:textId="141A780B" w:rsidTr="007B36AB">
        <w:tc>
          <w:tcPr>
            <w:tcW w:w="4675" w:type="dxa"/>
          </w:tcPr>
          <w:p w14:paraId="70FA92A8"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La relación entre producción y Reservas;</w:t>
            </w:r>
          </w:p>
        </w:tc>
        <w:tc>
          <w:tcPr>
            <w:tcW w:w="4675" w:type="dxa"/>
          </w:tcPr>
          <w:p w14:paraId="567BEEC4" w14:textId="3C156F54"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relationship between production and reserves;</w:t>
            </w:r>
          </w:p>
        </w:tc>
      </w:tr>
      <w:tr w:rsidR="003B20AD" w:rsidRPr="00475A0C" w14:paraId="34492723" w14:textId="549FE6CF" w:rsidTr="007B36AB">
        <w:tc>
          <w:tcPr>
            <w:tcW w:w="4675" w:type="dxa"/>
          </w:tcPr>
          <w:p w14:paraId="438A8626"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Los Recursos Contingentes y Prospectivos;</w:t>
            </w:r>
          </w:p>
        </w:tc>
        <w:tc>
          <w:tcPr>
            <w:tcW w:w="4675" w:type="dxa"/>
          </w:tcPr>
          <w:p w14:paraId="15667C40" w14:textId="1D5CB39F"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Contingent and Prospective Resources;</w:t>
            </w:r>
          </w:p>
        </w:tc>
      </w:tr>
      <w:tr w:rsidR="003B20AD" w:rsidRPr="00475A0C" w14:paraId="480C756E" w14:textId="3B1EC5F5" w:rsidTr="007B36AB">
        <w:tc>
          <w:tcPr>
            <w:tcW w:w="4675" w:type="dxa"/>
          </w:tcPr>
          <w:p w14:paraId="756F408E"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 xml:space="preserve">La información geológica, geofísica, petrofísica, petroquímica y demás, que se obtenga de las actividades de Reconocimiento y Exploración Superficial, así como de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y</w:t>
            </w:r>
          </w:p>
        </w:tc>
        <w:tc>
          <w:tcPr>
            <w:tcW w:w="4675" w:type="dxa"/>
          </w:tcPr>
          <w:p w14:paraId="269D21C5" w14:textId="3B491D2C"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The geological, geophysical, petrophysical, petrochemical and other information obtained from the activities of surface reconnaissance and exploration, as well as the exploration and extraction of hydrocarbons, and</w:t>
            </w:r>
          </w:p>
        </w:tc>
      </w:tr>
      <w:tr w:rsidR="003B20AD" w:rsidRPr="00475A0C" w14:paraId="6043B501" w14:textId="5B6B549D" w:rsidTr="007B36AB">
        <w:tc>
          <w:tcPr>
            <w:tcW w:w="4675" w:type="dxa"/>
          </w:tcPr>
          <w:p w14:paraId="2101E1E4"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Cualquier otra información necesaria para realizar sus funciones, sean las establecidas en esta Ley o en las demás disposiciones jurídicas aplicables.</w:t>
            </w:r>
          </w:p>
        </w:tc>
        <w:tc>
          <w:tcPr>
            <w:tcW w:w="4675" w:type="dxa"/>
          </w:tcPr>
          <w:p w14:paraId="3F9A00AC" w14:textId="72064148" w:rsidR="003B20AD" w:rsidRPr="00E3602D" w:rsidRDefault="003B20AD" w:rsidP="003B20AD">
            <w:pPr>
              <w:pStyle w:val="Texto"/>
              <w:spacing w:line="235"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Any other information necessary to perform its functions, whether established in this Law or in other applicable legal provisions.</w:t>
            </w:r>
          </w:p>
        </w:tc>
      </w:tr>
      <w:tr w:rsidR="003B20AD" w:rsidRPr="00475A0C" w14:paraId="7A1BF39C" w14:textId="3B35EF34" w:rsidTr="007B36AB">
        <w:tc>
          <w:tcPr>
            <w:tcW w:w="4675" w:type="dxa"/>
          </w:tcPr>
          <w:p w14:paraId="2083C4A7"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t xml:space="preserve">La Secretaría de Energía también debe resguardar, preservar y administrar los núcleos de roca, recortes de perforación y muestras de Hidrocarburos que se consideren necesarios para el acervo del conocimiento histórico y prospectivo de la producción de </w:t>
            </w:r>
            <w:r w:rsidRPr="00475A0C">
              <w:rPr>
                <w:rFonts w:ascii="Verdana" w:hAnsi="Verdana"/>
                <w:sz w:val="16"/>
                <w:szCs w:val="16"/>
              </w:rPr>
              <w:lastRenderedPageBreak/>
              <w:t xml:space="preserve">Hidrocarburos del país. Para lo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desarrollar y mantener las Litotecas Nacionales de </w:t>
            </w:r>
            <w:smartTag w:uri="urn:schemas-microsoft-com:office:smarttags" w:element="PersonName">
              <w:smartTagPr>
                <w:attr w:name="ProductID" w:val="la Industria"/>
              </w:smartTagPr>
              <w:r w:rsidRPr="00475A0C">
                <w:rPr>
                  <w:rFonts w:ascii="Verdana" w:hAnsi="Verdana"/>
                  <w:sz w:val="16"/>
                  <w:szCs w:val="16"/>
                </w:rPr>
                <w:t>la Industria</w:t>
              </w:r>
            </w:smartTag>
            <w:r w:rsidRPr="00475A0C">
              <w:rPr>
                <w:rFonts w:ascii="Verdana" w:hAnsi="Verdana"/>
                <w:sz w:val="16"/>
                <w:szCs w:val="16"/>
              </w:rPr>
              <w:t xml:space="preserve"> de Hidrocarburos.</w:t>
            </w:r>
          </w:p>
        </w:tc>
        <w:tc>
          <w:tcPr>
            <w:tcW w:w="4675" w:type="dxa"/>
          </w:tcPr>
          <w:p w14:paraId="1F266779" w14:textId="7FC604E4"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lastRenderedPageBreak/>
              <w:t xml:space="preserve">The Secretary of Energy must also safeguard, preserve, and manage rock cores, drill cuttings, and hydrocarbon samples deemed necessary for the collection of historical and prospective knowledge of the country's hydrocarbon production. To this end, the Secretary of </w:t>
            </w:r>
            <w:r w:rsidRPr="00E3602D">
              <w:rPr>
                <w:rFonts w:ascii="Verdana" w:hAnsi="Verdana"/>
                <w:sz w:val="16"/>
                <w:szCs w:val="16"/>
                <w:lang w:val="en-US"/>
              </w:rPr>
              <w:lastRenderedPageBreak/>
              <w:t>Energy must develop and maintain the national hydrocarbon lithotheques of the industry of hydrocarbons.</w:t>
            </w:r>
          </w:p>
        </w:tc>
      </w:tr>
      <w:tr w:rsidR="003B20AD" w:rsidRPr="00475A0C" w14:paraId="2D430B05" w14:textId="26E8AE41" w:rsidTr="007B36AB">
        <w:tc>
          <w:tcPr>
            <w:tcW w:w="4675" w:type="dxa"/>
          </w:tcPr>
          <w:p w14:paraId="1D5DA9AD"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lastRenderedPageBreak/>
              <w:t>En relación con lo establecido en este artículo, las personas Asignatarias, Contratistas y Autorizadas deben entregar la información y materiales de campo respectivos, así como la información procesada, interpretada e integrada, que se obtenga de las actividades de Reconocimiento y Exploración Superficial, Exploración y Extracción de Hidrocarburos.</w:t>
            </w:r>
          </w:p>
        </w:tc>
        <w:tc>
          <w:tcPr>
            <w:tcW w:w="4675" w:type="dxa"/>
          </w:tcPr>
          <w:p w14:paraId="4771BC4B" w14:textId="34C2A6E7"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t>With regard to the provisions of this article, the Assignees, Contractors and Authorized Persons must deliver the respective field information and materials, as well as the processed, interpreted and integrated information obtained from the activities of surface reconnaissance and exploration, exploration and extraction of hydrocarbons.</w:t>
            </w:r>
          </w:p>
        </w:tc>
      </w:tr>
      <w:tr w:rsidR="003B20AD" w:rsidRPr="00475A0C" w14:paraId="2F3671BC" w14:textId="7741206E" w:rsidTr="007B36AB">
        <w:tc>
          <w:tcPr>
            <w:tcW w:w="4675" w:type="dxa"/>
          </w:tcPr>
          <w:p w14:paraId="000A8900" w14:textId="77777777" w:rsidR="003B20AD" w:rsidRPr="00475A0C" w:rsidRDefault="003B20AD" w:rsidP="003B20AD">
            <w:pPr>
              <w:pStyle w:val="Texto"/>
              <w:spacing w:line="235" w:lineRule="exact"/>
              <w:ind w:firstLine="0"/>
              <w:rPr>
                <w:rFonts w:ascii="Verdana" w:hAnsi="Verdana"/>
                <w:sz w:val="16"/>
                <w:szCs w:val="16"/>
              </w:rPr>
            </w:pPr>
            <w:r w:rsidRPr="00475A0C">
              <w:rPr>
                <w:rFonts w:ascii="Verdana" w:hAnsi="Verdana"/>
                <w:sz w:val="16"/>
                <w:szCs w:val="16"/>
              </w:rPr>
              <w:t xml:space="preserve">Las personas Asignatarias, Contratistas y Autorizadas son responsables de la calidad, integridad y seguridad de la información que se entregue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18860EE7" w14:textId="2C4FED06" w:rsidR="003B20AD" w:rsidRPr="00E3602D" w:rsidRDefault="003B20AD" w:rsidP="003B20AD">
            <w:pPr>
              <w:pStyle w:val="Texto"/>
              <w:spacing w:line="235" w:lineRule="exact"/>
              <w:ind w:firstLine="0"/>
              <w:rPr>
                <w:rFonts w:ascii="Verdana" w:hAnsi="Verdana"/>
                <w:sz w:val="16"/>
                <w:szCs w:val="16"/>
                <w:lang w:val="en-US"/>
              </w:rPr>
            </w:pPr>
            <w:r w:rsidRPr="00E3602D">
              <w:rPr>
                <w:rFonts w:ascii="Verdana" w:hAnsi="Verdana"/>
                <w:sz w:val="16"/>
                <w:szCs w:val="16"/>
                <w:lang w:val="en-US"/>
              </w:rPr>
              <w:t>The Assignees, Contractors, and Authorized Persons are responsible for the quality, integrity, and security of the information provided to the Secretary of Energy.</w:t>
            </w:r>
          </w:p>
        </w:tc>
      </w:tr>
      <w:tr w:rsidR="003B20AD" w:rsidRPr="00475A0C" w14:paraId="1ED00A24" w14:textId="5A33F850" w:rsidTr="007B36AB">
        <w:tc>
          <w:tcPr>
            <w:tcW w:w="4675" w:type="dxa"/>
          </w:tcPr>
          <w:p w14:paraId="56B5FDA2"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La Secretaría de Energía debe definir la confidencialidad y los criterios y plazos conforme a los cuales hace pública la información que reciba, mediante las disposiciones que para tal efecto emita.</w:t>
            </w:r>
          </w:p>
        </w:tc>
        <w:tc>
          <w:tcPr>
            <w:tcW w:w="4675" w:type="dxa"/>
          </w:tcPr>
          <w:p w14:paraId="16C9EB15" w14:textId="6D291F5C"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Secretary of Energy must define confidentiality, criteria, and timeframes for making public the information it receives, through the provisions it issues for this purpose.</w:t>
            </w:r>
          </w:p>
        </w:tc>
      </w:tr>
      <w:tr w:rsidR="003B20AD" w:rsidRPr="00475A0C" w14:paraId="64095130" w14:textId="1EF463C6" w:rsidTr="007B36AB">
        <w:tc>
          <w:tcPr>
            <w:tcW w:w="4675" w:type="dxa"/>
          </w:tcPr>
          <w:p w14:paraId="2E21DC33"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 normativa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los mecanismos que sean necesarios para validar la información que se le entregue.</w:t>
            </w:r>
          </w:p>
        </w:tc>
        <w:tc>
          <w:tcPr>
            <w:tcW w:w="4675" w:type="dxa"/>
          </w:tcPr>
          <w:p w14:paraId="20A46279" w14:textId="5D1635CC"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regulations issued by the Secretary of Energy must establish the mechanisms necessary to validate the information provided.</w:t>
            </w:r>
          </w:p>
        </w:tc>
      </w:tr>
      <w:tr w:rsidR="003B20AD" w:rsidRPr="00475A0C" w14:paraId="4A777B6A" w14:textId="079A9C48" w:rsidTr="007B36AB">
        <w:tc>
          <w:tcPr>
            <w:tcW w:w="4675" w:type="dxa"/>
          </w:tcPr>
          <w:p w14:paraId="547C9546"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Las Secretarías de Energía y de Hacienda y Crédito Público tienen acceso irrestricto a la información contenida en la plataforma de información electrónica y establecida en esta Ley, así como a las litotecas. Las universidades y centros de investigación pueden tener acceso a la información en los términos de los convenios que al efecto celebren con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516A2403" w14:textId="708D1D82"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Secretaries of Energy and Finance and Public Credit have unrestricted access to the information contained in the electronic information platform established by this Law, as well as to the library archives. Universities and research centers may have access to this information under the terms of the agreements they enter into with the Secretary of Energy.</w:t>
            </w:r>
          </w:p>
        </w:tc>
      </w:tr>
      <w:tr w:rsidR="003B20AD" w:rsidRPr="00475A0C" w14:paraId="2D754B75" w14:textId="4EF11CB5" w:rsidTr="007B36AB">
        <w:tc>
          <w:tcPr>
            <w:tcW w:w="4675" w:type="dxa"/>
          </w:tcPr>
          <w:p w14:paraId="64C67B4E" w14:textId="77777777" w:rsidR="003B20AD" w:rsidRPr="00475A0C" w:rsidRDefault="003B20AD" w:rsidP="003B20AD">
            <w:pPr>
              <w:pStyle w:val="Texto"/>
              <w:spacing w:line="234" w:lineRule="exact"/>
              <w:ind w:firstLine="0"/>
              <w:jc w:val="center"/>
              <w:rPr>
                <w:rFonts w:ascii="Verdana" w:hAnsi="Verdana"/>
                <w:b/>
                <w:sz w:val="16"/>
                <w:szCs w:val="16"/>
              </w:rPr>
            </w:pPr>
            <w:r w:rsidRPr="00475A0C">
              <w:rPr>
                <w:rFonts w:ascii="Verdana" w:hAnsi="Verdana"/>
                <w:b/>
                <w:sz w:val="16"/>
                <w:szCs w:val="16"/>
              </w:rPr>
              <w:t>Capítulo VI</w:t>
            </w:r>
          </w:p>
        </w:tc>
        <w:tc>
          <w:tcPr>
            <w:tcW w:w="4675" w:type="dxa"/>
          </w:tcPr>
          <w:p w14:paraId="12E72106" w14:textId="71B06174" w:rsidR="003B20AD" w:rsidRPr="00E3602D" w:rsidRDefault="003B20AD" w:rsidP="003B20AD">
            <w:pPr>
              <w:pStyle w:val="Texto"/>
              <w:spacing w:line="234" w:lineRule="exact"/>
              <w:ind w:firstLine="0"/>
              <w:jc w:val="center"/>
              <w:rPr>
                <w:rFonts w:ascii="Verdana" w:hAnsi="Verdana"/>
                <w:b/>
                <w:sz w:val="16"/>
                <w:szCs w:val="16"/>
                <w:lang w:val="en-US"/>
              </w:rPr>
            </w:pPr>
            <w:r w:rsidRPr="00E3602D">
              <w:rPr>
                <w:rFonts w:ascii="Verdana" w:hAnsi="Verdana"/>
                <w:b/>
                <w:sz w:val="16"/>
                <w:szCs w:val="16"/>
                <w:lang w:val="en-US"/>
              </w:rPr>
              <w:t>Chapter VI</w:t>
            </w:r>
          </w:p>
        </w:tc>
      </w:tr>
      <w:tr w:rsidR="003B20AD" w:rsidRPr="00475A0C" w14:paraId="36C49787" w14:textId="1D289B34" w:rsidTr="007B36AB">
        <w:tc>
          <w:tcPr>
            <w:tcW w:w="4675" w:type="dxa"/>
          </w:tcPr>
          <w:p w14:paraId="07DCA578" w14:textId="77777777" w:rsidR="003B20AD" w:rsidRPr="00475A0C" w:rsidRDefault="003B20AD" w:rsidP="003B20AD">
            <w:pPr>
              <w:pStyle w:val="Texto"/>
              <w:spacing w:line="234" w:lineRule="exact"/>
              <w:ind w:firstLine="0"/>
              <w:jc w:val="center"/>
              <w:rPr>
                <w:rFonts w:ascii="Verdana" w:hAnsi="Verdana"/>
                <w:b/>
                <w:sz w:val="16"/>
                <w:szCs w:val="16"/>
              </w:rPr>
            </w:pPr>
            <w:r w:rsidRPr="00475A0C">
              <w:rPr>
                <w:rFonts w:ascii="Verdana" w:hAnsi="Verdana"/>
                <w:b/>
                <w:sz w:val="16"/>
                <w:szCs w:val="16"/>
              </w:rPr>
              <w:t>De las autorizaciones</w:t>
            </w:r>
          </w:p>
        </w:tc>
        <w:tc>
          <w:tcPr>
            <w:tcW w:w="4675" w:type="dxa"/>
          </w:tcPr>
          <w:p w14:paraId="39D6D649" w14:textId="149CFCC5" w:rsidR="003B20AD" w:rsidRPr="00E3602D" w:rsidRDefault="003B20AD" w:rsidP="003B20AD">
            <w:pPr>
              <w:pStyle w:val="Texto"/>
              <w:spacing w:line="234" w:lineRule="exact"/>
              <w:ind w:firstLine="0"/>
              <w:jc w:val="center"/>
              <w:rPr>
                <w:rFonts w:ascii="Verdana" w:hAnsi="Verdana"/>
                <w:b/>
                <w:sz w:val="16"/>
                <w:szCs w:val="16"/>
                <w:lang w:val="en-US"/>
              </w:rPr>
            </w:pPr>
            <w:r w:rsidRPr="00E3602D">
              <w:rPr>
                <w:rFonts w:ascii="Verdana" w:hAnsi="Verdana"/>
                <w:b/>
                <w:sz w:val="16"/>
                <w:szCs w:val="16"/>
                <w:lang w:val="en-US"/>
              </w:rPr>
              <w:t>Authorizations</w:t>
            </w:r>
          </w:p>
        </w:tc>
      </w:tr>
      <w:tr w:rsidR="003B20AD" w:rsidRPr="00475A0C" w14:paraId="2C765D79" w14:textId="7CC3F690" w:rsidTr="007B36AB">
        <w:tc>
          <w:tcPr>
            <w:tcW w:w="4675" w:type="dxa"/>
          </w:tcPr>
          <w:p w14:paraId="2EF5F2F5"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Artículo 64.-</w:t>
            </w:r>
            <w:r w:rsidRPr="00475A0C">
              <w:rPr>
                <w:rFonts w:ascii="Verdana" w:hAnsi="Verdana"/>
                <w:sz w:val="16"/>
                <w:szCs w:val="16"/>
              </w:rPr>
              <w:t xml:space="preserve"> Las personas Asignatarias y Contratistas deben contar con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conforme a la regulación y los lineamientos que para tal efecto emita, para llevar a cabo la perforación de pozos en los casos siguientes:</w:t>
            </w:r>
          </w:p>
        </w:tc>
        <w:tc>
          <w:tcPr>
            <w:tcW w:w="4675" w:type="dxa"/>
          </w:tcPr>
          <w:p w14:paraId="04D6FE5B" w14:textId="571C589E"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Article 64.- </w:t>
            </w:r>
            <w:r w:rsidRPr="00E3602D">
              <w:rPr>
                <w:rFonts w:ascii="Verdana" w:hAnsi="Verdana"/>
                <w:bCs/>
                <w:sz w:val="16"/>
                <w:szCs w:val="16"/>
                <w:lang w:val="en-US"/>
              </w:rPr>
              <w:t>The</w:t>
            </w:r>
            <w:r w:rsidRPr="00E3602D">
              <w:rPr>
                <w:rFonts w:ascii="Verdana" w:hAnsi="Verdana"/>
                <w:b/>
                <w:sz w:val="16"/>
                <w:szCs w:val="16"/>
                <w:lang w:val="en-US"/>
              </w:rPr>
              <w:t xml:space="preserve"> </w:t>
            </w:r>
            <w:r w:rsidRPr="00E3602D">
              <w:rPr>
                <w:rFonts w:ascii="Verdana" w:hAnsi="Verdana"/>
                <w:sz w:val="16"/>
                <w:szCs w:val="16"/>
                <w:lang w:val="en-US"/>
              </w:rPr>
              <w:t>Assignees and Contractors must have authorization from the Secretary of Energy, in accordance with the regulation and guidelines issued for such purpose, to carry out the drilling of wells in the following cases:</w:t>
            </w:r>
          </w:p>
        </w:tc>
      </w:tr>
      <w:tr w:rsidR="003B20AD" w:rsidRPr="00475A0C" w14:paraId="3AE25354" w14:textId="6603021B" w:rsidTr="007B36AB">
        <w:tc>
          <w:tcPr>
            <w:tcW w:w="4675" w:type="dxa"/>
          </w:tcPr>
          <w:p w14:paraId="53ECB4D6"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Pozos exploratorios;</w:t>
            </w:r>
          </w:p>
        </w:tc>
        <w:tc>
          <w:tcPr>
            <w:tcW w:w="4675" w:type="dxa"/>
          </w:tcPr>
          <w:p w14:paraId="1C74A4F8" w14:textId="698212CE"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Exploratory wells;</w:t>
            </w:r>
          </w:p>
        </w:tc>
      </w:tr>
      <w:tr w:rsidR="003B20AD" w:rsidRPr="00475A0C" w14:paraId="7931B864" w14:textId="492A483D" w:rsidTr="007B36AB">
        <w:tc>
          <w:tcPr>
            <w:tcW w:w="4675" w:type="dxa"/>
          </w:tcPr>
          <w:p w14:paraId="17A39256"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Pozos en aguas profundas y ultra profundas, y</w:t>
            </w:r>
          </w:p>
        </w:tc>
        <w:tc>
          <w:tcPr>
            <w:tcW w:w="4675" w:type="dxa"/>
          </w:tcPr>
          <w:p w14:paraId="76222A6B" w14:textId="3E1867FD"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Deepwater and ultra-deepwater wells, and</w:t>
            </w:r>
          </w:p>
        </w:tc>
      </w:tr>
      <w:tr w:rsidR="003B20AD" w:rsidRPr="00475A0C" w14:paraId="41A64AF1" w14:textId="6721556F" w:rsidTr="007B36AB">
        <w:tc>
          <w:tcPr>
            <w:tcW w:w="4675" w:type="dxa"/>
          </w:tcPr>
          <w:p w14:paraId="037BDBA7"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Pozos tipo que se utilicen como modelos de diseño.</w:t>
            </w:r>
          </w:p>
        </w:tc>
        <w:tc>
          <w:tcPr>
            <w:tcW w:w="4675" w:type="dxa"/>
          </w:tcPr>
          <w:p w14:paraId="04D7615D" w14:textId="495A381D"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Model wells used as design models.</w:t>
            </w:r>
          </w:p>
        </w:tc>
      </w:tr>
      <w:tr w:rsidR="003B20AD" w:rsidRPr="00475A0C" w14:paraId="4799394D" w14:textId="297A68C7" w:rsidTr="007B36AB">
        <w:tc>
          <w:tcPr>
            <w:tcW w:w="4675" w:type="dxa"/>
          </w:tcPr>
          <w:p w14:paraId="2395DF03"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 autorización a que se refiere este artículo debe ajustarse a los plazos establecidos conforme a la regulación que para tal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caso de no emitirse una respuesta a la solicitud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dentro del plazo establecido en dicha regulación, ésta se entiende en sentido favorable.</w:t>
            </w:r>
          </w:p>
        </w:tc>
        <w:tc>
          <w:tcPr>
            <w:tcW w:w="4675" w:type="dxa"/>
          </w:tcPr>
          <w:p w14:paraId="581260A6" w14:textId="19A3B4F9"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authorization referred to in this article must comply with the deadlines established in the regulations issued for this purpose by the Secretary of Energy. If the Secretary of Energy does not respond to the request within the deadline established in said regulation, the response will be deemed favorable.</w:t>
            </w:r>
          </w:p>
        </w:tc>
      </w:tr>
      <w:tr w:rsidR="003B20AD" w:rsidRPr="00475A0C" w14:paraId="6EB819C2" w14:textId="70DAA4B5" w:rsidTr="007B36AB">
        <w:tc>
          <w:tcPr>
            <w:tcW w:w="4675" w:type="dxa"/>
          </w:tcPr>
          <w:p w14:paraId="5C381630"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 Secretaría de Energía debe determinar, a solicitud de parte, los Pozos Inviables de las Asignaciones y Contratos que tengan posibilidad de ser reutilizados </w:t>
            </w:r>
            <w:r w:rsidRPr="00475A0C">
              <w:rPr>
                <w:rFonts w:ascii="Verdana" w:hAnsi="Verdana"/>
                <w:sz w:val="16"/>
                <w:szCs w:val="16"/>
              </w:rPr>
              <w:lastRenderedPageBreak/>
              <w:t>como pozos geotérmicos o para la recuperación de agua de formación que contengan concentraciones de litio u otros elementos, conforme a la normatividad aplicable.</w:t>
            </w:r>
          </w:p>
        </w:tc>
        <w:tc>
          <w:tcPr>
            <w:tcW w:w="4675" w:type="dxa"/>
          </w:tcPr>
          <w:p w14:paraId="0EEDAB0B" w14:textId="3461F4AB"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lastRenderedPageBreak/>
              <w:t xml:space="preserve">The Secretary of Energy must determine, at the request of a party, the unviable wells in the Assignments and Contracts that can be reused as geothermal wells or for </w:t>
            </w:r>
            <w:r w:rsidRPr="00E3602D">
              <w:rPr>
                <w:rFonts w:ascii="Verdana" w:hAnsi="Verdana"/>
                <w:sz w:val="16"/>
                <w:szCs w:val="16"/>
                <w:lang w:val="en-US"/>
              </w:rPr>
              <w:lastRenderedPageBreak/>
              <w:t>the recovery of formation water containing concentrations of lithium or other elements, in accordance with applicable regulations.</w:t>
            </w:r>
          </w:p>
        </w:tc>
      </w:tr>
      <w:tr w:rsidR="003B20AD" w:rsidRPr="00475A0C" w14:paraId="36A940B7" w14:textId="723A926A" w:rsidTr="007B36AB">
        <w:tc>
          <w:tcPr>
            <w:tcW w:w="4675" w:type="dxa"/>
          </w:tcPr>
          <w:p w14:paraId="27C11E04"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lastRenderedPageBreak/>
              <w:t>En el Reglamento y los lineamientos se deben establecer las obligaciones para las personas Asignatarias, Contratistas e interesadas en desarrollar los proyectos de geotermia o de recuperación de litio u otros elementos, conforme a los procedimientos de abandono específicos para tales efectos.</w:t>
            </w:r>
          </w:p>
        </w:tc>
        <w:tc>
          <w:tcPr>
            <w:tcW w:w="4675" w:type="dxa"/>
          </w:tcPr>
          <w:p w14:paraId="4C0FEF08" w14:textId="70413010"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Regulation and the Guidelines must establish the obligations for the Assignees, Contractors, and interested parties in developing geothermal energy projects or the recovery of lithium or other elements, in accordance with the specific abandonment procedures for such purposes.</w:t>
            </w:r>
          </w:p>
        </w:tc>
      </w:tr>
      <w:tr w:rsidR="003B20AD" w:rsidRPr="00475A0C" w14:paraId="13755BA0" w14:textId="28379539" w:rsidTr="007B36AB">
        <w:tc>
          <w:tcPr>
            <w:tcW w:w="4675" w:type="dxa"/>
          </w:tcPr>
          <w:p w14:paraId="16248E57"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Artículo 65.-</w:t>
            </w:r>
            <w:r w:rsidRPr="00475A0C">
              <w:rPr>
                <w:rFonts w:ascii="Verdana" w:hAnsi="Verdana"/>
                <w:sz w:val="16"/>
                <w:szCs w:val="16"/>
              </w:rPr>
              <w:t xml:space="preserve"> Las actividades de Reconocimiento y Exploración Superficial de las áreas para investigar la posible existencia de Hidrocarburos, requieren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 autorización debe ajustarse a los plazos establecidos conforme a la regulación que para tal efecto emita la misma Secretaría de Energía. En caso de no emitirse una respuesta a la solicitud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dentro del plazo establecido en dicha regulación, ésta se entiende en sentido favorable.</w:t>
            </w:r>
          </w:p>
        </w:tc>
        <w:tc>
          <w:tcPr>
            <w:tcW w:w="4675" w:type="dxa"/>
          </w:tcPr>
          <w:p w14:paraId="77647E20" w14:textId="41D867FA"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Article 65. </w:t>
            </w:r>
            <w:r w:rsidRPr="00E3602D">
              <w:rPr>
                <w:rFonts w:ascii="Verdana" w:hAnsi="Verdana"/>
                <w:sz w:val="16"/>
                <w:szCs w:val="16"/>
                <w:lang w:val="en-US"/>
              </w:rPr>
              <w:t>Surface Reconnaissance and Exploration activities in areas to investigate the possible existence of hydrocarbons require authorization from the Secretary of Energy. The authorization must comply with the timeframes established in the regulations issued for this purpose by the Secretary of Energy. If the Secretary of Energy does not respond to the request within the timeframe established in said regulation, the response will be deemed favorable.</w:t>
            </w:r>
          </w:p>
        </w:tc>
      </w:tr>
      <w:tr w:rsidR="003B20AD" w:rsidRPr="00475A0C" w14:paraId="3C4F70E6" w14:textId="0F5D1322" w:rsidTr="007B36AB">
        <w:tc>
          <w:tcPr>
            <w:tcW w:w="4675" w:type="dxa"/>
          </w:tcPr>
          <w:p w14:paraId="1848CF8F"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 autorización y las actividades para el Reconocimiento y Exploración Superficial no otorgan derechos de Exploración, ni derechos preferenciales en relación con las Asignaciones o con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00B3CA5C" w14:textId="01F0A808"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authorization and activities for Surface Reconnaissance and Exploration do not grant Exploration rights, nor preferential rights in relation to the Assignments or the Contracts for exploration and extraction.</w:t>
            </w:r>
          </w:p>
        </w:tc>
      </w:tr>
      <w:tr w:rsidR="003B20AD" w:rsidRPr="00475A0C" w14:paraId="104A7DE9" w14:textId="1DBBC4EA" w:rsidTr="007B36AB">
        <w:tc>
          <w:tcPr>
            <w:tcW w:w="4675" w:type="dxa"/>
          </w:tcPr>
          <w:p w14:paraId="4EAAFA20"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 xml:space="preserve">Las personas Asignatarias y Contratistas no requieren autorización para el Reconocimiento y Exploración Superficial de las Áreas de Asignaciones y Áreas Contractuales de los que sean titulares; únicamente deben 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cumplir con los requerimientos de entrega de información y demás obligaciones que se establezcan en la regulación que emita la misma Secretaría de Energía. Lo anterior, sin menoscabo del cumplimiento de los requisitos que otras autoridades competentes señalen al efecto.</w:t>
            </w:r>
          </w:p>
        </w:tc>
        <w:tc>
          <w:tcPr>
            <w:tcW w:w="4675" w:type="dxa"/>
          </w:tcPr>
          <w:p w14:paraId="477DFFC0" w14:textId="53F34632"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Assignees and Contractors do not require authorization for surface reconnaissance and exploration of the Assignment Areas and Contract Areas of which they are holders; they must only notify the Secretary of Energy and comply with the information submission requirements and other obligations established in the regulation issued by the Secretary of Energy. This is without prejudice to compliance with the requirements established by other appropriate authorities for this purpose.</w:t>
            </w:r>
          </w:p>
        </w:tc>
      </w:tr>
      <w:tr w:rsidR="003B20AD" w:rsidRPr="00475A0C" w14:paraId="1AEFC6E8" w14:textId="03E259B2" w:rsidTr="007B36AB">
        <w:tc>
          <w:tcPr>
            <w:tcW w:w="4675" w:type="dxa"/>
          </w:tcPr>
          <w:p w14:paraId="14CD16C9"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Artículo 66.-</w:t>
            </w:r>
            <w:r w:rsidRPr="00475A0C">
              <w:rPr>
                <w:rFonts w:ascii="Verdana" w:hAnsi="Verdana"/>
                <w:sz w:val="16"/>
                <w:szCs w:val="16"/>
              </w:rPr>
              <w:t xml:space="preserve"> Las autorizaciones a que se refiere este Capítulo terminan por cualquiera de las causas que se establecen para la terminación de los permisos a que se refiere el artículo 87 de esta Ley, así como por la terminación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o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según sea el caso.</w:t>
            </w:r>
          </w:p>
        </w:tc>
        <w:tc>
          <w:tcPr>
            <w:tcW w:w="4675" w:type="dxa"/>
          </w:tcPr>
          <w:p w14:paraId="1D97AABA" w14:textId="1BBBF445"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Article 66.- </w:t>
            </w:r>
            <w:r w:rsidRPr="00E3602D">
              <w:rPr>
                <w:rFonts w:ascii="Verdana" w:hAnsi="Verdana"/>
                <w:sz w:val="16"/>
                <w:szCs w:val="16"/>
                <w:lang w:val="en-US"/>
              </w:rPr>
              <w:t>The authorizations referred to in this Chapter terminate for any of the reasons established for the termination of the permits referred to in Article 87 of this Law, as well as for the termination of the Contract for the exploration and extraction or of the Assignment, as the case may be.</w:t>
            </w:r>
          </w:p>
        </w:tc>
      </w:tr>
      <w:tr w:rsidR="003B20AD" w:rsidRPr="00475A0C" w14:paraId="6F991195" w14:textId="21E4591F" w:rsidTr="007B36AB">
        <w:tc>
          <w:tcPr>
            <w:tcW w:w="4675" w:type="dxa"/>
          </w:tcPr>
          <w:p w14:paraId="7BAE7A5C"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sz w:val="16"/>
                <w:szCs w:val="16"/>
              </w:rPr>
              <w:t>La terminación de la autorización no exime a su titular de las responsabilidades contraídas durante su vigencia, con el Gobierno Federal y con terceros.</w:t>
            </w:r>
          </w:p>
        </w:tc>
        <w:tc>
          <w:tcPr>
            <w:tcW w:w="4675" w:type="dxa"/>
          </w:tcPr>
          <w:p w14:paraId="503BBCCC" w14:textId="55BA1C3C" w:rsidR="003B20AD" w:rsidRPr="00E3602D" w:rsidRDefault="003B20AD" w:rsidP="003B20AD">
            <w:pPr>
              <w:pStyle w:val="Texto"/>
              <w:spacing w:line="234" w:lineRule="exact"/>
              <w:ind w:firstLine="0"/>
              <w:rPr>
                <w:rFonts w:ascii="Verdana" w:hAnsi="Verdana"/>
                <w:sz w:val="16"/>
                <w:szCs w:val="16"/>
                <w:lang w:val="en-US"/>
              </w:rPr>
            </w:pPr>
            <w:r w:rsidRPr="00E3602D">
              <w:rPr>
                <w:rFonts w:ascii="Verdana" w:hAnsi="Verdana"/>
                <w:sz w:val="16"/>
                <w:szCs w:val="16"/>
                <w:lang w:val="en-US"/>
              </w:rPr>
              <w:t>The termination of the authorization does not exempt its holder from any responsibilities incurred during its validity, either with the Federal Government or with third parties.</w:t>
            </w:r>
          </w:p>
        </w:tc>
      </w:tr>
      <w:tr w:rsidR="003B20AD" w:rsidRPr="00475A0C" w14:paraId="01F7D01A" w14:textId="2CC5410D" w:rsidTr="007B36AB">
        <w:tc>
          <w:tcPr>
            <w:tcW w:w="4675" w:type="dxa"/>
          </w:tcPr>
          <w:p w14:paraId="5E446C33"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Artículo 67.-</w:t>
            </w:r>
            <w:r w:rsidRPr="00475A0C">
              <w:rPr>
                <w:rFonts w:ascii="Verdana" w:hAnsi="Verdana"/>
                <w:sz w:val="16"/>
                <w:szCs w:val="16"/>
              </w:rPr>
              <w:t xml:space="preserve"> Las autorizaciones caducan si los sujetos de estas:</w:t>
            </w:r>
          </w:p>
        </w:tc>
        <w:tc>
          <w:tcPr>
            <w:tcW w:w="4675" w:type="dxa"/>
          </w:tcPr>
          <w:p w14:paraId="265D4A2B" w14:textId="346A4AA8"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Article 67.- </w:t>
            </w:r>
            <w:r w:rsidRPr="00E3602D">
              <w:rPr>
                <w:rFonts w:ascii="Verdana" w:hAnsi="Verdana"/>
                <w:sz w:val="16"/>
                <w:szCs w:val="16"/>
                <w:lang w:val="en-US"/>
              </w:rPr>
              <w:t>Authorizations expire if the subjects of them:</w:t>
            </w:r>
          </w:p>
        </w:tc>
      </w:tr>
      <w:tr w:rsidR="003B20AD" w:rsidRPr="00475A0C" w14:paraId="13D33AFA" w14:textId="6C418673" w:rsidTr="007B36AB">
        <w:tc>
          <w:tcPr>
            <w:tcW w:w="4675" w:type="dxa"/>
          </w:tcPr>
          <w:p w14:paraId="1AF71452"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No inician el ejercicio de los derechos conferidos en la autorización en un plazo de ciento ochenta días naturales, contados a partir de la fecha de su otorgamiento; salvo previa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por causa justificada, o</w:t>
            </w:r>
          </w:p>
        </w:tc>
        <w:tc>
          <w:tcPr>
            <w:tcW w:w="4675" w:type="dxa"/>
          </w:tcPr>
          <w:p w14:paraId="28CFEDA7" w14:textId="0C638C85"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They do not begin exercising the rights conferred in the authorization within a period of one hundred and eighty calendar days, counted from the date of its granting; except with prior authorization from the Secretary of Energy, for justified reasons, or</w:t>
            </w:r>
          </w:p>
        </w:tc>
      </w:tr>
      <w:tr w:rsidR="003B20AD" w:rsidRPr="00475A0C" w14:paraId="37F5B8BF" w14:textId="26E0F29A" w:rsidTr="007B36AB">
        <w:tc>
          <w:tcPr>
            <w:tcW w:w="4675" w:type="dxa"/>
          </w:tcPr>
          <w:p w14:paraId="298A413E" w14:textId="77777777" w:rsidR="003B20AD" w:rsidRPr="00475A0C" w:rsidRDefault="003B20AD" w:rsidP="003B20AD">
            <w:pPr>
              <w:pStyle w:val="Texto"/>
              <w:spacing w:line="234" w:lineRule="exact"/>
              <w:ind w:firstLine="0"/>
              <w:rPr>
                <w:rFonts w:ascii="Verdana" w:hAnsi="Verdana"/>
                <w:sz w:val="16"/>
                <w:szCs w:val="16"/>
              </w:rPr>
            </w:pPr>
            <w:r w:rsidRPr="00475A0C">
              <w:rPr>
                <w:rFonts w:ascii="Verdana" w:hAnsi="Verdana"/>
                <w:b/>
                <w:sz w:val="16"/>
                <w:szCs w:val="16"/>
              </w:rPr>
              <w:lastRenderedPageBreak/>
              <w:t>II.</w:t>
            </w:r>
            <w:r w:rsidRPr="00475A0C">
              <w:rPr>
                <w:rFonts w:ascii="Verdana" w:hAnsi="Verdana"/>
                <w:b/>
                <w:sz w:val="16"/>
                <w:szCs w:val="16"/>
              </w:rPr>
              <w:tab/>
            </w:r>
            <w:r w:rsidRPr="00475A0C">
              <w:rPr>
                <w:rFonts w:ascii="Verdana" w:hAnsi="Verdana"/>
                <w:sz w:val="16"/>
                <w:szCs w:val="16"/>
              </w:rPr>
              <w:t>Se ubican en los demás supuestos de caducidad previstos en la autorización respectiva.</w:t>
            </w:r>
          </w:p>
        </w:tc>
        <w:tc>
          <w:tcPr>
            <w:tcW w:w="4675" w:type="dxa"/>
          </w:tcPr>
          <w:p w14:paraId="1EC7CA00" w14:textId="41AE80FB" w:rsidR="003B20AD" w:rsidRPr="00E3602D" w:rsidRDefault="003B20AD" w:rsidP="003B20AD">
            <w:pPr>
              <w:pStyle w:val="Texto"/>
              <w:spacing w:line="234"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They are located in the other expiration cases provided for in the respective authorization.</w:t>
            </w:r>
          </w:p>
        </w:tc>
      </w:tr>
      <w:tr w:rsidR="003B20AD" w:rsidRPr="00475A0C" w14:paraId="414C7678" w14:textId="787AD54A" w:rsidTr="007B36AB">
        <w:tc>
          <w:tcPr>
            <w:tcW w:w="4675" w:type="dxa"/>
          </w:tcPr>
          <w:p w14:paraId="68BD4D54"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68.-</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revocar las autorizaciones por cualquiera de las causas siguientes:</w:t>
            </w:r>
          </w:p>
        </w:tc>
        <w:tc>
          <w:tcPr>
            <w:tcW w:w="4675" w:type="dxa"/>
          </w:tcPr>
          <w:p w14:paraId="1B556CC6" w14:textId="7FE74699"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Article 68.-</w:t>
            </w:r>
            <w:r w:rsidRPr="00E3602D">
              <w:rPr>
                <w:rFonts w:ascii="Verdana" w:hAnsi="Verdana"/>
                <w:sz w:val="16"/>
                <w:szCs w:val="16"/>
                <w:lang w:val="en-US"/>
              </w:rPr>
              <w:t xml:space="preserve"> The Secretary of Energy may revoke authorizations for any of the following reasons:</w:t>
            </w:r>
          </w:p>
        </w:tc>
      </w:tr>
      <w:tr w:rsidR="003B20AD" w:rsidRPr="00475A0C" w14:paraId="48A2D730" w14:textId="34C8756A" w:rsidTr="007B36AB">
        <w:tc>
          <w:tcPr>
            <w:tcW w:w="4675" w:type="dxa"/>
          </w:tcPr>
          <w:p w14:paraId="2D69A31A"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Que las personas Autorizadas no otorguen o no mantengan en vigor las garantías, seguros o cualquier otro instrumento financiero requerido conforme a la regulación aplicable;</w:t>
            </w:r>
          </w:p>
        </w:tc>
        <w:tc>
          <w:tcPr>
            <w:tcW w:w="4675" w:type="dxa"/>
          </w:tcPr>
          <w:p w14:paraId="094D29F2" w14:textId="382181BC"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Authorized persons do not grant or do not maintain in force the guarantees, insurance or any other financial instrument required in accordance with the applicable regulation;</w:t>
            </w:r>
          </w:p>
        </w:tc>
      </w:tr>
      <w:tr w:rsidR="003B20AD" w:rsidRPr="00475A0C" w14:paraId="16ED2891" w14:textId="42C2D1F9" w:rsidTr="007B36AB">
        <w:tc>
          <w:tcPr>
            <w:tcW w:w="4675" w:type="dxa"/>
          </w:tcPr>
          <w:p w14:paraId="2A2635DD"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Que las personas Autorizadas no cumplan con la regulación que 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así como con las condiciones establecidas en la autorización;</w:t>
            </w:r>
          </w:p>
        </w:tc>
        <w:tc>
          <w:tcPr>
            <w:tcW w:w="4675" w:type="dxa"/>
          </w:tcPr>
          <w:p w14:paraId="46FE0E88" w14:textId="41BE6DD7"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The Authorized persons do not comply with the regulation issued for this purpose by the Secretary of Energy, as well as with the conditions established in the authorization;</w:t>
            </w:r>
          </w:p>
        </w:tc>
      </w:tr>
      <w:tr w:rsidR="003B20AD" w:rsidRPr="00475A0C" w14:paraId="05599D2B" w14:textId="7D1A685C" w:rsidTr="007B36AB">
        <w:tc>
          <w:tcPr>
            <w:tcW w:w="4675" w:type="dxa"/>
          </w:tcPr>
          <w:p w14:paraId="233A0EE1"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Que las personas Autorizadas no realicen el pago de las contribuciones y aprovechamientos correspondientes por su otorgamiento o, en su caso, renovación, o</w:t>
            </w:r>
          </w:p>
        </w:tc>
        <w:tc>
          <w:tcPr>
            <w:tcW w:w="4675" w:type="dxa"/>
          </w:tcPr>
          <w:p w14:paraId="79227992" w14:textId="33532E01"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The Authorized persons do not make the payment of the corresponding taxes and benefits for their granting or, where appropriate, renewal, or</w:t>
            </w:r>
          </w:p>
        </w:tc>
      </w:tr>
      <w:tr w:rsidR="003B20AD" w:rsidRPr="00475A0C" w14:paraId="4521E546" w14:textId="765E3649" w:rsidTr="007B36AB">
        <w:tc>
          <w:tcPr>
            <w:tcW w:w="4675" w:type="dxa"/>
          </w:tcPr>
          <w:p w14:paraId="59EF1C6A"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Las demás previstas en la autorización respectiva.</w:t>
            </w:r>
          </w:p>
        </w:tc>
        <w:tc>
          <w:tcPr>
            <w:tcW w:w="4675" w:type="dxa"/>
          </w:tcPr>
          <w:p w14:paraId="17558F53" w14:textId="7B9B419A"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All others provided for in the respective authorization.</w:t>
            </w:r>
          </w:p>
        </w:tc>
      </w:tr>
      <w:tr w:rsidR="003B20AD" w:rsidRPr="00475A0C" w14:paraId="141DBA3D" w14:textId="797D78B9" w:rsidTr="007B36AB">
        <w:tc>
          <w:tcPr>
            <w:tcW w:w="4675" w:type="dxa"/>
          </w:tcPr>
          <w:p w14:paraId="4065954E" w14:textId="77777777" w:rsidR="003B20AD" w:rsidRPr="00475A0C" w:rsidRDefault="003B20AD" w:rsidP="003B20AD">
            <w:pPr>
              <w:pStyle w:val="Texto"/>
              <w:spacing w:after="96"/>
              <w:ind w:firstLine="0"/>
              <w:jc w:val="center"/>
              <w:rPr>
                <w:rFonts w:ascii="Verdana" w:hAnsi="Verdana"/>
                <w:b/>
                <w:sz w:val="16"/>
                <w:szCs w:val="16"/>
              </w:rPr>
            </w:pPr>
            <w:r w:rsidRPr="00475A0C">
              <w:rPr>
                <w:rFonts w:ascii="Verdana" w:hAnsi="Verdana"/>
                <w:b/>
                <w:sz w:val="16"/>
                <w:szCs w:val="16"/>
              </w:rPr>
              <w:t>Capítulo VII</w:t>
            </w:r>
          </w:p>
        </w:tc>
        <w:tc>
          <w:tcPr>
            <w:tcW w:w="4675" w:type="dxa"/>
          </w:tcPr>
          <w:p w14:paraId="5D8D4DE3" w14:textId="1ABE686B" w:rsidR="003B20AD" w:rsidRPr="00E3602D" w:rsidRDefault="003B20AD" w:rsidP="003B20AD">
            <w:pPr>
              <w:pStyle w:val="Texto"/>
              <w:spacing w:after="96"/>
              <w:ind w:firstLine="0"/>
              <w:jc w:val="center"/>
              <w:rPr>
                <w:rFonts w:ascii="Verdana" w:hAnsi="Verdana"/>
                <w:b/>
                <w:sz w:val="16"/>
                <w:szCs w:val="16"/>
                <w:lang w:val="en-US"/>
              </w:rPr>
            </w:pPr>
            <w:r w:rsidRPr="00E3602D">
              <w:rPr>
                <w:rFonts w:ascii="Verdana" w:hAnsi="Verdana"/>
                <w:b/>
                <w:sz w:val="16"/>
                <w:szCs w:val="16"/>
                <w:lang w:val="en-US"/>
              </w:rPr>
              <w:t>Chapter VII</w:t>
            </w:r>
          </w:p>
        </w:tc>
      </w:tr>
      <w:tr w:rsidR="003B20AD" w:rsidRPr="00475A0C" w14:paraId="355C503B" w14:textId="7C12211E" w:rsidTr="007B36AB">
        <w:tc>
          <w:tcPr>
            <w:tcW w:w="4675" w:type="dxa"/>
          </w:tcPr>
          <w:p w14:paraId="537E7506" w14:textId="77777777" w:rsidR="003B20AD" w:rsidRPr="00475A0C" w:rsidRDefault="003B20AD" w:rsidP="003B20AD">
            <w:pPr>
              <w:pStyle w:val="Texto"/>
              <w:spacing w:after="96"/>
              <w:ind w:firstLine="0"/>
              <w:jc w:val="center"/>
              <w:rPr>
                <w:rFonts w:ascii="Verdana" w:hAnsi="Verdana"/>
                <w:b/>
                <w:sz w:val="16"/>
                <w:szCs w:val="16"/>
              </w:rPr>
            </w:pPr>
            <w:r w:rsidRPr="00475A0C">
              <w:rPr>
                <w:rFonts w:ascii="Verdana" w:hAnsi="Verdana"/>
                <w:b/>
                <w:sz w:val="16"/>
                <w:szCs w:val="16"/>
              </w:rPr>
              <w:t>De la regulación y obligaciones</w:t>
            </w:r>
          </w:p>
        </w:tc>
        <w:tc>
          <w:tcPr>
            <w:tcW w:w="4675" w:type="dxa"/>
          </w:tcPr>
          <w:p w14:paraId="5E8D7A13" w14:textId="15B8A086" w:rsidR="003B20AD" w:rsidRPr="00E3602D" w:rsidRDefault="003B20AD" w:rsidP="003B20AD">
            <w:pPr>
              <w:pStyle w:val="Texto"/>
              <w:spacing w:after="96"/>
              <w:ind w:firstLine="0"/>
              <w:jc w:val="center"/>
              <w:rPr>
                <w:rFonts w:ascii="Verdana" w:hAnsi="Verdana"/>
                <w:b/>
                <w:sz w:val="16"/>
                <w:szCs w:val="16"/>
                <w:lang w:val="en-US"/>
              </w:rPr>
            </w:pPr>
            <w:r w:rsidRPr="00E3602D">
              <w:rPr>
                <w:rFonts w:ascii="Verdana" w:hAnsi="Verdana"/>
                <w:b/>
                <w:sz w:val="16"/>
                <w:szCs w:val="16"/>
                <w:lang w:val="en-US"/>
              </w:rPr>
              <w:t>Regulation and obligations</w:t>
            </w:r>
          </w:p>
        </w:tc>
      </w:tr>
      <w:tr w:rsidR="003B20AD" w:rsidRPr="00475A0C" w14:paraId="64D5429A" w14:textId="604682C8" w:rsidTr="007B36AB">
        <w:tc>
          <w:tcPr>
            <w:tcW w:w="4675" w:type="dxa"/>
          </w:tcPr>
          <w:p w14:paraId="317EB43C"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69.-</w:t>
            </w:r>
            <w:r w:rsidRPr="00475A0C">
              <w:rPr>
                <w:rFonts w:ascii="Verdana" w:hAnsi="Verdana"/>
                <w:sz w:val="16"/>
                <w:szCs w:val="16"/>
              </w:rPr>
              <w:t xml:space="preserve"> La persona Titular del Ejecutivo Federal, a propuesta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establecer Zonas de Salvaguarda en las áreas de reserva en las que el Estado determine prohibir las actividades de Exploración y Extracción de Hidrocarburos. La incorporación de áreas específicas a las Zonas de Salvaguarda y su desincorporación de estas debe realizarse por decreto presidencial, fundado en los dictámenes técnicos respectivos.</w:t>
            </w:r>
          </w:p>
        </w:tc>
        <w:tc>
          <w:tcPr>
            <w:tcW w:w="4675" w:type="dxa"/>
          </w:tcPr>
          <w:p w14:paraId="0C141EC8" w14:textId="4D272442"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Article 69.- </w:t>
            </w:r>
            <w:r w:rsidRPr="00E3602D">
              <w:rPr>
                <w:rFonts w:ascii="Verdana" w:hAnsi="Verdana"/>
                <w:sz w:val="16"/>
                <w:szCs w:val="16"/>
                <w:lang w:val="en-US"/>
              </w:rPr>
              <w:t>The Head of the Federal Executive Branch, at the request of the Secretary of Energy, may establish Safeguard Zones in reserve areas where the State determines to prohibit hydrocarbon exploration and extraction activities. The incorporation of specific areas into Safeguard Zones and their removal from them must be carried out by presidential decree, based on the respective technical opinions.</w:t>
            </w:r>
          </w:p>
        </w:tc>
      </w:tr>
      <w:tr w:rsidR="003B20AD" w:rsidRPr="00475A0C" w14:paraId="2B792EB0" w14:textId="21BE23A2" w:rsidTr="007B36AB">
        <w:tc>
          <w:tcPr>
            <w:tcW w:w="4675" w:type="dxa"/>
          </w:tcPr>
          <w:p w14:paraId="646901DC"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sz w:val="16"/>
                <w:szCs w:val="16"/>
              </w:rPr>
              <w:t xml:space="preserve">En las Áreas Naturales Protegidas no se otorgan Asignaciones ni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w:t>
            </w:r>
          </w:p>
        </w:tc>
        <w:tc>
          <w:tcPr>
            <w:tcW w:w="4675" w:type="dxa"/>
          </w:tcPr>
          <w:p w14:paraId="1669C14A" w14:textId="2831F1BF" w:rsidR="003B20AD" w:rsidRPr="00E3602D" w:rsidRDefault="003B20AD" w:rsidP="003B20AD">
            <w:pPr>
              <w:pStyle w:val="Texto"/>
              <w:spacing w:after="96"/>
              <w:ind w:firstLine="0"/>
              <w:rPr>
                <w:rFonts w:ascii="Verdana" w:hAnsi="Verdana"/>
                <w:sz w:val="16"/>
                <w:szCs w:val="16"/>
                <w:lang w:val="en-US"/>
              </w:rPr>
            </w:pPr>
            <w:r w:rsidRPr="00E3602D">
              <w:rPr>
                <w:rFonts w:ascii="Verdana" w:hAnsi="Verdana"/>
                <w:sz w:val="16"/>
                <w:szCs w:val="16"/>
                <w:lang w:val="en-US"/>
              </w:rPr>
              <w:t>In protected natural areas, no Assignments or Contracts are granted for the exploration and extraction of hydrocarbons.</w:t>
            </w:r>
          </w:p>
        </w:tc>
      </w:tr>
      <w:tr w:rsidR="003B20AD" w:rsidRPr="00475A0C" w14:paraId="33B6D117" w14:textId="2F820D95" w:rsidTr="007B36AB">
        <w:tc>
          <w:tcPr>
            <w:tcW w:w="4675" w:type="dxa"/>
          </w:tcPr>
          <w:p w14:paraId="6300E0A4"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Artículo 70.-</w:t>
            </w:r>
            <w:r w:rsidRPr="00475A0C">
              <w:rPr>
                <w:rFonts w:ascii="Verdana" w:hAnsi="Verdana"/>
                <w:sz w:val="16"/>
                <w:szCs w:val="16"/>
              </w:rPr>
              <w:t xml:space="preserve">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2B4FD19D" w14:textId="6FE83A81"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Article 70.- </w:t>
            </w:r>
            <w:r w:rsidRPr="00E3602D">
              <w:rPr>
                <w:rFonts w:ascii="Verdana" w:hAnsi="Verdana"/>
                <w:sz w:val="16"/>
                <w:szCs w:val="16"/>
                <w:lang w:val="en-US"/>
              </w:rPr>
              <w:t>The following is the responsibility of the Secretary of Energy:</w:t>
            </w:r>
          </w:p>
        </w:tc>
      </w:tr>
      <w:tr w:rsidR="003B20AD" w:rsidRPr="00475A0C" w14:paraId="5B531987" w14:textId="6DA134A7" w:rsidTr="007B36AB">
        <w:tc>
          <w:tcPr>
            <w:tcW w:w="4675" w:type="dxa"/>
          </w:tcPr>
          <w:p w14:paraId="07802D36"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Proponer a la persona Titular del Ejecutivo Federal, con base en los dictámenes técnicos, el establecimiento de las Zonas de Salvaguarda;</w:t>
            </w:r>
          </w:p>
        </w:tc>
        <w:tc>
          <w:tcPr>
            <w:tcW w:w="4675" w:type="dxa"/>
          </w:tcPr>
          <w:p w14:paraId="5C6DE300" w14:textId="65147D19"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Propose to the Head of the Federal Executive, based on technical opinions, the establishment of Safeguard Zones;</w:t>
            </w:r>
          </w:p>
        </w:tc>
      </w:tr>
      <w:tr w:rsidR="003B20AD" w:rsidRPr="00475A0C" w14:paraId="14E14923" w14:textId="0FDDF899" w:rsidTr="007B36AB">
        <w:tc>
          <w:tcPr>
            <w:tcW w:w="4675" w:type="dxa"/>
          </w:tcPr>
          <w:p w14:paraId="1E0730A1"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Instruir la unificación de campos o yacimientos de Extracción. Lo anterior para los yacimientos nacionales y, en términos de los tratados internacionales, para los transfronterizos.</w:t>
            </w:r>
          </w:p>
        </w:tc>
        <w:tc>
          <w:tcPr>
            <w:tcW w:w="4675" w:type="dxa"/>
          </w:tcPr>
          <w:p w14:paraId="5196D23C" w14:textId="5E101C38"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Instruct the unification of extraction fields or deposits. The above applies to national deposits and, in terms of international treaties, to cross-border deposits.</w:t>
            </w:r>
          </w:p>
        </w:tc>
      </w:tr>
      <w:tr w:rsidR="003B20AD" w:rsidRPr="00475A0C" w14:paraId="4B23CF43" w14:textId="3E38D506" w:rsidTr="007B36AB">
        <w:tc>
          <w:tcPr>
            <w:tcW w:w="4675" w:type="dxa"/>
          </w:tcPr>
          <w:p w14:paraId="21BF837B"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Las atribuciones a que se refieren las fracciones I y II anteriores, requieren de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w:t>
            </w:r>
          </w:p>
        </w:tc>
        <w:tc>
          <w:tcPr>
            <w:tcW w:w="4675" w:type="dxa"/>
          </w:tcPr>
          <w:p w14:paraId="255118EE" w14:textId="686D96B0" w:rsidR="003B20AD" w:rsidRPr="00E3602D" w:rsidRDefault="003B20AD" w:rsidP="003B20AD">
            <w:pPr>
              <w:pStyle w:val="Texto"/>
              <w:spacing w:after="96"/>
              <w:ind w:firstLine="0"/>
              <w:rPr>
                <w:rFonts w:ascii="Verdana" w:hAnsi="Verdana"/>
                <w:sz w:val="16"/>
                <w:szCs w:val="16"/>
                <w:lang w:val="en-US"/>
              </w:rPr>
            </w:pPr>
            <w:r w:rsidRPr="00E3602D">
              <w:rPr>
                <w:rFonts w:ascii="Verdana" w:hAnsi="Verdana"/>
                <w:sz w:val="16"/>
                <w:szCs w:val="16"/>
                <w:lang w:val="en-US"/>
              </w:rPr>
              <w:tab/>
              <w:t>The powers referred to in sections I and II above require the opinion of the Secretary of Treasury and Public Credit;</w:t>
            </w:r>
          </w:p>
        </w:tc>
      </w:tr>
      <w:tr w:rsidR="003B20AD" w:rsidRPr="00475A0C" w14:paraId="3A4F38D0" w14:textId="017BF2CE" w:rsidTr="007B36AB">
        <w:tc>
          <w:tcPr>
            <w:tcW w:w="4675" w:type="dxa"/>
          </w:tcPr>
          <w:p w14:paraId="37D3256B"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Cuantificar el potencial de Hidrocarburos del país, para lo que debe:</w:t>
            </w:r>
          </w:p>
        </w:tc>
        <w:tc>
          <w:tcPr>
            <w:tcW w:w="4675" w:type="dxa"/>
          </w:tcPr>
          <w:p w14:paraId="0B1E6AEF" w14:textId="3F707ACB"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Quantify the country's hydrocarbon potential, for which it must:</w:t>
            </w:r>
          </w:p>
        </w:tc>
      </w:tr>
      <w:tr w:rsidR="003B20AD" w:rsidRPr="00475A0C" w14:paraId="0CF62607" w14:textId="1964B646" w:rsidTr="007B36AB">
        <w:tc>
          <w:tcPr>
            <w:tcW w:w="4675" w:type="dxa"/>
          </w:tcPr>
          <w:p w14:paraId="0C434D38"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Realizar la estimación de los recursos prospectivos y contingentes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y</w:t>
            </w:r>
          </w:p>
        </w:tc>
        <w:tc>
          <w:tcPr>
            <w:tcW w:w="4675" w:type="dxa"/>
          </w:tcPr>
          <w:p w14:paraId="47B14CA8" w14:textId="75D853C3"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Make the estimate of prospective and contingent resources of the Nation, and</w:t>
            </w:r>
          </w:p>
        </w:tc>
      </w:tr>
      <w:tr w:rsidR="003B20AD" w:rsidRPr="00475A0C" w14:paraId="3BF7DAD1" w14:textId="488FA020" w:rsidTr="007B36AB">
        <w:tc>
          <w:tcPr>
            <w:tcW w:w="4675" w:type="dxa"/>
          </w:tcPr>
          <w:p w14:paraId="5A1D955C"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Consolidar anualmente la información nacional de Reservas que cuantifiquen las personas Asignatarias y Contratistas;</w:t>
            </w:r>
          </w:p>
        </w:tc>
        <w:tc>
          <w:tcPr>
            <w:tcW w:w="4675" w:type="dxa"/>
          </w:tcPr>
          <w:p w14:paraId="48FEB4E8" w14:textId="46331EE3"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Annually consolidate the national information on Reserves that quantify the Assignees and Contractors;</w:t>
            </w:r>
          </w:p>
        </w:tc>
      </w:tr>
      <w:tr w:rsidR="003B20AD" w:rsidRPr="00475A0C" w14:paraId="3D0A9D92" w14:textId="0810CEA0" w:rsidTr="007B36AB">
        <w:tc>
          <w:tcPr>
            <w:tcW w:w="4675" w:type="dxa"/>
          </w:tcPr>
          <w:p w14:paraId="2E924916"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lastRenderedPageBreak/>
              <w:t>IV.</w:t>
            </w:r>
            <w:r w:rsidRPr="00475A0C">
              <w:rPr>
                <w:rFonts w:ascii="Verdana" w:hAnsi="Verdana"/>
                <w:sz w:val="16"/>
                <w:szCs w:val="16"/>
              </w:rPr>
              <w:tab/>
              <w:t>El acopio, resguardo, uso, administración y actualización, así como la publicación de la información de las actividades reguladas para su integración en la plataforma de información electrónica;</w:t>
            </w:r>
          </w:p>
        </w:tc>
        <w:tc>
          <w:tcPr>
            <w:tcW w:w="4675" w:type="dxa"/>
          </w:tcPr>
          <w:p w14:paraId="07D3876D" w14:textId="3234C8A7"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The collection, storage, use, administration and updating, as well as the publication of information on regulated activities for integration into the electronic information platform;</w:t>
            </w:r>
          </w:p>
        </w:tc>
      </w:tr>
      <w:tr w:rsidR="003B20AD" w:rsidRPr="00475A0C" w14:paraId="028FB878" w14:textId="144117F4" w:rsidTr="007B36AB">
        <w:tc>
          <w:tcPr>
            <w:tcW w:w="4675" w:type="dxa"/>
          </w:tcPr>
          <w:p w14:paraId="5B4BB5F1"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 xml:space="preserve">Generar indicadores de referencia para evaluar la eficiencia de los proyectos de Exploración y Extracción de Hidrocarburos, considerando la experiencia internacional y los planes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de Hidrocarburos asociados a las Asignaciones y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20409D3F" w14:textId="4655F373"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Generate reference indicators to evaluate the efficiency of hydrocarbon exploration and extraction projects, considering international experience and the exploration and development plans for the extraction of hydrocarbons associated with the Assignments and Contracts for exploration and extraction;</w:t>
            </w:r>
          </w:p>
        </w:tc>
      </w:tr>
      <w:tr w:rsidR="003B20AD" w:rsidRPr="00475A0C" w14:paraId="68B09148" w14:textId="2F05F21E" w:rsidTr="007B36AB">
        <w:tc>
          <w:tcPr>
            <w:tcW w:w="4675" w:type="dxa"/>
          </w:tcPr>
          <w:p w14:paraId="5EA485DE"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 xml:space="preserve">Instruir a las Empresas Públicas del Estado, y sus empresas filiales que realicen las acciones necesarias para que sus actividades y operaciones sean garantes de la seguridad y la autosuficiencia energética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que no obstaculicen el desarrollo eficiente de los mercados, así como la política pública en materia energética, y</w:t>
            </w:r>
          </w:p>
        </w:tc>
        <w:tc>
          <w:tcPr>
            <w:tcW w:w="4675" w:type="dxa"/>
          </w:tcPr>
          <w:p w14:paraId="12263FF8" w14:textId="549589B1"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Instruct the Public State Companies and their subsidiaries to take the necessary actions so that their activities and operations guarantee energy security and self-sufficiency of the Nation and does not hinder the efficient development of markets, as well as public policy on energy matters, and</w:t>
            </w:r>
          </w:p>
        </w:tc>
      </w:tr>
      <w:tr w:rsidR="003B20AD" w:rsidRPr="00475A0C" w14:paraId="336D6401" w14:textId="78CF99C9" w:rsidTr="007B36AB">
        <w:tc>
          <w:tcPr>
            <w:tcW w:w="4675" w:type="dxa"/>
          </w:tcPr>
          <w:p w14:paraId="58C25CC2"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Emitir la regulación, en las materias de su competencia, entre la cual se debe considerar la relativa a las siguientes actividades:</w:t>
            </w:r>
          </w:p>
        </w:tc>
        <w:tc>
          <w:tcPr>
            <w:tcW w:w="4675" w:type="dxa"/>
          </w:tcPr>
          <w:p w14:paraId="4F4BB558" w14:textId="78072B6A"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Issue the regulation on matters within its jurisdiction, including those related to the following activities:</w:t>
            </w:r>
          </w:p>
        </w:tc>
      </w:tr>
      <w:tr w:rsidR="003B20AD" w:rsidRPr="00475A0C" w14:paraId="1D3A386B" w14:textId="4C74CF89" w:rsidTr="007B36AB">
        <w:tc>
          <w:tcPr>
            <w:tcW w:w="4675" w:type="dxa"/>
          </w:tcPr>
          <w:p w14:paraId="06A258ED"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Reconocimiento y Exploración Superficial, incluyendo los criterios de confidencialidad y el derecho al aprovechamiento comercial de la información que se obtenga derivada de las mismas;</w:t>
            </w:r>
          </w:p>
        </w:tc>
        <w:tc>
          <w:tcPr>
            <w:tcW w:w="4675" w:type="dxa"/>
          </w:tcPr>
          <w:p w14:paraId="384A9F2D" w14:textId="5BBFF2CB"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Surface recognition and exploration, including confidentiality criteria and the right to commercial use of the information obtained from them;</w:t>
            </w:r>
          </w:p>
        </w:tc>
      </w:tr>
      <w:tr w:rsidR="003B20AD" w:rsidRPr="00475A0C" w14:paraId="6FC53D63" w14:textId="51582F3D" w:rsidTr="007B36AB">
        <w:tc>
          <w:tcPr>
            <w:tcW w:w="4675" w:type="dxa"/>
          </w:tcPr>
          <w:p w14:paraId="5D931CD0" w14:textId="77777777" w:rsidR="003B20AD" w:rsidRPr="00475A0C" w:rsidRDefault="003B20AD" w:rsidP="003B20AD">
            <w:pPr>
              <w:pStyle w:val="Texto"/>
              <w:spacing w:after="9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El acopio, resguardo, uso, administración y actualización, así como, en su caso, la publicación de la información referida en el artículo 60 de esta Ley, por medio de la plataforma de información electrónica;</w:t>
            </w:r>
          </w:p>
        </w:tc>
        <w:tc>
          <w:tcPr>
            <w:tcW w:w="4675" w:type="dxa"/>
          </w:tcPr>
          <w:p w14:paraId="3F190516" w14:textId="3A8E21CA" w:rsidR="003B20AD" w:rsidRPr="00E3602D" w:rsidRDefault="003B20AD" w:rsidP="003B20AD">
            <w:pPr>
              <w:pStyle w:val="Texto"/>
              <w:spacing w:after="9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 collection, safekeeping, use, administration and updating, as well as, where appropriate, the publication of the information referred to in Article 60 of this Law, through the electronic information platform;</w:t>
            </w:r>
          </w:p>
        </w:tc>
      </w:tr>
      <w:tr w:rsidR="003B20AD" w:rsidRPr="00475A0C" w14:paraId="77FC9066" w14:textId="1D8CC05D" w:rsidTr="007B36AB">
        <w:tc>
          <w:tcPr>
            <w:tcW w:w="4675" w:type="dxa"/>
          </w:tcPr>
          <w:p w14:paraId="7CD0F965"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Exploración y Extracción de Hidrocarburos, incluyendo la elaboración de los respectivos planes para la evaluación técnica a que se refiere el artículo 72 de esta Ley, así como el abandono;</w:t>
            </w:r>
          </w:p>
        </w:tc>
        <w:tc>
          <w:tcPr>
            <w:tcW w:w="4675" w:type="dxa"/>
          </w:tcPr>
          <w:p w14:paraId="3BBC6C07" w14:textId="6AF6983D"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Exploration and extraction of hydrocarbons, including the preparation of the respective plans for the technical evaluation referred to in Article 72 of this Law, as well as abandonment;</w:t>
            </w:r>
          </w:p>
        </w:tc>
      </w:tr>
      <w:tr w:rsidR="003B20AD" w:rsidRPr="00475A0C" w14:paraId="40A8638E" w14:textId="24812BA2" w:rsidTr="007B36AB">
        <w:tc>
          <w:tcPr>
            <w:tcW w:w="4675" w:type="dxa"/>
          </w:tcPr>
          <w:p w14:paraId="2F3C8AD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smartTag w:uri="urn:schemas-microsoft-com:office:smarttags" w:element="PersonName">
              <w:smartTagPr>
                <w:attr w:name="ProductID" w:val="la Recolección"/>
              </w:smartTagPr>
              <w:r w:rsidRPr="00475A0C">
                <w:rPr>
                  <w:rFonts w:ascii="Verdana" w:hAnsi="Verdana"/>
                  <w:sz w:val="16"/>
                  <w:szCs w:val="16"/>
                </w:rPr>
                <w:t>La Recolección</w:t>
              </w:r>
            </w:smartTag>
            <w:r w:rsidRPr="00475A0C">
              <w:rPr>
                <w:rFonts w:ascii="Verdana" w:hAnsi="Verdana"/>
                <w:sz w:val="16"/>
                <w:szCs w:val="16"/>
              </w:rPr>
              <w:t xml:space="preserve"> de Hidrocarburos;</w:t>
            </w:r>
          </w:p>
        </w:tc>
        <w:tc>
          <w:tcPr>
            <w:tcW w:w="4675" w:type="dxa"/>
          </w:tcPr>
          <w:p w14:paraId="0A73BB93" w14:textId="0CAF115D"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 xml:space="preserve"> The collection of hydrocarbons;</w:t>
            </w:r>
          </w:p>
        </w:tc>
      </w:tr>
      <w:tr w:rsidR="003B20AD" w:rsidRPr="00475A0C" w14:paraId="78880CD8" w14:textId="0DB006E9" w:rsidTr="007B36AB">
        <w:tc>
          <w:tcPr>
            <w:tcW w:w="4675" w:type="dxa"/>
          </w:tcPr>
          <w:p w14:paraId="1700108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La perforación de pozos;</w:t>
            </w:r>
          </w:p>
        </w:tc>
        <w:tc>
          <w:tcPr>
            <w:tcW w:w="4675" w:type="dxa"/>
          </w:tcPr>
          <w:p w14:paraId="3505BFE8" w14:textId="15D75495"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bCs/>
                <w:sz w:val="16"/>
                <w:szCs w:val="16"/>
                <w:lang w:val="en-US"/>
              </w:rPr>
              <w:t>The d</w:t>
            </w:r>
            <w:r w:rsidRPr="00E3602D">
              <w:rPr>
                <w:rFonts w:ascii="Verdana" w:hAnsi="Verdana"/>
                <w:sz w:val="16"/>
                <w:szCs w:val="16"/>
                <w:lang w:val="en-US"/>
              </w:rPr>
              <w:t>rilling of wells;</w:t>
            </w:r>
          </w:p>
        </w:tc>
      </w:tr>
      <w:tr w:rsidR="003B20AD" w:rsidRPr="00475A0C" w14:paraId="3FCCF870" w14:textId="7EB85F27" w:rsidTr="007B36AB">
        <w:tc>
          <w:tcPr>
            <w:tcW w:w="4675" w:type="dxa"/>
          </w:tcPr>
          <w:p w14:paraId="1661C4F0"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La cuantificación de Reservas y los Recursos Prospectivos y Contingentes;</w:t>
            </w:r>
          </w:p>
        </w:tc>
        <w:tc>
          <w:tcPr>
            <w:tcW w:w="4675" w:type="dxa"/>
          </w:tcPr>
          <w:p w14:paraId="02274BF0" w14:textId="76EAF4BC"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The quantification of reserves and prospective and contingent resources;</w:t>
            </w:r>
          </w:p>
        </w:tc>
      </w:tr>
      <w:tr w:rsidR="003B20AD" w:rsidRPr="00475A0C" w14:paraId="4F872CBD" w14:textId="2A7F3395" w:rsidTr="007B36AB">
        <w:tc>
          <w:tcPr>
            <w:tcW w:w="4675" w:type="dxa"/>
          </w:tcPr>
          <w:p w14:paraId="3563C4F1"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g)</w:t>
            </w:r>
            <w:r w:rsidRPr="00475A0C">
              <w:rPr>
                <w:rFonts w:ascii="Verdana" w:hAnsi="Verdana"/>
                <w:b/>
                <w:sz w:val="16"/>
                <w:szCs w:val="16"/>
              </w:rPr>
              <w:tab/>
            </w:r>
            <w:r w:rsidRPr="00475A0C">
              <w:rPr>
                <w:rFonts w:ascii="Verdana" w:hAnsi="Verdana"/>
                <w:sz w:val="16"/>
                <w:szCs w:val="16"/>
              </w:rPr>
              <w:t xml:space="preserve">La certificación de Reservas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por parte de terceros independientes, así como el proceso de selección de los mismos;</w:t>
            </w:r>
          </w:p>
        </w:tc>
        <w:tc>
          <w:tcPr>
            <w:tcW w:w="4675" w:type="dxa"/>
          </w:tcPr>
          <w:p w14:paraId="6CEA9ABE" w14:textId="71296A31"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g) </w:t>
            </w:r>
            <w:r w:rsidRPr="00E3602D">
              <w:rPr>
                <w:rFonts w:ascii="Verdana" w:hAnsi="Verdana"/>
                <w:b/>
                <w:sz w:val="16"/>
                <w:szCs w:val="16"/>
                <w:lang w:val="en-US"/>
              </w:rPr>
              <w:tab/>
            </w:r>
            <w:r w:rsidRPr="00E3602D">
              <w:rPr>
                <w:rFonts w:ascii="Verdana" w:hAnsi="Verdana"/>
                <w:sz w:val="16"/>
                <w:szCs w:val="16"/>
                <w:lang w:val="en-US"/>
              </w:rPr>
              <w:t>The certification of reserves of the Nation on the part of independent third parties, as well as the selection process thereof;</w:t>
            </w:r>
          </w:p>
        </w:tc>
      </w:tr>
      <w:tr w:rsidR="003B20AD" w:rsidRPr="00475A0C" w14:paraId="268DE46C" w14:textId="1A36DD8E" w:rsidTr="007B36AB">
        <w:tc>
          <w:tcPr>
            <w:tcW w:w="4675" w:type="dxa"/>
          </w:tcPr>
          <w:p w14:paraId="0FCC2AAD"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h)</w:t>
            </w:r>
            <w:r w:rsidRPr="00475A0C">
              <w:rPr>
                <w:rFonts w:ascii="Verdana" w:hAnsi="Verdana"/>
                <w:b/>
                <w:sz w:val="16"/>
                <w:szCs w:val="16"/>
              </w:rPr>
              <w:tab/>
            </w:r>
            <w:r w:rsidRPr="00475A0C">
              <w:rPr>
                <w:rFonts w:ascii="Verdana" w:hAnsi="Verdana"/>
                <w:sz w:val="16"/>
                <w:szCs w:val="16"/>
              </w:rPr>
              <w:t>La medición de la producción de Hidrocarburos, considerando, al menos, la instalación y verificación de los sistemas de medición de acuerdo con estándares internacionales y que los mismos sean auditables por terceros con reconocida experiencia internacional;</w:t>
            </w:r>
          </w:p>
        </w:tc>
        <w:tc>
          <w:tcPr>
            <w:tcW w:w="4675" w:type="dxa"/>
          </w:tcPr>
          <w:p w14:paraId="45DE41E4" w14:textId="026FA96F"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h) </w:t>
            </w:r>
            <w:r w:rsidRPr="00E3602D">
              <w:rPr>
                <w:rFonts w:ascii="Verdana" w:hAnsi="Verdana"/>
                <w:b/>
                <w:sz w:val="16"/>
                <w:szCs w:val="16"/>
                <w:lang w:val="en-US"/>
              </w:rPr>
              <w:tab/>
            </w:r>
            <w:r w:rsidRPr="00E3602D">
              <w:rPr>
                <w:rFonts w:ascii="Verdana" w:hAnsi="Verdana"/>
                <w:sz w:val="16"/>
                <w:szCs w:val="16"/>
                <w:lang w:val="en-US"/>
              </w:rPr>
              <w:t>The measurement of hydrocarbon production, considering, at least, the installation and verification of measurement systems in accordance with international standards and that they are auditable by third parties with recognized international experience;</w:t>
            </w:r>
          </w:p>
        </w:tc>
      </w:tr>
      <w:tr w:rsidR="003B20AD" w:rsidRPr="00475A0C" w14:paraId="65F31BFA" w14:textId="523BFA08" w:rsidTr="007B36AB">
        <w:tc>
          <w:tcPr>
            <w:tcW w:w="4675" w:type="dxa"/>
          </w:tcPr>
          <w:p w14:paraId="2C80D83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El aprovechamiento del Gas Natural Asociado;</w:t>
            </w:r>
          </w:p>
        </w:tc>
        <w:tc>
          <w:tcPr>
            <w:tcW w:w="4675" w:type="dxa"/>
          </w:tcPr>
          <w:p w14:paraId="61F3EA0F" w14:textId="663879A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The use of associated natural gas;</w:t>
            </w:r>
          </w:p>
        </w:tc>
      </w:tr>
      <w:tr w:rsidR="003B20AD" w:rsidRPr="00475A0C" w14:paraId="25B107CB" w14:textId="43661BF3" w:rsidTr="007B36AB">
        <w:tc>
          <w:tcPr>
            <w:tcW w:w="4675" w:type="dxa"/>
          </w:tcPr>
          <w:p w14:paraId="3A8544E6"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j)</w:t>
            </w:r>
            <w:r w:rsidRPr="00475A0C">
              <w:rPr>
                <w:rFonts w:ascii="Verdana" w:hAnsi="Verdana"/>
                <w:b/>
                <w:sz w:val="16"/>
                <w:szCs w:val="16"/>
              </w:rPr>
              <w:tab/>
            </w:r>
            <w:r w:rsidRPr="00475A0C">
              <w:rPr>
                <w:rFonts w:ascii="Verdana" w:hAnsi="Verdana"/>
                <w:sz w:val="16"/>
                <w:szCs w:val="16"/>
              </w:rPr>
              <w:t>Los estándares técnicos y operativos para maximizar el factor de recuperación de Hidrocarburos, y</w:t>
            </w:r>
          </w:p>
        </w:tc>
        <w:tc>
          <w:tcPr>
            <w:tcW w:w="4675" w:type="dxa"/>
          </w:tcPr>
          <w:p w14:paraId="3F4B0A5A" w14:textId="42210248"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j) </w:t>
            </w:r>
            <w:r w:rsidRPr="00E3602D">
              <w:rPr>
                <w:rFonts w:ascii="Verdana" w:hAnsi="Verdana"/>
                <w:b/>
                <w:sz w:val="16"/>
                <w:szCs w:val="16"/>
                <w:lang w:val="en-US"/>
              </w:rPr>
              <w:tab/>
            </w:r>
            <w:r w:rsidRPr="00E3602D">
              <w:rPr>
                <w:rFonts w:ascii="Verdana" w:hAnsi="Verdana"/>
                <w:sz w:val="16"/>
                <w:szCs w:val="16"/>
                <w:lang w:val="en-US"/>
              </w:rPr>
              <w:t>The technical and operational standards to maximize the hydrocarbon recovery factor, and</w:t>
            </w:r>
          </w:p>
        </w:tc>
      </w:tr>
      <w:tr w:rsidR="003B20AD" w:rsidRPr="00475A0C" w14:paraId="66F596AC" w14:textId="616D6376" w:rsidTr="007B36AB">
        <w:tc>
          <w:tcPr>
            <w:tcW w:w="4675" w:type="dxa"/>
          </w:tcPr>
          <w:p w14:paraId="1384C13A"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lastRenderedPageBreak/>
              <w:t>k)</w:t>
            </w:r>
            <w:r w:rsidRPr="00475A0C">
              <w:rPr>
                <w:rFonts w:ascii="Verdana" w:hAnsi="Verdana"/>
                <w:b/>
                <w:sz w:val="16"/>
                <w:szCs w:val="16"/>
              </w:rPr>
              <w:tab/>
            </w:r>
            <w:r w:rsidRPr="00475A0C">
              <w:rPr>
                <w:rFonts w:ascii="Verdana" w:hAnsi="Verdana"/>
                <w:sz w:val="16"/>
                <w:szCs w:val="16"/>
              </w:rPr>
              <w:t>Los requerimientos de información a los sujetos obligados, así como los lineamientos de transferencia, recepción, uso y publicación de la información recibida.</w:t>
            </w:r>
          </w:p>
        </w:tc>
        <w:tc>
          <w:tcPr>
            <w:tcW w:w="4675" w:type="dxa"/>
          </w:tcPr>
          <w:p w14:paraId="3C8D8E05" w14:textId="076161F8"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k) </w:t>
            </w:r>
            <w:r w:rsidRPr="00E3602D">
              <w:rPr>
                <w:rFonts w:ascii="Verdana" w:hAnsi="Verdana"/>
                <w:b/>
                <w:sz w:val="16"/>
                <w:szCs w:val="16"/>
                <w:lang w:val="en-US"/>
              </w:rPr>
              <w:tab/>
            </w:r>
            <w:r w:rsidRPr="00E3602D">
              <w:rPr>
                <w:rFonts w:ascii="Verdana" w:hAnsi="Verdana"/>
                <w:sz w:val="16"/>
                <w:szCs w:val="16"/>
                <w:lang w:val="en-US"/>
              </w:rPr>
              <w:t>Information requests from obligated subjects, as well as guidelines for transfer, reception, use and publication of the information received.</w:t>
            </w:r>
          </w:p>
        </w:tc>
      </w:tr>
      <w:tr w:rsidR="003B20AD" w:rsidRPr="00475A0C" w14:paraId="4A4044F6" w14:textId="44D4F8DD" w:rsidTr="007B36AB">
        <w:tc>
          <w:tcPr>
            <w:tcW w:w="4675" w:type="dxa"/>
          </w:tcPr>
          <w:p w14:paraId="76A2450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La regulación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ser publicada en el Diario Oficial de la Federación.</w:t>
            </w:r>
          </w:p>
        </w:tc>
        <w:tc>
          <w:tcPr>
            <w:tcW w:w="4675" w:type="dxa"/>
          </w:tcPr>
          <w:p w14:paraId="395C1405" w14:textId="591BA002"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regulation issued by the Secretary of Energy must be published in the Official Daily of the Federation. (DOF)</w:t>
            </w:r>
          </w:p>
        </w:tc>
      </w:tr>
      <w:tr w:rsidR="003B20AD" w:rsidRPr="00475A0C" w14:paraId="5A9283EC" w14:textId="5772D6C5" w:rsidTr="007B36AB">
        <w:tc>
          <w:tcPr>
            <w:tcW w:w="4675" w:type="dxa"/>
          </w:tcPr>
          <w:p w14:paraId="1EA27C9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Como parte de la regulación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instruir la adopción y observancia de estándares técnicos internacionales.</w:t>
            </w:r>
          </w:p>
        </w:tc>
        <w:tc>
          <w:tcPr>
            <w:tcW w:w="4675" w:type="dxa"/>
          </w:tcPr>
          <w:p w14:paraId="6BA61802" w14:textId="7D25673F"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As part of the regulations it issues, the Secretary of Energy may mandate the adoption and observance of international technical standards.</w:t>
            </w:r>
          </w:p>
        </w:tc>
      </w:tr>
      <w:tr w:rsidR="003B20AD" w:rsidRPr="00475A0C" w14:paraId="28F26AAE" w14:textId="66AC3FC6" w:rsidTr="007B36AB">
        <w:tc>
          <w:tcPr>
            <w:tcW w:w="4675" w:type="dxa"/>
          </w:tcPr>
          <w:p w14:paraId="41DBD11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En los casos que así se requiera, debe expedir Normas Oficiales Mexicanas y supervisar, verificar y evaluar la conformidad de las mismas y aprobar a las personas acreditadas para su evaluación.</w:t>
            </w:r>
          </w:p>
        </w:tc>
        <w:tc>
          <w:tcPr>
            <w:tcW w:w="4675" w:type="dxa"/>
          </w:tcPr>
          <w:p w14:paraId="791769F7" w14:textId="1FB75F91"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In cases where required, it must issue Official Mexican Standards and supervise, verify, and evaluate their compliance, as well as approve the persons accredited for their evaluation.</w:t>
            </w:r>
          </w:p>
        </w:tc>
      </w:tr>
      <w:tr w:rsidR="003B20AD" w:rsidRPr="00475A0C" w14:paraId="7026C35D" w14:textId="48A5F26F" w:rsidTr="007B36AB">
        <w:tc>
          <w:tcPr>
            <w:tcW w:w="4675" w:type="dxa"/>
          </w:tcPr>
          <w:p w14:paraId="76F35592"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La Secretaría de Energía debe ejercer sus funciones, procurando elevar el factor de recuperación y la obtención del volumen máximo de Petróleo y de Gas Natural en el largo plazo y considerando la viabilidad económica de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en el Área de Asignación o del Área Contractual, así como su sustentabilidad.</w:t>
            </w:r>
          </w:p>
        </w:tc>
        <w:tc>
          <w:tcPr>
            <w:tcW w:w="4675" w:type="dxa"/>
          </w:tcPr>
          <w:p w14:paraId="21526438" w14:textId="7583E13E"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Secretary of Energy must exercise its functions, seeking to increase the recovery factor and obtain the maximum volume of petroleum and natural gas in the long term and considering the economic viability of the exploration and extraction of hydrocarbons in the assigned area or the contractual area, as well as its sustainability.</w:t>
            </w:r>
          </w:p>
        </w:tc>
      </w:tr>
      <w:tr w:rsidR="003B20AD" w:rsidRPr="00475A0C" w14:paraId="1A12C9BB" w14:textId="3377E539" w:rsidTr="007B36AB">
        <w:tc>
          <w:tcPr>
            <w:tcW w:w="4675" w:type="dxa"/>
          </w:tcPr>
          <w:p w14:paraId="1A21B46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71.-</w:t>
            </w:r>
            <w:r w:rsidRPr="00475A0C">
              <w:rPr>
                <w:rFonts w:ascii="Verdana" w:hAnsi="Verdana"/>
                <w:sz w:val="16"/>
                <w:szCs w:val="16"/>
              </w:rPr>
              <w:t xml:space="preserve"> En caso de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determine la existencia de un yacimiento compartido,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debe establecer las condiciones económicas relativas a los términos fiscales que correspondan, según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19A19D44" w14:textId="22EF7549"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71.- </w:t>
            </w:r>
            <w:r w:rsidRPr="00E3602D">
              <w:rPr>
                <w:rFonts w:ascii="Verdana" w:hAnsi="Verdana"/>
                <w:sz w:val="16"/>
                <w:szCs w:val="16"/>
                <w:lang w:val="en-US"/>
              </w:rPr>
              <w:t xml:space="preserve">In the event that the Secretary of Energy determines the existence of a shared deposit, the Secretary of the Treasury and Public Credit must establish the economic conditions related to the corresponding fiscal terms, as provided in </w:t>
            </w:r>
            <w:r w:rsidRPr="00E3602D">
              <w:rPr>
                <w:rFonts w:ascii="Verdana" w:hAnsi="Verdana"/>
                <w:sz w:val="16"/>
                <w:szCs w:val="16"/>
                <w:lang w:val="en-US"/>
              </w:rPr>
              <w:t>Law of Revenue from Hydrocarbons</w:t>
            </w:r>
            <w:r w:rsidRPr="00E3602D">
              <w:rPr>
                <w:rFonts w:ascii="Verdana" w:hAnsi="Verdana"/>
                <w:sz w:val="16"/>
                <w:szCs w:val="16"/>
                <w:lang w:val="en-US"/>
              </w:rPr>
              <w:t>.</w:t>
            </w:r>
          </w:p>
        </w:tc>
      </w:tr>
      <w:tr w:rsidR="003B20AD" w:rsidRPr="00475A0C" w14:paraId="572B7E25" w14:textId="3942CC38" w:rsidTr="007B36AB">
        <w:tc>
          <w:tcPr>
            <w:tcW w:w="4675" w:type="dxa"/>
          </w:tcPr>
          <w:p w14:paraId="5DD1DD81"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72.-</w:t>
            </w:r>
            <w:r w:rsidRPr="00475A0C">
              <w:rPr>
                <w:rFonts w:ascii="Verdana" w:hAnsi="Verdana"/>
                <w:sz w:val="16"/>
                <w:szCs w:val="16"/>
              </w:rPr>
              <w:t xml:space="preserve"> Las personas Asignatarias y Contratistas, previo a ejecutar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deben contar con la aprobación de los mismos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52A16113" w14:textId="7A44BAF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72.- </w:t>
            </w:r>
            <w:r w:rsidRPr="00E3602D">
              <w:rPr>
                <w:rFonts w:ascii="Verdana" w:hAnsi="Verdana"/>
                <w:sz w:val="16"/>
                <w:szCs w:val="16"/>
                <w:lang w:val="en-US"/>
              </w:rPr>
              <w:t>The Assignees and Contractors, prior to executing the exploration plan or the development plan for the extraction, must have the approval of the same by the Secretary of Energy.</w:t>
            </w:r>
          </w:p>
        </w:tc>
      </w:tr>
      <w:tr w:rsidR="003B20AD" w:rsidRPr="00475A0C" w14:paraId="3D48FFCD" w14:textId="39F2892C" w:rsidTr="007B36AB">
        <w:tc>
          <w:tcPr>
            <w:tcW w:w="4675" w:type="dxa"/>
          </w:tcPr>
          <w:p w14:paraId="3A933AF1"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Para estos efectos, se deben evaluar los siguientes aspectos:</w:t>
            </w:r>
          </w:p>
        </w:tc>
        <w:tc>
          <w:tcPr>
            <w:tcW w:w="4675" w:type="dxa"/>
          </w:tcPr>
          <w:p w14:paraId="28853E05" w14:textId="64F9B173"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For these purposes, the following aspects must be evaluated:</w:t>
            </w:r>
          </w:p>
        </w:tc>
      </w:tr>
      <w:tr w:rsidR="003B20AD" w:rsidRPr="00475A0C" w14:paraId="3282CE63" w14:textId="04233931" w:rsidTr="007B36AB">
        <w:tc>
          <w:tcPr>
            <w:tcW w:w="4675" w:type="dxa"/>
          </w:tcPr>
          <w:p w14:paraId="348A238E"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 xml:space="preserve">En relación con el plan de Exploración: la observancia de las mejores prácticas a nivel internacional para la evaluación del potencial de Hidrocarburos, la incorporación de Reservas y la delimitación del área sujeta 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al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5655B962" w14:textId="624B30A8"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With regard to the exploration plan: the observance of the best international practices for the evaluation of hydrocarbon potential, the incorporation of reserves and the delimitation of the area subject to the Assignment or the Contract for exploration and extraction;</w:t>
            </w:r>
          </w:p>
        </w:tc>
      </w:tr>
      <w:tr w:rsidR="003B20AD" w:rsidRPr="00475A0C" w14:paraId="79D0861B" w14:textId="2329A256" w:rsidTr="007B36AB">
        <w:tc>
          <w:tcPr>
            <w:tcW w:w="4675" w:type="dxa"/>
          </w:tcPr>
          <w:p w14:paraId="5F34709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 xml:space="preserve">En relación con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la tecnología y el plan de producción que permitan maximizar el factor de recuperación, en condiciones económicamente viables; el programa de aprovechamiento del Gas Natural y los mecanismos de medición de la producción de Hidrocarburos, y</w:t>
            </w:r>
          </w:p>
        </w:tc>
        <w:tc>
          <w:tcPr>
            <w:tcW w:w="4675" w:type="dxa"/>
          </w:tcPr>
          <w:p w14:paraId="0F4573B8" w14:textId="469713FF"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Regarding the development plan for the extraction: the technology and production plan that will maximize the recovery factor under economically viable conditions; the natural gas exploitation program and the hydrocarbon production measurement mechanisms; and</w:t>
            </w:r>
          </w:p>
        </w:tc>
      </w:tr>
      <w:tr w:rsidR="003B20AD" w:rsidRPr="00475A0C" w14:paraId="062A1F65" w14:textId="6E2CB761" w:rsidTr="007B36AB">
        <w:tc>
          <w:tcPr>
            <w:tcW w:w="4675" w:type="dxa"/>
          </w:tcPr>
          <w:p w14:paraId="4FB5A28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Lo relativo a los programas de capacitación y transferencia de tecnología a que se refieren las fracciones III y V del artículo 74 de esta Ley.</w:t>
            </w:r>
          </w:p>
        </w:tc>
        <w:tc>
          <w:tcPr>
            <w:tcW w:w="4675" w:type="dxa"/>
          </w:tcPr>
          <w:p w14:paraId="4483E38C" w14:textId="5D76E6B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Matters relating to the training and technology transfer programs referred to in sections III and V of article 74 of this Law.</w:t>
            </w:r>
          </w:p>
        </w:tc>
      </w:tr>
      <w:tr w:rsidR="003B20AD" w:rsidRPr="00475A0C" w14:paraId="26C3F9FA" w14:textId="1D7F10CC" w:rsidTr="007B36AB">
        <w:tc>
          <w:tcPr>
            <w:tcW w:w="4675" w:type="dxa"/>
          </w:tcPr>
          <w:p w14:paraId="19031832"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La Secretaría de Energía tiene la obligación de emitir aprobación en un plazo que no exceda de ciento veinte </w:t>
            </w:r>
            <w:r w:rsidRPr="00475A0C">
              <w:rPr>
                <w:rFonts w:ascii="Verdana" w:hAnsi="Verdana"/>
                <w:sz w:val="16"/>
                <w:szCs w:val="16"/>
              </w:rPr>
              <w:lastRenderedPageBreak/>
              <w:t>días naturales a partir de que reciba la información necesaria.</w:t>
            </w:r>
          </w:p>
        </w:tc>
        <w:tc>
          <w:tcPr>
            <w:tcW w:w="4675" w:type="dxa"/>
          </w:tcPr>
          <w:p w14:paraId="2EB412F7" w14:textId="1902A1AD"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lastRenderedPageBreak/>
              <w:t xml:space="preserve">The Secretary of Energy is required to issue approval within a period not exceeding one hundred and twenty </w:t>
            </w:r>
            <w:r w:rsidRPr="00E3602D">
              <w:rPr>
                <w:rFonts w:ascii="Verdana" w:hAnsi="Verdana"/>
                <w:sz w:val="16"/>
                <w:szCs w:val="16"/>
                <w:lang w:val="en-US"/>
              </w:rPr>
              <w:lastRenderedPageBreak/>
              <w:t>calendar days from the date it receives the necessary information.</w:t>
            </w:r>
          </w:p>
        </w:tc>
      </w:tr>
      <w:tr w:rsidR="003B20AD" w:rsidRPr="00475A0C" w14:paraId="56773ECE" w14:textId="0E32DCDF" w:rsidTr="007B36AB">
        <w:tc>
          <w:tcPr>
            <w:tcW w:w="4675" w:type="dxa"/>
          </w:tcPr>
          <w:p w14:paraId="4759AE0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lastRenderedPageBreak/>
              <w:t xml:space="preserve">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aprobar cualquier modificación al plan de Exploración o al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para lo cual debe emitir su aprobación en un plazo no mayor a sesenta días naturales a partir de que reciba la información necesaria.</w:t>
            </w:r>
          </w:p>
        </w:tc>
        <w:tc>
          <w:tcPr>
            <w:tcW w:w="4675" w:type="dxa"/>
          </w:tcPr>
          <w:p w14:paraId="5050047E" w14:textId="7813BB1C"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It is the responsibility of the Secretary of Energy to approve any modification to the Exploration Plan or the Development Plan for the extraction, for which it must issue its approval within a period of no more than sixty calendar days from the date it receives the necessary information.</w:t>
            </w:r>
          </w:p>
        </w:tc>
      </w:tr>
      <w:tr w:rsidR="003B20AD" w:rsidRPr="00475A0C" w14:paraId="24BE7008" w14:textId="691D07D1" w:rsidTr="007B36AB">
        <w:tc>
          <w:tcPr>
            <w:tcW w:w="4675" w:type="dxa"/>
          </w:tcPr>
          <w:p w14:paraId="37B13802"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73.-</w:t>
            </w:r>
            <w:r w:rsidRPr="00475A0C">
              <w:rPr>
                <w:rFonts w:ascii="Verdana" w:hAnsi="Verdana"/>
                <w:sz w:val="16"/>
                <w:szCs w:val="16"/>
              </w:rPr>
              <w:t xml:space="preserve"> Las personas Asignatarias y Contratistas tienen derecho a reportar, para efectos contables y financieros,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así como los beneficios esperados del mismo, siempre que se establezca de manera expresa en dicha Asignación o Contrato que los Hidrocarburos en el Subsuelo son propiedad del Estado Mexicano.</w:t>
            </w:r>
          </w:p>
        </w:tc>
        <w:tc>
          <w:tcPr>
            <w:tcW w:w="4675" w:type="dxa"/>
          </w:tcPr>
          <w:p w14:paraId="19C1DC3B" w14:textId="276E3E3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73.- </w:t>
            </w:r>
            <w:r w:rsidRPr="00E3602D">
              <w:rPr>
                <w:rFonts w:ascii="Verdana" w:hAnsi="Verdana"/>
                <w:sz w:val="16"/>
                <w:szCs w:val="16"/>
                <w:lang w:val="en-US"/>
              </w:rPr>
              <w:t>The Assignees and Contractors have the right to report, for accounting and financial purposes, the Assignment or the Contract for exploration and extraction, as well as the expected benefits thereof, provided that it is expressly established in said Assignment or Contract that the hydrocarbons in the subsoil are property of the Mexican State.</w:t>
            </w:r>
          </w:p>
        </w:tc>
      </w:tr>
      <w:tr w:rsidR="003B20AD" w:rsidRPr="00475A0C" w14:paraId="04A9BAF0" w14:textId="725792CF" w:rsidTr="007B36AB">
        <w:tc>
          <w:tcPr>
            <w:tcW w:w="4675" w:type="dxa"/>
          </w:tcPr>
          <w:p w14:paraId="38DCAB70"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74.-</w:t>
            </w:r>
            <w:r w:rsidRPr="00475A0C">
              <w:rPr>
                <w:rFonts w:ascii="Verdana" w:hAnsi="Verdana"/>
                <w:sz w:val="16"/>
                <w:szCs w:val="16"/>
              </w:rPr>
              <w:t xml:space="preserve"> El conjunto de actividades de Exploración y Extracción de Hidrocarburos que se realicen en territorio nacional a través de Asignaciones y Contratos de Exploración y Extracción debe alcanzar, en promedio, al menos treinta y cinco por ciento de contenido nacional.</w:t>
            </w:r>
          </w:p>
        </w:tc>
        <w:tc>
          <w:tcPr>
            <w:tcW w:w="4675" w:type="dxa"/>
          </w:tcPr>
          <w:p w14:paraId="24A80537" w14:textId="4C998EC8"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74.- </w:t>
            </w:r>
            <w:r w:rsidRPr="00E3602D">
              <w:rPr>
                <w:rFonts w:ascii="Verdana" w:hAnsi="Verdana"/>
                <w:sz w:val="16"/>
                <w:szCs w:val="16"/>
                <w:lang w:val="en-US"/>
              </w:rPr>
              <w:t>The set of activities of hydrocarbon exploration and extraction carried out in national territory through the exploration and extraction Assignments and Contracts must reach, on average, at least thirty-five percent of national content.</w:t>
            </w:r>
          </w:p>
        </w:tc>
      </w:tr>
      <w:tr w:rsidR="003B20AD" w:rsidRPr="00475A0C" w14:paraId="7182C47D" w14:textId="0D1ECEEE" w:rsidTr="007B36AB">
        <w:tc>
          <w:tcPr>
            <w:tcW w:w="4675" w:type="dxa"/>
          </w:tcPr>
          <w:p w14:paraId="7E75351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Dicha meta excluye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en aguas profundas y ultra profundas.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con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una meta de contenido nacional acorde con las características de dichas actividades.</w:t>
            </w:r>
          </w:p>
        </w:tc>
        <w:tc>
          <w:tcPr>
            <w:tcW w:w="4675" w:type="dxa"/>
          </w:tcPr>
          <w:p w14:paraId="71F538CE" w14:textId="420B5536"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This target excludes the exploration and of hydrocarbons in deep and ultra-deep waters. The Secretary of Economy, in agreement with the Secretary of Energy, should establish a target for local content consistent with the characteristics of these activities.</w:t>
            </w:r>
          </w:p>
        </w:tc>
      </w:tr>
      <w:tr w:rsidR="003B20AD" w:rsidRPr="00475A0C" w14:paraId="10E17664" w14:textId="05BDFC58" w:rsidTr="007B36AB">
        <w:tc>
          <w:tcPr>
            <w:tcW w:w="4675" w:type="dxa"/>
          </w:tcPr>
          <w:p w14:paraId="40B8E97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Las personas Asignatarias y Contratistas deben cumplir individualmente y de forma progresiva con un porcentaje mínimo de contenido nacional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establezca en las Asignaciones y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64865E82" w14:textId="145C2081"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Assignees and Contractors must individually and progressively comply with a minimum percentage of national content that the Secretary of Energy, with the opinion of the Secretary of Economy, establishes in the Assignments and Contracts for exploration and extraction.</w:t>
            </w:r>
          </w:p>
        </w:tc>
      </w:tr>
      <w:tr w:rsidR="003B20AD" w:rsidRPr="00475A0C" w14:paraId="4F384AEE" w14:textId="1D75AB01" w:rsidTr="007B36AB">
        <w:tc>
          <w:tcPr>
            <w:tcW w:w="4675" w:type="dxa"/>
          </w:tcPr>
          <w:p w14:paraId="34878CFB"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Las Asignaciones y Contratos de Exploración y Extracción deben incluir un programa de cumplimiento del porcentaje de contenido nacional a que se refiere el párrafo anterior, incluyendo los plazos y etapas aplicables. Para el caso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la meta de contenido nacional debe estar incluida en las bases del procedimiento de licitación y adjudicación de estos.</w:t>
            </w:r>
          </w:p>
        </w:tc>
        <w:tc>
          <w:tcPr>
            <w:tcW w:w="4675" w:type="dxa"/>
          </w:tcPr>
          <w:p w14:paraId="462E0760" w14:textId="25DCD277"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exploration and extraction Assignments and Contracts must include a program for compliance with the percentage of local content referred to in the preceding paragraph, including the applicable deadlines and stages. In the case of Contracts for exploration and extraction, the local content target must be included in the bidding and awarding procedures for these contracts.</w:t>
            </w:r>
          </w:p>
        </w:tc>
      </w:tr>
      <w:tr w:rsidR="003B20AD" w:rsidRPr="00475A0C" w14:paraId="281E7E65" w14:textId="4C84D736" w:rsidTr="007B36AB">
        <w:tc>
          <w:tcPr>
            <w:tcW w:w="4675" w:type="dxa"/>
          </w:tcPr>
          <w:p w14:paraId="3D9F6CD2"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 Secretaría de Economía debe establecer la metodología para medir el contenido nacional en Asignaciones y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verificar el cumplimiento del porcentaje de contenido nacional de las Asignaciones y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conforme al programa que se establezca, para lo cual puede contar con el apoyo de una persona tercera independiente.</w:t>
            </w:r>
          </w:p>
        </w:tc>
        <w:tc>
          <w:tcPr>
            <w:tcW w:w="4675" w:type="dxa"/>
          </w:tcPr>
          <w:p w14:paraId="1F410CAF" w14:textId="13D61D06"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Secretary of Economy must establish the methodology to measure the national content in Assignments and Contracts for exploration and extraction and verify compliance with the percentage of national content in Assignments and Contracts for exploration and extraction, in accordance with the established program, for which it may rely on the support of an independent third party.</w:t>
            </w:r>
          </w:p>
        </w:tc>
      </w:tr>
      <w:tr w:rsidR="003B20AD" w:rsidRPr="00475A0C" w14:paraId="1E9CA4BF" w14:textId="0E81D27F" w:rsidTr="007B36AB">
        <w:tc>
          <w:tcPr>
            <w:tcW w:w="4675" w:type="dxa"/>
          </w:tcPr>
          <w:p w14:paraId="34E3B4D2"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Para el establecimiento de la metodología a la que se hace referencia en el párrafo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debe utilizar, entre otros, los siguientes conceptos:</w:t>
            </w:r>
          </w:p>
        </w:tc>
        <w:tc>
          <w:tcPr>
            <w:tcW w:w="4675" w:type="dxa"/>
          </w:tcPr>
          <w:p w14:paraId="25751354" w14:textId="7CA65B52"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To establish the methodology referred to in the preceding paragraph, the Secretary of Economy must use, among others, the following concepts:</w:t>
            </w:r>
          </w:p>
        </w:tc>
      </w:tr>
      <w:tr w:rsidR="003B20AD" w:rsidRPr="00475A0C" w14:paraId="2924F327" w14:textId="55CD54C6" w:rsidTr="007B36AB">
        <w:tc>
          <w:tcPr>
            <w:tcW w:w="4675" w:type="dxa"/>
          </w:tcPr>
          <w:p w14:paraId="7A68FFA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lastRenderedPageBreak/>
              <w:t>I.</w:t>
            </w:r>
            <w:r w:rsidRPr="00475A0C">
              <w:rPr>
                <w:rFonts w:ascii="Verdana" w:hAnsi="Verdana"/>
                <w:sz w:val="16"/>
                <w:szCs w:val="16"/>
              </w:rPr>
              <w:tab/>
              <w:t>Bienes y servicios contratados, considerando su origen;</w:t>
            </w:r>
          </w:p>
        </w:tc>
        <w:tc>
          <w:tcPr>
            <w:tcW w:w="4675" w:type="dxa"/>
          </w:tcPr>
          <w:p w14:paraId="413A0366" w14:textId="55E511BC"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Goods and services contracted, considering their origin;</w:t>
            </w:r>
          </w:p>
        </w:tc>
      </w:tr>
      <w:tr w:rsidR="003B20AD" w:rsidRPr="00475A0C" w14:paraId="166BF8E8" w14:textId="24F9B337" w:rsidTr="007B36AB">
        <w:tc>
          <w:tcPr>
            <w:tcW w:w="4675" w:type="dxa"/>
          </w:tcPr>
          <w:p w14:paraId="0990E34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 mano de obra nacional y de trabajo calificada;</w:t>
            </w:r>
          </w:p>
        </w:tc>
        <w:tc>
          <w:tcPr>
            <w:tcW w:w="4675" w:type="dxa"/>
          </w:tcPr>
          <w:p w14:paraId="1A5D093E" w14:textId="63703251"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national and skilled labor;</w:t>
            </w:r>
          </w:p>
        </w:tc>
      </w:tr>
      <w:tr w:rsidR="003B20AD" w:rsidRPr="00475A0C" w14:paraId="60BECDD6" w14:textId="234EAB62" w:rsidTr="007B36AB">
        <w:tc>
          <w:tcPr>
            <w:tcW w:w="4675" w:type="dxa"/>
          </w:tcPr>
          <w:p w14:paraId="47389527"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La capacitación de la mano de obra nacional;</w:t>
            </w:r>
          </w:p>
        </w:tc>
        <w:tc>
          <w:tcPr>
            <w:tcW w:w="4675" w:type="dxa"/>
          </w:tcPr>
          <w:p w14:paraId="1C118BBF" w14:textId="00ED115F"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training of the national workforce;</w:t>
            </w:r>
          </w:p>
        </w:tc>
      </w:tr>
      <w:tr w:rsidR="003B20AD" w:rsidRPr="00475A0C" w14:paraId="6CF428FC" w14:textId="6014D025" w:rsidTr="007B36AB">
        <w:tc>
          <w:tcPr>
            <w:tcW w:w="4675" w:type="dxa"/>
          </w:tcPr>
          <w:p w14:paraId="12EB6E53"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La inversión en infraestructura física local y regional, y</w:t>
            </w:r>
          </w:p>
        </w:tc>
        <w:tc>
          <w:tcPr>
            <w:tcW w:w="4675" w:type="dxa"/>
          </w:tcPr>
          <w:p w14:paraId="198213A1" w14:textId="2E54DDD6"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The investment in local and regional physical infrastructure, and</w:t>
            </w:r>
          </w:p>
        </w:tc>
      </w:tr>
      <w:tr w:rsidR="003B20AD" w:rsidRPr="00475A0C" w14:paraId="2AEA54F2" w14:textId="1F6A2821" w:rsidTr="007B36AB">
        <w:tc>
          <w:tcPr>
            <w:tcW w:w="4675" w:type="dxa"/>
          </w:tcPr>
          <w:p w14:paraId="6DD54CA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La transferencia de la tecnología.</w:t>
            </w:r>
          </w:p>
        </w:tc>
        <w:tc>
          <w:tcPr>
            <w:tcW w:w="4675" w:type="dxa"/>
          </w:tcPr>
          <w:p w14:paraId="46923EEC" w14:textId="037DE519"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The transfer of technology.</w:t>
            </w:r>
          </w:p>
        </w:tc>
      </w:tr>
      <w:tr w:rsidR="003B20AD" w:rsidRPr="00475A0C" w14:paraId="23A2C28C" w14:textId="78171651" w:rsidTr="007B36AB">
        <w:tc>
          <w:tcPr>
            <w:tcW w:w="4675" w:type="dxa"/>
          </w:tcPr>
          <w:p w14:paraId="7AC99D4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Por lo que hace a la metodología, en el caso de las fracciones III, IV y V anteriores se requiere la opinión favorable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28C01292" w14:textId="1656710C"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As regards the methodology, in the case of sections III, IV and V above, a favorable opinion from the Secretary of Energy is required.</w:t>
            </w:r>
          </w:p>
        </w:tc>
      </w:tr>
      <w:tr w:rsidR="003B20AD" w:rsidRPr="00475A0C" w14:paraId="5AB21FF2" w14:textId="458886EB" w:rsidTr="007B36AB">
        <w:tc>
          <w:tcPr>
            <w:tcW w:w="4675" w:type="dxa"/>
          </w:tcPr>
          <w:p w14:paraId="360E391F"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Para la verificación del cumplimiento del programa de contenido nacional referido en este artículo,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debe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su opinión de cumplimiento respecto a las fracciones III, IV y V anteriores, a efecto de considerarla en la resolución respectiva.</w:t>
            </w:r>
          </w:p>
        </w:tc>
        <w:tc>
          <w:tcPr>
            <w:tcW w:w="4675" w:type="dxa"/>
          </w:tcPr>
          <w:p w14:paraId="21ACD11F" w14:textId="7EBD1FD5"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To verify compliance with the national content program referred to in this article, the Secretary of Economy must request the Secretary of Energy's opinion on compliance with sections III, IV, and V above, in order to consider it in the respective resolution.</w:t>
            </w:r>
          </w:p>
        </w:tc>
      </w:tr>
      <w:tr w:rsidR="003B20AD" w:rsidRPr="00475A0C" w14:paraId="1D9F62B4" w14:textId="29B0081E" w:rsidTr="007B36AB">
        <w:tc>
          <w:tcPr>
            <w:tcW w:w="4675" w:type="dxa"/>
          </w:tcPr>
          <w:p w14:paraId="7E805DE7"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Para la verificación del cumplimiento del programa de contenido nacional referido en el párrafo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cuenta con un plazo máximo de noventa días naturales, contado a partir del término de cada uno de los periodos comprendidos en los planes o programas de Exploración y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en caso de que no se resuelva en dicho plazo, se entiende confirmada en sentido positivo.</w:t>
            </w:r>
          </w:p>
        </w:tc>
        <w:tc>
          <w:tcPr>
            <w:tcW w:w="4675" w:type="dxa"/>
          </w:tcPr>
          <w:p w14:paraId="6134350C" w14:textId="2C98AA7F"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To verify compliance with the national content program referred to in the preceding paragraph, the Secretary of Economy has a maximum period of ninety calendar days, counted from the end of each of the periods included in the exploration and development plans or programs for extraction; if the decision is not made within this period, it will be deemed positively confirmed.</w:t>
            </w:r>
          </w:p>
        </w:tc>
      </w:tr>
      <w:tr w:rsidR="003B20AD" w:rsidRPr="00475A0C" w14:paraId="6804FFAA" w14:textId="440C47A9" w:rsidTr="007B36AB">
        <w:tc>
          <w:tcPr>
            <w:tcW w:w="4675" w:type="dxa"/>
          </w:tcPr>
          <w:p w14:paraId="069A499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En caso de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determine que una persona Asignataria o Contratista ha incumplido con el porcentaje de contenido nacional que le corresponda, debe informar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quien debe imponer las penalizaciones que correspondan conforme a lo dispuesto en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2625F670" w14:textId="5D64F9C5"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In the event that the Secretary of Economy determines that an Assignee or Contractor has failed to comply with the percentage of national content that corresponds to it, it must inform the Secretary of Energy, which must impose the corresponding penalties in accordance with the provisions of the Assignment or Contract for exploration and extraction.</w:t>
            </w:r>
          </w:p>
        </w:tc>
      </w:tr>
      <w:tr w:rsidR="003B20AD" w:rsidRPr="00475A0C" w14:paraId="4643553C" w14:textId="59266FE8" w:rsidTr="007B36AB">
        <w:tc>
          <w:tcPr>
            <w:tcW w:w="4675" w:type="dxa"/>
          </w:tcPr>
          <w:p w14:paraId="22D0FB3F"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La aplicación de este artículo es sin perjuicio de lo dispuesto en los tratados internacionales y acuerdos comerciales suscritos por México.</w:t>
            </w:r>
          </w:p>
        </w:tc>
        <w:tc>
          <w:tcPr>
            <w:tcW w:w="4675" w:type="dxa"/>
          </w:tcPr>
          <w:p w14:paraId="329FEAD4" w14:textId="1300D3FF"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application of this article is without prejudice to the provisions of international treaties and trade agreements signed by Mexico.</w:t>
            </w:r>
          </w:p>
        </w:tc>
      </w:tr>
      <w:tr w:rsidR="003B20AD" w:rsidRPr="00475A0C" w14:paraId="7D800128" w14:textId="632FD82C" w:rsidTr="007B36AB">
        <w:tc>
          <w:tcPr>
            <w:tcW w:w="4675" w:type="dxa"/>
          </w:tcPr>
          <w:p w14:paraId="2029C53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75.-</w:t>
            </w:r>
            <w:r w:rsidRPr="00475A0C">
              <w:rPr>
                <w:rFonts w:ascii="Verdana" w:hAnsi="Verdana"/>
                <w:sz w:val="16"/>
                <w:szCs w:val="16"/>
              </w:rPr>
              <w:t xml:space="preserve"> Las personas Asignatarias y Contratistas están obligados a:</w:t>
            </w:r>
          </w:p>
        </w:tc>
        <w:tc>
          <w:tcPr>
            <w:tcW w:w="4675" w:type="dxa"/>
          </w:tcPr>
          <w:p w14:paraId="3D84F703" w14:textId="6E20C04F"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75.- </w:t>
            </w:r>
            <w:r w:rsidRPr="00E3602D">
              <w:rPr>
                <w:rFonts w:ascii="Verdana" w:hAnsi="Verdana"/>
                <w:sz w:val="16"/>
                <w:szCs w:val="16"/>
                <w:lang w:val="en-US"/>
              </w:rPr>
              <w:t>The Assignees and Contractors are obligated to:</w:t>
            </w:r>
          </w:p>
        </w:tc>
      </w:tr>
      <w:tr w:rsidR="003B20AD" w:rsidRPr="00475A0C" w14:paraId="0BAAD0ED" w14:textId="41D2C869" w:rsidTr="007B36AB">
        <w:tc>
          <w:tcPr>
            <w:tcW w:w="4675" w:type="dxa"/>
          </w:tcPr>
          <w:p w14:paraId="32B9597D"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 xml:space="preserve">Contar, en su caso, con la autorización para llevar a cabo la perforación de pozos previo al inicio de los trabajos correspondientes, en los términos de lo dispuesto por el artículo 64 de esta Ley y de la regulación que 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4E5F29E7" w14:textId="50EB0F84"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Have, where applicable, the authorization to carry out the drilling of wells prior to the start of the corresponding works, under the terms of the provisions of article 64 of this Law and the regulations issued for this purpose by the Secretary of Energy;</w:t>
            </w:r>
          </w:p>
        </w:tc>
      </w:tr>
      <w:tr w:rsidR="003B20AD" w:rsidRPr="00475A0C" w14:paraId="1ABFEA15" w14:textId="39465B2E" w:rsidTr="007B36AB">
        <w:tc>
          <w:tcPr>
            <w:tcW w:w="4675" w:type="dxa"/>
          </w:tcPr>
          <w:p w14:paraId="331DD6A3"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Dar el aviso a que se refiere el artículo 65, párrafo tercero, de esta Ley antes de iniciar los trabajos de Reconocimiento y Exploración Superficial;</w:t>
            </w:r>
          </w:p>
        </w:tc>
        <w:tc>
          <w:tcPr>
            <w:tcW w:w="4675" w:type="dxa"/>
          </w:tcPr>
          <w:p w14:paraId="5B24D68A" w14:textId="23D139DD"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Give the notice referred to in article 65, third paragraph, of this Law before starting the surface reconnaissance and exploration works;</w:t>
            </w:r>
          </w:p>
        </w:tc>
      </w:tr>
      <w:tr w:rsidR="003B20AD" w:rsidRPr="00475A0C" w14:paraId="12C0F23B" w14:textId="7177FFAF" w:rsidTr="007B36AB">
        <w:tc>
          <w:tcPr>
            <w:tcW w:w="4675" w:type="dxa"/>
          </w:tcPr>
          <w:p w14:paraId="4F83EA5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 xml:space="preserve">Cumplir los términos y condiciones que se establecen en las Asignaciones,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autorizaciones;</w:t>
            </w:r>
          </w:p>
        </w:tc>
        <w:tc>
          <w:tcPr>
            <w:tcW w:w="4675" w:type="dxa"/>
          </w:tcPr>
          <w:p w14:paraId="2398CE18" w14:textId="3EA2A993"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Comply with the terms and conditions established in the Assignments, Contracts for exploration and extraction and authorizations;</w:t>
            </w:r>
          </w:p>
        </w:tc>
      </w:tr>
      <w:tr w:rsidR="003B20AD" w:rsidRPr="00475A0C" w14:paraId="5FB2344A" w14:textId="288305A3" w:rsidTr="007B36AB">
        <w:tc>
          <w:tcPr>
            <w:tcW w:w="4675" w:type="dxa"/>
          </w:tcPr>
          <w:p w14:paraId="0F197BE2"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 xml:space="preserve">Abstenerse de ceder o traspasar, sin la autorización correspondiente, en el caso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el control corporativo o de las operaciones;</w:t>
            </w:r>
          </w:p>
        </w:tc>
        <w:tc>
          <w:tcPr>
            <w:tcW w:w="4675" w:type="dxa"/>
          </w:tcPr>
          <w:p w14:paraId="457C0A0B" w14:textId="7C4DD09A"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Refrain from assigning or transferring, without the corresponding authorization, in the case of Contracts for exploration and extraction, corporate control or operations;</w:t>
            </w:r>
          </w:p>
        </w:tc>
      </w:tr>
      <w:tr w:rsidR="003B20AD" w:rsidRPr="00475A0C" w14:paraId="7FC6AF01" w14:textId="37300DF5" w:rsidTr="007B36AB">
        <w:tc>
          <w:tcPr>
            <w:tcW w:w="4675" w:type="dxa"/>
          </w:tcPr>
          <w:p w14:paraId="528CD4A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lastRenderedPageBreak/>
              <w:t>V.</w:t>
            </w:r>
            <w:r w:rsidRPr="00475A0C">
              <w:rPr>
                <w:rFonts w:ascii="Verdana" w:hAnsi="Verdana"/>
                <w:b/>
                <w:sz w:val="16"/>
                <w:szCs w:val="16"/>
              </w:rPr>
              <w:tab/>
            </w:r>
            <w:r w:rsidRPr="00475A0C">
              <w:rPr>
                <w:rFonts w:ascii="Verdana" w:hAnsi="Verdana"/>
                <w:sz w:val="16"/>
                <w:szCs w:val="16"/>
              </w:rPr>
              <w:t xml:space="preserve">Contar con la aprobación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previo a iniciar la ejecución del plan de Exploración y del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w:t>
            </w:r>
          </w:p>
        </w:tc>
        <w:tc>
          <w:tcPr>
            <w:tcW w:w="4675" w:type="dxa"/>
          </w:tcPr>
          <w:p w14:paraId="49944220" w14:textId="0D3B4EC2"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Have the approval of the Secretary of Energy, prior to starting the execution of the exploration plan and the development plan for the extraction;</w:t>
            </w:r>
          </w:p>
        </w:tc>
      </w:tr>
      <w:tr w:rsidR="003B20AD" w:rsidRPr="00475A0C" w14:paraId="764C9B02" w14:textId="491727EF" w:rsidTr="007B36AB">
        <w:tc>
          <w:tcPr>
            <w:tcW w:w="4675" w:type="dxa"/>
          </w:tcPr>
          <w:p w14:paraId="0434BD3E"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Observar las disposiciones legales en materia laboral, fiscal y de transparencia que resulten aplicables;</w:t>
            </w:r>
          </w:p>
        </w:tc>
        <w:tc>
          <w:tcPr>
            <w:tcW w:w="4675" w:type="dxa"/>
          </w:tcPr>
          <w:p w14:paraId="1863D90A" w14:textId="37BB937E"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Observe applicable legal provisions on labor, tax and transparency matters;</w:t>
            </w:r>
          </w:p>
        </w:tc>
      </w:tr>
      <w:tr w:rsidR="003B20AD" w:rsidRPr="00475A0C" w14:paraId="7C4C7D84" w14:textId="7695510B" w:rsidTr="007B36AB">
        <w:tc>
          <w:tcPr>
            <w:tcW w:w="4675" w:type="dxa"/>
          </w:tcPr>
          <w:p w14:paraId="73E3915C"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 xml:space="preserve">Permitir el acceso a sus instalaciones y equipos, así como facilitar la labor de los inspectores y verificadores de las Secretarías de Energía, de Hacienda y Crédito Público y de Economía o de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w:t>
            </w:r>
          </w:p>
        </w:tc>
        <w:tc>
          <w:tcPr>
            <w:tcW w:w="4675" w:type="dxa"/>
          </w:tcPr>
          <w:p w14:paraId="59530017" w14:textId="5D5A6D9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Allow access to its facilities and equipment, as well as facilitate the work of inspectors and verifiers of the Secretaries of Energy, Finance and Public Credit and Economy or of the Agency;</w:t>
            </w:r>
          </w:p>
        </w:tc>
      </w:tr>
      <w:tr w:rsidR="003B20AD" w:rsidRPr="00475A0C" w14:paraId="2422BE63" w14:textId="69D18FE3" w:rsidTr="007B36AB">
        <w:tc>
          <w:tcPr>
            <w:tcW w:w="4675" w:type="dxa"/>
          </w:tcPr>
          <w:p w14:paraId="1D781DF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VIII.</w:t>
            </w:r>
            <w:r w:rsidRPr="00475A0C">
              <w:rPr>
                <w:rFonts w:ascii="Verdana" w:hAnsi="Verdana"/>
                <w:b/>
                <w:sz w:val="16"/>
                <w:szCs w:val="16"/>
              </w:rPr>
              <w:tab/>
            </w:r>
            <w:r w:rsidRPr="00475A0C">
              <w:rPr>
                <w:rFonts w:ascii="Verdana" w:hAnsi="Verdana"/>
                <w:sz w:val="16"/>
                <w:szCs w:val="16"/>
              </w:rPr>
              <w:t xml:space="preserve">Cumplir con la regulación, lineamientos y disposiciones administrativas que emitan las Secretarías de Energía y de Hacienda y Crédito Público y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en el ámbito de sus respectivas competencias;</w:t>
            </w:r>
          </w:p>
        </w:tc>
        <w:tc>
          <w:tcPr>
            <w:tcW w:w="4675" w:type="dxa"/>
          </w:tcPr>
          <w:p w14:paraId="2789F93E" w14:textId="2B8380B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Comply with the regulations, guidelines and administrative provisions issued by the Secretaries of Energy and Finance and Public Credit and the Agency in the scope of their respective powers;</w:t>
            </w:r>
          </w:p>
        </w:tc>
      </w:tr>
      <w:tr w:rsidR="003B20AD" w:rsidRPr="00475A0C" w14:paraId="55DBA75D" w14:textId="50903E59" w:rsidTr="007B36AB">
        <w:tc>
          <w:tcPr>
            <w:tcW w:w="4675" w:type="dxa"/>
          </w:tcPr>
          <w:p w14:paraId="63EEA924"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 xml:space="preserve">Las personas Contratistas deben observar los lineamientos que establezcan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en relación con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con base en esta Ley y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Ingresos sobre Hidrocarburos.</w:t>
            </w:r>
          </w:p>
        </w:tc>
        <w:tc>
          <w:tcPr>
            <w:tcW w:w="4675" w:type="dxa"/>
          </w:tcPr>
          <w:p w14:paraId="48B4B8CB" w14:textId="0DD99866"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b/>
                <w:sz w:val="16"/>
                <w:szCs w:val="16"/>
                <w:lang w:val="en-US"/>
              </w:rPr>
              <w:tab/>
            </w:r>
            <w:r w:rsidRPr="00E3602D">
              <w:rPr>
                <w:rFonts w:ascii="Verdana" w:hAnsi="Verdana"/>
                <w:sz w:val="16"/>
                <w:szCs w:val="16"/>
                <w:lang w:val="en-US"/>
              </w:rPr>
              <w:t>Contractors must observe the guidelines established by the Secretary of Energy and the Secretary of the Treasury and Public Credit with regards to Contracts for exploration and extraction based on this Law and the Law of Revenue from Hydrocarbons.</w:t>
            </w:r>
          </w:p>
        </w:tc>
      </w:tr>
      <w:tr w:rsidR="003B20AD" w:rsidRPr="00475A0C" w14:paraId="1B48C65C" w14:textId="19BA218F" w:rsidTr="007B36AB">
        <w:tc>
          <w:tcPr>
            <w:tcW w:w="4675" w:type="dxa"/>
          </w:tcPr>
          <w:p w14:paraId="66B07A1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En materia de seguridad industrial, operativa y protección al medio ambiente, las personas Asignatarias y Contratistas son responsables de los daños y perjuicios ocasionados por fugas y derrames de Hidrocarburos o demás daños que resulten por el desarrollo de sus actividades, en términos de las disposiciones jurídicas aplicables;</w:t>
            </w:r>
          </w:p>
        </w:tc>
        <w:tc>
          <w:tcPr>
            <w:tcW w:w="4675" w:type="dxa"/>
          </w:tcPr>
          <w:p w14:paraId="14A62E8A" w14:textId="24D96840"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ab/>
              <w:t>In terms of industrial and operational safety and environmental protection, the Assignees and Contractors are responsible for damages caused by leaks and spills of hydrocarbons or other damages resulting from carrying out their activities, in terms of the applicable legal provisions;</w:t>
            </w:r>
          </w:p>
        </w:tc>
      </w:tr>
      <w:tr w:rsidR="003B20AD" w:rsidRPr="00475A0C" w14:paraId="435F6187" w14:textId="7A1F5752" w:rsidTr="007B36AB">
        <w:tc>
          <w:tcPr>
            <w:tcW w:w="4675" w:type="dxa"/>
          </w:tcPr>
          <w:p w14:paraId="51EE7084"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X.</w:t>
            </w:r>
            <w:r w:rsidRPr="00475A0C">
              <w:rPr>
                <w:rFonts w:ascii="Verdana" w:hAnsi="Verdana"/>
                <w:b/>
                <w:sz w:val="16"/>
                <w:szCs w:val="16"/>
              </w:rPr>
              <w:tab/>
            </w:r>
            <w:r w:rsidRPr="00475A0C">
              <w:rPr>
                <w:rFonts w:ascii="Verdana" w:hAnsi="Verdana"/>
                <w:sz w:val="16"/>
                <w:szCs w:val="16"/>
              </w:rPr>
              <w:t xml:space="preserve">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y a las demás autoridades competentes sobre cualquier siniestro, hecho o contingencia que, como resultado de sus operaciones, ponga en peligro la vida, la salud y seguridad públicas, el medio ambiente, la seguridad de las instalaciones o la producción de Hidrocarburos; y aplicar los planes de contingencia, medidas de emergencia y acciones de contención que correspondan de acuerdo con su responsabilidad, en los términos de la regulación correspondiente. Sin perjuicio de lo anterior, deben presentar ante dichas dependencias:</w:t>
            </w:r>
          </w:p>
        </w:tc>
        <w:tc>
          <w:tcPr>
            <w:tcW w:w="4675" w:type="dxa"/>
          </w:tcPr>
          <w:p w14:paraId="1F65E106" w14:textId="7ED72BB6"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b/>
                <w:sz w:val="16"/>
                <w:szCs w:val="16"/>
                <w:lang w:val="en-US"/>
              </w:rPr>
              <w:tab/>
            </w:r>
            <w:r w:rsidRPr="00E3602D">
              <w:rPr>
                <w:rFonts w:ascii="Verdana" w:hAnsi="Verdana"/>
                <w:sz w:val="16"/>
                <w:szCs w:val="16"/>
                <w:lang w:val="en-US"/>
              </w:rPr>
              <w:t>Notify the Secretary of Energy and the Agency and other appropriate authorities of any incident, event, or contingency that, as a result of its operations, endangers public life, health, and safety, the environment, the safety of facilities, or hydrocarbon production; and implement the contingency plans, emergency measures, and containment actions that correspond to its responsibility, in accordance with the terms of the relevant regulation. Without prejudice to the foregoing, they must submit to said agencies:</w:t>
            </w:r>
          </w:p>
        </w:tc>
      </w:tr>
      <w:tr w:rsidR="003B20AD" w:rsidRPr="00475A0C" w14:paraId="0E46814E" w14:textId="612B5D98" w:rsidTr="007B36AB">
        <w:tc>
          <w:tcPr>
            <w:tcW w:w="4675" w:type="dxa"/>
          </w:tcPr>
          <w:p w14:paraId="3D2D4F43"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Un informe de hechos, así como las medidas tomadas para su control, en los casos y términos que establece la regulación correspondiente, y</w:t>
            </w:r>
          </w:p>
        </w:tc>
        <w:tc>
          <w:tcPr>
            <w:tcW w:w="4675" w:type="dxa"/>
          </w:tcPr>
          <w:p w14:paraId="57B27DEA" w14:textId="08F89D7D"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A report of the facts, as well as the measures taken to control them, in the cases and terms established by the corresponding regulation, and</w:t>
            </w:r>
          </w:p>
        </w:tc>
      </w:tr>
      <w:tr w:rsidR="003B20AD" w:rsidRPr="00475A0C" w14:paraId="11DF6DEC" w14:textId="77E10BC6" w:rsidTr="007B36AB">
        <w:tc>
          <w:tcPr>
            <w:tcW w:w="4675" w:type="dxa"/>
          </w:tcPr>
          <w:p w14:paraId="41DB372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Un informe detallado sobre las causas que lo originaron y las medidas tomadas para su control y, en su caso, remediación, en los casos y términos que establece la regulación correspondiente;</w:t>
            </w:r>
          </w:p>
        </w:tc>
        <w:tc>
          <w:tcPr>
            <w:tcW w:w="4675" w:type="dxa"/>
          </w:tcPr>
          <w:p w14:paraId="0F8D9E8C" w14:textId="44BE74F7"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A detailed report on the causes that gave rise to it and the measures taken for its control and, where appropriate, remediation, in the cases and terms established by the corresponding regulation;</w:t>
            </w:r>
          </w:p>
        </w:tc>
      </w:tr>
      <w:tr w:rsidR="003B20AD" w:rsidRPr="00475A0C" w14:paraId="6C139581" w14:textId="3ADBEB17" w:rsidTr="007B36AB">
        <w:tc>
          <w:tcPr>
            <w:tcW w:w="4675" w:type="dxa"/>
          </w:tcPr>
          <w:p w14:paraId="4388A44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XI.</w:t>
            </w:r>
            <w:r w:rsidRPr="00475A0C">
              <w:rPr>
                <w:rFonts w:ascii="Verdana" w:hAnsi="Verdana"/>
                <w:b/>
                <w:sz w:val="16"/>
                <w:szCs w:val="16"/>
              </w:rPr>
              <w:tab/>
            </w:r>
            <w:r w:rsidRPr="00475A0C">
              <w:rPr>
                <w:rFonts w:ascii="Verdana" w:hAnsi="Verdana"/>
                <w:sz w:val="16"/>
                <w:szCs w:val="16"/>
              </w:rPr>
              <w:t xml:space="preserve">Proporcionar el auxilio que les sea requerido por las autoridades competentes en caso de emergencia o siniestro, conforme se establece en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el Contrato, y</w:t>
            </w:r>
          </w:p>
        </w:tc>
        <w:tc>
          <w:tcPr>
            <w:tcW w:w="4675" w:type="dxa"/>
          </w:tcPr>
          <w:p w14:paraId="21D6ADAB" w14:textId="6D698AF0"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b/>
                <w:sz w:val="16"/>
                <w:szCs w:val="16"/>
                <w:lang w:val="en-US"/>
              </w:rPr>
              <w:tab/>
            </w:r>
            <w:r w:rsidRPr="00E3602D">
              <w:rPr>
                <w:rFonts w:ascii="Verdana" w:hAnsi="Verdana"/>
                <w:sz w:val="16"/>
                <w:szCs w:val="16"/>
                <w:lang w:val="en-US"/>
              </w:rPr>
              <w:t>Provide the assistance required by the competent authorities in case of emergency or disaster, as established in the Assignment or the Contract, and</w:t>
            </w:r>
          </w:p>
        </w:tc>
      </w:tr>
      <w:tr w:rsidR="003B20AD" w:rsidRPr="00475A0C" w14:paraId="3AC7FEC9" w14:textId="1429FA45" w:rsidTr="007B36AB">
        <w:tc>
          <w:tcPr>
            <w:tcW w:w="4675" w:type="dxa"/>
          </w:tcPr>
          <w:p w14:paraId="465B61E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XII.</w:t>
            </w:r>
            <w:r w:rsidRPr="00475A0C">
              <w:rPr>
                <w:rFonts w:ascii="Verdana" w:hAnsi="Verdana"/>
                <w:b/>
                <w:sz w:val="16"/>
                <w:szCs w:val="16"/>
              </w:rPr>
              <w:tab/>
            </w:r>
            <w:r w:rsidRPr="00475A0C">
              <w:rPr>
                <w:rFonts w:ascii="Verdana" w:hAnsi="Verdana"/>
                <w:sz w:val="16"/>
                <w:szCs w:val="16"/>
              </w:rPr>
              <w:t xml:space="preserve">Cumplir en tiempo y forma con las solicitudes de información y reportes que requieran las Secretarías de Energía, de Hacienda y Crédito Público y de Economía, el Fondo Mexicano del Petróleo para </w:t>
            </w:r>
            <w:smartTag w:uri="urn:schemas-microsoft-com:office:smarttags" w:element="PersonName">
              <w:smartTagPr>
                <w:attr w:name="ProductID" w:val="la Estabilización"/>
              </w:smartTagPr>
              <w:r w:rsidRPr="00475A0C">
                <w:rPr>
                  <w:rFonts w:ascii="Verdana" w:hAnsi="Verdana"/>
                  <w:sz w:val="16"/>
                  <w:szCs w:val="16"/>
                </w:rPr>
                <w:t xml:space="preserve">la </w:t>
              </w:r>
              <w:r w:rsidRPr="00475A0C">
                <w:rPr>
                  <w:rFonts w:ascii="Verdana" w:hAnsi="Verdana"/>
                  <w:sz w:val="16"/>
                  <w:szCs w:val="16"/>
                </w:rPr>
                <w:lastRenderedPageBreak/>
                <w:t>Estabilización</w:t>
              </w:r>
            </w:smartTag>
            <w:r w:rsidRPr="00475A0C">
              <w:rPr>
                <w:rFonts w:ascii="Verdana" w:hAnsi="Verdana"/>
                <w:sz w:val="16"/>
                <w:szCs w:val="16"/>
              </w:rPr>
              <w:t xml:space="preserve"> y el Desarrollo y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en el ámbito de sus respectivas competencias.</w:t>
            </w:r>
          </w:p>
        </w:tc>
        <w:tc>
          <w:tcPr>
            <w:tcW w:w="4675" w:type="dxa"/>
          </w:tcPr>
          <w:p w14:paraId="2972F3B2" w14:textId="6E159353"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lastRenderedPageBreak/>
              <w:t xml:space="preserve">XII. </w:t>
            </w:r>
            <w:r w:rsidRPr="00E3602D">
              <w:rPr>
                <w:rFonts w:ascii="Verdana" w:hAnsi="Verdana"/>
                <w:b/>
                <w:sz w:val="16"/>
                <w:szCs w:val="16"/>
                <w:lang w:val="en-US"/>
              </w:rPr>
              <w:tab/>
            </w:r>
            <w:r w:rsidRPr="00E3602D">
              <w:rPr>
                <w:rFonts w:ascii="Verdana" w:hAnsi="Verdana"/>
                <w:sz w:val="16"/>
                <w:szCs w:val="16"/>
                <w:lang w:val="en-US"/>
              </w:rPr>
              <w:t xml:space="preserve">Comply in a timely manner with requests for information and reports required by the Secretaries of Energy, Finance and Public Credit, and Economy, the Mexican Petroleum Fund for the stabilization and the </w:t>
            </w:r>
            <w:r w:rsidRPr="00E3602D">
              <w:rPr>
                <w:rFonts w:ascii="Verdana" w:hAnsi="Verdana"/>
                <w:sz w:val="16"/>
                <w:szCs w:val="16"/>
                <w:lang w:val="en-US"/>
              </w:rPr>
              <w:lastRenderedPageBreak/>
              <w:t>Development of the Agency, and within the scope of their respective powers.</w:t>
            </w:r>
          </w:p>
        </w:tc>
      </w:tr>
      <w:tr w:rsidR="003B20AD" w:rsidRPr="00475A0C" w14:paraId="2B935F2C" w14:textId="2765F0F9" w:rsidTr="007B36AB">
        <w:tc>
          <w:tcPr>
            <w:tcW w:w="4675" w:type="dxa"/>
          </w:tcPr>
          <w:p w14:paraId="25864860"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lastRenderedPageBreak/>
              <w:t>Las infracciones a este Título y a sus disposiciones reglamentarias deben ser sancionadas conforme a lo previsto en el artículo 120 de esta Ley.</w:t>
            </w:r>
          </w:p>
        </w:tc>
        <w:tc>
          <w:tcPr>
            <w:tcW w:w="4675" w:type="dxa"/>
          </w:tcPr>
          <w:p w14:paraId="0CDA3E34" w14:textId="6F07B320"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Violations of this Title and its regulatory provisions must be sanctioned in accordance with the provisions of Article 120 of this Law.</w:t>
            </w:r>
          </w:p>
        </w:tc>
      </w:tr>
      <w:tr w:rsidR="003B20AD" w:rsidRPr="00475A0C" w14:paraId="35181FA6" w14:textId="54D6E30C" w:rsidTr="007B36AB">
        <w:tc>
          <w:tcPr>
            <w:tcW w:w="4675" w:type="dxa"/>
          </w:tcPr>
          <w:p w14:paraId="4FB6DBB9" w14:textId="77777777" w:rsidR="003B20AD" w:rsidRPr="00475A0C" w:rsidRDefault="003B20AD" w:rsidP="003B20AD">
            <w:pPr>
              <w:pStyle w:val="Texto"/>
              <w:spacing w:after="88"/>
              <w:ind w:firstLine="0"/>
              <w:jc w:val="center"/>
              <w:rPr>
                <w:rFonts w:ascii="Verdana" w:hAnsi="Verdana"/>
                <w:b/>
                <w:sz w:val="16"/>
                <w:szCs w:val="16"/>
              </w:rPr>
            </w:pPr>
            <w:r w:rsidRPr="00475A0C">
              <w:rPr>
                <w:rFonts w:ascii="Verdana" w:hAnsi="Verdana"/>
                <w:b/>
                <w:sz w:val="16"/>
                <w:szCs w:val="16"/>
              </w:rPr>
              <w:t>TÍTULO TERCERO</w:t>
            </w:r>
          </w:p>
        </w:tc>
        <w:tc>
          <w:tcPr>
            <w:tcW w:w="4675" w:type="dxa"/>
          </w:tcPr>
          <w:p w14:paraId="52D11F72" w14:textId="156FB4A3" w:rsidR="003B20AD" w:rsidRPr="00E3602D" w:rsidRDefault="003B20AD" w:rsidP="003B20AD">
            <w:pPr>
              <w:pStyle w:val="Texto"/>
              <w:spacing w:after="88"/>
              <w:ind w:firstLine="0"/>
              <w:jc w:val="center"/>
              <w:rPr>
                <w:rFonts w:ascii="Verdana" w:hAnsi="Verdana"/>
                <w:b/>
                <w:sz w:val="16"/>
                <w:szCs w:val="16"/>
                <w:lang w:val="en-US"/>
              </w:rPr>
            </w:pPr>
            <w:r w:rsidRPr="00E3602D">
              <w:rPr>
                <w:rFonts w:ascii="Verdana" w:hAnsi="Verdana"/>
                <w:b/>
                <w:sz w:val="16"/>
                <w:szCs w:val="16"/>
                <w:lang w:val="en-US"/>
              </w:rPr>
              <w:t>THIRD TITLE</w:t>
            </w:r>
          </w:p>
        </w:tc>
      </w:tr>
      <w:tr w:rsidR="003B20AD" w:rsidRPr="00475A0C" w14:paraId="3110E7CC" w14:textId="2B0D0BAE" w:rsidTr="007B36AB">
        <w:tc>
          <w:tcPr>
            <w:tcW w:w="4675" w:type="dxa"/>
          </w:tcPr>
          <w:p w14:paraId="7982FC2B" w14:textId="77777777" w:rsidR="003B20AD" w:rsidRPr="00475A0C" w:rsidRDefault="003B20AD" w:rsidP="003B20AD">
            <w:pPr>
              <w:pStyle w:val="Texto"/>
              <w:spacing w:after="88"/>
              <w:ind w:firstLine="0"/>
              <w:jc w:val="center"/>
              <w:rPr>
                <w:rFonts w:ascii="Verdana" w:hAnsi="Verdana"/>
                <w:b/>
                <w:sz w:val="16"/>
                <w:szCs w:val="16"/>
              </w:rPr>
            </w:pPr>
            <w:r w:rsidRPr="00475A0C">
              <w:rPr>
                <w:rFonts w:ascii="Verdana" w:hAnsi="Verdana"/>
                <w:b/>
                <w:sz w:val="16"/>
                <w:szCs w:val="16"/>
              </w:rPr>
              <w:t xml:space="preserve">De las demás Actividades de </w:t>
            </w:r>
            <w:smartTag w:uri="urn:schemas-microsoft-com:office:smarttags" w:element="PersonName">
              <w:smartTagPr>
                <w:attr w:name="ProductID" w:val="la Industria"/>
              </w:smartTagPr>
              <w:r w:rsidRPr="00475A0C">
                <w:rPr>
                  <w:rFonts w:ascii="Verdana" w:hAnsi="Verdana"/>
                  <w:b/>
                  <w:sz w:val="16"/>
                  <w:szCs w:val="16"/>
                </w:rPr>
                <w:t>la Industria</w:t>
              </w:r>
            </w:smartTag>
            <w:r w:rsidRPr="00475A0C">
              <w:rPr>
                <w:rFonts w:ascii="Verdana" w:hAnsi="Verdana"/>
                <w:b/>
                <w:sz w:val="16"/>
                <w:szCs w:val="16"/>
              </w:rPr>
              <w:t xml:space="preserve"> de Hidrocarburos</w:t>
            </w:r>
          </w:p>
        </w:tc>
        <w:tc>
          <w:tcPr>
            <w:tcW w:w="4675" w:type="dxa"/>
          </w:tcPr>
          <w:p w14:paraId="2E85E78E" w14:textId="10894DE7" w:rsidR="003B20AD" w:rsidRPr="00E3602D" w:rsidRDefault="003B20AD" w:rsidP="003B20AD">
            <w:pPr>
              <w:pStyle w:val="Texto"/>
              <w:spacing w:after="88"/>
              <w:ind w:firstLine="0"/>
              <w:jc w:val="center"/>
              <w:rPr>
                <w:rFonts w:ascii="Verdana" w:hAnsi="Verdana"/>
                <w:b/>
                <w:sz w:val="16"/>
                <w:szCs w:val="16"/>
                <w:lang w:val="en-US"/>
              </w:rPr>
            </w:pPr>
            <w:r w:rsidRPr="00E3602D">
              <w:rPr>
                <w:rFonts w:ascii="Verdana" w:hAnsi="Verdana"/>
                <w:b/>
                <w:sz w:val="16"/>
                <w:szCs w:val="16"/>
                <w:lang w:val="en-US"/>
              </w:rPr>
              <w:t xml:space="preserve">Other Activities of the Hydrocarbons Industry </w:t>
            </w:r>
          </w:p>
        </w:tc>
      </w:tr>
      <w:tr w:rsidR="003B20AD" w:rsidRPr="00475A0C" w14:paraId="4222E28F" w14:textId="440933B0" w:rsidTr="007B36AB">
        <w:tc>
          <w:tcPr>
            <w:tcW w:w="4675" w:type="dxa"/>
          </w:tcPr>
          <w:p w14:paraId="70993F6B" w14:textId="77777777" w:rsidR="003B20AD" w:rsidRPr="00475A0C" w:rsidRDefault="003B20AD" w:rsidP="003B20AD">
            <w:pPr>
              <w:pStyle w:val="Texto"/>
              <w:spacing w:after="88"/>
              <w:ind w:firstLine="0"/>
              <w:jc w:val="center"/>
              <w:rPr>
                <w:rFonts w:ascii="Verdana" w:hAnsi="Verdana"/>
                <w:b/>
                <w:sz w:val="16"/>
                <w:szCs w:val="16"/>
              </w:rPr>
            </w:pPr>
            <w:r w:rsidRPr="00475A0C">
              <w:rPr>
                <w:rFonts w:ascii="Verdana" w:hAnsi="Verdana"/>
                <w:b/>
                <w:sz w:val="16"/>
                <w:szCs w:val="16"/>
              </w:rPr>
              <w:t>Capítulo I</w:t>
            </w:r>
          </w:p>
        </w:tc>
        <w:tc>
          <w:tcPr>
            <w:tcW w:w="4675" w:type="dxa"/>
          </w:tcPr>
          <w:p w14:paraId="3010C62C" w14:textId="14103F8F" w:rsidR="003B20AD" w:rsidRPr="00E3602D" w:rsidRDefault="003B20AD" w:rsidP="003B20AD">
            <w:pPr>
              <w:pStyle w:val="Texto"/>
              <w:spacing w:after="88"/>
              <w:ind w:firstLine="0"/>
              <w:jc w:val="center"/>
              <w:rPr>
                <w:rFonts w:ascii="Verdana" w:hAnsi="Verdana"/>
                <w:b/>
                <w:sz w:val="16"/>
                <w:szCs w:val="16"/>
                <w:lang w:val="en-US"/>
              </w:rPr>
            </w:pPr>
            <w:r w:rsidRPr="00E3602D">
              <w:rPr>
                <w:rFonts w:ascii="Verdana" w:hAnsi="Verdana"/>
                <w:b/>
                <w:sz w:val="16"/>
                <w:szCs w:val="16"/>
                <w:lang w:val="en-US"/>
              </w:rPr>
              <w:t>Chapter I</w:t>
            </w:r>
          </w:p>
        </w:tc>
      </w:tr>
      <w:tr w:rsidR="003B20AD" w:rsidRPr="00475A0C" w14:paraId="57C866AD" w14:textId="02980617" w:rsidTr="007B36AB">
        <w:tc>
          <w:tcPr>
            <w:tcW w:w="4675" w:type="dxa"/>
          </w:tcPr>
          <w:p w14:paraId="4F5A56FF" w14:textId="77777777" w:rsidR="003B20AD" w:rsidRPr="00475A0C" w:rsidRDefault="003B20AD" w:rsidP="003B20AD">
            <w:pPr>
              <w:pStyle w:val="Texto"/>
              <w:spacing w:after="88"/>
              <w:ind w:firstLine="0"/>
              <w:jc w:val="center"/>
              <w:rPr>
                <w:rFonts w:ascii="Verdana" w:hAnsi="Verdana"/>
                <w:b/>
                <w:sz w:val="16"/>
                <w:szCs w:val="16"/>
              </w:rPr>
            </w:pPr>
            <w:r w:rsidRPr="00475A0C">
              <w:rPr>
                <w:rFonts w:ascii="Verdana" w:hAnsi="Verdana"/>
                <w:b/>
                <w:sz w:val="16"/>
                <w:szCs w:val="16"/>
              </w:rPr>
              <w:t>De los Permisos</w:t>
            </w:r>
          </w:p>
        </w:tc>
        <w:tc>
          <w:tcPr>
            <w:tcW w:w="4675" w:type="dxa"/>
          </w:tcPr>
          <w:p w14:paraId="1D2E54BC" w14:textId="7E7E5D92" w:rsidR="003B20AD" w:rsidRPr="00E3602D" w:rsidRDefault="003B20AD" w:rsidP="003B20AD">
            <w:pPr>
              <w:pStyle w:val="Texto"/>
              <w:spacing w:after="88"/>
              <w:ind w:firstLine="0"/>
              <w:jc w:val="center"/>
              <w:rPr>
                <w:rFonts w:ascii="Verdana" w:hAnsi="Verdana"/>
                <w:b/>
                <w:sz w:val="16"/>
                <w:szCs w:val="16"/>
                <w:lang w:val="en-US"/>
              </w:rPr>
            </w:pPr>
            <w:r w:rsidRPr="00E3602D">
              <w:rPr>
                <w:rFonts w:ascii="Verdana" w:hAnsi="Verdana"/>
                <w:b/>
                <w:sz w:val="16"/>
                <w:szCs w:val="16"/>
                <w:lang w:val="en-US"/>
              </w:rPr>
              <w:t>Permits</w:t>
            </w:r>
          </w:p>
        </w:tc>
      </w:tr>
      <w:tr w:rsidR="003B20AD" w:rsidRPr="00475A0C" w14:paraId="35E7D759" w14:textId="5928817D" w:rsidTr="007B36AB">
        <w:tc>
          <w:tcPr>
            <w:tcW w:w="4675" w:type="dxa"/>
          </w:tcPr>
          <w:p w14:paraId="3E17E63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76.-</w:t>
            </w:r>
            <w:r w:rsidRPr="00475A0C">
              <w:rPr>
                <w:rFonts w:ascii="Verdana" w:hAnsi="Verdana"/>
                <w:sz w:val="16"/>
                <w:szCs w:val="16"/>
              </w:rPr>
              <w:t xml:space="preserve"> La realización de las actividades siguientes requiere de permiso:</w:t>
            </w:r>
          </w:p>
        </w:tc>
        <w:tc>
          <w:tcPr>
            <w:tcW w:w="4675" w:type="dxa"/>
          </w:tcPr>
          <w:p w14:paraId="01FC8775" w14:textId="4B95EE44"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76.- </w:t>
            </w:r>
            <w:r w:rsidRPr="00E3602D">
              <w:rPr>
                <w:rFonts w:ascii="Verdana" w:hAnsi="Verdana"/>
                <w:sz w:val="16"/>
                <w:szCs w:val="16"/>
                <w:lang w:val="en-US"/>
              </w:rPr>
              <w:t>The following activities require a permit:</w:t>
            </w:r>
          </w:p>
        </w:tc>
      </w:tr>
      <w:tr w:rsidR="003B20AD" w:rsidRPr="00475A0C" w14:paraId="3B9F327C" w14:textId="697A373C" w:rsidTr="007B36AB">
        <w:tc>
          <w:tcPr>
            <w:tcW w:w="4675" w:type="dxa"/>
          </w:tcPr>
          <w:p w14:paraId="1A3D457B"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10A5E2AC" w14:textId="5AC43BAC"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On the part of the Secretary of Energy:</w:t>
            </w:r>
          </w:p>
        </w:tc>
      </w:tr>
      <w:tr w:rsidR="003B20AD" w:rsidRPr="00475A0C" w14:paraId="46B6440D" w14:textId="381DBC2D" w:rsidTr="007B36AB">
        <w:tc>
          <w:tcPr>
            <w:tcW w:w="4675" w:type="dxa"/>
          </w:tcPr>
          <w:p w14:paraId="65609EB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Tratamiento, refinación, importación, exportación, Transporte, Almacenamiento y Comercialización de Petróleo;</w:t>
            </w:r>
          </w:p>
        </w:tc>
        <w:tc>
          <w:tcPr>
            <w:tcW w:w="4675" w:type="dxa"/>
          </w:tcPr>
          <w:p w14:paraId="67C8E3BC" w14:textId="7725804A"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Treatment, refining, import, export, transportation, storage and marketing of petroleum;</w:t>
            </w:r>
          </w:p>
        </w:tc>
      </w:tr>
      <w:tr w:rsidR="003B20AD" w:rsidRPr="00475A0C" w14:paraId="70DAFFD9" w14:textId="0F254F53" w:rsidTr="007B36AB">
        <w:tc>
          <w:tcPr>
            <w:tcW w:w="4675" w:type="dxa"/>
          </w:tcPr>
          <w:p w14:paraId="595D7193"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Importación y exportación de Gas Natural;</w:t>
            </w:r>
          </w:p>
        </w:tc>
        <w:tc>
          <w:tcPr>
            <w:tcW w:w="4675" w:type="dxa"/>
          </w:tcPr>
          <w:p w14:paraId="2560DDAC" w14:textId="74B78B18"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Import and export of Natural Gas;</w:t>
            </w:r>
          </w:p>
        </w:tc>
      </w:tr>
      <w:tr w:rsidR="003B20AD" w:rsidRPr="00475A0C" w14:paraId="448295EF" w14:textId="6177A7CE" w:rsidTr="007B36AB">
        <w:tc>
          <w:tcPr>
            <w:tcW w:w="4675" w:type="dxa"/>
          </w:tcPr>
          <w:p w14:paraId="1C9613CE"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Importación y exportación de Petrolíferos, y</w:t>
            </w:r>
          </w:p>
        </w:tc>
        <w:tc>
          <w:tcPr>
            <w:tcW w:w="4675" w:type="dxa"/>
          </w:tcPr>
          <w:p w14:paraId="466D63F9" w14:textId="40600D6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Import and export of petroleum products, and</w:t>
            </w:r>
          </w:p>
        </w:tc>
      </w:tr>
      <w:tr w:rsidR="003B20AD" w:rsidRPr="00475A0C" w14:paraId="1397DEEC" w14:textId="7CF796DD" w:rsidTr="007B36AB">
        <w:tc>
          <w:tcPr>
            <w:tcW w:w="4675" w:type="dxa"/>
          </w:tcPr>
          <w:p w14:paraId="60BED25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Importación y exportación de Petroquímicos.</w:t>
            </w:r>
          </w:p>
        </w:tc>
        <w:tc>
          <w:tcPr>
            <w:tcW w:w="4675" w:type="dxa"/>
          </w:tcPr>
          <w:p w14:paraId="41638748" w14:textId="3FF01C96"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Import and export of petrochemicals.</w:t>
            </w:r>
          </w:p>
        </w:tc>
      </w:tr>
      <w:tr w:rsidR="003B20AD" w:rsidRPr="00475A0C" w14:paraId="43A9E7F7" w14:textId="210B48A9" w:rsidTr="007B36AB">
        <w:tc>
          <w:tcPr>
            <w:tcW w:w="4675" w:type="dxa"/>
          </w:tcPr>
          <w:p w14:paraId="444FC79F"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Por parte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48EF4653" w14:textId="28FB343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On the part of the National Commission of Energy:</w:t>
            </w:r>
          </w:p>
        </w:tc>
      </w:tr>
      <w:tr w:rsidR="003B20AD" w:rsidRPr="00475A0C" w14:paraId="4EA89C0F" w14:textId="7C0369DA" w:rsidTr="007B36AB">
        <w:tc>
          <w:tcPr>
            <w:tcW w:w="4675" w:type="dxa"/>
          </w:tcPr>
          <w:p w14:paraId="6834DA53"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El procesamiento, licuefacción, regasificación, compresión, descompresión, Transporte, Almacenamiento, Distribución, Comercialización, y Expendio al Público de Gas Natural;</w:t>
            </w:r>
          </w:p>
        </w:tc>
        <w:tc>
          <w:tcPr>
            <w:tcW w:w="4675" w:type="dxa"/>
          </w:tcPr>
          <w:p w14:paraId="2A00CC81" w14:textId="12CCA0B7"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processing, liquefaction, regasification, compression, decompression, transportation, storage, distribution, marketing, and sale to the public of natural gas;</w:t>
            </w:r>
          </w:p>
        </w:tc>
      </w:tr>
      <w:tr w:rsidR="003B20AD" w:rsidRPr="00475A0C" w14:paraId="51E37682" w14:textId="19D91D17" w:rsidTr="007B36AB">
        <w:tc>
          <w:tcPr>
            <w:tcW w:w="4675" w:type="dxa"/>
          </w:tcPr>
          <w:p w14:paraId="3577D99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smartTag w:uri="urn:schemas-microsoft-com:office:smarttags" w:element="PersonName">
              <w:smartTagPr>
                <w:attr w:name="ProductID" w:val="La Formulación"/>
              </w:smartTagPr>
              <w:r w:rsidRPr="00475A0C">
                <w:rPr>
                  <w:rFonts w:ascii="Verdana" w:hAnsi="Verdana"/>
                  <w:sz w:val="16"/>
                  <w:szCs w:val="16"/>
                </w:rPr>
                <w:t>La Formulación</w:t>
              </w:r>
            </w:smartTag>
            <w:r w:rsidRPr="00475A0C">
              <w:rPr>
                <w:rFonts w:ascii="Verdana" w:hAnsi="Verdana"/>
                <w:sz w:val="16"/>
                <w:szCs w:val="16"/>
              </w:rPr>
              <w:t>, Transporte, Almacenamiento, Distribución, Comercialización, Expendio al Público y despacho para autoconsumo de Petrolíferos;</w:t>
            </w:r>
          </w:p>
        </w:tc>
        <w:tc>
          <w:tcPr>
            <w:tcW w:w="4675" w:type="dxa"/>
          </w:tcPr>
          <w:p w14:paraId="393DCCCE" w14:textId="08DBF6A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 formulation, transportation, storage, distribution, commercial distribution, public sale and dispatch for self-consumption of Petroleum Products;</w:t>
            </w:r>
          </w:p>
        </w:tc>
      </w:tr>
      <w:tr w:rsidR="003B20AD" w:rsidRPr="00475A0C" w14:paraId="056CCD00" w14:textId="40B61722" w:rsidTr="007B36AB">
        <w:tc>
          <w:tcPr>
            <w:tcW w:w="4675" w:type="dxa"/>
          </w:tcPr>
          <w:p w14:paraId="1E462E5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Transporte, Almacenamiento y Comercialización de Petroquímicos, y</w:t>
            </w:r>
          </w:p>
        </w:tc>
        <w:tc>
          <w:tcPr>
            <w:tcW w:w="4675" w:type="dxa"/>
          </w:tcPr>
          <w:p w14:paraId="24A25775" w14:textId="1C2A1A6C"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Transport, Storage and Commercial distribution of Petrochemicals, and</w:t>
            </w:r>
          </w:p>
        </w:tc>
      </w:tr>
      <w:tr w:rsidR="003B20AD" w:rsidRPr="00475A0C" w14:paraId="58ACC628" w14:textId="08E0F158" w:rsidTr="007B36AB">
        <w:tc>
          <w:tcPr>
            <w:tcW w:w="4675" w:type="dxa"/>
          </w:tcPr>
          <w:p w14:paraId="3A01231C"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La gestión de Sistemas Integrados.</w:t>
            </w:r>
          </w:p>
        </w:tc>
        <w:tc>
          <w:tcPr>
            <w:tcW w:w="4675" w:type="dxa"/>
          </w:tcPr>
          <w:p w14:paraId="38976342" w14:textId="6D94B577"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Integrated Systems Management.</w:t>
            </w:r>
          </w:p>
        </w:tc>
      </w:tr>
      <w:tr w:rsidR="003B20AD" w:rsidRPr="00475A0C" w14:paraId="273D40A4" w14:textId="027A5A25" w:rsidTr="007B36AB">
        <w:tc>
          <w:tcPr>
            <w:tcW w:w="4675" w:type="dxa"/>
          </w:tcPr>
          <w:p w14:paraId="773AD654"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 xml:space="preserve">Las personas Permisionarias de las actividades a las que se refiere este artículo deben cumplir con las obligaciones de entrega semanal de información relacionada con controles volumétricos, medición, calidad de los Hidrocarburos, Petrolíferos y Petroquímicos, objeto de los permisos respectivos, así como de las operaciones comerciales que realicen con clientes y proveedores, y cualquier otra información que las autoridades competentes requieran para fines de supervisión y estadísticos del sector energético, en los términos y condiciones que establezca el Reglamento de esta Ley y demás regulación aplicable, a fin de que ésta sea integrada a las plataformas de información electrónica que establezcan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demás autoridades competentes.</w:t>
            </w:r>
          </w:p>
        </w:tc>
        <w:tc>
          <w:tcPr>
            <w:tcW w:w="4675" w:type="dxa"/>
          </w:tcPr>
          <w:p w14:paraId="2AE0E8D4" w14:textId="40DE798D"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persons who are Permit holders of the activities referred to in this article must comply with the obligations of weekly delivery of information related to volumetric controls, measurement, quality of hydrocarbons, petroleum products and petrochemicals, object of the respective permits, as well as the commercial operations they carry out with clients and suppliers, and any other information that the appropriate authorities require for supervision and statistical purposes of the energy sector, under the terms and conditions established by the Regulation of this Law and other applicable regulations, so that it can be integrated into the electronic information platforms established by the Secretary of Energy and other appropriate authorities.</w:t>
            </w:r>
          </w:p>
        </w:tc>
      </w:tr>
      <w:tr w:rsidR="003B20AD" w:rsidRPr="00475A0C" w14:paraId="481BEE84" w14:textId="1DBB2A97" w:rsidTr="007B36AB">
        <w:tc>
          <w:tcPr>
            <w:tcW w:w="4675" w:type="dxa"/>
          </w:tcPr>
          <w:p w14:paraId="73E58B3F"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 xml:space="preserve">Asimismo, todas las dependencias y entidades de </w:t>
            </w:r>
            <w:smartTag w:uri="urn:schemas-microsoft-com:office:smarttags" w:element="PersonName">
              <w:smartTagPr>
                <w:attr w:name="ProductID" w:val="la Administración Pública"/>
              </w:smartTagPr>
              <w:r w:rsidRPr="00475A0C">
                <w:rPr>
                  <w:rFonts w:ascii="Verdana" w:hAnsi="Verdana"/>
                  <w:sz w:val="16"/>
                  <w:szCs w:val="16"/>
                </w:rPr>
                <w:t>la Administración Pública</w:t>
              </w:r>
            </w:smartTag>
            <w:r w:rsidRPr="00475A0C">
              <w:rPr>
                <w:rFonts w:ascii="Verdana" w:hAnsi="Verdana"/>
                <w:sz w:val="16"/>
                <w:szCs w:val="16"/>
              </w:rPr>
              <w:t xml:space="preserve"> Federal que cuenten con información relacionada con la supervisión y cumplimiento de obligaciones de los permisos a que se refiere el presente Título, deben compartir su información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 fin de que sea </w:t>
            </w:r>
            <w:r w:rsidRPr="00475A0C">
              <w:rPr>
                <w:rFonts w:ascii="Verdana" w:hAnsi="Verdana"/>
                <w:sz w:val="16"/>
                <w:szCs w:val="16"/>
              </w:rPr>
              <w:lastRenderedPageBreak/>
              <w:t>integrada a la plataforma de información electrónica que esta misma establezca, en términos de lo que establezca el Reglamento de esta Ley y demás regulación aplicable. Para efecto de lo previsto en el presente artículo, no son aplicables los secretos comercial, bancario, fiscal ni fiduciario.</w:t>
            </w:r>
          </w:p>
        </w:tc>
        <w:tc>
          <w:tcPr>
            <w:tcW w:w="4675" w:type="dxa"/>
          </w:tcPr>
          <w:p w14:paraId="305DAC23" w14:textId="67AC500B"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lastRenderedPageBreak/>
              <w:t xml:space="preserve">Furthermore, all federal agencies and entities of the Public Federal Administration that have information related to the supervision and compliance of permit obligations referred to in this Title must share their information with the Secretary of Energy so that it can be integrated into the electronic information platform </w:t>
            </w:r>
            <w:r w:rsidRPr="00E3602D">
              <w:rPr>
                <w:rFonts w:ascii="Verdana" w:hAnsi="Verdana"/>
                <w:sz w:val="16"/>
                <w:szCs w:val="16"/>
                <w:lang w:val="en-US"/>
              </w:rPr>
              <w:lastRenderedPageBreak/>
              <w:t>established by the latter, in accordance with the provisions of the Regulation of this Law and other applicable regulations. For the purposes of this article, trade, banking, tax, and fiduciary secrets are not applicable.</w:t>
            </w:r>
          </w:p>
        </w:tc>
      </w:tr>
      <w:tr w:rsidR="003B20AD" w:rsidRPr="00475A0C" w14:paraId="1C6D19F9" w14:textId="0941BE45" w:rsidTr="007B36AB">
        <w:tc>
          <w:tcPr>
            <w:tcW w:w="4675" w:type="dxa"/>
          </w:tcPr>
          <w:p w14:paraId="729A16E4"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lastRenderedPageBreak/>
              <w:t>La información a que se refieren los dos últimos párrafos debe tratarse en su administración, reserva y confidencialidad, de conformidad a lo que disponga la legislación aplicable en materia de transparencia, acceso a la información y datos personales.</w:t>
            </w:r>
          </w:p>
        </w:tc>
        <w:tc>
          <w:tcPr>
            <w:tcW w:w="4675" w:type="dxa"/>
          </w:tcPr>
          <w:p w14:paraId="3A2D0D79" w14:textId="73F738DF"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information referred to in the last two paragraphs must be treated in its administration, confidentiality, and confidentiality, in accordance with the provisions of applicable legislation on transparency, access to information, and personal data.</w:t>
            </w:r>
          </w:p>
        </w:tc>
      </w:tr>
      <w:tr w:rsidR="003B20AD" w:rsidRPr="00475A0C" w14:paraId="6E8947DF" w14:textId="4D534E00" w:rsidTr="007B36AB">
        <w:tc>
          <w:tcPr>
            <w:tcW w:w="4675" w:type="dxa"/>
          </w:tcPr>
          <w:p w14:paraId="208A23BA"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En el Reglamento de esta Ley se debe establecer la forma y mecanismos mediante los cuales las personas Permisionarias deben reportar semanalmente transacciones comerciales, inventarios y datos fiscales y regulatorios de sus proveedores, prestadores de servicios y clientes.</w:t>
            </w:r>
          </w:p>
        </w:tc>
        <w:tc>
          <w:tcPr>
            <w:tcW w:w="4675" w:type="dxa"/>
          </w:tcPr>
          <w:p w14:paraId="0FE43F0D" w14:textId="6E4DB20E"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regulations of this Law must establish the form and mechanisms by which permit holders must report weekly commercial transactions, inventories, and tax and regulatory data of their suppliers, service providers, and customers.</w:t>
            </w:r>
          </w:p>
        </w:tc>
      </w:tr>
      <w:tr w:rsidR="003B20AD" w:rsidRPr="00475A0C" w14:paraId="78448D8A" w14:textId="0ABABBF7" w:rsidTr="007B36AB">
        <w:tc>
          <w:tcPr>
            <w:tcW w:w="4675" w:type="dxa"/>
          </w:tcPr>
          <w:p w14:paraId="239723C9"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77.-</w:t>
            </w:r>
            <w:r w:rsidRPr="00475A0C">
              <w:rPr>
                <w:rFonts w:ascii="Verdana" w:hAnsi="Verdana"/>
                <w:sz w:val="16"/>
                <w:szCs w:val="16"/>
              </w:rPr>
              <w:t xml:space="preserve"> En el ejercicio de las facultades de supervisión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para verificar el cumplimiento de las obligaciones inherentes a los permisos, no son aplicables los secretos comercial, bancario, fiscal ni fiduciario.</w:t>
            </w:r>
          </w:p>
        </w:tc>
        <w:tc>
          <w:tcPr>
            <w:tcW w:w="4675" w:type="dxa"/>
          </w:tcPr>
          <w:p w14:paraId="38C9A622" w14:textId="2862FD60"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Article 77.- </w:t>
            </w:r>
            <w:r w:rsidRPr="00E3602D">
              <w:rPr>
                <w:rFonts w:ascii="Verdana" w:hAnsi="Verdana"/>
                <w:sz w:val="16"/>
                <w:szCs w:val="16"/>
                <w:lang w:val="en-US"/>
              </w:rPr>
              <w:t>In the exercise of the supervisory powers of the Secretary of Energy or the National Commission of Energy, to verify compliance with the obligations inherent to the permits, commercial, banking, tax or fiduciary secrets are not applicable.</w:t>
            </w:r>
          </w:p>
        </w:tc>
      </w:tr>
      <w:tr w:rsidR="003B20AD" w:rsidRPr="00475A0C" w14:paraId="30C29AB0" w14:textId="7259926E" w:rsidTr="007B36AB">
        <w:tc>
          <w:tcPr>
            <w:tcW w:w="4675" w:type="dxa"/>
          </w:tcPr>
          <w:p w14:paraId="78F6D7D2"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Lo anterior, sin perjuicio del tratamiento que las autoridades competentes deban tener respecto de dicha información en términos de la legislación aplicable.</w:t>
            </w:r>
          </w:p>
        </w:tc>
        <w:tc>
          <w:tcPr>
            <w:tcW w:w="4675" w:type="dxa"/>
          </w:tcPr>
          <w:p w14:paraId="71537B98" w14:textId="1B491352"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foregoing is without prejudice to the treatment that the appropriate authorities must have with respect to said information in terms of the applicable legislation.</w:t>
            </w:r>
          </w:p>
        </w:tc>
      </w:tr>
      <w:tr w:rsidR="003B20AD" w:rsidRPr="00475A0C" w14:paraId="20EAF62E" w14:textId="65C5317B" w:rsidTr="007B36AB">
        <w:tc>
          <w:tcPr>
            <w:tcW w:w="4675" w:type="dxa"/>
          </w:tcPr>
          <w:p w14:paraId="34B50E1B"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78.-</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pueden coordinarse con Petróleos Mexicanos o cualquier autoridad del Gobierno Federal, así como realizar convenios de colaboración y coordinación con autoridades de los tres órdenes de gobierno para que, en el ámbito de su competencia, supervisen, vigilen y verifiquen que las actividades reguladas en esta Ley se realicen sin perjuicio del interés público y social.</w:t>
            </w:r>
          </w:p>
        </w:tc>
        <w:tc>
          <w:tcPr>
            <w:tcW w:w="4675" w:type="dxa"/>
          </w:tcPr>
          <w:p w14:paraId="59082841" w14:textId="0C87D998"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Article 78.-.</w:t>
            </w:r>
            <w:r w:rsidRPr="00E3602D">
              <w:rPr>
                <w:rFonts w:ascii="Verdana" w:hAnsi="Verdana"/>
                <w:sz w:val="16"/>
                <w:szCs w:val="16"/>
                <w:lang w:val="en-US"/>
              </w:rPr>
              <w:t xml:space="preserve"> The Secretary of Energy or the National Commission of Energy may coordinate with Petróleos Mexicanos (Pemex) or any authority of the Federal Government, as well as enter into collaboration and coordination agreements with authorities of the three levels of government so that, within the scope of their authority, they supervise, monitor and verify that the activities regulated in this Law are carried out without prejudice to the public and social interest.</w:t>
            </w:r>
          </w:p>
        </w:tc>
      </w:tr>
      <w:tr w:rsidR="003B20AD" w:rsidRPr="00475A0C" w14:paraId="36E37E31" w14:textId="221EA9E9" w:rsidTr="007B36AB">
        <w:tc>
          <w:tcPr>
            <w:tcW w:w="4675" w:type="dxa"/>
          </w:tcPr>
          <w:p w14:paraId="70F30A6A"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79.</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 competencia y en ejercicio de las facultades de verificación o supervisión de las actividades reguladas, pueden imponer como medida precautoria, la suspensión provisional, de manera fundada y motivada, de la actividad permisionada de manera inmediata, cuando se presente alguno de los siguientes supuestos:</w:t>
            </w:r>
          </w:p>
        </w:tc>
        <w:tc>
          <w:tcPr>
            <w:tcW w:w="4675" w:type="dxa"/>
          </w:tcPr>
          <w:p w14:paraId="0D691D59" w14:textId="5D56D613"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Article 79.</w:t>
            </w:r>
            <w:r w:rsidRPr="00E3602D">
              <w:rPr>
                <w:rFonts w:ascii="Verdana" w:hAnsi="Verdana"/>
                <w:sz w:val="16"/>
                <w:szCs w:val="16"/>
                <w:lang w:val="en-US"/>
              </w:rPr>
              <w:t xml:space="preserve"> The Secretary of Energy or the National Commission of Energy, within the scope of their jurisdiction and in the exercise of the powers of verification or supervision of regulated activities, may impose as a precautionary measure, the provisional suspension, in a reasoned and motivated manner, of the permitted activity immediately, when any of the following situations occur:</w:t>
            </w:r>
          </w:p>
        </w:tc>
      </w:tr>
      <w:tr w:rsidR="003B20AD" w:rsidRPr="00475A0C" w14:paraId="7F4E2148" w14:textId="2C8D2A2D" w:rsidTr="007B36AB">
        <w:tc>
          <w:tcPr>
            <w:tcW w:w="4675" w:type="dxa"/>
          </w:tcPr>
          <w:p w14:paraId="506CF70A"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El permisionario no acredite de manera inmediata la legal procedencia del producto importado, exportado, transportado, comercializado, almacenado, distribuido o expendido;</w:t>
            </w:r>
          </w:p>
        </w:tc>
        <w:tc>
          <w:tcPr>
            <w:tcW w:w="4675" w:type="dxa"/>
          </w:tcPr>
          <w:p w14:paraId="3E97C728" w14:textId="0A31F809"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permit holder does not immediately prove the legal origin of the imported, exported, transported, marketed, stored, distributed or sold product;</w:t>
            </w:r>
          </w:p>
        </w:tc>
      </w:tr>
      <w:tr w:rsidR="003B20AD" w:rsidRPr="00475A0C" w14:paraId="3B8FB042" w14:textId="01726B0A" w:rsidTr="007B36AB">
        <w:tc>
          <w:tcPr>
            <w:tcW w:w="4675" w:type="dxa"/>
          </w:tcPr>
          <w:p w14:paraId="735FC183"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Existan indicios de afectación a la persona Usuaria Final, por el producto importado, exportado, transportado, comercializado, almacenado, distribuido o expendido;</w:t>
            </w:r>
          </w:p>
        </w:tc>
        <w:tc>
          <w:tcPr>
            <w:tcW w:w="4675" w:type="dxa"/>
          </w:tcPr>
          <w:p w14:paraId="1D81102A" w14:textId="3A051636"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There are indications of harm to the End User due to the imported, exported, transported, marketed, stored, distributed or sold product;</w:t>
            </w:r>
          </w:p>
        </w:tc>
      </w:tr>
      <w:tr w:rsidR="003B20AD" w:rsidRPr="00475A0C" w14:paraId="78A8DA57" w14:textId="28E58D23" w:rsidTr="007B36AB">
        <w:tc>
          <w:tcPr>
            <w:tcW w:w="4675" w:type="dxa"/>
          </w:tcPr>
          <w:p w14:paraId="12699C96"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Existan indicios de alteración o adulteración del producto importado, transportado, comercializado, almacenado, distribuido o expendido;</w:t>
            </w:r>
          </w:p>
        </w:tc>
        <w:tc>
          <w:tcPr>
            <w:tcW w:w="4675" w:type="dxa"/>
          </w:tcPr>
          <w:p w14:paraId="096449FD" w14:textId="7031DE25"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There are indications of alteration or adulteration of the imported, transported, marketed, stored, distributed or sold product;</w:t>
            </w:r>
          </w:p>
        </w:tc>
      </w:tr>
      <w:tr w:rsidR="003B20AD" w:rsidRPr="00475A0C" w14:paraId="5ABBDA1F" w14:textId="77C81EE4" w:rsidTr="007B36AB">
        <w:tc>
          <w:tcPr>
            <w:tcW w:w="4675" w:type="dxa"/>
          </w:tcPr>
          <w:p w14:paraId="00CD3020"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 xml:space="preserve">Existan indicios de prácticas que propicien el mercado ilícito o el contrabando de Hidrocarburos, </w:t>
            </w:r>
            <w:r w:rsidRPr="00475A0C">
              <w:rPr>
                <w:rFonts w:ascii="Verdana" w:hAnsi="Verdana"/>
                <w:sz w:val="16"/>
                <w:szCs w:val="16"/>
              </w:rPr>
              <w:lastRenderedPageBreak/>
              <w:t>Petrolíferos y Petroquímicos o cualquier otro delito relacionado con la materia de hidrocarburos, y</w:t>
            </w:r>
          </w:p>
        </w:tc>
        <w:tc>
          <w:tcPr>
            <w:tcW w:w="4675" w:type="dxa"/>
          </w:tcPr>
          <w:p w14:paraId="53560D5C" w14:textId="44242B0D"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lastRenderedPageBreak/>
              <w:t xml:space="preserve">d) </w:t>
            </w:r>
            <w:r w:rsidRPr="00E3602D">
              <w:rPr>
                <w:rFonts w:ascii="Verdana" w:hAnsi="Verdana"/>
                <w:b/>
                <w:sz w:val="16"/>
                <w:szCs w:val="16"/>
                <w:lang w:val="en-US"/>
              </w:rPr>
              <w:tab/>
            </w:r>
            <w:r w:rsidRPr="00E3602D">
              <w:rPr>
                <w:rFonts w:ascii="Verdana" w:hAnsi="Verdana"/>
                <w:sz w:val="16"/>
                <w:szCs w:val="16"/>
                <w:lang w:val="en-US"/>
              </w:rPr>
              <w:t xml:space="preserve">There are indications of practices that promote the illicit market or smuggling of hydrocarbons, </w:t>
            </w:r>
            <w:r w:rsidRPr="00E3602D">
              <w:rPr>
                <w:rFonts w:ascii="Verdana" w:hAnsi="Verdana"/>
                <w:sz w:val="16"/>
                <w:szCs w:val="16"/>
                <w:lang w:val="en-US"/>
              </w:rPr>
              <w:lastRenderedPageBreak/>
              <w:t>petroleum products and petrochemicals or any other crime related to hydrocarbons, and</w:t>
            </w:r>
          </w:p>
        </w:tc>
      </w:tr>
      <w:tr w:rsidR="003B20AD" w:rsidRPr="00475A0C" w14:paraId="1C4BB45E" w14:textId="58B34A9A" w:rsidTr="007B36AB">
        <w:tc>
          <w:tcPr>
            <w:tcW w:w="4675" w:type="dxa"/>
          </w:tcPr>
          <w:p w14:paraId="73ABAE54"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lastRenderedPageBreak/>
              <w:t>e)</w:t>
            </w:r>
            <w:r w:rsidRPr="00475A0C">
              <w:rPr>
                <w:rFonts w:ascii="Verdana" w:hAnsi="Verdana"/>
                <w:b/>
                <w:sz w:val="16"/>
                <w:szCs w:val="16"/>
              </w:rPr>
              <w:tab/>
            </w:r>
            <w:r w:rsidRPr="00475A0C">
              <w:rPr>
                <w:rFonts w:ascii="Verdana" w:hAnsi="Verdana"/>
                <w:sz w:val="16"/>
                <w:szCs w:val="16"/>
              </w:rPr>
              <w:t>Existan indicios de que, como resultado de las actividades permisionadas, se ponga en peligro la vida o la salud de las personas, la seguridad pública, el medio ambiente, la seguridad de las instalaciones o los bienes de la población.</w:t>
            </w:r>
          </w:p>
        </w:tc>
        <w:tc>
          <w:tcPr>
            <w:tcW w:w="4675" w:type="dxa"/>
          </w:tcPr>
          <w:p w14:paraId="7141D58D" w14:textId="3A946412"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There are indications that, as a result of the permitted activities, the life or health of people, public safety, the environment, the security of facilities or the property of the population are endangered.</w:t>
            </w:r>
          </w:p>
        </w:tc>
      </w:tr>
      <w:tr w:rsidR="003B20AD" w:rsidRPr="00475A0C" w14:paraId="5965729E" w14:textId="236D5203" w:rsidTr="007B36AB">
        <w:tc>
          <w:tcPr>
            <w:tcW w:w="4675" w:type="dxa"/>
          </w:tcPr>
          <w:p w14:paraId="1F534AB3"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La suspensión surte efectos de manera inmediata y hasta en tanto no se desvirtúen las causas que dan origen a la medida cautelar impuesta, mediante el procedimiento administrativo correspondiente de conformidad con las disposiciones jurídicas aplicables.</w:t>
            </w:r>
          </w:p>
        </w:tc>
        <w:tc>
          <w:tcPr>
            <w:tcW w:w="4675" w:type="dxa"/>
          </w:tcPr>
          <w:p w14:paraId="33F00240" w14:textId="69CFD1EA"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suspension takes effect immediately and until the reasons for the precautionary measure imposed are refuted through the corresponding administrative procedure in accordance with the applicable legal provisions.</w:t>
            </w:r>
          </w:p>
        </w:tc>
      </w:tr>
      <w:tr w:rsidR="003B20AD" w:rsidRPr="00475A0C" w14:paraId="08FBAE67" w14:textId="6BAB2648" w:rsidTr="007B36AB">
        <w:tc>
          <w:tcPr>
            <w:tcW w:w="4675" w:type="dxa"/>
          </w:tcPr>
          <w:p w14:paraId="23EAFD14"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La autoridad que imponga la suspensión provisional debe iniciar los procedimientos administrativos que correspondan en un plazo no mayor de quince días naturales contados a partir de que se hayan impuesto las medidas correspondientes.</w:t>
            </w:r>
          </w:p>
        </w:tc>
        <w:tc>
          <w:tcPr>
            <w:tcW w:w="4675" w:type="dxa"/>
          </w:tcPr>
          <w:p w14:paraId="1FE89729" w14:textId="64B4F3DE"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The authority imposing the provisional suspension must initiate the appropriate administrative procedures within a period of no more than fifteen calendar days from the date the corresponding measures have been imposed.</w:t>
            </w:r>
          </w:p>
        </w:tc>
      </w:tr>
      <w:tr w:rsidR="003B20AD" w:rsidRPr="00475A0C" w14:paraId="509C19D4" w14:textId="4A157C0B" w:rsidTr="007B36AB">
        <w:tc>
          <w:tcPr>
            <w:tcW w:w="4675" w:type="dxa"/>
          </w:tcPr>
          <w:p w14:paraId="3A5E597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 xml:space="preserve">La Secretaría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al momento de imponer como medida cautelar la suspensión provisional, o sanción derivada de una resolución, de las actividades permisionadas, pueden solicitar el apoyo de otras autoridades en los tres niveles de gobierno, para que, en el ámbito de sus atribuciones, realicen las acciones necesarias para impedir que se continúe realizando la actividad permisionada.</w:t>
            </w:r>
          </w:p>
        </w:tc>
        <w:tc>
          <w:tcPr>
            <w:tcW w:w="4675" w:type="dxa"/>
          </w:tcPr>
          <w:p w14:paraId="3544901B" w14:textId="78CBEE08"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 xml:space="preserve">When imposing a provisional suspension or sanction resulting from a resolution on permitted activities, the </w:t>
            </w:r>
            <w:r w:rsidRPr="00E3602D">
              <w:rPr>
                <w:rFonts w:ascii="Verdana" w:hAnsi="Verdana"/>
                <w:sz w:val="16"/>
                <w:szCs w:val="16"/>
                <w:lang w:val="en-US"/>
              </w:rPr>
              <w:t xml:space="preserve">Secretary </w:t>
            </w:r>
            <w:r w:rsidRPr="00E3602D">
              <w:rPr>
                <w:rFonts w:ascii="Verdana" w:hAnsi="Verdana"/>
                <w:sz w:val="16"/>
                <w:szCs w:val="16"/>
                <w:lang w:val="en-US"/>
              </w:rPr>
              <w:t xml:space="preserve">of Energy and the </w:t>
            </w:r>
            <w:r w:rsidRPr="00E3602D">
              <w:rPr>
                <w:rFonts w:ascii="Verdana" w:hAnsi="Verdana"/>
                <w:sz w:val="16"/>
                <w:szCs w:val="16"/>
                <w:lang w:val="en-US"/>
              </w:rPr>
              <w:t>National Commission of Energy</w:t>
            </w:r>
            <w:r w:rsidRPr="00E3602D">
              <w:rPr>
                <w:rFonts w:ascii="Verdana" w:hAnsi="Verdana"/>
                <w:sz w:val="16"/>
                <w:szCs w:val="16"/>
                <w:lang w:val="en-US"/>
              </w:rPr>
              <w:t xml:space="preserve"> may request the support of other authorities at all three levels of government, within the scope of their powers, to take the necessary actions to prevent the permitted activity from continuing.</w:t>
            </w:r>
          </w:p>
        </w:tc>
      </w:tr>
      <w:tr w:rsidR="003B20AD" w:rsidRPr="00475A0C" w14:paraId="4A9961B2" w14:textId="73230256" w:rsidTr="007B36AB">
        <w:tc>
          <w:tcPr>
            <w:tcW w:w="4675" w:type="dxa"/>
          </w:tcPr>
          <w:p w14:paraId="0F97B8C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80.-</w:t>
            </w:r>
            <w:r w:rsidRPr="00475A0C">
              <w:rPr>
                <w:rFonts w:ascii="Verdana" w:hAnsi="Verdana"/>
                <w:sz w:val="16"/>
                <w:szCs w:val="16"/>
              </w:rPr>
              <w:t xml:space="preserve"> Las personas interesadas en obtener los permisos a que se refiere este Título, deben presentar la solicitud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misma que debe contener al menos:</w:t>
            </w:r>
          </w:p>
        </w:tc>
        <w:tc>
          <w:tcPr>
            <w:tcW w:w="4675" w:type="dxa"/>
          </w:tcPr>
          <w:p w14:paraId="211D8672" w14:textId="3AB6B7CC"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Article 80.- </w:t>
            </w:r>
            <w:r w:rsidRPr="00E3602D">
              <w:rPr>
                <w:rFonts w:ascii="Verdana" w:hAnsi="Verdana"/>
                <w:sz w:val="16"/>
                <w:szCs w:val="16"/>
                <w:lang w:val="en-US"/>
              </w:rPr>
              <w:t>The persons interested in obtaining the permits referred to in this Title must submit the application to the Secretary of Energy or the National Commission of Energy, as appropriate, which must contain at least:</w:t>
            </w:r>
          </w:p>
        </w:tc>
      </w:tr>
      <w:tr w:rsidR="003B20AD" w:rsidRPr="00475A0C" w14:paraId="03D48444" w14:textId="47343094" w:rsidTr="007B36AB">
        <w:tc>
          <w:tcPr>
            <w:tcW w:w="4675" w:type="dxa"/>
          </w:tcPr>
          <w:p w14:paraId="7945BF9B"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Nombre, denominación o razón social, de la persona solicitante;</w:t>
            </w:r>
          </w:p>
        </w:tc>
        <w:tc>
          <w:tcPr>
            <w:tcW w:w="4675" w:type="dxa"/>
          </w:tcPr>
          <w:p w14:paraId="3838707D" w14:textId="231D2A6F"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Name, corporate or company name of the applicant;</w:t>
            </w:r>
          </w:p>
        </w:tc>
      </w:tr>
      <w:tr w:rsidR="003B20AD" w:rsidRPr="00475A0C" w14:paraId="391F4A51" w14:textId="2C27E65E" w:rsidTr="007B36AB">
        <w:tc>
          <w:tcPr>
            <w:tcW w:w="4675" w:type="dxa"/>
          </w:tcPr>
          <w:p w14:paraId="0AE2C7FF"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Domicilio fiscal y domicilio para oír y recibir notificaciones, así como nombre de la persona o personas autorizadas para recibirlas;</w:t>
            </w:r>
          </w:p>
        </w:tc>
        <w:tc>
          <w:tcPr>
            <w:tcW w:w="4675" w:type="dxa"/>
          </w:tcPr>
          <w:p w14:paraId="11BD6531" w14:textId="096B79DE"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Tax address and address for hearing and receiving notifications, as well as the name of the person or persons authorized to receive them;</w:t>
            </w:r>
          </w:p>
        </w:tc>
      </w:tr>
      <w:tr w:rsidR="003B20AD" w:rsidRPr="00475A0C" w14:paraId="5305B8B3" w14:textId="679AA2DB" w:rsidTr="007B36AB">
        <w:tc>
          <w:tcPr>
            <w:tcW w:w="4675" w:type="dxa"/>
          </w:tcPr>
          <w:p w14:paraId="0072E69D"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Opinión del cumplimiento de obligaciones fiscales en sentido positivo, emitida por el Servicio de Administración Tributaria, de la persona solicitante y de su representante legal;</w:t>
            </w:r>
          </w:p>
        </w:tc>
        <w:tc>
          <w:tcPr>
            <w:tcW w:w="4675" w:type="dxa"/>
          </w:tcPr>
          <w:p w14:paraId="3266AC5D" w14:textId="45B2E37C"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Opinion on the compliance with tax obligations in a positive sense, issued by the Tax Administration Service, of the applicant and his or her legal representative;</w:t>
            </w:r>
          </w:p>
        </w:tc>
      </w:tr>
      <w:tr w:rsidR="003B20AD" w:rsidRPr="00475A0C" w14:paraId="0F1B7744" w14:textId="587A7008" w:rsidTr="007B36AB">
        <w:tc>
          <w:tcPr>
            <w:tcW w:w="4675" w:type="dxa"/>
          </w:tcPr>
          <w:p w14:paraId="1D8B968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IV.</w:t>
            </w:r>
            <w:r w:rsidRPr="00475A0C">
              <w:rPr>
                <w:rFonts w:ascii="Verdana" w:hAnsi="Verdana"/>
                <w:b/>
                <w:sz w:val="16"/>
                <w:szCs w:val="16"/>
              </w:rPr>
              <w:tab/>
            </w:r>
            <w:r w:rsidRPr="00475A0C">
              <w:rPr>
                <w:rFonts w:ascii="Verdana" w:hAnsi="Verdana"/>
                <w:sz w:val="16"/>
                <w:szCs w:val="16"/>
              </w:rPr>
              <w:t>Manifestación bajo protesta de decir verdad que no se encuentra en el Directorio de licitantes proveedores y contratistas sancionados;</w:t>
            </w:r>
          </w:p>
        </w:tc>
        <w:tc>
          <w:tcPr>
            <w:tcW w:w="4675" w:type="dxa"/>
          </w:tcPr>
          <w:p w14:paraId="6C28B8D9" w14:textId="2B6E1ECA"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b/>
                <w:sz w:val="16"/>
                <w:szCs w:val="16"/>
                <w:lang w:val="en-US"/>
              </w:rPr>
              <w:tab/>
            </w:r>
            <w:r w:rsidRPr="00E3602D">
              <w:rPr>
                <w:rFonts w:ascii="Verdana" w:hAnsi="Verdana"/>
                <w:sz w:val="16"/>
                <w:szCs w:val="16"/>
                <w:lang w:val="en-US"/>
              </w:rPr>
              <w:t>Declaration under oath that he or she is not listed in the Directory of sanctioned bidders, suppliers and contractors;</w:t>
            </w:r>
          </w:p>
        </w:tc>
      </w:tr>
      <w:tr w:rsidR="003B20AD" w:rsidRPr="00475A0C" w14:paraId="471D7D0F" w14:textId="2060989B" w:rsidTr="007B36AB">
        <w:tc>
          <w:tcPr>
            <w:tcW w:w="4675" w:type="dxa"/>
          </w:tcPr>
          <w:p w14:paraId="2BBB2F97"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V.</w:t>
            </w:r>
            <w:r w:rsidRPr="00475A0C">
              <w:rPr>
                <w:rFonts w:ascii="Verdana" w:hAnsi="Verdana"/>
                <w:b/>
                <w:sz w:val="16"/>
                <w:szCs w:val="16"/>
              </w:rPr>
              <w:tab/>
            </w:r>
            <w:r w:rsidRPr="00475A0C">
              <w:rPr>
                <w:rFonts w:ascii="Verdana" w:hAnsi="Verdana"/>
                <w:sz w:val="16"/>
                <w:szCs w:val="16"/>
              </w:rPr>
              <w:t>En su caso, documentación que acredite la propiedad o posesión legítima del predio en el que se lleve a cabo la actividad permisionada;</w:t>
            </w:r>
          </w:p>
        </w:tc>
        <w:tc>
          <w:tcPr>
            <w:tcW w:w="4675" w:type="dxa"/>
          </w:tcPr>
          <w:p w14:paraId="34CB342C" w14:textId="300EE457"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b/>
                <w:sz w:val="16"/>
                <w:szCs w:val="16"/>
                <w:lang w:val="en-US"/>
              </w:rPr>
              <w:tab/>
            </w:r>
            <w:r w:rsidRPr="00E3602D">
              <w:rPr>
                <w:rFonts w:ascii="Verdana" w:hAnsi="Verdana"/>
                <w:sz w:val="16"/>
                <w:szCs w:val="16"/>
                <w:lang w:val="en-US"/>
              </w:rPr>
              <w:t>Where applicable, documentation proving ownership or legitimate possession of the property on which the permitted activity is carried out;</w:t>
            </w:r>
          </w:p>
        </w:tc>
      </w:tr>
      <w:tr w:rsidR="003B20AD" w:rsidRPr="00475A0C" w14:paraId="0E6363E8" w14:textId="1D912789" w:rsidTr="007B36AB">
        <w:tc>
          <w:tcPr>
            <w:tcW w:w="4675" w:type="dxa"/>
          </w:tcPr>
          <w:p w14:paraId="5153940C"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Especificaciones técnicas del proyecto;</w:t>
            </w:r>
          </w:p>
        </w:tc>
        <w:tc>
          <w:tcPr>
            <w:tcW w:w="4675" w:type="dxa"/>
          </w:tcPr>
          <w:p w14:paraId="64A66D83" w14:textId="465AA47D"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Technical specifications of the project;</w:t>
            </w:r>
          </w:p>
        </w:tc>
      </w:tr>
      <w:tr w:rsidR="003B20AD" w:rsidRPr="00475A0C" w14:paraId="133CD71B" w14:textId="4725D680" w:rsidTr="007B36AB">
        <w:tc>
          <w:tcPr>
            <w:tcW w:w="4675" w:type="dxa"/>
          </w:tcPr>
          <w:p w14:paraId="15FC8311"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Dirección y ubicación geo-referenciada de las instalaciones sujetas a permiso;</w:t>
            </w:r>
          </w:p>
        </w:tc>
        <w:tc>
          <w:tcPr>
            <w:tcW w:w="4675" w:type="dxa"/>
          </w:tcPr>
          <w:p w14:paraId="11A2BBEE" w14:textId="1E6522CF"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Address and geo-referenced location of the facilities subject to permit;</w:t>
            </w:r>
          </w:p>
        </w:tc>
      </w:tr>
      <w:tr w:rsidR="003B20AD" w:rsidRPr="00475A0C" w14:paraId="5A51DC56" w14:textId="5B05838C" w:rsidTr="007B36AB">
        <w:tc>
          <w:tcPr>
            <w:tcW w:w="4675" w:type="dxa"/>
          </w:tcPr>
          <w:p w14:paraId="2014D591"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VIII.</w:t>
            </w:r>
            <w:r w:rsidRPr="00475A0C">
              <w:rPr>
                <w:rFonts w:ascii="Verdana" w:hAnsi="Verdana"/>
                <w:b/>
                <w:sz w:val="16"/>
                <w:szCs w:val="16"/>
              </w:rPr>
              <w:tab/>
            </w:r>
            <w:r w:rsidRPr="00475A0C">
              <w:rPr>
                <w:rFonts w:ascii="Verdana" w:hAnsi="Verdana"/>
                <w:sz w:val="16"/>
                <w:szCs w:val="16"/>
              </w:rPr>
              <w:t>Monto de inversión estimado del proyecto, en pesos mexicanos;</w:t>
            </w:r>
          </w:p>
        </w:tc>
        <w:tc>
          <w:tcPr>
            <w:tcW w:w="4675" w:type="dxa"/>
          </w:tcPr>
          <w:p w14:paraId="7D947AAE" w14:textId="28F5190C"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b/>
                <w:sz w:val="16"/>
                <w:szCs w:val="16"/>
                <w:lang w:val="en-US"/>
              </w:rPr>
              <w:tab/>
            </w:r>
            <w:r w:rsidRPr="00E3602D">
              <w:rPr>
                <w:rFonts w:ascii="Verdana" w:hAnsi="Verdana"/>
                <w:sz w:val="16"/>
                <w:szCs w:val="16"/>
                <w:lang w:val="en-US"/>
              </w:rPr>
              <w:t>Estimated investment amount of the project, in Mexican pesos;</w:t>
            </w:r>
          </w:p>
        </w:tc>
      </w:tr>
      <w:tr w:rsidR="003B20AD" w:rsidRPr="00475A0C" w14:paraId="4781CA40" w14:textId="7A649663" w:rsidTr="007B36AB">
        <w:tc>
          <w:tcPr>
            <w:tcW w:w="4675" w:type="dxa"/>
          </w:tcPr>
          <w:p w14:paraId="117EC615"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IX.</w:t>
            </w:r>
            <w:r w:rsidRPr="00475A0C">
              <w:rPr>
                <w:rFonts w:ascii="Verdana" w:hAnsi="Verdana"/>
                <w:b/>
                <w:sz w:val="16"/>
                <w:szCs w:val="16"/>
              </w:rPr>
              <w:tab/>
            </w:r>
            <w:r w:rsidRPr="00475A0C">
              <w:rPr>
                <w:rFonts w:ascii="Verdana" w:hAnsi="Verdana"/>
                <w:sz w:val="16"/>
                <w:szCs w:val="16"/>
              </w:rPr>
              <w:t>Manifestación bajo protesta de decir verdad que tiene conocimiento del marco regulatorio aplicable a la actividad a desarrollar, y se compromete a cumplirlo;</w:t>
            </w:r>
          </w:p>
        </w:tc>
        <w:tc>
          <w:tcPr>
            <w:tcW w:w="4675" w:type="dxa"/>
          </w:tcPr>
          <w:p w14:paraId="7FEA5669" w14:textId="6CDC1212"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b/>
                <w:sz w:val="16"/>
                <w:szCs w:val="16"/>
                <w:lang w:val="en-US"/>
              </w:rPr>
              <w:tab/>
            </w:r>
            <w:r w:rsidRPr="00E3602D">
              <w:rPr>
                <w:rFonts w:ascii="Verdana" w:hAnsi="Verdana"/>
                <w:sz w:val="16"/>
                <w:szCs w:val="16"/>
                <w:lang w:val="en-US"/>
              </w:rPr>
              <w:t>Declaration under oath that he or she is aware of the regulatory framework applicable to the activity to be carried out, and undertakes to comply with it;</w:t>
            </w:r>
          </w:p>
        </w:tc>
      </w:tr>
      <w:tr w:rsidR="003B20AD" w:rsidRPr="00475A0C" w14:paraId="766B2F7A" w14:textId="1C2E2849" w:rsidTr="007B36AB">
        <w:tc>
          <w:tcPr>
            <w:tcW w:w="4675" w:type="dxa"/>
          </w:tcPr>
          <w:p w14:paraId="5938E30C"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lastRenderedPageBreak/>
              <w:t>X.</w:t>
            </w:r>
            <w:r w:rsidRPr="00475A0C">
              <w:rPr>
                <w:rFonts w:ascii="Verdana" w:hAnsi="Verdana"/>
                <w:b/>
                <w:sz w:val="16"/>
                <w:szCs w:val="16"/>
              </w:rPr>
              <w:tab/>
            </w:r>
            <w:r w:rsidRPr="00475A0C">
              <w:rPr>
                <w:rFonts w:ascii="Verdana" w:hAnsi="Verdana"/>
                <w:sz w:val="16"/>
                <w:szCs w:val="16"/>
              </w:rPr>
              <w:t xml:space="preserve">Manifestación bajo protesta de decir verdad de que no se ubican en la relación de contribuyentes con operaciones presuntamente inexistentes al que se refiere el artículo 69-B del Código Fiscal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w:t>
            </w:r>
          </w:p>
        </w:tc>
        <w:tc>
          <w:tcPr>
            <w:tcW w:w="4675" w:type="dxa"/>
          </w:tcPr>
          <w:p w14:paraId="31CC49F8" w14:textId="0A8E771C"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b/>
                <w:sz w:val="16"/>
                <w:szCs w:val="16"/>
                <w:lang w:val="en-US"/>
              </w:rPr>
              <w:tab/>
            </w:r>
            <w:r w:rsidRPr="00E3602D">
              <w:rPr>
                <w:rFonts w:ascii="Verdana" w:hAnsi="Verdana"/>
                <w:sz w:val="16"/>
                <w:szCs w:val="16"/>
                <w:lang w:val="en-US"/>
              </w:rPr>
              <w:t>Declaration under oath that they are not included in the list of taxpayers with presumably non-existent operations referred to in article 69-B of the Tax Code of the Federation;</w:t>
            </w:r>
          </w:p>
        </w:tc>
      </w:tr>
      <w:tr w:rsidR="003B20AD" w:rsidRPr="00475A0C" w14:paraId="47A70E63" w14:textId="2FF3A0B0" w:rsidTr="007B36AB">
        <w:tc>
          <w:tcPr>
            <w:tcW w:w="4675" w:type="dxa"/>
          </w:tcPr>
          <w:p w14:paraId="09095FA6"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XI.</w:t>
            </w:r>
            <w:r w:rsidRPr="00475A0C">
              <w:rPr>
                <w:rFonts w:ascii="Verdana" w:hAnsi="Verdana"/>
                <w:b/>
                <w:sz w:val="16"/>
                <w:szCs w:val="16"/>
              </w:rPr>
              <w:tab/>
            </w:r>
            <w:r w:rsidRPr="00475A0C">
              <w:rPr>
                <w:rFonts w:ascii="Verdana" w:hAnsi="Verdana"/>
                <w:sz w:val="16"/>
                <w:szCs w:val="16"/>
              </w:rPr>
              <w:t>En caso de ser Persona Moral:</w:t>
            </w:r>
          </w:p>
        </w:tc>
        <w:tc>
          <w:tcPr>
            <w:tcW w:w="4675" w:type="dxa"/>
          </w:tcPr>
          <w:p w14:paraId="3068567B" w14:textId="33660EA5"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b/>
                <w:sz w:val="16"/>
                <w:szCs w:val="16"/>
                <w:lang w:val="en-US"/>
              </w:rPr>
              <w:tab/>
            </w:r>
            <w:r w:rsidRPr="00E3602D">
              <w:rPr>
                <w:rFonts w:ascii="Verdana" w:hAnsi="Verdana"/>
                <w:sz w:val="16"/>
                <w:szCs w:val="16"/>
                <w:lang w:val="en-US"/>
              </w:rPr>
              <w:t>In the case of being a legal entity:</w:t>
            </w:r>
          </w:p>
        </w:tc>
      </w:tr>
      <w:tr w:rsidR="003B20AD" w:rsidRPr="00475A0C" w14:paraId="1C40C427" w14:textId="1041AB92" w:rsidTr="007B36AB">
        <w:tc>
          <w:tcPr>
            <w:tcW w:w="4675" w:type="dxa"/>
          </w:tcPr>
          <w:p w14:paraId="6EDFD6CF"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Instrumento notarial que acredite su legal constitución y que su objeto social está relacionado con la actividad para la cual solicita el permiso;</w:t>
            </w:r>
          </w:p>
        </w:tc>
        <w:tc>
          <w:tcPr>
            <w:tcW w:w="4675" w:type="dxa"/>
          </w:tcPr>
          <w:p w14:paraId="425FA6ED" w14:textId="4273AB4D"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Notarial instrument that proves its legal constitution and that its corporate purpose is related to the activity for which the permit is requested;</w:t>
            </w:r>
          </w:p>
        </w:tc>
      </w:tr>
      <w:tr w:rsidR="003B20AD" w:rsidRPr="00475A0C" w14:paraId="708D0685" w14:textId="62023B1D" w:rsidTr="007B36AB">
        <w:tc>
          <w:tcPr>
            <w:tcW w:w="4675" w:type="dxa"/>
          </w:tcPr>
          <w:p w14:paraId="7BB1D6D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Instrumento notarial en donde conste el poder otorgado a su representante o persona apoderada legal y sus facultades, así como su identificación oficial;</w:t>
            </w:r>
          </w:p>
        </w:tc>
        <w:tc>
          <w:tcPr>
            <w:tcW w:w="4675" w:type="dxa"/>
          </w:tcPr>
          <w:p w14:paraId="0AA2A37A" w14:textId="0DA2CD3C"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Notarial instrument stating the power granted by the representative or an empowered representative and their powers, as well as their official identification;</w:t>
            </w:r>
          </w:p>
        </w:tc>
      </w:tr>
      <w:tr w:rsidR="003B20AD" w:rsidRPr="00475A0C" w14:paraId="4DC700C1" w14:textId="77E62826" w:rsidTr="007B36AB">
        <w:tc>
          <w:tcPr>
            <w:tcW w:w="4675" w:type="dxa"/>
          </w:tcPr>
          <w:p w14:paraId="6D401087"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Cédula de inscripción en el Registro Federal de Contribuyentes de la persona solicitante y de su representante o persona apoderada legal, y</w:t>
            </w:r>
          </w:p>
        </w:tc>
        <w:tc>
          <w:tcPr>
            <w:tcW w:w="4675" w:type="dxa"/>
          </w:tcPr>
          <w:p w14:paraId="539F3C67" w14:textId="59004B6F"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Registration card in the Federal Taxpayer Registry of the applicant and his or her representative or legal representative, and</w:t>
            </w:r>
          </w:p>
        </w:tc>
      </w:tr>
      <w:tr w:rsidR="003B20AD" w:rsidRPr="00475A0C" w14:paraId="2AEBDB85" w14:textId="1D115E05" w:rsidTr="007B36AB">
        <w:tc>
          <w:tcPr>
            <w:tcW w:w="4675" w:type="dxa"/>
          </w:tcPr>
          <w:p w14:paraId="6674D3BD"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Escrito libre que contenga el diagrama que muestre la estructura accionaria y corporativa de la sociedad, del capital social del solicitante, precisando aportación o porcentaje de participación de cada socio o accionista; identificando a las personas o grupo de personas que tienen el control de la sociedad de manera directa o indirecta. Se entiende por grupo de personas aquellas que tengan acuerdos, de cualquier naturaleza, para tomar decisiones en un mismo sentido.</w:t>
            </w:r>
          </w:p>
        </w:tc>
        <w:tc>
          <w:tcPr>
            <w:tcW w:w="4675" w:type="dxa"/>
          </w:tcPr>
          <w:p w14:paraId="3E50B457" w14:textId="4E82830F"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A free-form statement containing a diagram showing the company's shareholding and corporate structure, including the applicant's capital stock, specifying the contribution or percentage of each partner or shareholder; identifying the individuals or groups of individuals who have direct or indirect control over the company. A group of individuals is defined as those who have agreements, of any nature, to make decisions in a unified manner.</w:t>
            </w:r>
          </w:p>
        </w:tc>
      </w:tr>
      <w:tr w:rsidR="003B20AD" w:rsidRPr="00475A0C" w14:paraId="08115EAE" w14:textId="08F0EB44" w:rsidTr="007B36AB">
        <w:tc>
          <w:tcPr>
            <w:tcW w:w="4675" w:type="dxa"/>
          </w:tcPr>
          <w:p w14:paraId="35513956"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XII.</w:t>
            </w:r>
            <w:r w:rsidRPr="00475A0C">
              <w:rPr>
                <w:rFonts w:ascii="Verdana" w:hAnsi="Verdana"/>
                <w:b/>
                <w:sz w:val="16"/>
                <w:szCs w:val="16"/>
              </w:rPr>
              <w:tab/>
            </w:r>
            <w:r w:rsidRPr="00475A0C">
              <w:rPr>
                <w:rFonts w:ascii="Verdana" w:hAnsi="Verdana"/>
                <w:sz w:val="16"/>
                <w:szCs w:val="16"/>
              </w:rPr>
              <w:t>En caso de ser persona física:</w:t>
            </w:r>
          </w:p>
        </w:tc>
        <w:tc>
          <w:tcPr>
            <w:tcW w:w="4675" w:type="dxa"/>
          </w:tcPr>
          <w:p w14:paraId="1D7E5623" w14:textId="69F1F3E5"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b/>
                <w:sz w:val="16"/>
                <w:szCs w:val="16"/>
                <w:lang w:val="en-US"/>
              </w:rPr>
              <w:tab/>
            </w:r>
            <w:r w:rsidRPr="00E3602D">
              <w:rPr>
                <w:rFonts w:ascii="Verdana" w:hAnsi="Verdana"/>
                <w:sz w:val="16"/>
                <w:szCs w:val="16"/>
                <w:lang w:val="en-US"/>
              </w:rPr>
              <w:t>If you are an individual:</w:t>
            </w:r>
          </w:p>
        </w:tc>
      </w:tr>
      <w:tr w:rsidR="003B20AD" w:rsidRPr="00475A0C" w14:paraId="022E7EAF" w14:textId="5775BECC" w:rsidTr="007B36AB">
        <w:tc>
          <w:tcPr>
            <w:tcW w:w="4675" w:type="dxa"/>
          </w:tcPr>
          <w:p w14:paraId="1D69E2CC"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Identificación oficial, y</w:t>
            </w:r>
          </w:p>
        </w:tc>
        <w:tc>
          <w:tcPr>
            <w:tcW w:w="4675" w:type="dxa"/>
          </w:tcPr>
          <w:p w14:paraId="5B25819B" w14:textId="6D090F8E"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Official identification, and</w:t>
            </w:r>
          </w:p>
        </w:tc>
      </w:tr>
      <w:tr w:rsidR="003B20AD" w:rsidRPr="00475A0C" w14:paraId="4BDF0046" w14:textId="5F84C7B9" w:rsidTr="007B36AB">
        <w:tc>
          <w:tcPr>
            <w:tcW w:w="4675" w:type="dxa"/>
          </w:tcPr>
          <w:p w14:paraId="4CBEB97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Descripción de la actividad que desea realizar.</w:t>
            </w:r>
          </w:p>
        </w:tc>
        <w:tc>
          <w:tcPr>
            <w:tcW w:w="4675" w:type="dxa"/>
          </w:tcPr>
          <w:p w14:paraId="03EEEF35" w14:textId="39E5C689"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Description of the activity desired to be performed.</w:t>
            </w:r>
          </w:p>
        </w:tc>
      </w:tr>
      <w:tr w:rsidR="003B20AD" w:rsidRPr="00475A0C" w14:paraId="20954C97" w14:textId="0E78B046" w:rsidTr="007B36AB">
        <w:tc>
          <w:tcPr>
            <w:tcW w:w="4675" w:type="dxa"/>
          </w:tcPr>
          <w:p w14:paraId="451A64AE"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XIII.</w:t>
            </w:r>
            <w:r w:rsidRPr="00475A0C">
              <w:rPr>
                <w:rFonts w:ascii="Verdana" w:hAnsi="Verdana"/>
                <w:b/>
                <w:sz w:val="16"/>
                <w:szCs w:val="16"/>
              </w:rPr>
              <w:tab/>
            </w:r>
            <w:r w:rsidRPr="00475A0C">
              <w:rPr>
                <w:rFonts w:ascii="Verdana" w:hAnsi="Verdana"/>
                <w:sz w:val="16"/>
                <w:szCs w:val="16"/>
              </w:rPr>
              <w:t xml:space="preserve">Cualquier otro requisito que se especifique en esta Ley, el Reglamento o la regulación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470F2061" w14:textId="6FD60B36"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b/>
                <w:sz w:val="16"/>
                <w:szCs w:val="16"/>
                <w:lang w:val="en-US"/>
              </w:rPr>
              <w:tab/>
            </w:r>
            <w:r w:rsidRPr="00E3602D">
              <w:rPr>
                <w:rFonts w:ascii="Verdana" w:hAnsi="Verdana"/>
                <w:sz w:val="16"/>
                <w:szCs w:val="16"/>
                <w:lang w:val="en-US"/>
              </w:rPr>
              <w:t>Any other requirement specified in this Law, the Regulation or the regulation issued by the Secretary of Energy or the National Commission of Energy.</w:t>
            </w:r>
          </w:p>
        </w:tc>
      </w:tr>
      <w:tr w:rsidR="003B20AD" w:rsidRPr="00475A0C" w14:paraId="3C19EC3E" w14:textId="734FEEB6" w:rsidTr="007B36AB">
        <w:tc>
          <w:tcPr>
            <w:tcW w:w="4675" w:type="dxa"/>
          </w:tcPr>
          <w:p w14:paraId="1AA80D7B"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81.-</w:t>
            </w:r>
            <w:r w:rsidRPr="00475A0C">
              <w:rPr>
                <w:rFonts w:ascii="Verdana" w:hAnsi="Verdana"/>
                <w:sz w:val="16"/>
                <w:szCs w:val="16"/>
              </w:rPr>
              <w:t xml:space="preserve"> En la evaluación para la solicitud de los permisos a que se refiere el presente Título, se debe considerar, al menos, la localización del proyecto, los volúmenes, la demanda local y regional, el impacto que el proyecto tiene en el sano desarrollo del mercado que corresponda y la alineación con los criterios vinculantes de planeación incorporados en la política pública.</w:t>
            </w:r>
          </w:p>
        </w:tc>
        <w:tc>
          <w:tcPr>
            <w:tcW w:w="4675" w:type="dxa"/>
          </w:tcPr>
          <w:p w14:paraId="5C85A085" w14:textId="3D8FFAD8"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Article 81.- </w:t>
            </w:r>
            <w:r w:rsidRPr="00E3602D">
              <w:rPr>
                <w:rFonts w:ascii="Verdana" w:hAnsi="Verdana"/>
                <w:sz w:val="16"/>
                <w:szCs w:val="16"/>
                <w:lang w:val="en-US"/>
              </w:rPr>
              <w:t>In the evaluation for the application of the permits referred to in this Title, the following must be considered, at least: the location of the project, the volumes, the local and regional demand, the impact that the project has on the healthy development of the corresponding market and the alignment with the binding planning criteria incorporated in the public policy.</w:t>
            </w:r>
          </w:p>
        </w:tc>
      </w:tr>
      <w:tr w:rsidR="003B20AD" w:rsidRPr="00475A0C" w14:paraId="243C3423" w14:textId="67E7BDF9" w:rsidTr="007B36AB">
        <w:tc>
          <w:tcPr>
            <w:tcW w:w="4675" w:type="dxa"/>
          </w:tcPr>
          <w:p w14:paraId="4988E814"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sz w:val="16"/>
                <w:szCs w:val="16"/>
              </w:rPr>
              <w:t>Adicionalmente, se pueden establecer los criterios de evaluación específicos que se requieran en el Reglamento de la presente Ley y las disposiciones administrativas que se emitan por las autoridades competentes.</w:t>
            </w:r>
          </w:p>
        </w:tc>
        <w:tc>
          <w:tcPr>
            <w:tcW w:w="4675" w:type="dxa"/>
          </w:tcPr>
          <w:p w14:paraId="406FEDC0" w14:textId="3E82FAB2" w:rsidR="003B20AD" w:rsidRPr="00E3602D" w:rsidRDefault="003B20AD" w:rsidP="003B20AD">
            <w:pPr>
              <w:pStyle w:val="Texto"/>
              <w:spacing w:after="70"/>
              <w:ind w:firstLine="0"/>
              <w:rPr>
                <w:rFonts w:ascii="Verdana" w:hAnsi="Verdana"/>
                <w:sz w:val="16"/>
                <w:szCs w:val="16"/>
                <w:lang w:val="en-US"/>
              </w:rPr>
            </w:pPr>
            <w:r w:rsidRPr="00E3602D">
              <w:rPr>
                <w:rFonts w:ascii="Verdana" w:hAnsi="Verdana"/>
                <w:sz w:val="16"/>
                <w:szCs w:val="16"/>
                <w:lang w:val="en-US"/>
              </w:rPr>
              <w:t>Additionally, specific evaluation criteria may be established as required by the Regulation of this Law and the administrative provisions issued by the appropriate authorities.</w:t>
            </w:r>
          </w:p>
        </w:tc>
      </w:tr>
      <w:tr w:rsidR="003B20AD" w:rsidRPr="00475A0C" w14:paraId="517D8A4D" w14:textId="77BF5017" w:rsidTr="007B36AB">
        <w:tc>
          <w:tcPr>
            <w:tcW w:w="4675" w:type="dxa"/>
          </w:tcPr>
          <w:p w14:paraId="34A8F9A2"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Artículo 82.-</w:t>
            </w:r>
            <w:r w:rsidRPr="00475A0C">
              <w:rPr>
                <w:rFonts w:ascii="Verdana" w:hAnsi="Verdana"/>
                <w:sz w:val="16"/>
                <w:szCs w:val="16"/>
              </w:rPr>
              <w:t xml:space="preserve"> El Reglamento y las disposiciones administrativas deben establecer los términos y condiciones del permiso de Comercialización de Hidrocarburos, Petrolíferos y Petroquímicos los cuales deben contener, al menos, las siguientes actividades y obligaciones:</w:t>
            </w:r>
          </w:p>
        </w:tc>
        <w:tc>
          <w:tcPr>
            <w:tcW w:w="4675" w:type="dxa"/>
          </w:tcPr>
          <w:p w14:paraId="01708B41" w14:textId="4B85D48D"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t xml:space="preserve">Article 82.- </w:t>
            </w:r>
            <w:r w:rsidRPr="00E3602D">
              <w:rPr>
                <w:rFonts w:ascii="Verdana" w:hAnsi="Verdana"/>
                <w:sz w:val="16"/>
                <w:szCs w:val="16"/>
                <w:lang w:val="en-US"/>
              </w:rPr>
              <w:t>The Regulation and administrative provisions must establish the terms and conditions of the permit for the commercial distribution of hydrocarbons, petroleum products and petrochemicals, which must contain, at least, the following activities and obligations:</w:t>
            </w:r>
          </w:p>
        </w:tc>
      </w:tr>
      <w:tr w:rsidR="003B20AD" w:rsidRPr="00475A0C" w14:paraId="3332E277" w14:textId="00174D46" w:rsidTr="007B36AB">
        <w:tc>
          <w:tcPr>
            <w:tcW w:w="4675" w:type="dxa"/>
          </w:tcPr>
          <w:p w14:paraId="582F8CA1" w14:textId="77777777" w:rsidR="003B20AD" w:rsidRPr="00475A0C" w:rsidRDefault="003B20AD" w:rsidP="003B20AD">
            <w:pPr>
              <w:pStyle w:val="Texto"/>
              <w:spacing w:after="70"/>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Adquirir Hidrocarburos, Petrolíferos y Petroquímicos de las personas Permisionarias de Comercialización, que a su vez pueden ser permisionarias de Refinación de Petróleo, </w:t>
            </w:r>
            <w:r w:rsidRPr="00475A0C">
              <w:rPr>
                <w:rFonts w:ascii="Verdana" w:hAnsi="Verdana"/>
                <w:sz w:val="16"/>
                <w:szCs w:val="16"/>
              </w:rPr>
              <w:lastRenderedPageBreak/>
              <w:t>Procesamiento de Gas Natural, Formulación e Importación;</w:t>
            </w:r>
          </w:p>
        </w:tc>
        <w:tc>
          <w:tcPr>
            <w:tcW w:w="4675" w:type="dxa"/>
          </w:tcPr>
          <w:p w14:paraId="18FC21AB" w14:textId="26F0CAF6" w:rsidR="003B20AD" w:rsidRPr="00E3602D" w:rsidRDefault="003B20AD" w:rsidP="003B20AD">
            <w:pPr>
              <w:pStyle w:val="Texto"/>
              <w:spacing w:after="70"/>
              <w:ind w:firstLine="0"/>
              <w:rPr>
                <w:rFonts w:ascii="Verdana" w:hAnsi="Verdana"/>
                <w:b/>
                <w:sz w:val="16"/>
                <w:szCs w:val="16"/>
                <w:lang w:val="en-US"/>
              </w:rPr>
            </w:pPr>
            <w:r w:rsidRPr="00E3602D">
              <w:rPr>
                <w:rFonts w:ascii="Verdana" w:hAnsi="Verdana"/>
                <w:b/>
                <w:sz w:val="16"/>
                <w:szCs w:val="16"/>
                <w:lang w:val="en-US"/>
              </w:rPr>
              <w:lastRenderedPageBreak/>
              <w:t xml:space="preserve">I. </w:t>
            </w:r>
            <w:r w:rsidRPr="00E3602D">
              <w:rPr>
                <w:rFonts w:ascii="Verdana" w:hAnsi="Verdana"/>
                <w:sz w:val="16"/>
                <w:szCs w:val="16"/>
                <w:lang w:val="en-US"/>
              </w:rPr>
              <w:tab/>
              <w:t xml:space="preserve">Acquire hydrocarbons, petroleum products and petrochemicals from commercial distribution Permit Holders, who in turn may be permit holders for </w:t>
            </w:r>
            <w:r w:rsidRPr="00E3602D">
              <w:rPr>
                <w:rFonts w:ascii="Verdana" w:hAnsi="Verdana"/>
                <w:sz w:val="16"/>
                <w:szCs w:val="16"/>
                <w:lang w:val="en-US"/>
              </w:rPr>
              <w:lastRenderedPageBreak/>
              <w:t>petroleum refining, natural gas processing, formulation and importation;</w:t>
            </w:r>
          </w:p>
        </w:tc>
      </w:tr>
      <w:tr w:rsidR="003B20AD" w:rsidRPr="00475A0C" w14:paraId="6635DB1D" w14:textId="5550B73D" w:rsidTr="007B36AB">
        <w:tc>
          <w:tcPr>
            <w:tcW w:w="4675" w:type="dxa"/>
          </w:tcPr>
          <w:p w14:paraId="4226D13D"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lastRenderedPageBreak/>
              <w:t>II.</w:t>
            </w:r>
            <w:r w:rsidRPr="00475A0C">
              <w:rPr>
                <w:rFonts w:ascii="Verdana" w:hAnsi="Verdana"/>
                <w:sz w:val="16"/>
                <w:szCs w:val="16"/>
              </w:rPr>
              <w:tab/>
              <w:t>La venta de Hidrocarburos, Petrolíferos y Petroquímicos a personas Permisionarias de Exportación, Comercialización, Distribución, Expendio al Público y personas Usuarias Finales;</w:t>
            </w:r>
          </w:p>
        </w:tc>
        <w:tc>
          <w:tcPr>
            <w:tcW w:w="4675" w:type="dxa"/>
          </w:tcPr>
          <w:p w14:paraId="14927D20" w14:textId="515C3921"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sale of hydrocarbons, petroleum products and petrochemicals to persons holding export, commercial distribution, distribution, public sale permits and end users;</w:t>
            </w:r>
          </w:p>
        </w:tc>
      </w:tr>
      <w:tr w:rsidR="003B20AD" w:rsidRPr="00475A0C" w14:paraId="67595F0D" w14:textId="1BF6D3C1" w:rsidTr="007B36AB">
        <w:tc>
          <w:tcPr>
            <w:tcW w:w="4675" w:type="dxa"/>
          </w:tcPr>
          <w:p w14:paraId="3B23CC17"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En su caso, contratar para sí mismo o gestionar para las personas Permisionarias a quienes realicen </w:t>
            </w:r>
            <w:smartTag w:uri="urn:schemas-microsoft-com:office:smarttags" w:element="PersonName">
              <w:smartTagPr>
                <w:attr w:name="ProductID" w:val="la Comercialización"/>
              </w:smartTagPr>
              <w:r w:rsidRPr="00475A0C">
                <w:rPr>
                  <w:rFonts w:ascii="Verdana" w:hAnsi="Verdana"/>
                  <w:sz w:val="16"/>
                  <w:szCs w:val="16"/>
                </w:rPr>
                <w:t>la Comercialización</w:t>
              </w:r>
            </w:smartTag>
            <w:r w:rsidRPr="00475A0C">
              <w:rPr>
                <w:rFonts w:ascii="Verdana" w:hAnsi="Verdana"/>
                <w:sz w:val="16"/>
                <w:szCs w:val="16"/>
              </w:rPr>
              <w:t xml:space="preserve"> de Hidrocarburos, Petrolíferos y Petroquímicos, los servicios de Transporte, Almacenamiento y Distribución por medio de ducto que, en su caso, requiera para la realización de sus actividades;</w:t>
            </w:r>
          </w:p>
        </w:tc>
        <w:tc>
          <w:tcPr>
            <w:tcW w:w="4675" w:type="dxa"/>
          </w:tcPr>
          <w:p w14:paraId="67265CFE" w14:textId="34909BAB"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Where applicable, contract for itself or manage for the Permit Holders who carry out the commercial distribution of hydrocarbons, petroleum and petrochemical transport, storage and distribution services by means of pipeline that, where applicable, is required for the performance of its activities;</w:t>
            </w:r>
          </w:p>
        </w:tc>
      </w:tr>
      <w:tr w:rsidR="003B20AD" w:rsidRPr="00475A0C" w14:paraId="26B3CF79" w14:textId="5DA9412D" w:rsidTr="007B36AB">
        <w:tc>
          <w:tcPr>
            <w:tcW w:w="4675" w:type="dxa"/>
          </w:tcPr>
          <w:p w14:paraId="6AA0679D"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Cumplir con las disposiciones de seguridad de suministro que, en su caso,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41363C61" w14:textId="5D46E314"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Comply with the security of supply provisions that, where applicable, are established by the Secretary of Energy;</w:t>
            </w:r>
          </w:p>
        </w:tc>
      </w:tr>
      <w:tr w:rsidR="003B20AD" w:rsidRPr="00475A0C" w14:paraId="1FD7DA81" w14:textId="48F7D901" w:rsidTr="007B36AB">
        <w:tc>
          <w:tcPr>
            <w:tcW w:w="4675" w:type="dxa"/>
          </w:tcPr>
          <w:p w14:paraId="5B2B1BD6"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 xml:space="preserve">Entregar la información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requiera para fines de supervisión y estadísticos del sector energético, y</w:t>
            </w:r>
          </w:p>
        </w:tc>
        <w:tc>
          <w:tcPr>
            <w:tcW w:w="4675" w:type="dxa"/>
          </w:tcPr>
          <w:p w14:paraId="674CCE4F" w14:textId="1A0EEED6"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Provide the information that the Secretary of Energy or the National Commission of Energy requires for supervision and statistical purposes of the energy sector, and</w:t>
            </w:r>
          </w:p>
        </w:tc>
      </w:tr>
      <w:tr w:rsidR="003B20AD" w:rsidRPr="00475A0C" w14:paraId="3A4D4249" w14:textId="5BAD32F6" w:rsidTr="007B36AB">
        <w:tc>
          <w:tcPr>
            <w:tcW w:w="4675" w:type="dxa"/>
          </w:tcPr>
          <w:p w14:paraId="36E640B5"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Sujetarse a los lineamientos aplicables a las personas Permisionarias de las actividades reguladas, respecto de sus relaciones con personas que formen parte de su mismo grupo empresarial o consorcio.</w:t>
            </w:r>
          </w:p>
        </w:tc>
        <w:tc>
          <w:tcPr>
            <w:tcW w:w="4675" w:type="dxa"/>
          </w:tcPr>
          <w:p w14:paraId="1E88E435" w14:textId="16B451F8"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Comply with the guidelines applicable to persons licensed for regulated activities, regarding their relationships with persons who are part of the same business group or consortium.</w:t>
            </w:r>
          </w:p>
        </w:tc>
      </w:tr>
      <w:tr w:rsidR="003B20AD" w:rsidRPr="00475A0C" w14:paraId="084BF88A" w14:textId="7D6691BE" w:rsidTr="007B36AB">
        <w:tc>
          <w:tcPr>
            <w:tcW w:w="4675" w:type="dxa"/>
          </w:tcPr>
          <w:p w14:paraId="40F4BEE4"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 xml:space="preserve">Artículo 83.- </w:t>
            </w:r>
            <w:r w:rsidRPr="00475A0C">
              <w:rPr>
                <w:rFonts w:ascii="Verdana" w:hAnsi="Verdana"/>
                <w:sz w:val="16"/>
                <w:szCs w:val="16"/>
              </w:rPr>
              <w:t>El Reglamento y las disposiciones administrativas deben establecer los términos y condiciones del permiso de Distribución de Gas Natural y Petrolíferos, los cuales deben contener, al menos las siguientes actividades y obligaciones:</w:t>
            </w:r>
          </w:p>
        </w:tc>
        <w:tc>
          <w:tcPr>
            <w:tcW w:w="4675" w:type="dxa"/>
          </w:tcPr>
          <w:p w14:paraId="62F224BA" w14:textId="5545D273"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Article 83.- </w:t>
            </w:r>
            <w:r w:rsidRPr="00E3602D">
              <w:rPr>
                <w:rFonts w:ascii="Verdana" w:hAnsi="Verdana"/>
                <w:sz w:val="16"/>
                <w:szCs w:val="16"/>
                <w:lang w:val="en-US"/>
              </w:rPr>
              <w:t>The Regulation and administrative provisions must establish the terms and conditions of the natural gas and petroleum distribution permit, which must contain at least the following activities and obligations:</w:t>
            </w:r>
          </w:p>
        </w:tc>
      </w:tr>
      <w:tr w:rsidR="003B20AD" w:rsidRPr="00475A0C" w14:paraId="0B6E1299" w14:textId="58E370B8" w:rsidTr="007B36AB">
        <w:tc>
          <w:tcPr>
            <w:tcW w:w="4675" w:type="dxa"/>
          </w:tcPr>
          <w:p w14:paraId="658A7316"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Adquirir Gas Natural o Petrolíferos de personas Permisionarias de Comercialización;</w:t>
            </w:r>
          </w:p>
        </w:tc>
        <w:tc>
          <w:tcPr>
            <w:tcW w:w="4675" w:type="dxa"/>
          </w:tcPr>
          <w:p w14:paraId="2868169E" w14:textId="2CC98A50"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Acquire natural gas or petroleum products from commercial distribution Permit Holders;</w:t>
            </w:r>
          </w:p>
        </w:tc>
      </w:tr>
      <w:tr w:rsidR="003B20AD" w:rsidRPr="00475A0C" w14:paraId="6D883A01" w14:textId="43B62298" w:rsidTr="007B36AB">
        <w:tc>
          <w:tcPr>
            <w:tcW w:w="4675" w:type="dxa"/>
          </w:tcPr>
          <w:p w14:paraId="18CC37E0" w14:textId="227A55F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La venta de Gas Natural o Petrolíferos a personas Permisionarias de Expendio al Público o personas Usuarias Finales; </w:t>
            </w:r>
          </w:p>
        </w:tc>
        <w:tc>
          <w:tcPr>
            <w:tcW w:w="4675" w:type="dxa"/>
          </w:tcPr>
          <w:p w14:paraId="3D59FDAE" w14:textId="2D38629D"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sale of natural gas or petroleum products to public sale permit holders or end users;</w:t>
            </w:r>
          </w:p>
        </w:tc>
      </w:tr>
      <w:tr w:rsidR="003B20AD" w:rsidRPr="00475A0C" w14:paraId="39245D91" w14:textId="69DED1FD" w:rsidTr="007B36AB">
        <w:tc>
          <w:tcPr>
            <w:tcW w:w="4675" w:type="dxa"/>
          </w:tcPr>
          <w:p w14:paraId="1E2629F5"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Prestar el servicio de recibir, guardar, trasladar y, en su caso, conducir Gas Natural o Petrolíferos;</w:t>
            </w:r>
          </w:p>
        </w:tc>
        <w:tc>
          <w:tcPr>
            <w:tcW w:w="4675" w:type="dxa"/>
          </w:tcPr>
          <w:p w14:paraId="242AC0DC" w14:textId="1542D8D3"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Provide the service of receiving, storing, transporting and, where appropriate, transporting Natural Gas or Petroleum Products;</w:t>
            </w:r>
          </w:p>
        </w:tc>
      </w:tr>
      <w:tr w:rsidR="003B20AD" w:rsidRPr="00475A0C" w14:paraId="317F86E5" w14:textId="58700AF2" w:rsidTr="007B36AB">
        <w:tc>
          <w:tcPr>
            <w:tcW w:w="4675" w:type="dxa"/>
          </w:tcPr>
          <w:p w14:paraId="43265B0B"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Cumplir con las disposiciones de seguridad de suministro que, en su caso,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5D60BBDB" w14:textId="3B479676"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Comply with the security of supply provisions that, where applicable, are established by the Secretary of Energy;</w:t>
            </w:r>
          </w:p>
        </w:tc>
      </w:tr>
      <w:tr w:rsidR="003B20AD" w:rsidRPr="00475A0C" w14:paraId="75F1D87C" w14:textId="2B7277D4" w:rsidTr="007B36AB">
        <w:tc>
          <w:tcPr>
            <w:tcW w:w="4675" w:type="dxa"/>
          </w:tcPr>
          <w:p w14:paraId="0466C720"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 xml:space="preserve">Entregar la información que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requiera para fines de supervisión y estadísticos del sector energético, y</w:t>
            </w:r>
          </w:p>
        </w:tc>
        <w:tc>
          <w:tcPr>
            <w:tcW w:w="4675" w:type="dxa"/>
          </w:tcPr>
          <w:p w14:paraId="616BC313" w14:textId="2F4D3644"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Provide the information that the National Commission of Energy requires for supervision and statistical purposes of the energy sector, and</w:t>
            </w:r>
          </w:p>
        </w:tc>
      </w:tr>
      <w:tr w:rsidR="003B20AD" w:rsidRPr="00475A0C" w14:paraId="7316D871" w14:textId="685D574F" w:rsidTr="007B36AB">
        <w:tc>
          <w:tcPr>
            <w:tcW w:w="4675" w:type="dxa"/>
          </w:tcPr>
          <w:p w14:paraId="5A0B0049"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Sujetarse a los lineamientos aplicables a las personas Permisionarias de las actividades reguladas, respecto de sus relaciones con personas que formen parte de su mismo grupo empresarial o consorcio.</w:t>
            </w:r>
          </w:p>
        </w:tc>
        <w:tc>
          <w:tcPr>
            <w:tcW w:w="4675" w:type="dxa"/>
          </w:tcPr>
          <w:p w14:paraId="5FEB672F" w14:textId="53716F39"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Comply with the guidelines applicable to persons licensed for regulated activities, regarding their relationships with persons who are part of the same business group or consortium.</w:t>
            </w:r>
          </w:p>
        </w:tc>
      </w:tr>
      <w:tr w:rsidR="003B20AD" w:rsidRPr="00475A0C" w14:paraId="48791EB4" w14:textId="0487201F" w:rsidTr="007B36AB">
        <w:tc>
          <w:tcPr>
            <w:tcW w:w="4675" w:type="dxa"/>
          </w:tcPr>
          <w:p w14:paraId="4E7A64C8"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sz w:val="16"/>
                <w:szCs w:val="16"/>
              </w:rPr>
              <w:t>Sin perjuicio de lo establecido en la fracción II de este artículo, las personas Permisionarias de Distribución por medio de autotanques, pueden adquirir Gas Licuado de Petróleo de personas Permisionarias de Comercialización o de Distribución mediante planta de distribución.</w:t>
            </w:r>
          </w:p>
        </w:tc>
        <w:tc>
          <w:tcPr>
            <w:tcW w:w="4675" w:type="dxa"/>
          </w:tcPr>
          <w:p w14:paraId="4EE7EF85" w14:textId="573DC376" w:rsidR="003B20AD" w:rsidRPr="00E3602D" w:rsidRDefault="003B20AD" w:rsidP="003B20AD">
            <w:pPr>
              <w:pStyle w:val="Texto"/>
              <w:spacing w:after="86"/>
              <w:ind w:firstLine="0"/>
              <w:rPr>
                <w:rFonts w:ascii="Verdana" w:hAnsi="Verdana"/>
                <w:sz w:val="16"/>
                <w:szCs w:val="16"/>
                <w:lang w:val="en-US"/>
              </w:rPr>
            </w:pPr>
            <w:r w:rsidRPr="00E3602D">
              <w:rPr>
                <w:rFonts w:ascii="Verdana" w:hAnsi="Verdana"/>
                <w:sz w:val="16"/>
                <w:szCs w:val="16"/>
                <w:lang w:val="en-US"/>
              </w:rPr>
              <w:t>Without prejudice to the provisions of Section II of this article, the persons holding distribution permits through tanker trucks may acquire liquefied petroleum gas from persons holding commercial distribution permits or distribution permits through a distribution plant.</w:t>
            </w:r>
          </w:p>
        </w:tc>
      </w:tr>
      <w:tr w:rsidR="003B20AD" w:rsidRPr="00475A0C" w14:paraId="158584F6" w14:textId="65253659" w:rsidTr="007B36AB">
        <w:tc>
          <w:tcPr>
            <w:tcW w:w="4675" w:type="dxa"/>
          </w:tcPr>
          <w:p w14:paraId="699BB542"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lastRenderedPageBreak/>
              <w:t>Artículo 84.-</w:t>
            </w:r>
            <w:r w:rsidRPr="00475A0C">
              <w:rPr>
                <w:rFonts w:ascii="Verdana" w:hAnsi="Verdana"/>
                <w:sz w:val="16"/>
                <w:szCs w:val="16"/>
              </w:rPr>
              <w:t xml:space="preserve"> El Reglamento y las disposiciones administrativas deben establecer los términos y condiciones del permiso de Formulación de Petrolíferos, y contener al menos, las siguientes obligaciones:</w:t>
            </w:r>
          </w:p>
        </w:tc>
        <w:tc>
          <w:tcPr>
            <w:tcW w:w="4675" w:type="dxa"/>
          </w:tcPr>
          <w:p w14:paraId="5FA2F19C" w14:textId="68131079"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Article 84.- </w:t>
            </w:r>
            <w:r w:rsidRPr="00E3602D">
              <w:rPr>
                <w:rFonts w:ascii="Verdana" w:hAnsi="Verdana"/>
                <w:sz w:val="16"/>
                <w:szCs w:val="16"/>
                <w:lang w:val="en-US"/>
              </w:rPr>
              <w:t>The Regulation and administrative provisions must establish the terms and conditions for the Petroleum Formulation permit, and contain at least the following obligations:</w:t>
            </w:r>
          </w:p>
        </w:tc>
      </w:tr>
      <w:tr w:rsidR="003B20AD" w:rsidRPr="00475A0C" w14:paraId="4FC25701" w14:textId="7BB1D25D" w:rsidTr="007B36AB">
        <w:tc>
          <w:tcPr>
            <w:tcW w:w="4675" w:type="dxa"/>
          </w:tcPr>
          <w:p w14:paraId="3E4A9EFE"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Señalar los productos que se permiten formular al amparo del permiso, que son, entre otros:</w:t>
            </w:r>
          </w:p>
        </w:tc>
        <w:tc>
          <w:tcPr>
            <w:tcW w:w="4675" w:type="dxa"/>
          </w:tcPr>
          <w:p w14:paraId="6FE04227" w14:textId="5820FFF1"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Indicate the products that are allowed to be formulated under the permit, which are, among others:</w:t>
            </w:r>
          </w:p>
        </w:tc>
      </w:tr>
      <w:tr w:rsidR="003B20AD" w:rsidRPr="00475A0C" w14:paraId="627BEA95" w14:textId="41E40B84" w:rsidTr="007B36AB">
        <w:tc>
          <w:tcPr>
            <w:tcW w:w="4675" w:type="dxa"/>
          </w:tcPr>
          <w:p w14:paraId="6D90AE4E"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Gasolinas para mezcla final con biocombustibles, en términos de lo previsto en la norma oficial mexicana que establezca las especificaciones de calidad de los Petrolíferos;</w:t>
            </w:r>
          </w:p>
        </w:tc>
        <w:tc>
          <w:tcPr>
            <w:tcW w:w="4675" w:type="dxa"/>
          </w:tcPr>
          <w:p w14:paraId="649A8E5C" w14:textId="64D17042"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Gasolines for final blending with biofuels, in accordance with the provisions of the Official Mexican Standard that establishes the quality specifications of petroleum products;</w:t>
            </w:r>
          </w:p>
        </w:tc>
      </w:tr>
      <w:tr w:rsidR="003B20AD" w:rsidRPr="00475A0C" w14:paraId="1823A732" w14:textId="7ACCE5AE" w:rsidTr="007B36AB">
        <w:tc>
          <w:tcPr>
            <w:tcW w:w="4675" w:type="dxa"/>
          </w:tcPr>
          <w:p w14:paraId="46E346E5"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Diesel con biodiesel, en las proporciones permitidas en las Normas Oficiales Mexicanas de especificaciones de calidad de mezclas de biocombustibles que emita la autoridad competente, y</w:t>
            </w:r>
          </w:p>
        </w:tc>
        <w:tc>
          <w:tcPr>
            <w:tcW w:w="4675" w:type="dxa"/>
          </w:tcPr>
          <w:p w14:paraId="21944CCF" w14:textId="6B4D4060"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Diesel with biodiesel, in the proportions permitted in the Official Mexican Standards of quality specifications for biofuel mixtures issued by the appropriate authority, and</w:t>
            </w:r>
          </w:p>
        </w:tc>
      </w:tr>
      <w:tr w:rsidR="003B20AD" w:rsidRPr="00475A0C" w14:paraId="50B6C97D" w14:textId="0E8CE246" w:rsidTr="007B36AB">
        <w:tc>
          <w:tcPr>
            <w:tcW w:w="4675" w:type="dxa"/>
          </w:tcPr>
          <w:p w14:paraId="2AD1E123"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Turbosina con bioturbosina, en las proporciones permitidas en las Normas Oficiales Mexicanas de especificaciones de calidad de mezclas de biocombustibles que emita la autoridad competente.</w:t>
            </w:r>
          </w:p>
        </w:tc>
        <w:tc>
          <w:tcPr>
            <w:tcW w:w="4675" w:type="dxa"/>
          </w:tcPr>
          <w:p w14:paraId="4DD158C4" w14:textId="3B2B93EA"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Jet fuel with bio-jet fuel, in the proportions permitted in the Official Mexican Standards for quality specifications of biofuel mixtures issued by the appropriate authority.</w:t>
            </w:r>
          </w:p>
        </w:tc>
      </w:tr>
      <w:tr w:rsidR="003B20AD" w:rsidRPr="00475A0C" w14:paraId="71B576F7" w14:textId="5D26E7CB" w:rsidTr="007B36AB">
        <w:tc>
          <w:tcPr>
            <w:tcW w:w="4675" w:type="dxa"/>
          </w:tcPr>
          <w:p w14:paraId="0F5CAF15"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Los petrolíferos, resultado de </w:t>
            </w:r>
            <w:smartTag w:uri="urn:schemas-microsoft-com:office:smarttags" w:element="PersonName">
              <w:smartTagPr>
                <w:attr w:name="ProductID" w:val="La Formulación"/>
              </w:smartTagPr>
              <w:r w:rsidRPr="00475A0C">
                <w:rPr>
                  <w:rFonts w:ascii="Verdana" w:hAnsi="Verdana"/>
                  <w:sz w:val="16"/>
                  <w:szCs w:val="16"/>
                </w:rPr>
                <w:t>la Formulación</w:t>
              </w:r>
            </w:smartTag>
            <w:r w:rsidRPr="00475A0C">
              <w:rPr>
                <w:rFonts w:ascii="Verdana" w:hAnsi="Verdana"/>
                <w:sz w:val="16"/>
                <w:szCs w:val="16"/>
              </w:rPr>
              <w:t>, deben cumplir con las especificaciones establecidas en las Normas Oficiales Mexicanas correspondientes;</w:t>
            </w:r>
          </w:p>
        </w:tc>
        <w:tc>
          <w:tcPr>
            <w:tcW w:w="4675" w:type="dxa"/>
          </w:tcPr>
          <w:p w14:paraId="3897311C" w14:textId="0257A80C"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Petroleum products resulting from the formulaiton must comply with the specifications established in the corresponding Official Mexican Standards;</w:t>
            </w:r>
          </w:p>
        </w:tc>
      </w:tr>
      <w:tr w:rsidR="003B20AD" w:rsidRPr="00475A0C" w14:paraId="331D574C" w14:textId="39CE8FF3" w:rsidTr="007B36AB">
        <w:tc>
          <w:tcPr>
            <w:tcW w:w="4675" w:type="dxa"/>
          </w:tcPr>
          <w:p w14:paraId="59A1E6BA"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La persona solicitante del permiso de Formulación debe presentar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447536BE" w14:textId="27B09BA2"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applicant for the formulation permit must submit to the National Commission of Energy the following:</w:t>
            </w:r>
          </w:p>
        </w:tc>
      </w:tr>
      <w:tr w:rsidR="003B20AD" w:rsidRPr="00475A0C" w14:paraId="3C30D423" w14:textId="04C32E2D" w:rsidTr="007B36AB">
        <w:tc>
          <w:tcPr>
            <w:tcW w:w="4675" w:type="dxa"/>
          </w:tcPr>
          <w:p w14:paraId="07AABD67"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Plano de localización general de las instalaciones utilizadas para realizar la actividad sujeta a permiso;</w:t>
            </w:r>
          </w:p>
        </w:tc>
        <w:tc>
          <w:tcPr>
            <w:tcW w:w="4675" w:type="dxa"/>
          </w:tcPr>
          <w:p w14:paraId="4ECF2B58" w14:textId="55EA7C28"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General location plan of the facilities used to carry out the activity subject to permit;</w:t>
            </w:r>
          </w:p>
        </w:tc>
      </w:tr>
      <w:tr w:rsidR="003B20AD" w:rsidRPr="00475A0C" w14:paraId="19C934A6" w14:textId="09419441" w:rsidTr="007B36AB">
        <w:tc>
          <w:tcPr>
            <w:tcW w:w="4675" w:type="dxa"/>
          </w:tcPr>
          <w:p w14:paraId="384713A3"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Documento que indique el tipo, origen, calidad, volumen y proporciones de los componentes a mezclar;</w:t>
            </w:r>
          </w:p>
        </w:tc>
        <w:tc>
          <w:tcPr>
            <w:tcW w:w="4675" w:type="dxa"/>
          </w:tcPr>
          <w:p w14:paraId="33E1414E" w14:textId="1FA9E4F9"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Document indicating the type, origin, quality, volume and proportions of the components to be mixed;</w:t>
            </w:r>
          </w:p>
        </w:tc>
      </w:tr>
      <w:tr w:rsidR="003B20AD" w:rsidRPr="00475A0C" w14:paraId="2670723F" w14:textId="3A994E1A" w:rsidTr="007B36AB">
        <w:tc>
          <w:tcPr>
            <w:tcW w:w="4675" w:type="dxa"/>
          </w:tcPr>
          <w:p w14:paraId="56F59560" w14:textId="77777777" w:rsidR="003B20AD" w:rsidRPr="00475A0C" w:rsidRDefault="003B20AD" w:rsidP="003B20AD">
            <w:pPr>
              <w:pStyle w:val="Texto"/>
              <w:spacing w:after="86"/>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Documento en el que se indique el listado, calidad y volumen del producto o productos una vez que se realice </w:t>
            </w:r>
            <w:smartTag w:uri="urn:schemas-microsoft-com:office:smarttags" w:element="PersonName">
              <w:smartTagPr>
                <w:attr w:name="ProductID" w:val="La Formulación"/>
              </w:smartTagPr>
              <w:r w:rsidRPr="00475A0C">
                <w:rPr>
                  <w:rFonts w:ascii="Verdana" w:hAnsi="Verdana"/>
                  <w:sz w:val="16"/>
                  <w:szCs w:val="16"/>
                </w:rPr>
                <w:t>la Formulación</w:t>
              </w:r>
            </w:smartTag>
            <w:r w:rsidRPr="00475A0C">
              <w:rPr>
                <w:rFonts w:ascii="Verdana" w:hAnsi="Verdana"/>
                <w:sz w:val="16"/>
                <w:szCs w:val="16"/>
              </w:rPr>
              <w:t xml:space="preserve"> en las instalaciones sujetas a permiso;</w:t>
            </w:r>
          </w:p>
        </w:tc>
        <w:tc>
          <w:tcPr>
            <w:tcW w:w="4675" w:type="dxa"/>
          </w:tcPr>
          <w:p w14:paraId="265608A0" w14:textId="3A459F0A" w:rsidR="003B20AD" w:rsidRPr="00E3602D" w:rsidRDefault="003B20AD" w:rsidP="003B20AD">
            <w:pPr>
              <w:pStyle w:val="Texto"/>
              <w:spacing w:after="86"/>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Document indicating the list, quality and volume of the product or products once it is produced the formulation in the facilities subject to a permit;</w:t>
            </w:r>
          </w:p>
        </w:tc>
      </w:tr>
      <w:tr w:rsidR="003B20AD" w:rsidRPr="00475A0C" w14:paraId="7F249298" w14:textId="2046BBC3" w:rsidTr="007B36AB">
        <w:tc>
          <w:tcPr>
            <w:tcW w:w="4675" w:type="dxa"/>
          </w:tcPr>
          <w:p w14:paraId="42DBA3B8"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Diagrama de flujo de los principales procesos involucrados en las instalaciones sujetas a permiso;</w:t>
            </w:r>
          </w:p>
        </w:tc>
        <w:tc>
          <w:tcPr>
            <w:tcW w:w="4675" w:type="dxa"/>
          </w:tcPr>
          <w:p w14:paraId="549DE102" w14:textId="4FE74D97"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Flowchart of the main processes involved in the facilities subject to permit;</w:t>
            </w:r>
          </w:p>
        </w:tc>
      </w:tr>
      <w:tr w:rsidR="003B20AD" w:rsidRPr="00475A0C" w14:paraId="0A4BF55C" w14:textId="5B049B97" w:rsidTr="007B36AB">
        <w:tc>
          <w:tcPr>
            <w:tcW w:w="4675" w:type="dxa"/>
          </w:tcPr>
          <w:p w14:paraId="3918DFBC"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Documento en el que se describa la capacidad nominal y útil estimada del proceso de Formulación en las instalaciones involucradas en la actividad sujeta a permiso, y</w:t>
            </w:r>
          </w:p>
        </w:tc>
        <w:tc>
          <w:tcPr>
            <w:tcW w:w="4675" w:type="dxa"/>
          </w:tcPr>
          <w:p w14:paraId="5AD1E2DE" w14:textId="77986B13"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Document describing the estimated nominal and useful capacity of the Formulation process in the facilities involved in the activity subject to permit, and</w:t>
            </w:r>
          </w:p>
        </w:tc>
      </w:tr>
      <w:tr w:rsidR="003B20AD" w:rsidRPr="00475A0C" w14:paraId="55C65D38" w14:textId="6BB88034" w:rsidTr="007B36AB">
        <w:tc>
          <w:tcPr>
            <w:tcW w:w="4675" w:type="dxa"/>
          </w:tcPr>
          <w:p w14:paraId="1F10778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Documento con la descripción del proceso de Formulación, en el cual se incluya toda la infraestructura involucrada para realizar la actividad sujeta a permiso, incluidos tanques, bombas, medidores, instalaciones de transvase, entre otros.</w:t>
            </w:r>
          </w:p>
        </w:tc>
        <w:tc>
          <w:tcPr>
            <w:tcW w:w="4675" w:type="dxa"/>
          </w:tcPr>
          <w:p w14:paraId="201B4301" w14:textId="2D50B436"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Document with the description of the Formulation process, which includes all the infrastructure involved to carry out the activity subject to permit, including tanks, pumps, meters, transfer facilities, among others.</w:t>
            </w:r>
          </w:p>
        </w:tc>
      </w:tr>
      <w:tr w:rsidR="003B20AD" w:rsidRPr="00475A0C" w14:paraId="4816BFDB" w14:textId="583D070F" w:rsidTr="007B36AB">
        <w:tc>
          <w:tcPr>
            <w:tcW w:w="4675" w:type="dxa"/>
          </w:tcPr>
          <w:p w14:paraId="35F30BC1"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Cumplir con las disposiciones de seguridad de suministro que, en su caso,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3844B9A5" w14:textId="4B9EA838"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Comply with the security of supply provisions that, where applicable, are established by the Secretary of Energy;</w:t>
            </w:r>
          </w:p>
        </w:tc>
      </w:tr>
      <w:tr w:rsidR="003B20AD" w:rsidRPr="00475A0C" w14:paraId="2A7533E3" w14:textId="1CD18AD6" w:rsidTr="007B36AB">
        <w:tc>
          <w:tcPr>
            <w:tcW w:w="4675" w:type="dxa"/>
          </w:tcPr>
          <w:p w14:paraId="2BCB1F1C"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 xml:space="preserve">Entregar la información que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requiera para fines de supervisión y estadísticos del sector energético, y</w:t>
            </w:r>
          </w:p>
        </w:tc>
        <w:tc>
          <w:tcPr>
            <w:tcW w:w="4675" w:type="dxa"/>
          </w:tcPr>
          <w:p w14:paraId="2DC7F95A" w14:textId="49F8AB0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Provide the information that the National Commission of Energy requires for supervision and statistical purposes of the energy sector, and</w:t>
            </w:r>
          </w:p>
        </w:tc>
      </w:tr>
      <w:tr w:rsidR="003B20AD" w:rsidRPr="00475A0C" w14:paraId="59F010CF" w14:textId="390450D7" w:rsidTr="007B36AB">
        <w:tc>
          <w:tcPr>
            <w:tcW w:w="4675" w:type="dxa"/>
          </w:tcPr>
          <w:p w14:paraId="6D54669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lastRenderedPageBreak/>
              <w:t>VI.</w:t>
            </w:r>
            <w:r w:rsidRPr="00475A0C">
              <w:rPr>
                <w:rFonts w:ascii="Verdana" w:hAnsi="Verdana"/>
                <w:sz w:val="16"/>
                <w:szCs w:val="16"/>
              </w:rPr>
              <w:tab/>
              <w:t>Sujetarse a los lineamientos aplicables a las personas Permisionarias de las actividades reguladas, respecto de sus relaciones con personas que formen parte de su mismo grupo empresarial o consorcio.</w:t>
            </w:r>
          </w:p>
        </w:tc>
        <w:tc>
          <w:tcPr>
            <w:tcW w:w="4675" w:type="dxa"/>
          </w:tcPr>
          <w:p w14:paraId="759E1295" w14:textId="0D9D0B7A"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Comply with the guidelines applicable to persons licensed for regulated activities, regarding their relationships with persons who are part of the same business group or consortium.</w:t>
            </w:r>
          </w:p>
        </w:tc>
      </w:tr>
      <w:tr w:rsidR="003B20AD" w:rsidRPr="00475A0C" w14:paraId="47565971" w14:textId="5B259BA1" w:rsidTr="007B36AB">
        <w:tc>
          <w:tcPr>
            <w:tcW w:w="4675" w:type="dxa"/>
          </w:tcPr>
          <w:p w14:paraId="69C1B55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85.-</w:t>
            </w:r>
            <w:r w:rsidRPr="00475A0C">
              <w:rPr>
                <w:rFonts w:ascii="Verdana" w:hAnsi="Verdana"/>
                <w:sz w:val="16"/>
                <w:szCs w:val="16"/>
              </w:rPr>
              <w:t xml:space="preserve"> La persona Permisionaria de la actividad de Formulación, para poder realizar cualquier otra actividad establecida en el presente Título, debe contar con el permiso correspondiente.</w:t>
            </w:r>
          </w:p>
        </w:tc>
        <w:tc>
          <w:tcPr>
            <w:tcW w:w="4675" w:type="dxa"/>
          </w:tcPr>
          <w:p w14:paraId="4CD05684" w14:textId="5CCE0AD4"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85.- </w:t>
            </w:r>
            <w:r w:rsidRPr="00E3602D">
              <w:rPr>
                <w:rFonts w:ascii="Verdana" w:hAnsi="Verdana"/>
                <w:sz w:val="16"/>
                <w:szCs w:val="16"/>
                <w:lang w:val="en-US"/>
              </w:rPr>
              <w:t>The person holding the Formulation Activity Permit, in order to carry out any other activity established in this Title, must have the corresponding permit.</w:t>
            </w:r>
          </w:p>
        </w:tc>
      </w:tr>
      <w:tr w:rsidR="003B20AD" w:rsidRPr="00475A0C" w14:paraId="09FDC7D5" w14:textId="343B6E01" w:rsidTr="007B36AB">
        <w:tc>
          <w:tcPr>
            <w:tcW w:w="4675" w:type="dxa"/>
          </w:tcPr>
          <w:p w14:paraId="56B21C8A"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86.-</w:t>
            </w:r>
            <w:r w:rsidRPr="00475A0C">
              <w:rPr>
                <w:rFonts w:ascii="Verdana" w:hAnsi="Verdana"/>
                <w:sz w:val="16"/>
                <w:szCs w:val="16"/>
              </w:rPr>
              <w:t xml:space="preserve"> La cesión de los permisos o de la realización de las actividades reguladas al amparo del mismo, sólo puede realizarse previa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siempre que los permisos se encuentren vigentes, que el cedente haya cumplido con todas sus obligaciones, así como que el cesionario reúna los requisitos para ser persona Permisionaria y se comprometa a cumplir en sus términos las obligaciones previstas en dichos permisos.</w:t>
            </w:r>
          </w:p>
        </w:tc>
        <w:tc>
          <w:tcPr>
            <w:tcW w:w="4675" w:type="dxa"/>
          </w:tcPr>
          <w:p w14:paraId="66F7E916" w14:textId="3DA00A20"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86.- </w:t>
            </w:r>
            <w:r w:rsidRPr="00E3602D">
              <w:rPr>
                <w:rFonts w:ascii="Verdana" w:hAnsi="Verdana"/>
                <w:sz w:val="16"/>
                <w:szCs w:val="16"/>
                <w:lang w:val="en-US"/>
              </w:rPr>
              <w:t>The transfer of permits or the performance of activities regulated thereunder may only be carried out with prior authorization from the Secretary of Energy or the National Commission of Energy, as appropriate, provided that the permits are in force, that the transferor has fulfilled all of their obligations, and that the transferee meets the requirements to be a Permit Holder and undertakes to comply with the obligations set forth in said permits in their terms.</w:t>
            </w:r>
          </w:p>
        </w:tc>
      </w:tr>
      <w:tr w:rsidR="003B20AD" w:rsidRPr="00475A0C" w14:paraId="46904D67" w14:textId="2D0ED722" w:rsidTr="007B36AB">
        <w:tc>
          <w:tcPr>
            <w:tcW w:w="4675" w:type="dxa"/>
          </w:tcPr>
          <w:p w14:paraId="67E7E6DB"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 xml:space="preserve">La Secretaría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el permiso de que se trate, debe resolver la solicitud de cesión dentro de un plazo de noventa días naturales, contados a partir del día siguiente al de la recepción de la solicitud. En caso de no emitirse una resolución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dentro del plazo establecido, ésta se entiende en sentido negativo.</w:t>
            </w:r>
          </w:p>
        </w:tc>
        <w:tc>
          <w:tcPr>
            <w:tcW w:w="4675" w:type="dxa"/>
          </w:tcPr>
          <w:p w14:paraId="2D600194" w14:textId="034EA468"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Secretary of Energy or the National Commission of Energy, depending on the permit in question, must resolve the transfer request within ninety calendar days, counting from the day following receipt of the request. If the Secretary of Energy or the National Commission of Energy, as applicable, does not issue a resolution within the established period, the decision will be deemed negative.</w:t>
            </w:r>
          </w:p>
        </w:tc>
      </w:tr>
      <w:tr w:rsidR="003B20AD" w:rsidRPr="00475A0C" w14:paraId="0BFC5CC5" w14:textId="6F8A3620" w:rsidTr="007B36AB">
        <w:tc>
          <w:tcPr>
            <w:tcW w:w="4675" w:type="dxa"/>
          </w:tcPr>
          <w:p w14:paraId="28F64D3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Cualquier cesión que se realice sin apegarse a lo establecido en este artículo es nula de pleno derecho.</w:t>
            </w:r>
          </w:p>
        </w:tc>
        <w:tc>
          <w:tcPr>
            <w:tcW w:w="4675" w:type="dxa"/>
          </w:tcPr>
          <w:p w14:paraId="244B6482" w14:textId="1A118CFB"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Any transfer made without adhering to the provisions of this article is null and void.</w:t>
            </w:r>
          </w:p>
        </w:tc>
      </w:tr>
      <w:tr w:rsidR="003B20AD" w:rsidRPr="00475A0C" w14:paraId="1CABD47F" w14:textId="35E5AE7F" w:rsidTr="007B36AB">
        <w:tc>
          <w:tcPr>
            <w:tcW w:w="4675" w:type="dxa"/>
          </w:tcPr>
          <w:p w14:paraId="6B7FB0BB"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En caso de modificación a la estructura de capital social de la persona Permisionaria, que implique un cambio de control corporativo o de gestión, se requiere una actualización del permiso, siempre que los permisos se encuentren vigentes, y que la persona Permisionaria solicitante esté al corriente con todas sus obligaciones.</w:t>
            </w:r>
          </w:p>
        </w:tc>
        <w:tc>
          <w:tcPr>
            <w:tcW w:w="4675" w:type="dxa"/>
          </w:tcPr>
          <w:p w14:paraId="47640552" w14:textId="2E5A2C36"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In the event of a change to the share capital structure of the Permit Holder, which entails a change in corporate or management control, an update of the permit is required, provided that the permits are valid and that the applicant Permit Holder is up to date with all of their obligations.</w:t>
            </w:r>
          </w:p>
        </w:tc>
      </w:tr>
      <w:tr w:rsidR="003B20AD" w:rsidRPr="00475A0C" w14:paraId="3733AC30" w14:textId="33B100FF" w:rsidTr="007B36AB">
        <w:tc>
          <w:tcPr>
            <w:tcW w:w="4675" w:type="dxa"/>
          </w:tcPr>
          <w:p w14:paraId="0703C89C"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87.-</w:t>
            </w:r>
            <w:r w:rsidRPr="00475A0C">
              <w:rPr>
                <w:rFonts w:ascii="Verdana" w:hAnsi="Verdana"/>
                <w:sz w:val="16"/>
                <w:szCs w:val="16"/>
              </w:rPr>
              <w:t xml:space="preserve"> Los permisos pueden terminar por cualquiera de las causas siguientes:</w:t>
            </w:r>
          </w:p>
        </w:tc>
        <w:tc>
          <w:tcPr>
            <w:tcW w:w="4675" w:type="dxa"/>
          </w:tcPr>
          <w:p w14:paraId="287FFCEC" w14:textId="545EE1D7"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87.- </w:t>
            </w:r>
            <w:r w:rsidRPr="00E3602D">
              <w:rPr>
                <w:rFonts w:ascii="Verdana" w:hAnsi="Verdana"/>
                <w:sz w:val="16"/>
                <w:szCs w:val="16"/>
                <w:lang w:val="en-US"/>
              </w:rPr>
              <w:t>Permits may be terminated for any of the following reasons:</w:t>
            </w:r>
          </w:p>
        </w:tc>
      </w:tr>
      <w:tr w:rsidR="003B20AD" w:rsidRPr="00475A0C" w14:paraId="3D1F3A00" w14:textId="1D4D1910" w:rsidTr="007B36AB">
        <w:tc>
          <w:tcPr>
            <w:tcW w:w="4675" w:type="dxa"/>
          </w:tcPr>
          <w:p w14:paraId="54618B06"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Vencimiento de la vigencia originalmente prevista en el permiso o de la prórroga otorgada;</w:t>
            </w:r>
          </w:p>
        </w:tc>
        <w:tc>
          <w:tcPr>
            <w:tcW w:w="4675" w:type="dxa"/>
          </w:tcPr>
          <w:p w14:paraId="31C74511" w14:textId="570AE738"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Expiration of the validity originally provided for in the permit or the extension granted;</w:t>
            </w:r>
          </w:p>
        </w:tc>
      </w:tr>
      <w:tr w:rsidR="003B20AD" w:rsidRPr="00475A0C" w14:paraId="26310221" w14:textId="74D830AF" w:rsidTr="007B36AB">
        <w:tc>
          <w:tcPr>
            <w:tcW w:w="4675" w:type="dxa"/>
          </w:tcPr>
          <w:p w14:paraId="7200DD26"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Renuncia de la persona Permisionaria, siempre que no se afecten derechos de terceros;</w:t>
            </w:r>
          </w:p>
        </w:tc>
        <w:tc>
          <w:tcPr>
            <w:tcW w:w="4675" w:type="dxa"/>
          </w:tcPr>
          <w:p w14:paraId="24D09F4A" w14:textId="585541AF"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Resignation of the Permit Holder, provided that no third party rights are affected;</w:t>
            </w:r>
          </w:p>
        </w:tc>
      </w:tr>
      <w:tr w:rsidR="003B20AD" w:rsidRPr="00475A0C" w14:paraId="383F26CD" w14:textId="76739223" w:rsidTr="007B36AB">
        <w:tc>
          <w:tcPr>
            <w:tcW w:w="4675" w:type="dxa"/>
          </w:tcPr>
          <w:p w14:paraId="412B614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Caducidad;</w:t>
            </w:r>
          </w:p>
        </w:tc>
        <w:tc>
          <w:tcPr>
            <w:tcW w:w="4675" w:type="dxa"/>
          </w:tcPr>
          <w:p w14:paraId="4ABA4372" w14:textId="59C5B775"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Expiration;</w:t>
            </w:r>
          </w:p>
        </w:tc>
      </w:tr>
      <w:tr w:rsidR="003B20AD" w:rsidRPr="00475A0C" w14:paraId="10D795CB" w14:textId="5E43352B" w:rsidTr="007B36AB">
        <w:tc>
          <w:tcPr>
            <w:tcW w:w="4675" w:type="dxa"/>
          </w:tcPr>
          <w:p w14:paraId="69C049AE"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Revocación;</w:t>
            </w:r>
          </w:p>
        </w:tc>
        <w:tc>
          <w:tcPr>
            <w:tcW w:w="4675" w:type="dxa"/>
          </w:tcPr>
          <w:p w14:paraId="535B9A05" w14:textId="111BD807"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Revocation;</w:t>
            </w:r>
          </w:p>
        </w:tc>
      </w:tr>
      <w:tr w:rsidR="003B20AD" w:rsidRPr="00475A0C" w14:paraId="7016FFED" w14:textId="1EE9DEC2" w:rsidTr="007B36AB">
        <w:tc>
          <w:tcPr>
            <w:tcW w:w="4675" w:type="dxa"/>
          </w:tcPr>
          <w:p w14:paraId="399A50B5"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Desaparición del objeto o de la finalidad del permiso;</w:t>
            </w:r>
          </w:p>
        </w:tc>
        <w:tc>
          <w:tcPr>
            <w:tcW w:w="4675" w:type="dxa"/>
          </w:tcPr>
          <w:p w14:paraId="0D137AA4" w14:textId="743B33D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Disappearance of the object or purpose of the permit;</w:t>
            </w:r>
          </w:p>
        </w:tc>
      </w:tr>
      <w:tr w:rsidR="003B20AD" w:rsidRPr="00475A0C" w14:paraId="68ECF165" w14:textId="346E5F1C" w:rsidTr="007B36AB">
        <w:tc>
          <w:tcPr>
            <w:tcW w:w="4675" w:type="dxa"/>
          </w:tcPr>
          <w:p w14:paraId="3D650E9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Disolución, liquidación o quiebra de la persona Permisionaria;</w:t>
            </w:r>
          </w:p>
        </w:tc>
        <w:tc>
          <w:tcPr>
            <w:tcW w:w="4675" w:type="dxa"/>
          </w:tcPr>
          <w:p w14:paraId="0943813A" w14:textId="1E3FF0BC"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Dissolution, liquidation or bankruptcy of the Permit Holder;</w:t>
            </w:r>
          </w:p>
        </w:tc>
      </w:tr>
      <w:tr w:rsidR="003B20AD" w:rsidRPr="00475A0C" w14:paraId="3E392F15" w14:textId="70D8B96C" w:rsidTr="007B36AB">
        <w:tc>
          <w:tcPr>
            <w:tcW w:w="4675" w:type="dxa"/>
          </w:tcPr>
          <w:p w14:paraId="64F5A14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VII.</w:t>
            </w:r>
            <w:r w:rsidRPr="00475A0C">
              <w:rPr>
                <w:rFonts w:ascii="Verdana" w:hAnsi="Verdana"/>
                <w:sz w:val="16"/>
                <w:szCs w:val="16"/>
              </w:rPr>
              <w:tab/>
              <w:t>Resolución judicial o mandamiento firme de autoridad competente, o</w:t>
            </w:r>
          </w:p>
        </w:tc>
        <w:tc>
          <w:tcPr>
            <w:tcW w:w="4675" w:type="dxa"/>
          </w:tcPr>
          <w:p w14:paraId="454E5933" w14:textId="16031013"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Judicial resolution or final order from a competent authority, or</w:t>
            </w:r>
          </w:p>
        </w:tc>
      </w:tr>
      <w:tr w:rsidR="003B20AD" w:rsidRPr="00475A0C" w14:paraId="73027B88" w14:textId="770C1D43" w:rsidTr="007B36AB">
        <w:tc>
          <w:tcPr>
            <w:tcW w:w="4675" w:type="dxa"/>
          </w:tcPr>
          <w:p w14:paraId="32D00FFF"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lastRenderedPageBreak/>
              <w:t>VIII.</w:t>
            </w:r>
            <w:r w:rsidRPr="00475A0C">
              <w:rPr>
                <w:rFonts w:ascii="Verdana" w:hAnsi="Verdana"/>
                <w:sz w:val="16"/>
                <w:szCs w:val="16"/>
              </w:rPr>
              <w:tab/>
              <w:t>Las demás causas previstas en el permiso respectivo.</w:t>
            </w:r>
          </w:p>
        </w:tc>
        <w:tc>
          <w:tcPr>
            <w:tcW w:w="4675" w:type="dxa"/>
          </w:tcPr>
          <w:p w14:paraId="26CB7CFE" w14:textId="0E8C7016"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Other causes provided for in the respective permit.</w:t>
            </w:r>
          </w:p>
        </w:tc>
      </w:tr>
      <w:tr w:rsidR="003B20AD" w:rsidRPr="00475A0C" w14:paraId="4EBD0141" w14:textId="3ECF3C10" w:rsidTr="007B36AB">
        <w:tc>
          <w:tcPr>
            <w:tcW w:w="4675" w:type="dxa"/>
          </w:tcPr>
          <w:p w14:paraId="4149FEB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 terminación del permiso no exime a su titular de las responsabilidades contraídas durante su vigencia, con el Gobierno Federal y con terceros.</w:t>
            </w:r>
          </w:p>
        </w:tc>
        <w:tc>
          <w:tcPr>
            <w:tcW w:w="4675" w:type="dxa"/>
          </w:tcPr>
          <w:p w14:paraId="2F401684" w14:textId="3CB4C4E6"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Termination of the permit does not exempt its holder from any responsibilities incurred during its validity, either with the Federal Government or with third parties.</w:t>
            </w:r>
          </w:p>
        </w:tc>
      </w:tr>
      <w:tr w:rsidR="003B20AD" w:rsidRPr="00475A0C" w14:paraId="65EE8E2F" w14:textId="18665B44" w:rsidTr="007B36AB">
        <w:tc>
          <w:tcPr>
            <w:tcW w:w="4675" w:type="dxa"/>
          </w:tcPr>
          <w:p w14:paraId="43E5E77D"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Dependiendo de la causal de terminación del permiso, se puede aplicar el importe de la garantía otorgada, en los términos que establezca el permiso de que se trate.</w:t>
            </w:r>
          </w:p>
        </w:tc>
        <w:tc>
          <w:tcPr>
            <w:tcW w:w="4675" w:type="dxa"/>
          </w:tcPr>
          <w:p w14:paraId="29C7FF8B" w14:textId="7DF27B46"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Depending on the reason for the permit termination, the amount of the guarantee granted may be applied, under the terms established by the permit in question.</w:t>
            </w:r>
          </w:p>
        </w:tc>
      </w:tr>
      <w:tr w:rsidR="003B20AD" w:rsidRPr="00475A0C" w14:paraId="01AF6ECB" w14:textId="142A9D1C" w:rsidTr="007B36AB">
        <w:tc>
          <w:tcPr>
            <w:tcW w:w="4675" w:type="dxa"/>
          </w:tcPr>
          <w:p w14:paraId="0BD190DF"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88.-</w:t>
            </w:r>
            <w:r w:rsidRPr="00475A0C">
              <w:rPr>
                <w:rFonts w:ascii="Verdana" w:hAnsi="Verdana"/>
                <w:sz w:val="16"/>
                <w:szCs w:val="16"/>
              </w:rPr>
              <w:t xml:space="preserve"> Los permisos caducan si las personas Permisionarias:</w:t>
            </w:r>
          </w:p>
        </w:tc>
        <w:tc>
          <w:tcPr>
            <w:tcW w:w="4675" w:type="dxa"/>
          </w:tcPr>
          <w:p w14:paraId="41D9E8E1" w14:textId="5A7036D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88.- </w:t>
            </w:r>
            <w:r w:rsidRPr="00E3602D">
              <w:rPr>
                <w:rFonts w:ascii="Verdana" w:hAnsi="Verdana"/>
                <w:sz w:val="16"/>
                <w:szCs w:val="16"/>
                <w:lang w:val="en-US"/>
              </w:rPr>
              <w:t>Permits expire if the Permit Holders:</w:t>
            </w:r>
          </w:p>
        </w:tc>
      </w:tr>
      <w:tr w:rsidR="003B20AD" w:rsidRPr="00475A0C" w14:paraId="46813D95" w14:textId="5EBE753A" w:rsidTr="007B36AB">
        <w:tc>
          <w:tcPr>
            <w:tcW w:w="4675" w:type="dxa"/>
          </w:tcPr>
          <w:p w14:paraId="423A0291"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No ejercen los derechos conferidos en el título del permiso de acuerdo con lo siguiente:</w:t>
            </w:r>
          </w:p>
        </w:tc>
        <w:tc>
          <w:tcPr>
            <w:tcW w:w="4675" w:type="dxa"/>
          </w:tcPr>
          <w:p w14:paraId="4BA426CF" w14:textId="25791611"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Do not exercise the rights conferred in the title of the permit in accordance with the following:</w:t>
            </w:r>
          </w:p>
        </w:tc>
      </w:tr>
      <w:tr w:rsidR="003B20AD" w:rsidRPr="00475A0C" w14:paraId="7A17A385" w14:textId="56BEF7F1" w:rsidTr="007B36AB">
        <w:tc>
          <w:tcPr>
            <w:tcW w:w="4675" w:type="dxa"/>
          </w:tcPr>
          <w:p w14:paraId="672463DB"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En el plazo que para tal efecto se establezca en el permiso, o</w:t>
            </w:r>
          </w:p>
        </w:tc>
        <w:tc>
          <w:tcPr>
            <w:tcW w:w="4675" w:type="dxa"/>
          </w:tcPr>
          <w:p w14:paraId="773ACC76" w14:textId="3524531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Within the period established for such purpose in the permit, or</w:t>
            </w:r>
          </w:p>
        </w:tc>
      </w:tr>
      <w:tr w:rsidR="003B20AD" w:rsidRPr="00475A0C" w14:paraId="43829165" w14:textId="39DF9DDC" w:rsidTr="007B36AB">
        <w:tc>
          <w:tcPr>
            <w:tcW w:w="4675" w:type="dxa"/>
          </w:tcPr>
          <w:p w14:paraId="77E912C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A falta de plazo, por un periodo consecutivo de trescientos sesenta y cinco días naturales;</w:t>
            </w:r>
          </w:p>
        </w:tc>
        <w:tc>
          <w:tcPr>
            <w:tcW w:w="4675" w:type="dxa"/>
          </w:tcPr>
          <w:p w14:paraId="52B7C688" w14:textId="4D93B03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In the absence of a deadline, for a consecutive period of three hundred and sixty-five calendar days;</w:t>
            </w:r>
          </w:p>
        </w:tc>
      </w:tr>
      <w:tr w:rsidR="003B20AD" w:rsidRPr="00475A0C" w14:paraId="316CD645" w14:textId="0EE942BD" w:rsidTr="007B36AB">
        <w:tc>
          <w:tcPr>
            <w:tcW w:w="4675" w:type="dxa"/>
          </w:tcPr>
          <w:p w14:paraId="0310AA95"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Se ubican en los demás supuestos de caducidad previstos en el permiso respectivo.</w:t>
            </w:r>
          </w:p>
        </w:tc>
        <w:tc>
          <w:tcPr>
            <w:tcW w:w="4675" w:type="dxa"/>
          </w:tcPr>
          <w:p w14:paraId="25B21724" w14:textId="35DCA758"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They are located in the other expiration assumptions provided for in the respective permit.</w:t>
            </w:r>
          </w:p>
        </w:tc>
      </w:tr>
      <w:tr w:rsidR="003B20AD" w:rsidRPr="00475A0C" w14:paraId="33374519" w14:textId="581FC288" w:rsidTr="007B36AB">
        <w:tc>
          <w:tcPr>
            <w:tcW w:w="4675" w:type="dxa"/>
          </w:tcPr>
          <w:p w14:paraId="3764DB2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Artículo 89.-</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pueden, en el ámbito de sus competencias, revocar los permisos expedidos en los términos establecidos en esta Ley.</w:t>
            </w:r>
          </w:p>
        </w:tc>
        <w:tc>
          <w:tcPr>
            <w:tcW w:w="4675" w:type="dxa"/>
          </w:tcPr>
          <w:p w14:paraId="5576C68D" w14:textId="2A3EC98E"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Article 89.-</w:t>
            </w:r>
            <w:r w:rsidRPr="00E3602D">
              <w:rPr>
                <w:rFonts w:ascii="Verdana" w:hAnsi="Verdana"/>
                <w:sz w:val="16"/>
                <w:szCs w:val="16"/>
                <w:lang w:val="en-US"/>
              </w:rPr>
              <w:t xml:space="preserve"> The Secretary of Energy and the National Commission of Energy may, within the scope of their powers, revoke the permits issued under the terms established in this Law.</w:t>
            </w:r>
          </w:p>
        </w:tc>
      </w:tr>
      <w:tr w:rsidR="003B20AD" w:rsidRPr="00475A0C" w14:paraId="66C16D08" w14:textId="0FE15CAC" w:rsidTr="007B36AB">
        <w:tc>
          <w:tcPr>
            <w:tcW w:w="4675" w:type="dxa"/>
          </w:tcPr>
          <w:p w14:paraId="6A62AE3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sz w:val="16"/>
                <w:szCs w:val="16"/>
              </w:rPr>
              <w:t>Los permisos pueden revocarse por cualquiera de las causas siguientes:</w:t>
            </w:r>
          </w:p>
        </w:tc>
        <w:tc>
          <w:tcPr>
            <w:tcW w:w="4675" w:type="dxa"/>
          </w:tcPr>
          <w:p w14:paraId="53ACF65E" w14:textId="18A15BFB" w:rsidR="003B20AD" w:rsidRPr="00E3602D" w:rsidRDefault="003B20AD" w:rsidP="003B20AD">
            <w:pPr>
              <w:pStyle w:val="Texto"/>
              <w:spacing w:line="236" w:lineRule="exact"/>
              <w:ind w:firstLine="0"/>
              <w:rPr>
                <w:rFonts w:ascii="Verdana" w:hAnsi="Verdana"/>
                <w:sz w:val="16"/>
                <w:szCs w:val="16"/>
                <w:lang w:val="en-US"/>
              </w:rPr>
            </w:pPr>
            <w:r w:rsidRPr="00E3602D">
              <w:rPr>
                <w:rFonts w:ascii="Verdana" w:hAnsi="Verdana"/>
                <w:sz w:val="16"/>
                <w:szCs w:val="16"/>
                <w:lang w:val="en-US"/>
              </w:rPr>
              <w:t>Permits may be revoked for any of the following reasons:</w:t>
            </w:r>
          </w:p>
        </w:tc>
      </w:tr>
      <w:tr w:rsidR="003B20AD" w:rsidRPr="00475A0C" w14:paraId="585CC8C4" w14:textId="704085CF" w:rsidTr="007B36AB">
        <w:tc>
          <w:tcPr>
            <w:tcW w:w="4675" w:type="dxa"/>
          </w:tcPr>
          <w:p w14:paraId="2580C6F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Incumplir sin causa justificada y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con el objeto, obligaciones o condiciones del permiso;</w:t>
            </w:r>
          </w:p>
        </w:tc>
        <w:tc>
          <w:tcPr>
            <w:tcW w:w="4675" w:type="dxa"/>
          </w:tcPr>
          <w:p w14:paraId="765A4457" w14:textId="65B9F74C"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Failure to comply without just cause and authorization from the Secretary of Energy or the National Commission of Energy, as appropriate, with the purpose, obligations or conditions of the permit;</w:t>
            </w:r>
          </w:p>
        </w:tc>
      </w:tr>
      <w:tr w:rsidR="003B20AD" w:rsidRPr="00475A0C" w14:paraId="58A97A28" w14:textId="060E967A" w:rsidTr="007B36AB">
        <w:tc>
          <w:tcPr>
            <w:tcW w:w="4675" w:type="dxa"/>
          </w:tcPr>
          <w:p w14:paraId="7A8EF066"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Realizar prácticas indebidamente discriminatorias en perjuicio de las personas Usuarias;</w:t>
            </w:r>
          </w:p>
        </w:tc>
        <w:tc>
          <w:tcPr>
            <w:tcW w:w="4675" w:type="dxa"/>
          </w:tcPr>
          <w:p w14:paraId="78AF7406" w14:textId="6C8D3DCA"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Carry out unduly discriminatory practices to the detriment of users;</w:t>
            </w:r>
          </w:p>
        </w:tc>
      </w:tr>
      <w:tr w:rsidR="003B20AD" w:rsidRPr="00475A0C" w14:paraId="7EF85240" w14:textId="3DF4BCEB" w:rsidTr="007B36AB">
        <w:tc>
          <w:tcPr>
            <w:tcW w:w="4675" w:type="dxa"/>
          </w:tcPr>
          <w:p w14:paraId="78C0292B"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No respetar la regulación en materia de precios y tarifas, incluida la correspondiente en materia de contabilidad regulatoria, así como los términos y condiciones que, en su caso, llegare a fijar la autoridad competente o, en su caso las disposiciones que los regulan;</w:t>
            </w:r>
          </w:p>
        </w:tc>
        <w:tc>
          <w:tcPr>
            <w:tcW w:w="4675" w:type="dxa"/>
          </w:tcPr>
          <w:p w14:paraId="71005497" w14:textId="64F56B52"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Failure to comply with the regulation on prices and rates, including those relating to regulatory accounting, as well as the terms and conditions that may be established by the appropriate authority or, where applicable, the provisions that regulate them;</w:t>
            </w:r>
          </w:p>
        </w:tc>
      </w:tr>
      <w:tr w:rsidR="003B20AD" w:rsidRPr="00475A0C" w14:paraId="7E960406" w14:textId="343E1635" w:rsidTr="007B36AB">
        <w:tc>
          <w:tcPr>
            <w:tcW w:w="4675" w:type="dxa"/>
          </w:tcPr>
          <w:p w14:paraId="1778565E"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Ceder o gravar los permisos, los derechos en ellos conferidos, o los bienes utilizados para su ejecución, sin la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w:t>
            </w:r>
          </w:p>
        </w:tc>
        <w:tc>
          <w:tcPr>
            <w:tcW w:w="4675" w:type="dxa"/>
          </w:tcPr>
          <w:p w14:paraId="4CE6CC3D" w14:textId="2CB012D5"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Transfer or encumber permits, the rights granted therein, or the assets used for their execution, without the authorization of the Secretary of Energy or the National Commission of Energy, as appropriate;</w:t>
            </w:r>
          </w:p>
        </w:tc>
      </w:tr>
      <w:tr w:rsidR="003B20AD" w:rsidRPr="00475A0C" w14:paraId="206DCEE6" w14:textId="0D171197" w:rsidTr="007B36AB">
        <w:tc>
          <w:tcPr>
            <w:tcW w:w="4675" w:type="dxa"/>
          </w:tcPr>
          <w:p w14:paraId="5C255D0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No otorgar o no mantener en vigor las garantías o los seguros correspondientes incluyendo aquéllos necesarios para cubrir daños a terceros, conforme a la regulación que para el efecto se emita;</w:t>
            </w:r>
          </w:p>
        </w:tc>
        <w:tc>
          <w:tcPr>
            <w:tcW w:w="4675" w:type="dxa"/>
          </w:tcPr>
          <w:p w14:paraId="490A78CA" w14:textId="2399AAE2"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Failure to grant or maintain in force the corresponding guarantees or insurance, including those necessary to cover damages to third parties, in accordance with the regulation issued for this purpose;</w:t>
            </w:r>
          </w:p>
        </w:tc>
      </w:tr>
      <w:tr w:rsidR="003B20AD" w:rsidRPr="00475A0C" w14:paraId="38465A65" w14:textId="157F7326" w:rsidTr="007B36AB">
        <w:tc>
          <w:tcPr>
            <w:tcW w:w="4675" w:type="dxa"/>
          </w:tcPr>
          <w:p w14:paraId="2FA717BC"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No cumplir con las Normas Oficiales Mexicanas;</w:t>
            </w:r>
          </w:p>
        </w:tc>
        <w:tc>
          <w:tcPr>
            <w:tcW w:w="4675" w:type="dxa"/>
          </w:tcPr>
          <w:p w14:paraId="5571302D" w14:textId="56A287C2"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Failure to comply with Official Mexican Standards;</w:t>
            </w:r>
          </w:p>
        </w:tc>
      </w:tr>
      <w:tr w:rsidR="003B20AD" w:rsidRPr="00475A0C" w14:paraId="5E296E31" w14:textId="3632FA35" w:rsidTr="007B36AB">
        <w:tc>
          <w:tcPr>
            <w:tcW w:w="4675" w:type="dxa"/>
          </w:tcPr>
          <w:p w14:paraId="7E069906"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lastRenderedPageBreak/>
              <w:t>VII.</w:t>
            </w:r>
            <w:r w:rsidRPr="00475A0C">
              <w:rPr>
                <w:rFonts w:ascii="Verdana" w:hAnsi="Verdana"/>
                <w:sz w:val="16"/>
                <w:szCs w:val="16"/>
              </w:rPr>
              <w:tab/>
              <w:t>Incumplir de forma continua el pago de contribuciones y aprovechamientos por los servicios de supervisión de los permisos.</w:t>
            </w:r>
          </w:p>
        </w:tc>
        <w:tc>
          <w:tcPr>
            <w:tcW w:w="4675" w:type="dxa"/>
          </w:tcPr>
          <w:p w14:paraId="5CB580FE" w14:textId="3A6DC5B3"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Continual failure to pay contributions and fees for permit supervision services.</w:t>
            </w:r>
          </w:p>
        </w:tc>
      </w:tr>
      <w:tr w:rsidR="003B20AD" w:rsidRPr="00475A0C" w14:paraId="0C35D9F0" w14:textId="4E729108" w:rsidTr="007B36AB">
        <w:tc>
          <w:tcPr>
            <w:tcW w:w="4675" w:type="dxa"/>
          </w:tcPr>
          <w:p w14:paraId="7675471B"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Para efectos de esta fracción se considera que el incumplimiento es continuo cuando la persona Permisionaria omita el pago por más de un ejercicio fiscal;</w:t>
            </w:r>
          </w:p>
        </w:tc>
        <w:tc>
          <w:tcPr>
            <w:tcW w:w="4675" w:type="dxa"/>
          </w:tcPr>
          <w:p w14:paraId="1C32BBEC" w14:textId="2046345A" w:rsidR="003B20AD" w:rsidRPr="00E3602D" w:rsidRDefault="003B20AD" w:rsidP="003B20AD">
            <w:pPr>
              <w:pStyle w:val="Texto"/>
              <w:spacing w:line="236" w:lineRule="exact"/>
              <w:ind w:firstLine="0"/>
              <w:rPr>
                <w:rFonts w:ascii="Verdana" w:hAnsi="Verdana"/>
                <w:sz w:val="16"/>
                <w:szCs w:val="16"/>
                <w:lang w:val="en-US"/>
              </w:rPr>
            </w:pPr>
            <w:r w:rsidRPr="00E3602D">
              <w:rPr>
                <w:rFonts w:ascii="Verdana" w:hAnsi="Verdana"/>
                <w:sz w:val="16"/>
                <w:szCs w:val="16"/>
                <w:lang w:val="en-US"/>
              </w:rPr>
              <w:tab/>
              <w:t>For the purposes of this section, non-compliance is considered continuous when the Permit Holder fails to pay for more than one fiscal year;</w:t>
            </w:r>
          </w:p>
        </w:tc>
      </w:tr>
      <w:tr w:rsidR="003B20AD" w:rsidRPr="00475A0C" w14:paraId="72D476B4" w14:textId="705A2A35" w:rsidTr="007B36AB">
        <w:tc>
          <w:tcPr>
            <w:tcW w:w="4675" w:type="dxa"/>
          </w:tcPr>
          <w:p w14:paraId="08F67ADF"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 xml:space="preserve">Interrumpir por un periodo de al menos treinta días naturales continuos las actividades objeto del permiso, sin causa justificada a juicio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w:t>
            </w:r>
          </w:p>
        </w:tc>
        <w:tc>
          <w:tcPr>
            <w:tcW w:w="4675" w:type="dxa"/>
          </w:tcPr>
          <w:p w14:paraId="4E123255" w14:textId="20B48DCE"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Interrupt for a period of at least thirty continuous calendar days the activities subject to the permit, without justified cause in the opinion of the Secretary of Energy or the National Commission of Energy, as appropriate;</w:t>
            </w:r>
          </w:p>
        </w:tc>
      </w:tr>
      <w:tr w:rsidR="003B20AD" w:rsidRPr="00475A0C" w14:paraId="74C47D04" w14:textId="48B1F1D8" w:rsidTr="007B36AB">
        <w:tc>
          <w:tcPr>
            <w:tcW w:w="4675" w:type="dxa"/>
          </w:tcPr>
          <w:p w14:paraId="5BDAD259"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IX.</w:t>
            </w:r>
            <w:r w:rsidRPr="00475A0C">
              <w:rPr>
                <w:rFonts w:ascii="Verdana" w:hAnsi="Verdana"/>
                <w:sz w:val="16"/>
                <w:szCs w:val="16"/>
              </w:rPr>
              <w:tab/>
              <w:t>No acatar las resoluciones que, en el ámbito de su competencia, expida la autoridad competente en materia de competencia económica;</w:t>
            </w:r>
          </w:p>
        </w:tc>
        <w:tc>
          <w:tcPr>
            <w:tcW w:w="4675" w:type="dxa"/>
          </w:tcPr>
          <w:p w14:paraId="6D97C5AE" w14:textId="798BB9DD"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sz w:val="16"/>
                <w:szCs w:val="16"/>
                <w:lang w:val="en-US"/>
              </w:rPr>
              <w:tab/>
              <w:t>Failure to comply with the resolutions issued by the appropriate authority in matters of economic competition within its scope of authority;</w:t>
            </w:r>
          </w:p>
        </w:tc>
      </w:tr>
      <w:tr w:rsidR="003B20AD" w:rsidRPr="00475A0C" w14:paraId="7392AD43" w14:textId="70E73F1A" w:rsidTr="007B36AB">
        <w:tc>
          <w:tcPr>
            <w:tcW w:w="4675" w:type="dxa"/>
          </w:tcPr>
          <w:p w14:paraId="30FCF6BE"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w:t>
            </w:r>
            <w:r w:rsidRPr="00475A0C">
              <w:rPr>
                <w:rFonts w:ascii="Verdana" w:hAnsi="Verdana"/>
                <w:sz w:val="16"/>
                <w:szCs w:val="16"/>
              </w:rPr>
              <w:tab/>
              <w:t xml:space="preserve">No acatar las resoluciones que, en el ámbito de su competencia, expida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w:t>
            </w:r>
          </w:p>
        </w:tc>
        <w:tc>
          <w:tcPr>
            <w:tcW w:w="4675" w:type="dxa"/>
          </w:tcPr>
          <w:p w14:paraId="726CABCC" w14:textId="12B60555"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sz w:val="16"/>
                <w:szCs w:val="16"/>
                <w:lang w:val="en-US"/>
              </w:rPr>
              <w:tab/>
              <w:t>Failure to comply with the resolutions issued within the scope of its jurisdiction by the Agency;</w:t>
            </w:r>
          </w:p>
        </w:tc>
      </w:tr>
      <w:tr w:rsidR="003B20AD" w:rsidRPr="00475A0C" w14:paraId="7943B8CA" w14:textId="1EABEC6E" w:rsidTr="007B36AB">
        <w:tc>
          <w:tcPr>
            <w:tcW w:w="4675" w:type="dxa"/>
          </w:tcPr>
          <w:p w14:paraId="5D0DE62A"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XI.</w:t>
            </w:r>
            <w:r w:rsidRPr="00475A0C">
              <w:rPr>
                <w:rFonts w:ascii="Verdana" w:hAnsi="Verdana"/>
                <w:sz w:val="16"/>
                <w:szCs w:val="16"/>
              </w:rPr>
              <w:tab/>
              <w:t>Realizar actividades de Transporte, Almacenamiento, Distribución o Expendio al Público de Hidrocarburos, Petrolíferos o Petroquímicos, que se compruebe hayan sido adquiridos de forma ilícita o por la comisión del delito de contrabando de Hidrocarburos, Petrolíferos y Petroquímicos, y que haya sido así determinado por resolución firme de autoridad competente;</w:t>
            </w:r>
          </w:p>
        </w:tc>
        <w:tc>
          <w:tcPr>
            <w:tcW w:w="4675" w:type="dxa"/>
          </w:tcPr>
          <w:p w14:paraId="449A0D74" w14:textId="36B65D3D"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sz w:val="16"/>
                <w:szCs w:val="16"/>
                <w:lang w:val="en-US"/>
              </w:rPr>
              <w:tab/>
              <w:t>Carry out activities of transportation, storage, distribution or sale to the public of hydrocarbons, petroleum products or petrochemicals, which are proven to have been acquired illegally or by the commission of the crime of smuggling of hydrocarbons, petroleum products and petrochemicals, and which has been so determined by a final resolution of the appropriate authority;</w:t>
            </w:r>
          </w:p>
        </w:tc>
      </w:tr>
      <w:tr w:rsidR="003B20AD" w:rsidRPr="00475A0C" w14:paraId="60C41057" w14:textId="13C490D9" w:rsidTr="007B36AB">
        <w:tc>
          <w:tcPr>
            <w:tcW w:w="4675" w:type="dxa"/>
          </w:tcPr>
          <w:p w14:paraId="36150DED"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XII.</w:t>
            </w:r>
            <w:r w:rsidRPr="00475A0C">
              <w:rPr>
                <w:rFonts w:ascii="Verdana" w:hAnsi="Verdana"/>
                <w:sz w:val="16"/>
                <w:szCs w:val="16"/>
              </w:rPr>
              <w:tab/>
              <w:t>Reincidir en las conductas señaladas en el inciso e) de la fracción I, o el inciso g) de la fracción II del artículo 121 del presente ordenamiento;</w:t>
            </w:r>
          </w:p>
        </w:tc>
        <w:tc>
          <w:tcPr>
            <w:tcW w:w="4675" w:type="dxa"/>
          </w:tcPr>
          <w:p w14:paraId="76F586A8" w14:textId="53FB1269"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sz w:val="16"/>
                <w:szCs w:val="16"/>
                <w:lang w:val="en-US"/>
              </w:rPr>
              <w:tab/>
              <w:t>Recurring in the conduct indicated in paragraph e) of section I, or paragraph g) of section II of article 121 of this ordinance;</w:t>
            </w:r>
          </w:p>
        </w:tc>
      </w:tr>
      <w:tr w:rsidR="003B20AD" w:rsidRPr="00475A0C" w14:paraId="799558EE" w14:textId="4004B8AF" w:rsidTr="007B36AB">
        <w:tc>
          <w:tcPr>
            <w:tcW w:w="4675" w:type="dxa"/>
          </w:tcPr>
          <w:p w14:paraId="5CB3D23D"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XIII.</w:t>
            </w:r>
            <w:r w:rsidRPr="00475A0C">
              <w:rPr>
                <w:rFonts w:ascii="Verdana" w:hAnsi="Verdana"/>
                <w:sz w:val="16"/>
                <w:szCs w:val="16"/>
              </w:rPr>
              <w:tab/>
              <w:t xml:space="preserve">Incumplir con la entrega de la información que permita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conocer los controles volumétricos, medición, calidad de los Hidrocarburos, Petrolíferos y Petroquímicos, objeto de los permisos respectivos, así como de las operaciones comerciales que realicen con clientes y proveedores, y demás información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requieran para fines de supervisión y estadísticos del sector energético, en términos de lo que establezca el reglamento de esta Ley y demás regulación aplicable;</w:t>
            </w:r>
          </w:p>
        </w:tc>
        <w:tc>
          <w:tcPr>
            <w:tcW w:w="4675" w:type="dxa"/>
          </w:tcPr>
          <w:p w14:paraId="102DDE14" w14:textId="3510E24B"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sz w:val="16"/>
                <w:szCs w:val="16"/>
                <w:lang w:val="en-US"/>
              </w:rPr>
              <w:tab/>
              <w:t>Failure to provide information that allows the Secretary of Energy or the National Commission of Energy to know the volumetric controls, measurement, quality of hydrocarbons, petroleum and petrochemicals, subject to the respective permits, as well as the commercial operations carried out with clients and suppliers, and other information that the Secretary of Energy or the National Commission of Energy requires for supervision and statistical purposes of the energy sector, in terms of what is established in the regulation of this Law and other applicable regulations;</w:t>
            </w:r>
          </w:p>
        </w:tc>
      </w:tr>
      <w:tr w:rsidR="003B20AD" w:rsidRPr="00475A0C" w14:paraId="145B902B" w14:textId="3C4BE094" w:rsidTr="007B36AB">
        <w:tc>
          <w:tcPr>
            <w:tcW w:w="4675" w:type="dxa"/>
          </w:tcPr>
          <w:p w14:paraId="71819C7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XIV.</w:t>
            </w:r>
            <w:r w:rsidRPr="00475A0C">
              <w:rPr>
                <w:rFonts w:ascii="Verdana" w:hAnsi="Verdana"/>
                <w:sz w:val="16"/>
                <w:szCs w:val="16"/>
              </w:rPr>
              <w:tab/>
              <w:t>No contar con los equipos y programas informáticos para llevar los controles volumétricos referidos en el artículo 119, fracción XXII de este ordenamiento, o contando con éstos, no los mantenga en operación en todo momento, los altere, inutilice o destruya;</w:t>
            </w:r>
          </w:p>
        </w:tc>
        <w:tc>
          <w:tcPr>
            <w:tcW w:w="4675" w:type="dxa"/>
          </w:tcPr>
          <w:p w14:paraId="45F366B5" w14:textId="6D06D940"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XIV. </w:t>
            </w:r>
            <w:r w:rsidRPr="00E3602D">
              <w:rPr>
                <w:rFonts w:ascii="Verdana" w:hAnsi="Verdana"/>
                <w:sz w:val="16"/>
                <w:szCs w:val="16"/>
                <w:lang w:val="en-US"/>
              </w:rPr>
              <w:tab/>
              <w:t>Not having the equipment and computer programs to carry out the volumetric controls referred to in article 119, section XXII of this ordinance, or having these, not keeping them in operation at all times, altering them, rendering them useless or destroying them;</w:t>
            </w:r>
          </w:p>
        </w:tc>
      </w:tr>
      <w:tr w:rsidR="003B20AD" w:rsidRPr="00475A0C" w14:paraId="4D2D17F6" w14:textId="5E0C9731" w:rsidTr="007B36AB">
        <w:tc>
          <w:tcPr>
            <w:tcW w:w="4675" w:type="dxa"/>
          </w:tcPr>
          <w:p w14:paraId="17B67181"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XV.</w:t>
            </w:r>
            <w:r w:rsidRPr="00475A0C">
              <w:rPr>
                <w:rFonts w:ascii="Verdana" w:hAnsi="Verdana"/>
                <w:sz w:val="16"/>
                <w:szCs w:val="16"/>
              </w:rPr>
              <w:tab/>
              <w:t>No contar con los controles volumétricos de Hidrocarburos o petrolíferos a que hace referencia el artículo 119, fracción XXIII, de esta Ley;</w:t>
            </w:r>
          </w:p>
        </w:tc>
        <w:tc>
          <w:tcPr>
            <w:tcW w:w="4675" w:type="dxa"/>
          </w:tcPr>
          <w:p w14:paraId="241128D1" w14:textId="182C6B91"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t xml:space="preserve">XV. </w:t>
            </w:r>
            <w:r w:rsidRPr="00E3602D">
              <w:rPr>
                <w:rFonts w:ascii="Verdana" w:hAnsi="Verdana"/>
                <w:sz w:val="16"/>
                <w:szCs w:val="16"/>
                <w:lang w:val="en-US"/>
              </w:rPr>
              <w:tab/>
              <w:t>Not having the volumetric controls of hydrocarbons or petroleum products referred to in article 119, section XXIII, of this Law;</w:t>
            </w:r>
          </w:p>
        </w:tc>
      </w:tr>
      <w:tr w:rsidR="003B20AD" w:rsidRPr="00475A0C" w14:paraId="6985035A" w14:textId="4FA4670B" w:rsidTr="007B36AB">
        <w:tc>
          <w:tcPr>
            <w:tcW w:w="4675" w:type="dxa"/>
          </w:tcPr>
          <w:p w14:paraId="55FD17C0" w14:textId="77777777" w:rsidR="003B20AD" w:rsidRPr="00475A0C" w:rsidRDefault="003B20AD" w:rsidP="003B20AD">
            <w:pPr>
              <w:pStyle w:val="Texto"/>
              <w:spacing w:line="236" w:lineRule="exact"/>
              <w:ind w:firstLine="0"/>
              <w:rPr>
                <w:rFonts w:ascii="Verdana" w:hAnsi="Verdana"/>
                <w:sz w:val="16"/>
                <w:szCs w:val="16"/>
              </w:rPr>
            </w:pPr>
            <w:r w:rsidRPr="00475A0C">
              <w:rPr>
                <w:rFonts w:ascii="Verdana" w:hAnsi="Verdana"/>
                <w:b/>
                <w:sz w:val="16"/>
                <w:szCs w:val="16"/>
              </w:rPr>
              <w:t>XVI.</w:t>
            </w:r>
            <w:r w:rsidRPr="00475A0C">
              <w:rPr>
                <w:rFonts w:ascii="Verdana" w:hAnsi="Verdana"/>
                <w:sz w:val="16"/>
                <w:szCs w:val="16"/>
              </w:rPr>
              <w:tab/>
              <w:t xml:space="preserve">No generar o conservar los reportes de información de controles volumétricos de Hidrocarburos </w:t>
            </w:r>
            <w:r w:rsidRPr="00475A0C">
              <w:rPr>
                <w:rFonts w:ascii="Verdana" w:hAnsi="Verdana"/>
                <w:sz w:val="16"/>
                <w:szCs w:val="16"/>
              </w:rPr>
              <w:lastRenderedPageBreak/>
              <w:t>o petrolíferos a que hace referencia el artículo 119, fracción XXI, de esta Ley, de manera reiterada;</w:t>
            </w:r>
          </w:p>
        </w:tc>
        <w:tc>
          <w:tcPr>
            <w:tcW w:w="4675" w:type="dxa"/>
          </w:tcPr>
          <w:p w14:paraId="7111EF54" w14:textId="5B7239F9" w:rsidR="003B20AD" w:rsidRPr="00E3602D" w:rsidRDefault="003B20AD" w:rsidP="003B20AD">
            <w:pPr>
              <w:pStyle w:val="Texto"/>
              <w:spacing w:line="236" w:lineRule="exact"/>
              <w:ind w:firstLine="0"/>
              <w:rPr>
                <w:rFonts w:ascii="Verdana" w:hAnsi="Verdana"/>
                <w:b/>
                <w:sz w:val="16"/>
                <w:szCs w:val="16"/>
                <w:lang w:val="en-US"/>
              </w:rPr>
            </w:pPr>
            <w:r w:rsidRPr="00E3602D">
              <w:rPr>
                <w:rFonts w:ascii="Verdana" w:hAnsi="Verdana"/>
                <w:b/>
                <w:sz w:val="16"/>
                <w:szCs w:val="16"/>
                <w:lang w:val="en-US"/>
              </w:rPr>
              <w:lastRenderedPageBreak/>
              <w:t xml:space="preserve">XVI. </w:t>
            </w:r>
            <w:r w:rsidRPr="00E3602D">
              <w:rPr>
                <w:rFonts w:ascii="Verdana" w:hAnsi="Verdana"/>
                <w:sz w:val="16"/>
                <w:szCs w:val="16"/>
                <w:lang w:val="en-US"/>
              </w:rPr>
              <w:tab/>
              <w:t xml:space="preserve">Failure to generate or maintain the volumetric control information reports for hydrocarbons or </w:t>
            </w:r>
            <w:r w:rsidRPr="00E3602D">
              <w:rPr>
                <w:rFonts w:ascii="Verdana" w:hAnsi="Verdana"/>
                <w:sz w:val="16"/>
                <w:szCs w:val="16"/>
                <w:lang w:val="en-US"/>
              </w:rPr>
              <w:lastRenderedPageBreak/>
              <w:t>petroleum products referred to in article 119, section XXI, of this Law, on a repeated basis;</w:t>
            </w:r>
          </w:p>
        </w:tc>
      </w:tr>
      <w:tr w:rsidR="003B20AD" w:rsidRPr="00475A0C" w14:paraId="2C162DA4" w14:textId="67488DAF" w:rsidTr="007B36AB">
        <w:tc>
          <w:tcPr>
            <w:tcW w:w="4675" w:type="dxa"/>
          </w:tcPr>
          <w:p w14:paraId="2EDE9566"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lastRenderedPageBreak/>
              <w:t>XVII.</w:t>
            </w:r>
            <w:r w:rsidRPr="00475A0C">
              <w:rPr>
                <w:rFonts w:ascii="Verdana" w:hAnsi="Verdana"/>
                <w:sz w:val="16"/>
                <w:szCs w:val="16"/>
              </w:rPr>
              <w:tab/>
              <w:t>También son causales de revocación las siguientes:</w:t>
            </w:r>
          </w:p>
        </w:tc>
        <w:tc>
          <w:tcPr>
            <w:tcW w:w="4675" w:type="dxa"/>
          </w:tcPr>
          <w:p w14:paraId="65706F54" w14:textId="4826F45A"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XVII. </w:t>
            </w:r>
            <w:r w:rsidRPr="00E3602D">
              <w:rPr>
                <w:rFonts w:ascii="Verdana" w:hAnsi="Verdana"/>
                <w:sz w:val="16"/>
                <w:szCs w:val="16"/>
                <w:lang w:val="en-US"/>
              </w:rPr>
              <w:tab/>
              <w:t>The following are also grounds for revocation:</w:t>
            </w:r>
          </w:p>
        </w:tc>
      </w:tr>
      <w:tr w:rsidR="003B20AD" w:rsidRPr="00475A0C" w14:paraId="149A1327" w14:textId="0159882A" w:rsidTr="007B36AB">
        <w:tc>
          <w:tcPr>
            <w:tcW w:w="4675" w:type="dxa"/>
          </w:tcPr>
          <w:p w14:paraId="69E1C045"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Se ubiquen en alguno de los supuestos establecidos en el artículo 69, penúltimo párrafo, del Código Fiscal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 xml:space="preserve"> y cuyo nombre, denominación o razón social y clave en el Registro Federal de Contribuyentes se encuentren contenidos en la publicación de la página de Internet del Servicio de Administración Tributaria a que se refiere el último párrafo del citado artículo, y</w:t>
            </w:r>
          </w:p>
        </w:tc>
        <w:tc>
          <w:tcPr>
            <w:tcW w:w="4675" w:type="dxa"/>
          </w:tcPr>
          <w:p w14:paraId="62C96130" w14:textId="79B1F191"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They are located in any of the situations established in article 69, penultimate paragraph, of the Tax Code of the Federation and whose name, corporate name or business name and code in the Federal Registry of Taxpayers are contained in the publication on the website of the Tax Administration Service referred to in the last paragraph of the aforementioned article, and</w:t>
            </w:r>
          </w:p>
        </w:tc>
      </w:tr>
      <w:tr w:rsidR="003B20AD" w:rsidRPr="00475A0C" w14:paraId="4A590310" w14:textId="26FBBA7B" w:rsidTr="007B36AB">
        <w:tc>
          <w:tcPr>
            <w:tcW w:w="4675" w:type="dxa"/>
          </w:tcPr>
          <w:p w14:paraId="75DD6AD9"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Se encuentren publicados en definitiva en el listado previsto en el cuarto párrafo del artículo 69-B del Código Fiscal de </w:t>
            </w:r>
            <w:smartTag w:uri="urn:schemas-microsoft-com:office:smarttags" w:element="PersonName">
              <w:smartTagPr>
                <w:attr w:name="ProductID" w:val="la Federación. O"/>
              </w:smartTagPr>
              <w:r w:rsidRPr="00475A0C">
                <w:rPr>
                  <w:rFonts w:ascii="Verdana" w:hAnsi="Verdana"/>
                  <w:sz w:val="16"/>
                  <w:szCs w:val="16"/>
                </w:rPr>
                <w:t>la Federación. O</w:t>
              </w:r>
            </w:smartTag>
            <w:r w:rsidRPr="00475A0C">
              <w:rPr>
                <w:rFonts w:ascii="Verdana" w:hAnsi="Verdana"/>
                <w:sz w:val="16"/>
                <w:szCs w:val="16"/>
              </w:rPr>
              <w:t xml:space="preserve"> bien, sea uno de sus socios o accionistas el que se encuentre publicado en dicho listado, y</w:t>
            </w:r>
          </w:p>
        </w:tc>
        <w:tc>
          <w:tcPr>
            <w:tcW w:w="4675" w:type="dxa"/>
          </w:tcPr>
          <w:p w14:paraId="222DDA26" w14:textId="7445DAE2"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They are definitively published in the list provided for in the fourth paragraph of article 69-B of the Tax Code the Federation, or whether one of its partners or shareholders is published in said list, and</w:t>
            </w:r>
          </w:p>
        </w:tc>
      </w:tr>
      <w:tr w:rsidR="003B20AD" w:rsidRPr="00475A0C" w14:paraId="08158B7B" w14:textId="27BF9F35" w:rsidTr="007B36AB">
        <w:tc>
          <w:tcPr>
            <w:tcW w:w="4675" w:type="dxa"/>
          </w:tcPr>
          <w:p w14:paraId="53D75CF2"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XVIII.</w:t>
            </w:r>
            <w:r w:rsidRPr="00475A0C">
              <w:rPr>
                <w:rFonts w:ascii="Verdana" w:hAnsi="Verdana"/>
                <w:sz w:val="16"/>
                <w:szCs w:val="16"/>
              </w:rPr>
              <w:tab/>
              <w:t>Las demás previstas en el permiso respectivo.</w:t>
            </w:r>
          </w:p>
        </w:tc>
        <w:tc>
          <w:tcPr>
            <w:tcW w:w="4675" w:type="dxa"/>
          </w:tcPr>
          <w:p w14:paraId="7D4B6B3F" w14:textId="57CB0110"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XVIII. </w:t>
            </w:r>
            <w:r w:rsidRPr="00E3602D">
              <w:rPr>
                <w:rFonts w:ascii="Verdana" w:hAnsi="Verdana"/>
                <w:sz w:val="16"/>
                <w:szCs w:val="16"/>
                <w:lang w:val="en-US"/>
              </w:rPr>
              <w:tab/>
              <w:t>Others provided for in the respective permit.</w:t>
            </w:r>
          </w:p>
        </w:tc>
      </w:tr>
      <w:tr w:rsidR="003B20AD" w:rsidRPr="00475A0C" w14:paraId="09C3B5E6" w14:textId="0FD6F3A8" w:rsidTr="007B36AB">
        <w:tc>
          <w:tcPr>
            <w:tcW w:w="4675" w:type="dxa"/>
          </w:tcPr>
          <w:p w14:paraId="3D949FD0"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90.-</w:t>
            </w:r>
            <w:r w:rsidRPr="00475A0C">
              <w:rPr>
                <w:rFonts w:ascii="Verdana" w:hAnsi="Verdana"/>
                <w:sz w:val="16"/>
                <w:szCs w:val="16"/>
              </w:rPr>
              <w:t xml:space="preserve"> En relación con los permisos a que se refiere esta Ley, la autoridad que lo haya expedido puede llevar a cabo la ocupación temporal o la intervención, a fin de garantizar los intereses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en el entendido de que quedan salvaguardados los derechos de terceros.</w:t>
            </w:r>
          </w:p>
        </w:tc>
        <w:tc>
          <w:tcPr>
            <w:tcW w:w="4675" w:type="dxa"/>
          </w:tcPr>
          <w:p w14:paraId="444E2F99" w14:textId="0080DBDF"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90.- </w:t>
            </w:r>
            <w:r w:rsidRPr="00E3602D">
              <w:rPr>
                <w:rFonts w:ascii="Verdana" w:hAnsi="Verdana"/>
                <w:sz w:val="16"/>
                <w:szCs w:val="16"/>
                <w:lang w:val="en-US"/>
              </w:rPr>
              <w:t>With regard to the permits referred to in this Law, the authority that issued them may carry out temporary occupation or intervention, in order to guarantee the interests of the Nation, on the understanding that the rights of third parties are safeguarded.</w:t>
            </w:r>
          </w:p>
        </w:tc>
      </w:tr>
      <w:tr w:rsidR="003B20AD" w:rsidRPr="00475A0C" w14:paraId="2D69C5C1" w14:textId="46E9670A" w:rsidTr="007B36AB">
        <w:tc>
          <w:tcPr>
            <w:tcW w:w="4675" w:type="dxa"/>
          </w:tcPr>
          <w:p w14:paraId="3425E909"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Para la continuidad en la operación de las actividades que ampare el permiso, la autoridad puede contratar a Empresas Públicas del Estado para el manejo y control de las instalaciones ocupadas, intervenidas o suspendidas.</w:t>
            </w:r>
          </w:p>
        </w:tc>
        <w:tc>
          <w:tcPr>
            <w:tcW w:w="4675" w:type="dxa"/>
          </w:tcPr>
          <w:p w14:paraId="0322B9B0" w14:textId="07A2F7C7"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To ensure the continued operation of the activities covered by the permit, the authority may contract with state owned public enterprises to manage and control the occupied, intervened, or suspended facilities.</w:t>
            </w:r>
          </w:p>
        </w:tc>
      </w:tr>
      <w:tr w:rsidR="003B20AD" w:rsidRPr="00475A0C" w14:paraId="61FC8FA5" w14:textId="502793C4" w:rsidTr="007B36AB">
        <w:tc>
          <w:tcPr>
            <w:tcW w:w="4675" w:type="dxa"/>
          </w:tcPr>
          <w:p w14:paraId="4DD43B87"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t>Artículo 91.-</w:t>
            </w:r>
            <w:r w:rsidRPr="00475A0C">
              <w:rPr>
                <w:rFonts w:ascii="Verdana" w:hAnsi="Verdana"/>
                <w:sz w:val="16"/>
                <w:szCs w:val="16"/>
              </w:rPr>
              <w:t xml:space="preserve"> Se consideran de utilidad pública, las actividades y servicios amparados por un permiso.</w:t>
            </w:r>
          </w:p>
        </w:tc>
        <w:tc>
          <w:tcPr>
            <w:tcW w:w="4675" w:type="dxa"/>
          </w:tcPr>
          <w:p w14:paraId="195CB7A6" w14:textId="794F8211"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91.- </w:t>
            </w:r>
            <w:r w:rsidRPr="00E3602D">
              <w:rPr>
                <w:rFonts w:ascii="Verdana" w:hAnsi="Verdana"/>
                <w:sz w:val="16"/>
                <w:szCs w:val="16"/>
                <w:lang w:val="en-US"/>
              </w:rPr>
              <w:t>Activities and services covered by a permit are considered to be of public utility.</w:t>
            </w:r>
          </w:p>
        </w:tc>
      </w:tr>
      <w:tr w:rsidR="003B20AD" w:rsidRPr="00475A0C" w14:paraId="2342E428" w14:textId="2DFCA3B0" w:rsidTr="007B36AB">
        <w:tc>
          <w:tcPr>
            <w:tcW w:w="4675" w:type="dxa"/>
          </w:tcPr>
          <w:p w14:paraId="311F927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Procede la ocupación temporal de los bienes, derechos e instalaciones necesarias para la prestación del servicio o su adecuada operación, en los supuestos previstos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Expropiación o cuando la persona Permisionaria incumpla sus obligaciones por causas no imputables a ésta, como pueden ser guerra, desastre natural, la grave alteración del orden público o cuando se prevé un peligro inminente para la seguridad nacional, la seguridad energética o para la economía nacional.</w:t>
            </w:r>
          </w:p>
        </w:tc>
        <w:tc>
          <w:tcPr>
            <w:tcW w:w="4675" w:type="dxa"/>
          </w:tcPr>
          <w:p w14:paraId="502065FC" w14:textId="74BE841D"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Temporary occupation of the assets, rights and facilities necessary for the provision of the service or its proper operation is permitted in the cases provided for in the Law of Expropriation or when the Permit Holder fails to comply with its obligations for reasons not attributable to it, such as war, natural disaster, serious disturbance of public order or when an imminent danger to national security, energy security or the national economy is foreseen.</w:t>
            </w:r>
          </w:p>
        </w:tc>
      </w:tr>
      <w:tr w:rsidR="003B20AD" w:rsidRPr="00475A0C" w14:paraId="666FFD23" w14:textId="2C02CA4A" w:rsidTr="007B36AB">
        <w:tc>
          <w:tcPr>
            <w:tcW w:w="4675" w:type="dxa"/>
          </w:tcPr>
          <w:p w14:paraId="58378ED9"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autoridad que haya expedido el permiso debe integrar y tramitar el expediente de ocupación temporal de los bienes, derechos e instalaciones necesarias para la prestación del servicio u operación, a fin de garantizar los intereses de las personas Usuarias Finales y consumidores, quedando a salvo los derechos de los terceros.</w:t>
            </w:r>
          </w:p>
        </w:tc>
        <w:tc>
          <w:tcPr>
            <w:tcW w:w="4675" w:type="dxa"/>
          </w:tcPr>
          <w:p w14:paraId="02174D08" w14:textId="2E49907D"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authority that issued the permit must compile and process the file for the temporary occupation of the assets, rights, and facilities necessary for the provision of the service or operation, in order to guarantee the interests of end users and consumers, while safeguarding the rights of third parties.</w:t>
            </w:r>
          </w:p>
        </w:tc>
      </w:tr>
      <w:tr w:rsidR="003B20AD" w:rsidRPr="00475A0C" w14:paraId="00C76192" w14:textId="7915A8CE" w:rsidTr="007B36AB">
        <w:tc>
          <w:tcPr>
            <w:tcW w:w="4675" w:type="dxa"/>
          </w:tcPr>
          <w:p w14:paraId="714F0D8A"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ocupación debe tener la duración que la autoridad determine sin que el plazo original o en su caso las prórrogas, en su conjunto, excedan de treinta y seis meses.</w:t>
            </w:r>
          </w:p>
        </w:tc>
        <w:tc>
          <w:tcPr>
            <w:tcW w:w="4675" w:type="dxa"/>
          </w:tcPr>
          <w:p w14:paraId="4EF9CEFC" w14:textId="5738CE52"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occupation must have the duration determined by the authority, without the original period or, where applicable, the extensions, taken together, exceeding thirty-six months.</w:t>
            </w:r>
          </w:p>
        </w:tc>
      </w:tr>
      <w:tr w:rsidR="003B20AD" w:rsidRPr="00475A0C" w14:paraId="45B1138F" w14:textId="3CA8D17D" w:rsidTr="007B36AB">
        <w:tc>
          <w:tcPr>
            <w:tcW w:w="4675" w:type="dxa"/>
          </w:tcPr>
          <w:p w14:paraId="7BF6CA05"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 xml:space="preserve">La persona Permisionaria puede solicitar a la autoridad que haya expedido el permiso la terminación de la ocupación, cuando demuestre que las causas que la </w:t>
            </w:r>
            <w:r w:rsidRPr="00475A0C">
              <w:rPr>
                <w:rFonts w:ascii="Verdana" w:hAnsi="Verdana"/>
                <w:sz w:val="16"/>
                <w:szCs w:val="16"/>
              </w:rPr>
              <w:lastRenderedPageBreak/>
              <w:t>ocasionaron ya fueron subsanadas o erradicadas, o han desaparecido.</w:t>
            </w:r>
          </w:p>
        </w:tc>
        <w:tc>
          <w:tcPr>
            <w:tcW w:w="4675" w:type="dxa"/>
          </w:tcPr>
          <w:p w14:paraId="337986D2" w14:textId="0357ACD8"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lastRenderedPageBreak/>
              <w:t xml:space="preserve">The permit holder may request the authority that issued the permit to terminate the occupation when he or she </w:t>
            </w:r>
            <w:r w:rsidRPr="00E3602D">
              <w:rPr>
                <w:rFonts w:ascii="Verdana" w:hAnsi="Verdana"/>
                <w:sz w:val="16"/>
                <w:szCs w:val="16"/>
                <w:lang w:val="en-US"/>
              </w:rPr>
              <w:lastRenderedPageBreak/>
              <w:t>can demonstrate that the causes that led to it have been remedied or eradicated or have disappeared.</w:t>
            </w:r>
          </w:p>
        </w:tc>
      </w:tr>
      <w:tr w:rsidR="003B20AD" w:rsidRPr="00475A0C" w14:paraId="2D65CAFD" w14:textId="693DE337" w:rsidTr="007B36AB">
        <w:tc>
          <w:tcPr>
            <w:tcW w:w="4675" w:type="dxa"/>
          </w:tcPr>
          <w:p w14:paraId="35482FFD"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b/>
                <w:sz w:val="16"/>
                <w:szCs w:val="16"/>
              </w:rPr>
              <w:lastRenderedPageBreak/>
              <w:t>Artículo 92.-</w:t>
            </w:r>
            <w:r w:rsidRPr="00475A0C">
              <w:rPr>
                <w:rFonts w:ascii="Verdana" w:hAnsi="Verdana"/>
                <w:sz w:val="16"/>
                <w:szCs w:val="16"/>
              </w:rPr>
              <w:t xml:space="preserve"> La autoridad que haya expedido el permiso puede intervenir en la realización de la actividad o la prestación del servicio, cuando la persona Permisionaria incumpla sus obligaciones, por causas imputables a ésta, y ponga en peligro grave el suministro de los Hidrocarburos, Petrolíferos o Petroquímicos relacionados con el objeto del permiso.</w:t>
            </w:r>
          </w:p>
        </w:tc>
        <w:tc>
          <w:tcPr>
            <w:tcW w:w="4675" w:type="dxa"/>
          </w:tcPr>
          <w:p w14:paraId="0642B676" w14:textId="6A3CACC9" w:rsidR="003B20AD" w:rsidRPr="00E3602D" w:rsidRDefault="003B20AD" w:rsidP="003B20AD">
            <w:pPr>
              <w:pStyle w:val="Texto"/>
              <w:spacing w:after="80"/>
              <w:ind w:firstLine="0"/>
              <w:rPr>
                <w:rFonts w:ascii="Verdana" w:hAnsi="Verdana"/>
                <w:b/>
                <w:sz w:val="16"/>
                <w:szCs w:val="16"/>
                <w:lang w:val="en-US"/>
              </w:rPr>
            </w:pPr>
            <w:r w:rsidRPr="00E3602D">
              <w:rPr>
                <w:rFonts w:ascii="Verdana" w:hAnsi="Verdana"/>
                <w:b/>
                <w:sz w:val="16"/>
                <w:szCs w:val="16"/>
                <w:lang w:val="en-US"/>
              </w:rPr>
              <w:t xml:space="preserve">Article 92.- </w:t>
            </w:r>
            <w:r w:rsidRPr="00E3602D">
              <w:rPr>
                <w:rFonts w:ascii="Verdana" w:hAnsi="Verdana"/>
                <w:sz w:val="16"/>
                <w:szCs w:val="16"/>
                <w:lang w:val="en-US"/>
              </w:rPr>
              <w:t>The authority that issued the permit may intervene in the performance of the activity or the provision of the service when the Permit Holder fails to comply with its obligations, for reasons attributable to it, and seriously endangers the supply of hydrocarbons, petroleum products or petrochemicals related to the purpose of the permit.</w:t>
            </w:r>
          </w:p>
        </w:tc>
      </w:tr>
      <w:tr w:rsidR="003B20AD" w:rsidRPr="00475A0C" w14:paraId="0266F8CB" w14:textId="54D5D0F7" w:rsidTr="007B36AB">
        <w:tc>
          <w:tcPr>
            <w:tcW w:w="4675" w:type="dxa"/>
          </w:tcPr>
          <w:p w14:paraId="352909BA"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Para tales efectos, la autoridad debe notificar a la persona Permisionaria la causa que motiva la intervención y señalar un plazo para subsanarla. Si dentro del plazo establecido la persona Permisionaria no la corrige, la autoridad debe proceder a la intervención, sin perjuicio de las sanciones y responsabilidades en las que, en su caso, incurra la persona Permisionaria.</w:t>
            </w:r>
          </w:p>
        </w:tc>
        <w:tc>
          <w:tcPr>
            <w:tcW w:w="4675" w:type="dxa"/>
          </w:tcPr>
          <w:p w14:paraId="29BE706B" w14:textId="7FEBD7CD"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For such purposes, the authority must notify the permit holder of the reason for the intervention and set a deadline for remedying it. If the permit holder fails to correct the problem within the established deadline, the authority must proceed with the intervention, without prejudice to any penalties and liabilities that the permit holder may incur.</w:t>
            </w:r>
          </w:p>
        </w:tc>
      </w:tr>
      <w:tr w:rsidR="003B20AD" w:rsidRPr="00475A0C" w14:paraId="513BCC84" w14:textId="11295729" w:rsidTr="007B36AB">
        <w:tc>
          <w:tcPr>
            <w:tcW w:w="4675" w:type="dxa"/>
          </w:tcPr>
          <w:p w14:paraId="43633D84"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Durante la intervención, la autoridad que haya emitido el permiso tiene a su cargo la administración y operación de la persona Permisionaria, para asegurar el adecuado suministro y desarrollo de las actividades objeto del mismo. Al efecto, puede designar a uno o varios interventores, utilizar al personal que la persona Permisionaria venía utilizando, contratar a un nuevo operador o una combinación de las anteriores.</w:t>
            </w:r>
          </w:p>
        </w:tc>
        <w:tc>
          <w:tcPr>
            <w:tcW w:w="4675" w:type="dxa"/>
          </w:tcPr>
          <w:p w14:paraId="7A0178E9" w14:textId="15C2C90A"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During the intervention, the permit-issuing authority is responsible for the administration and operation of the permit holder, ensuring the proper supply and development of the activities covered by the intervention. To this end, it may appoint one or more interventionists, use the personnel previously employed by the permit holder, hire a new operator, or a combination of the above.</w:t>
            </w:r>
          </w:p>
        </w:tc>
      </w:tr>
      <w:tr w:rsidR="003B20AD" w:rsidRPr="00475A0C" w14:paraId="72B9A10A" w14:textId="59B2E376" w:rsidTr="007B36AB">
        <w:tc>
          <w:tcPr>
            <w:tcW w:w="4675" w:type="dxa"/>
          </w:tcPr>
          <w:p w14:paraId="7E21D371"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Las personas interventoras pueden ser del sector público, privado o social, siempre y cuando cuenten con capacidad técnica y experiencia en el manejo y control de las instalaciones intervenidas. La autoridad y las personas interventoras tienen derecho a cobrar los gastos en que hayan incurrido, así como los honorarios correspondientes, con cargo a los ingresos de la persona Permisionaria durante el periodo de la intervención.</w:t>
            </w:r>
          </w:p>
        </w:tc>
        <w:tc>
          <w:tcPr>
            <w:tcW w:w="4675" w:type="dxa"/>
          </w:tcPr>
          <w:p w14:paraId="3ECCF991" w14:textId="6CA737F5"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supervisors may be from the public, private, or social sectors, provided they have the technical capacity and experience in managing and monitoring the facilities being monitored. The authority and the supervisors have the right to collect the expenses incurred, as well as the corresponding fees, from the permit holder's income during the period of the intervention.</w:t>
            </w:r>
          </w:p>
        </w:tc>
      </w:tr>
      <w:tr w:rsidR="003B20AD" w:rsidRPr="00475A0C" w14:paraId="5496F31C" w14:textId="2621EDF2" w:rsidTr="007B36AB">
        <w:tc>
          <w:tcPr>
            <w:tcW w:w="4675" w:type="dxa"/>
          </w:tcPr>
          <w:p w14:paraId="5663FABC"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intervención debe tener la duración que la autoridad determine sin que el plazo original y las prórrogas, en su conjunto, excedan de treinta y seis meses.</w:t>
            </w:r>
          </w:p>
        </w:tc>
        <w:tc>
          <w:tcPr>
            <w:tcW w:w="4675" w:type="dxa"/>
          </w:tcPr>
          <w:p w14:paraId="7EB21688" w14:textId="661A9C1A"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intervention must last as long as the authority determines, without the original period and the extensions, taken together, exceeding thirty-six months.</w:t>
            </w:r>
          </w:p>
        </w:tc>
      </w:tr>
      <w:tr w:rsidR="003B20AD" w:rsidRPr="00475A0C" w14:paraId="21F7FFFF" w14:textId="2D535E2E" w:rsidTr="007B36AB">
        <w:tc>
          <w:tcPr>
            <w:tcW w:w="4675" w:type="dxa"/>
          </w:tcPr>
          <w:p w14:paraId="3DF959D4"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intervención no debe afectar los derechos adquiridos por terceros de buena fe relacionados directamente con la ejecución de las actividades sujetas a un permiso.</w:t>
            </w:r>
          </w:p>
        </w:tc>
        <w:tc>
          <w:tcPr>
            <w:tcW w:w="4675" w:type="dxa"/>
          </w:tcPr>
          <w:p w14:paraId="7250E898" w14:textId="25E37314"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intervention must not affect the rights acquired by third parties in good faith directly related to the execution of activities subject to a permit.</w:t>
            </w:r>
          </w:p>
        </w:tc>
      </w:tr>
      <w:tr w:rsidR="003B20AD" w:rsidRPr="00475A0C" w14:paraId="107FB51D" w14:textId="729FC54D" w:rsidTr="007B36AB">
        <w:tc>
          <w:tcPr>
            <w:tcW w:w="4675" w:type="dxa"/>
          </w:tcPr>
          <w:p w14:paraId="42249548" w14:textId="77777777" w:rsidR="003B20AD" w:rsidRPr="00475A0C" w:rsidRDefault="003B20AD" w:rsidP="003B20AD">
            <w:pPr>
              <w:pStyle w:val="Texto"/>
              <w:spacing w:after="80"/>
              <w:ind w:firstLine="0"/>
              <w:rPr>
                <w:rFonts w:ascii="Verdana" w:hAnsi="Verdana"/>
                <w:sz w:val="16"/>
                <w:szCs w:val="16"/>
              </w:rPr>
            </w:pPr>
            <w:r w:rsidRPr="00475A0C">
              <w:rPr>
                <w:rFonts w:ascii="Verdana" w:hAnsi="Verdana"/>
                <w:sz w:val="16"/>
                <w:szCs w:val="16"/>
              </w:rPr>
              <w:t>La persona Permisionaria puede solicitar la terminación de la intervención, cuando demuestre que las causas que la ocasionaron ya fueron subsanadas o erradicadas.</w:t>
            </w:r>
          </w:p>
        </w:tc>
        <w:tc>
          <w:tcPr>
            <w:tcW w:w="4675" w:type="dxa"/>
          </w:tcPr>
          <w:p w14:paraId="76610EBC" w14:textId="21C293BE" w:rsidR="003B20AD" w:rsidRPr="00E3602D" w:rsidRDefault="003B20AD" w:rsidP="003B20AD">
            <w:pPr>
              <w:pStyle w:val="Texto"/>
              <w:spacing w:after="80"/>
              <w:ind w:firstLine="0"/>
              <w:rPr>
                <w:rFonts w:ascii="Verdana" w:hAnsi="Verdana"/>
                <w:sz w:val="16"/>
                <w:szCs w:val="16"/>
                <w:lang w:val="en-US"/>
              </w:rPr>
            </w:pPr>
            <w:r w:rsidRPr="00E3602D">
              <w:rPr>
                <w:rFonts w:ascii="Verdana" w:hAnsi="Verdana"/>
                <w:sz w:val="16"/>
                <w:szCs w:val="16"/>
                <w:lang w:val="en-US"/>
              </w:rPr>
              <w:t>The permit holder may request the termination of the intervention when he or she demonstrates that the causes that led to it have already been remedied or eradicated.</w:t>
            </w:r>
          </w:p>
        </w:tc>
      </w:tr>
      <w:tr w:rsidR="003B20AD" w:rsidRPr="00475A0C" w14:paraId="4187CB45" w14:textId="50323395" w:rsidTr="007B36AB">
        <w:tc>
          <w:tcPr>
            <w:tcW w:w="4675" w:type="dxa"/>
          </w:tcPr>
          <w:p w14:paraId="0E53D7BB"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Si transcurrido el plazo de la intervención, la persona Permisionaria no está en condiciones de continuar con sus obligaciones, la autoridad debe proceder a la revocación del permiso.</w:t>
            </w:r>
          </w:p>
        </w:tc>
        <w:tc>
          <w:tcPr>
            <w:tcW w:w="4675" w:type="dxa"/>
          </w:tcPr>
          <w:p w14:paraId="30F1AC47" w14:textId="40AAB2D2"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If, after the intervention period has elapsed, the permit holder is no longer able to continue fulfilling his or her obligations, the authority must revoke the permit.</w:t>
            </w:r>
          </w:p>
        </w:tc>
      </w:tr>
      <w:tr w:rsidR="003B20AD" w:rsidRPr="00475A0C" w14:paraId="0B1461A8" w14:textId="6A1B2CEC" w:rsidTr="007B36AB">
        <w:tc>
          <w:tcPr>
            <w:tcW w:w="4675" w:type="dxa"/>
          </w:tcPr>
          <w:p w14:paraId="118DE199"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Artículo 93.-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pueden, en el ámbito de sus respectivas competencias, revocar los permisos expedidos en los términos establecidos en esta Ley, cuando por causas imputables a la persona Permisionaria, se prevea un peligro inminente para la seguridad nacional, la seguridad energética o para la economía nacional.</w:t>
            </w:r>
          </w:p>
        </w:tc>
        <w:tc>
          <w:tcPr>
            <w:tcW w:w="4675" w:type="dxa"/>
          </w:tcPr>
          <w:p w14:paraId="2F973E5D" w14:textId="4AE430DE"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Article 93.-</w:t>
            </w:r>
            <w:r w:rsidRPr="00E3602D">
              <w:rPr>
                <w:rFonts w:ascii="Verdana" w:hAnsi="Verdana"/>
                <w:sz w:val="16"/>
                <w:szCs w:val="16"/>
                <w:lang w:val="en-US"/>
              </w:rPr>
              <w:t xml:space="preserve"> The Secretary of Energy and the National Commission of Energy may, within the scope of their respective powers, revoke the permits issued under the terms established in this Law, when for reasons attributable to the Permit Holder, an imminent danger to national security, energy security or the national economy is foreseen.</w:t>
            </w:r>
          </w:p>
        </w:tc>
      </w:tr>
      <w:tr w:rsidR="003B20AD" w:rsidRPr="00475A0C" w14:paraId="37A85467" w14:textId="258232AC" w:rsidTr="007B36AB">
        <w:tc>
          <w:tcPr>
            <w:tcW w:w="4675" w:type="dxa"/>
          </w:tcPr>
          <w:p w14:paraId="27F330EA"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lastRenderedPageBreak/>
              <w:t xml:space="preserve">La Secretaría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sus respectivas competencias, debe tramitar el procedimiento de revocación e integrar el expediente correspondiente, suspendiendo el permiso como medida cautelar, a fin de garantizar los intereses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en el entendido de que quedan salvaguardados los derechos de terceros.</w:t>
            </w:r>
          </w:p>
        </w:tc>
        <w:tc>
          <w:tcPr>
            <w:tcW w:w="4675" w:type="dxa"/>
          </w:tcPr>
          <w:p w14:paraId="0EDEB3D9" w14:textId="3C92457B"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The Secretary of Energy and the the National Commission of Energy, within the scope of their respective powers, must process the revocation procedure and integrate the corresponding file, suspending the permit as a precautionary measure, in order to guarantee the interests of the Nation, with the understanding that the rights of third parties are safeguarded.</w:t>
            </w:r>
          </w:p>
        </w:tc>
      </w:tr>
      <w:tr w:rsidR="003B20AD" w:rsidRPr="00475A0C" w14:paraId="4D5583A8" w14:textId="77930A63" w:rsidTr="007B36AB">
        <w:tc>
          <w:tcPr>
            <w:tcW w:w="4675" w:type="dxa"/>
          </w:tcPr>
          <w:p w14:paraId="4FBAD3A0"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 xml:space="preserve">La Secretaría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sus respectivas competencias, deben notificar a la persona Permisionaria la causal que motiva el inicio del procedimiento y la suspensión del permiso previo. Asimismo, notificar al Servicio de Administración Tributaria y a </w:t>
            </w:r>
            <w:smartTag w:uri="urn:schemas-microsoft-com:office:smarttags" w:element="PersonName">
              <w:smartTagPr>
                <w:attr w:name="ProductID" w:val="la Agencia Nacional"/>
              </w:smartTagPr>
              <w:r w:rsidRPr="00475A0C">
                <w:rPr>
                  <w:rFonts w:ascii="Verdana" w:hAnsi="Verdana"/>
                  <w:sz w:val="16"/>
                  <w:szCs w:val="16"/>
                </w:rPr>
                <w:t>la Agencia Nacional</w:t>
              </w:r>
            </w:smartTag>
            <w:r w:rsidRPr="00475A0C">
              <w:rPr>
                <w:rFonts w:ascii="Verdana" w:hAnsi="Verdana"/>
                <w:sz w:val="16"/>
                <w:szCs w:val="16"/>
              </w:rPr>
              <w:t xml:space="preserve"> de Aduanas de México, de manera inmediata, la suspensión del permiso hasta en tanto se resuelve el procedimiento de revocación.</w:t>
            </w:r>
          </w:p>
        </w:tc>
        <w:tc>
          <w:tcPr>
            <w:tcW w:w="4675" w:type="dxa"/>
          </w:tcPr>
          <w:p w14:paraId="5F027EC2" w14:textId="4D4909DA"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 xml:space="preserve">The Secretary of Energy and the National Commission of Energy, within their respective jurisdictions, must notify the permit holder of the reason for initiating the procedure and the suspension of the prior permit. </w:t>
            </w:r>
            <w:r w:rsidRPr="00E3602D">
              <w:rPr>
                <w:rFonts w:ascii="Verdana" w:hAnsi="Verdana"/>
                <w:sz w:val="16"/>
                <w:szCs w:val="16"/>
                <w:lang w:val="en-US"/>
              </w:rPr>
              <w:t>Likewise, immediately notify the Tax Administration Service</w:t>
            </w:r>
            <w:r w:rsidRPr="00E3602D">
              <w:rPr>
                <w:rFonts w:ascii="Verdana" w:hAnsi="Verdana"/>
                <w:sz w:val="16"/>
                <w:szCs w:val="16"/>
                <w:lang w:val="en-US"/>
              </w:rPr>
              <w:t xml:space="preserve"> (SAT)</w:t>
            </w:r>
            <w:r w:rsidRPr="00E3602D">
              <w:rPr>
                <w:rFonts w:ascii="Verdana" w:hAnsi="Verdana"/>
                <w:sz w:val="16"/>
                <w:szCs w:val="16"/>
                <w:lang w:val="en-US"/>
              </w:rPr>
              <w:t xml:space="preserve"> and the Mexican National Customs Agency of the permit suspension until the revocation procedure is resolved.</w:t>
            </w:r>
          </w:p>
        </w:tc>
      </w:tr>
      <w:tr w:rsidR="003B20AD" w:rsidRPr="00475A0C" w14:paraId="32EB6F20" w14:textId="3F0E2853" w:rsidTr="007B36AB">
        <w:tc>
          <w:tcPr>
            <w:tcW w:w="4675" w:type="dxa"/>
          </w:tcPr>
          <w:p w14:paraId="64A89866"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La persona Permisionaria tiene un plazo de diez días hábiles, contados a partir del día siguiente a aquel en que surta efectos la notificación del inicio de procedimiento, para que exponga lo que a su derecho convenga y ofrezca por escrito las pruebas que estime necesarias. Una vez desahogadas las pruebas ofrecidas y admitidas, se debe otorgar un plazo de diez días hábiles, para que, en su caso, el titular del permiso formule los alegatos que a su derecho convenga.</w:t>
            </w:r>
          </w:p>
        </w:tc>
        <w:tc>
          <w:tcPr>
            <w:tcW w:w="4675" w:type="dxa"/>
          </w:tcPr>
          <w:p w14:paraId="1D2DCF39" w14:textId="0F91C250"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The permit holder has a period of ten business days, starting on the day following the date on which the notification of the commencement of proceedings takes effect, to present any relevant legal arguments and provide any written evidence deemed necessary. Once the evidence offered has been presented and admitted, the permit holder must be granted a period of ten business days, where appropriate, to submit any relevant arguments.</w:t>
            </w:r>
          </w:p>
        </w:tc>
      </w:tr>
      <w:tr w:rsidR="003B20AD" w:rsidRPr="00475A0C" w14:paraId="2AD8AA28" w14:textId="36732E10" w:rsidTr="007B36AB">
        <w:tc>
          <w:tcPr>
            <w:tcW w:w="4675" w:type="dxa"/>
          </w:tcPr>
          <w:p w14:paraId="0D12F1F3"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 xml:space="preserve">Con o sin alegatos, en un plazo de quince días hábiles,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deben, en el ámbito de sus respectivas competencias, resolver si es procedente o no la revocación del permiso, lo cual debe ser debidamente notificado a la persona Permisionaria, así como al Servicio de Administración Tributaria y a </w:t>
            </w:r>
            <w:smartTag w:uri="urn:schemas-microsoft-com:office:smarttags" w:element="PersonName">
              <w:smartTagPr>
                <w:attr w:name="ProductID" w:val="la Agencia Nacional"/>
              </w:smartTagPr>
              <w:r w:rsidRPr="00475A0C">
                <w:rPr>
                  <w:rFonts w:ascii="Verdana" w:hAnsi="Verdana"/>
                  <w:sz w:val="16"/>
                  <w:szCs w:val="16"/>
                </w:rPr>
                <w:t>la Agencia Nacional</w:t>
              </w:r>
            </w:smartTag>
            <w:r w:rsidRPr="00475A0C">
              <w:rPr>
                <w:rFonts w:ascii="Verdana" w:hAnsi="Verdana"/>
                <w:sz w:val="16"/>
                <w:szCs w:val="16"/>
              </w:rPr>
              <w:t xml:space="preserve"> de Aduanas de México, para los efectos conducentes.</w:t>
            </w:r>
          </w:p>
        </w:tc>
        <w:tc>
          <w:tcPr>
            <w:tcW w:w="4675" w:type="dxa"/>
          </w:tcPr>
          <w:p w14:paraId="7BBADBDF" w14:textId="3FE0959E"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With or without arguments, within a period of fifteen business days, the Secretary of Energy and the National Commission of Energy must, within the scope of their respective powers, decide whether or not the revocation of the permit is appropriate. This must be duly notified to the Permit Holder, as well as to the Tax Administration Service and National Customs of Mexico, for the appropriate purposes.</w:t>
            </w:r>
          </w:p>
        </w:tc>
      </w:tr>
      <w:tr w:rsidR="003B20AD" w:rsidRPr="00475A0C" w14:paraId="28CECC49" w14:textId="2EDD79DA" w:rsidTr="007B36AB">
        <w:tc>
          <w:tcPr>
            <w:tcW w:w="4675" w:type="dxa"/>
          </w:tcPr>
          <w:p w14:paraId="550480D2"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 xml:space="preserve">De no ser procedente la revocación se debe ordenar levantar la suspensión del permiso, realizando la notificación correspondiente al Servicio de Administración Tributaria y a </w:t>
            </w:r>
            <w:smartTag w:uri="urn:schemas-microsoft-com:office:smarttags" w:element="PersonName">
              <w:smartTagPr>
                <w:attr w:name="ProductID" w:val="la Agencia Nacional"/>
              </w:smartTagPr>
              <w:r w:rsidRPr="00475A0C">
                <w:rPr>
                  <w:rFonts w:ascii="Verdana" w:hAnsi="Verdana"/>
                  <w:sz w:val="16"/>
                  <w:szCs w:val="16"/>
                </w:rPr>
                <w:t>la Agencia Nacional</w:t>
              </w:r>
            </w:smartTag>
            <w:r w:rsidRPr="00475A0C">
              <w:rPr>
                <w:rFonts w:ascii="Verdana" w:hAnsi="Verdana"/>
                <w:sz w:val="16"/>
                <w:szCs w:val="16"/>
              </w:rPr>
              <w:t xml:space="preserve"> de Aduanas de México.</w:t>
            </w:r>
          </w:p>
        </w:tc>
        <w:tc>
          <w:tcPr>
            <w:tcW w:w="4675" w:type="dxa"/>
          </w:tcPr>
          <w:p w14:paraId="019879E3" w14:textId="1DE252BA"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If revocation is not appropriate, the suspension of the permit must be ordered lifted, with the corresponding notification to the Mexican Tax Administration Service and the National Agency of Customs of Mexico.</w:t>
            </w:r>
          </w:p>
        </w:tc>
      </w:tr>
      <w:tr w:rsidR="003B20AD" w:rsidRPr="00475A0C" w14:paraId="6384A24F" w14:textId="785110D5" w:rsidTr="007B36AB">
        <w:tc>
          <w:tcPr>
            <w:tcW w:w="4675" w:type="dxa"/>
          </w:tcPr>
          <w:p w14:paraId="207FD7C0" w14:textId="77777777" w:rsidR="003B20AD" w:rsidRPr="00475A0C" w:rsidRDefault="003B20AD" w:rsidP="003B20AD">
            <w:pPr>
              <w:pStyle w:val="Texto"/>
              <w:spacing w:after="84"/>
              <w:ind w:firstLine="0"/>
              <w:jc w:val="center"/>
              <w:rPr>
                <w:rFonts w:ascii="Verdana" w:hAnsi="Verdana"/>
                <w:b/>
                <w:sz w:val="16"/>
                <w:szCs w:val="16"/>
              </w:rPr>
            </w:pPr>
            <w:r w:rsidRPr="00475A0C">
              <w:rPr>
                <w:rFonts w:ascii="Verdana" w:hAnsi="Verdana"/>
                <w:b/>
                <w:sz w:val="16"/>
                <w:szCs w:val="16"/>
              </w:rPr>
              <w:t>Capítulo II</w:t>
            </w:r>
          </w:p>
        </w:tc>
        <w:tc>
          <w:tcPr>
            <w:tcW w:w="4675" w:type="dxa"/>
          </w:tcPr>
          <w:p w14:paraId="58FFAC85" w14:textId="21ABF822" w:rsidR="003B20AD" w:rsidRPr="00E3602D" w:rsidRDefault="003B20AD" w:rsidP="003B20AD">
            <w:pPr>
              <w:pStyle w:val="Texto"/>
              <w:spacing w:after="84"/>
              <w:ind w:firstLine="0"/>
              <w:jc w:val="center"/>
              <w:rPr>
                <w:rFonts w:ascii="Verdana" w:hAnsi="Verdana"/>
                <w:b/>
                <w:sz w:val="16"/>
                <w:szCs w:val="16"/>
                <w:lang w:val="en-US"/>
              </w:rPr>
            </w:pPr>
            <w:r w:rsidRPr="00E3602D">
              <w:rPr>
                <w:rFonts w:ascii="Verdana" w:hAnsi="Verdana"/>
                <w:b/>
                <w:sz w:val="16"/>
                <w:szCs w:val="16"/>
                <w:lang w:val="en-US"/>
              </w:rPr>
              <w:t>Chapter II</w:t>
            </w:r>
          </w:p>
        </w:tc>
      </w:tr>
      <w:tr w:rsidR="003B20AD" w:rsidRPr="00475A0C" w14:paraId="0F5783DC" w14:textId="3B292889" w:rsidTr="007B36AB">
        <w:tc>
          <w:tcPr>
            <w:tcW w:w="4675" w:type="dxa"/>
          </w:tcPr>
          <w:p w14:paraId="7253AE6D" w14:textId="77777777" w:rsidR="003B20AD" w:rsidRPr="00475A0C" w:rsidRDefault="003B20AD" w:rsidP="003B20AD">
            <w:pPr>
              <w:pStyle w:val="Texto"/>
              <w:spacing w:after="84"/>
              <w:ind w:firstLine="0"/>
              <w:jc w:val="center"/>
              <w:rPr>
                <w:rFonts w:ascii="Verdana" w:hAnsi="Verdana"/>
                <w:b/>
                <w:sz w:val="16"/>
                <w:szCs w:val="16"/>
              </w:rPr>
            </w:pPr>
            <w:r w:rsidRPr="00475A0C">
              <w:rPr>
                <w:rFonts w:ascii="Verdana" w:hAnsi="Verdana"/>
                <w:b/>
                <w:sz w:val="16"/>
                <w:szCs w:val="16"/>
              </w:rPr>
              <w:t>De los Sistemas Integrados</w:t>
            </w:r>
          </w:p>
        </w:tc>
        <w:tc>
          <w:tcPr>
            <w:tcW w:w="4675" w:type="dxa"/>
          </w:tcPr>
          <w:p w14:paraId="3504ED95" w14:textId="0E8C696A" w:rsidR="003B20AD" w:rsidRPr="00E3602D" w:rsidRDefault="003B20AD" w:rsidP="003B20AD">
            <w:pPr>
              <w:pStyle w:val="Texto"/>
              <w:spacing w:after="84"/>
              <w:ind w:firstLine="0"/>
              <w:jc w:val="center"/>
              <w:rPr>
                <w:rFonts w:ascii="Verdana" w:hAnsi="Verdana"/>
                <w:b/>
                <w:sz w:val="16"/>
                <w:szCs w:val="16"/>
                <w:lang w:val="en-US"/>
              </w:rPr>
            </w:pPr>
            <w:r w:rsidRPr="00E3602D">
              <w:rPr>
                <w:rFonts w:ascii="Verdana" w:hAnsi="Verdana"/>
                <w:b/>
                <w:sz w:val="16"/>
                <w:szCs w:val="16"/>
                <w:lang w:val="en-US"/>
              </w:rPr>
              <w:t>Integrated Systems</w:t>
            </w:r>
          </w:p>
        </w:tc>
      </w:tr>
      <w:tr w:rsidR="003B20AD" w:rsidRPr="00475A0C" w14:paraId="2995B14B" w14:textId="40284665" w:rsidTr="007B36AB">
        <w:tc>
          <w:tcPr>
            <w:tcW w:w="4675" w:type="dxa"/>
          </w:tcPr>
          <w:p w14:paraId="2B6A56EE"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Artículo 94.-</w:t>
            </w:r>
            <w:r w:rsidRPr="00475A0C">
              <w:rPr>
                <w:rFonts w:ascii="Verdana" w:hAnsi="Verdana"/>
                <w:sz w:val="16"/>
                <w:szCs w:val="16"/>
              </w:rPr>
              <w:t xml:space="preserve"> Los sistemas de Transporte por ducto y de Almacenamiento de Gas Natural, Petrolíferos y Petroquímicos que se encuentren interconectados pueden conformar Sistemas Integrados, con objeto de ampliar la cobertura o aportar beneficios sistémicos en términos de mejoras en las condiciones de seguridad, continuidad, calidad y eficiencia en la prestación de los servicios.</w:t>
            </w:r>
          </w:p>
        </w:tc>
        <w:tc>
          <w:tcPr>
            <w:tcW w:w="4675" w:type="dxa"/>
          </w:tcPr>
          <w:p w14:paraId="6421619D" w14:textId="0774F90E"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Article 94.- </w:t>
            </w:r>
            <w:r w:rsidRPr="00E3602D">
              <w:rPr>
                <w:rFonts w:ascii="Verdana" w:hAnsi="Verdana"/>
                <w:sz w:val="16"/>
                <w:szCs w:val="16"/>
                <w:lang w:val="en-US"/>
              </w:rPr>
              <w:t>Pipeline transportation and storage systems for natural gas, petroleum products and petrochemicals that are interconnected may form integrated systems, in order to expand coverage or provide systemic benefits in terms of improvements in safety, continuity, quality and efficiency in the provision of services.</w:t>
            </w:r>
          </w:p>
        </w:tc>
      </w:tr>
      <w:tr w:rsidR="003B20AD" w:rsidRPr="00475A0C" w14:paraId="3CE00F27" w14:textId="0BAD4848" w:rsidTr="007B36AB">
        <w:tc>
          <w:tcPr>
            <w:tcW w:w="4675" w:type="dxa"/>
          </w:tcPr>
          <w:p w14:paraId="6EBF5300"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 xml:space="preserve">La Secretaría de Energía, con base en la política pública en materia energética que al respecto emita, puede requerir que se desarrollen los análisis necesarios para la conformación de Sistemas Integrados a fin de alcanzar los objetivos planteados en el párrafo anterior. Asimismo,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es la encargada de </w:t>
            </w:r>
            <w:r w:rsidRPr="00475A0C">
              <w:rPr>
                <w:rFonts w:ascii="Verdana" w:hAnsi="Verdana"/>
                <w:sz w:val="16"/>
                <w:szCs w:val="16"/>
              </w:rPr>
              <w:lastRenderedPageBreak/>
              <w:t>emitir el plan quinquenal de expansión y optimización de la infraestructura de Transporte por ducto y Almacenamiento, tomando en consideración lo propuesto por los gestores de los sistemas integrados.</w:t>
            </w:r>
          </w:p>
        </w:tc>
        <w:tc>
          <w:tcPr>
            <w:tcW w:w="4675" w:type="dxa"/>
          </w:tcPr>
          <w:p w14:paraId="11BAA290" w14:textId="042A2EC7"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lastRenderedPageBreak/>
              <w:t xml:space="preserve">The Secretary of Energy, based on the public energy policy issues, may require the development of the necessary analyses for the creation of Integrated Systems to achieve the objectives set forth in the preceding paragraph. Likewise, the Secretary of Energy is responsible for issuing the five-year plan for the </w:t>
            </w:r>
            <w:r w:rsidRPr="00E3602D">
              <w:rPr>
                <w:rFonts w:ascii="Verdana" w:hAnsi="Verdana"/>
                <w:sz w:val="16"/>
                <w:szCs w:val="16"/>
                <w:lang w:val="en-US"/>
              </w:rPr>
              <w:lastRenderedPageBreak/>
              <w:t>expansion and optimization of pipeline transportation and storage infrastructure, taking into consideration the proposals made by the integrated systems managers.</w:t>
            </w:r>
          </w:p>
        </w:tc>
      </w:tr>
      <w:tr w:rsidR="003B20AD" w:rsidRPr="00475A0C" w14:paraId="1C4BB18B" w14:textId="34BEADA2" w:rsidTr="007B36AB">
        <w:tc>
          <w:tcPr>
            <w:tcW w:w="4675" w:type="dxa"/>
          </w:tcPr>
          <w:p w14:paraId="7AB21139"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Artículo 95.-</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es la autoridad competente para aprobar la creación de Sistemas Integrados, así como para determinar la incorporación de nueva infraestructura a los mismos, de acuerdo con la política pública en materia energética que al efecto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priorizando la asignación de capacidad para las Empresas Públicas del Estado y sus empresas filiales en nuevos proyectos de transporte, o incrementos de capacidad en la infraestructura existente por ser de interés social y público.</w:t>
            </w:r>
          </w:p>
        </w:tc>
        <w:tc>
          <w:tcPr>
            <w:tcW w:w="4675" w:type="dxa"/>
          </w:tcPr>
          <w:p w14:paraId="1217DF05" w14:textId="1E126D7D"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Article 95.-</w:t>
            </w:r>
            <w:r w:rsidRPr="00E3602D">
              <w:rPr>
                <w:rFonts w:ascii="Verdana" w:hAnsi="Verdana"/>
                <w:sz w:val="16"/>
                <w:szCs w:val="16"/>
                <w:lang w:val="en-US"/>
              </w:rPr>
              <w:t xml:space="preserve"> The Secretary of Energy is the appropriate authority to approve the creation of Integrated Systems, as well as to determine the incorporation of new infrastructure to them, in accordance with the public energy policy issued for this purpose by the Secretary of Energy, prioritizing the assignment of capacity for State Public Enterprises and their subsidiaries in new transportation projects, or capacity increases in existing infrastructure as they are of social and public interest.</w:t>
            </w:r>
          </w:p>
        </w:tc>
      </w:tr>
      <w:tr w:rsidR="003B20AD" w:rsidRPr="00475A0C" w14:paraId="1A8A8EDA" w14:textId="6E7ADBDF" w:rsidTr="007B36AB">
        <w:tc>
          <w:tcPr>
            <w:tcW w:w="4675" w:type="dxa"/>
          </w:tcPr>
          <w:p w14:paraId="1EE6E276"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sz w:val="16"/>
                <w:szCs w:val="16"/>
              </w:rPr>
              <w:t xml:space="preserve">La prestación de los servicios en los Sistemas Integrados está sujeta a las disposiciones de carácter general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apruebe y expida.</w:t>
            </w:r>
          </w:p>
        </w:tc>
        <w:tc>
          <w:tcPr>
            <w:tcW w:w="4675" w:type="dxa"/>
          </w:tcPr>
          <w:p w14:paraId="7A51DFD6" w14:textId="6CA9F6EB" w:rsidR="003B20AD" w:rsidRPr="00E3602D" w:rsidRDefault="003B20AD" w:rsidP="003B20AD">
            <w:pPr>
              <w:pStyle w:val="Texto"/>
              <w:spacing w:after="84"/>
              <w:ind w:firstLine="0"/>
              <w:rPr>
                <w:rFonts w:ascii="Verdana" w:hAnsi="Verdana"/>
                <w:sz w:val="16"/>
                <w:szCs w:val="16"/>
                <w:lang w:val="en-US"/>
              </w:rPr>
            </w:pPr>
            <w:r w:rsidRPr="00E3602D">
              <w:rPr>
                <w:rFonts w:ascii="Verdana" w:hAnsi="Verdana"/>
                <w:sz w:val="16"/>
                <w:szCs w:val="16"/>
                <w:lang w:val="en-US"/>
              </w:rPr>
              <w:t>The provision of services in the Integrated Systems is subject to the general provisions that the Secretary of Energy approves and issues.</w:t>
            </w:r>
          </w:p>
        </w:tc>
      </w:tr>
      <w:tr w:rsidR="003B20AD" w:rsidRPr="00475A0C" w14:paraId="4DF550F6" w14:textId="79F2190F" w:rsidTr="007B36AB">
        <w:tc>
          <w:tcPr>
            <w:tcW w:w="4675" w:type="dxa"/>
          </w:tcPr>
          <w:p w14:paraId="50970DB2"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Artículo 96.-</w:t>
            </w:r>
            <w:r w:rsidRPr="00475A0C">
              <w:rPr>
                <w:rFonts w:ascii="Verdana" w:hAnsi="Verdana"/>
                <w:sz w:val="16"/>
                <w:szCs w:val="16"/>
              </w:rPr>
              <w:t xml:space="preserve"> Cada Sistema Integrado debe ser operado por un gestor que debe tener el permiso correspondiente emitido por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Los gestores tienen como objeto lo siguiente:</w:t>
            </w:r>
          </w:p>
        </w:tc>
        <w:tc>
          <w:tcPr>
            <w:tcW w:w="4675" w:type="dxa"/>
          </w:tcPr>
          <w:p w14:paraId="57B84ECE" w14:textId="6628FB76"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Article 96.- </w:t>
            </w:r>
            <w:r w:rsidRPr="00E3602D">
              <w:rPr>
                <w:rFonts w:ascii="Verdana" w:hAnsi="Verdana"/>
                <w:sz w:val="16"/>
                <w:szCs w:val="16"/>
                <w:lang w:val="en-US"/>
              </w:rPr>
              <w:t>Each Integrated System must be operated by a manager who must have the corresponding permit issued by the National Commission of Energy. The management objectives are as follows:</w:t>
            </w:r>
          </w:p>
        </w:tc>
      </w:tr>
      <w:tr w:rsidR="003B20AD" w:rsidRPr="00475A0C" w14:paraId="5F9B06AF" w14:textId="159454F1" w:rsidTr="007B36AB">
        <w:tc>
          <w:tcPr>
            <w:tcW w:w="4675" w:type="dxa"/>
          </w:tcPr>
          <w:p w14:paraId="572FCB67"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Coordinar a las distintas personas Permisionarias de Transporte por ducto y Almacenamiento para lograr la continuidad, calidad, seguridad y eficiencia en la prestación de los servicios, y garantizar el acceso abierto efectivo y no indebidamente discriminatorio;</w:t>
            </w:r>
          </w:p>
        </w:tc>
        <w:tc>
          <w:tcPr>
            <w:tcW w:w="4675" w:type="dxa"/>
          </w:tcPr>
          <w:p w14:paraId="768B4D75" w14:textId="1DF106D1"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Coordinate the various pipeline transportation and storage permit holders to achieve continuity, quality, safety and efficiency in the provision of services, and guarantee effective and non-unduly discriminatory open access;</w:t>
            </w:r>
          </w:p>
        </w:tc>
      </w:tr>
      <w:tr w:rsidR="003B20AD" w:rsidRPr="00475A0C" w14:paraId="431E12FE" w14:textId="1CFF9821" w:rsidTr="007B36AB">
        <w:tc>
          <w:tcPr>
            <w:tcW w:w="4675" w:type="dxa"/>
          </w:tcPr>
          <w:p w14:paraId="595C405D"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Responder respecto de las obligaciones de pago de las tarifas de los sistemas de Transporte o Almacenamiento que compongan el Sistema Integrado, en los términos que determine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147BFC0A" w14:textId="1E74D243"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Respond to the payment obligations for the rates of the Transportation or Storage systems that make up the Integrated System, under the terms determined the National Commission of Energy;</w:t>
            </w:r>
          </w:p>
        </w:tc>
      </w:tr>
      <w:tr w:rsidR="003B20AD" w:rsidRPr="00475A0C" w14:paraId="5C46EFD5" w14:textId="605259BA" w:rsidTr="007B36AB">
        <w:tc>
          <w:tcPr>
            <w:tcW w:w="4675" w:type="dxa"/>
          </w:tcPr>
          <w:p w14:paraId="73CB60A1"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Propiciar el desarrollo de centros de mercado y mercados mayoristas;</w:t>
            </w:r>
          </w:p>
        </w:tc>
        <w:tc>
          <w:tcPr>
            <w:tcW w:w="4675" w:type="dxa"/>
          </w:tcPr>
          <w:p w14:paraId="52491C45" w14:textId="70D44477"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Promote the development of market centers and wholesale markets;</w:t>
            </w:r>
          </w:p>
        </w:tc>
      </w:tr>
      <w:tr w:rsidR="003B20AD" w:rsidRPr="00475A0C" w14:paraId="42487330" w14:textId="338D812A" w:rsidTr="007B36AB">
        <w:tc>
          <w:tcPr>
            <w:tcW w:w="4675" w:type="dxa"/>
          </w:tcPr>
          <w:p w14:paraId="286B9539" w14:textId="77777777" w:rsidR="003B20AD" w:rsidRPr="00475A0C" w:rsidRDefault="003B20AD" w:rsidP="003B20AD">
            <w:pPr>
              <w:pStyle w:val="Texto"/>
              <w:spacing w:after="84"/>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Fomentar la liquidez de los mercados en que participe y asegurar el balance y operación del Sistema Integrado que corresponda, de conformidad con las disposiciones aplicables, y</w:t>
            </w:r>
          </w:p>
        </w:tc>
        <w:tc>
          <w:tcPr>
            <w:tcW w:w="4675" w:type="dxa"/>
          </w:tcPr>
          <w:p w14:paraId="56A0F4AF" w14:textId="1A5388B0" w:rsidR="003B20AD" w:rsidRPr="00E3602D" w:rsidRDefault="003B20AD" w:rsidP="003B20AD">
            <w:pPr>
              <w:pStyle w:val="Texto"/>
              <w:spacing w:after="84"/>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Promote the liquidity of the markets in which it participates and ensure the balance and operation of the corresponding Integrated System, in accordance with the applicable provisions, and</w:t>
            </w:r>
          </w:p>
        </w:tc>
      </w:tr>
      <w:tr w:rsidR="003B20AD" w:rsidRPr="00475A0C" w14:paraId="416E6C95" w14:textId="6934B9F1" w:rsidTr="007B36AB">
        <w:tc>
          <w:tcPr>
            <w:tcW w:w="4675" w:type="dxa"/>
          </w:tcPr>
          <w:p w14:paraId="7077DD37"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Administrar el mercado secundario de capacidad del Sistema Integrado que corresponda.</w:t>
            </w:r>
          </w:p>
        </w:tc>
        <w:tc>
          <w:tcPr>
            <w:tcW w:w="4675" w:type="dxa"/>
          </w:tcPr>
          <w:p w14:paraId="26CE3CCD" w14:textId="11AF7A5E"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Manage the secondary market for capacity of the corresponding Integrated System.</w:t>
            </w:r>
          </w:p>
        </w:tc>
      </w:tr>
      <w:tr w:rsidR="003B20AD" w:rsidRPr="00475A0C" w14:paraId="2AD68C98" w14:textId="4396D5F6" w:rsidTr="007B36AB">
        <w:tc>
          <w:tcPr>
            <w:tcW w:w="4675" w:type="dxa"/>
          </w:tcPr>
          <w:p w14:paraId="444875A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Los gestores deben asignar la capacidad de transporte en los sistemas que administren dando prioridad a la asignación de capacidad necesaria para las actividades de las Empresas Públicas del Estado y sus empresas filiales por ser de interés social y público.</w:t>
            </w:r>
          </w:p>
        </w:tc>
        <w:tc>
          <w:tcPr>
            <w:tcW w:w="4675" w:type="dxa"/>
          </w:tcPr>
          <w:p w14:paraId="0C9B063A" w14:textId="25D96256"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managers must allocate transport capacity in the systems they manage, giving priority to the assignment of capacity necessary for the activities of State-owned Public Enterprises and their subsidiaries, as these activities are of social and public interest.</w:t>
            </w:r>
          </w:p>
        </w:tc>
      </w:tr>
      <w:tr w:rsidR="003B20AD" w:rsidRPr="00475A0C" w14:paraId="3849ED14" w14:textId="1841EBF9" w:rsidTr="007B36AB">
        <w:tc>
          <w:tcPr>
            <w:tcW w:w="4675" w:type="dxa"/>
          </w:tcPr>
          <w:p w14:paraId="03DC5F8A"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Los gestores son independientes de las personas que realicen actividades de producción, Distribución y Comercialización de Gas Natural, Petrolíferos o Petroquímicos.</w:t>
            </w:r>
          </w:p>
        </w:tc>
        <w:tc>
          <w:tcPr>
            <w:tcW w:w="4675" w:type="dxa"/>
          </w:tcPr>
          <w:p w14:paraId="34067C69" w14:textId="64F5EAA1"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managers are independent of the individuals who carry out production, distribution, and marketing activities of natural gas, petroleum products, or petrochemicals.</w:t>
            </w:r>
          </w:p>
        </w:tc>
      </w:tr>
      <w:tr w:rsidR="003B20AD" w:rsidRPr="00475A0C" w14:paraId="5F18F500" w14:textId="77EF6748" w:rsidTr="007B36AB">
        <w:tc>
          <w:tcPr>
            <w:tcW w:w="4675" w:type="dxa"/>
          </w:tcPr>
          <w:p w14:paraId="0718D7BC"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 xml:space="preserve">Los gestores operan previo permiso otorgado por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365A2626" w14:textId="5A1E7489"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managers operate with prior permission granted by the National Commission of Energy.</w:t>
            </w:r>
          </w:p>
        </w:tc>
      </w:tr>
      <w:tr w:rsidR="003B20AD" w:rsidRPr="00475A0C" w14:paraId="3E21C6C1" w14:textId="0CF08D3D" w:rsidTr="007B36AB">
        <w:tc>
          <w:tcPr>
            <w:tcW w:w="4675" w:type="dxa"/>
          </w:tcPr>
          <w:p w14:paraId="5B7BF98F"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97.-</w:t>
            </w:r>
            <w:r w:rsidRPr="00475A0C">
              <w:rPr>
                <w:rFonts w:ascii="Verdana" w:hAnsi="Verdana"/>
                <w:sz w:val="16"/>
                <w:szCs w:val="16"/>
              </w:rPr>
              <w:t xml:space="preserve"> Los gestores a que se refiere el artículo anterior pueden ser entidades públicas, privadas o </w:t>
            </w:r>
            <w:r w:rsidRPr="00475A0C">
              <w:rPr>
                <w:rFonts w:ascii="Verdana" w:hAnsi="Verdana"/>
                <w:sz w:val="16"/>
                <w:szCs w:val="16"/>
              </w:rPr>
              <w:lastRenderedPageBreak/>
              <w:t xml:space="preserve">público-privadas en las que pueden participar las personas Permisionarias que conformen el Sistema Integrado. En sus actividades, dichos gestores pueden recuperar costos e inversiones, en los términos que establezca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03671AE8" w14:textId="2E17895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97.- </w:t>
            </w:r>
            <w:r w:rsidRPr="00E3602D">
              <w:rPr>
                <w:rFonts w:ascii="Verdana" w:hAnsi="Verdana"/>
                <w:sz w:val="16"/>
                <w:szCs w:val="16"/>
                <w:lang w:val="en-US"/>
              </w:rPr>
              <w:t xml:space="preserve">The managers referred to in the preceding article may be public, private, or public-private entities </w:t>
            </w:r>
            <w:r w:rsidRPr="00E3602D">
              <w:rPr>
                <w:rFonts w:ascii="Verdana" w:hAnsi="Verdana"/>
                <w:sz w:val="16"/>
                <w:szCs w:val="16"/>
                <w:lang w:val="en-US"/>
              </w:rPr>
              <w:lastRenderedPageBreak/>
              <w:t>in which the Permit Holders that make up the Integrated System may participate. In their activities, these managers may recover costs and investments, under the terms established by the National Commission of Energy.</w:t>
            </w:r>
          </w:p>
        </w:tc>
      </w:tr>
      <w:tr w:rsidR="003B20AD" w:rsidRPr="00475A0C" w14:paraId="1DFDECF0" w14:textId="0A5FD291" w:rsidTr="007B36AB">
        <w:tc>
          <w:tcPr>
            <w:tcW w:w="4675" w:type="dxa"/>
          </w:tcPr>
          <w:p w14:paraId="30D2B1DB"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En todo caso, se debe evitar el conflicto de interés entre el gestor y las personas Permisionarias de Transporte y Almacenamiento, así como de las personas que realicen compra venta y comercialicen Gas Natural, Petrolíferos y Petroquímicos.</w:t>
            </w:r>
          </w:p>
        </w:tc>
        <w:tc>
          <w:tcPr>
            <w:tcW w:w="4675" w:type="dxa"/>
          </w:tcPr>
          <w:p w14:paraId="191DBA54" w14:textId="71E76572"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In any case, conflicts of interest between the manager and the Transportation and Storage Permit Holders, as well as those who purchase, sell, and market natural gas, petroleum products, and petrochemicals, must be avoided.</w:t>
            </w:r>
          </w:p>
        </w:tc>
      </w:tr>
      <w:tr w:rsidR="003B20AD" w:rsidRPr="00475A0C" w14:paraId="4CA499B0" w14:textId="076A623F" w:rsidTr="007B36AB">
        <w:tc>
          <w:tcPr>
            <w:tcW w:w="4675" w:type="dxa"/>
          </w:tcPr>
          <w:p w14:paraId="3177668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98.-</w:t>
            </w:r>
            <w:r w:rsidRPr="00475A0C">
              <w:rPr>
                <w:rFonts w:ascii="Verdana" w:hAnsi="Verdana"/>
                <w:sz w:val="16"/>
                <w:szCs w:val="16"/>
              </w:rPr>
              <w:t xml:space="preserv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 establecer, mediante disposiciones de carácter general, las reglas de operación y los códigos de ética que eviten conflictos de interés y establezcan la separación funcional correspondiente a dichos gestores.</w:t>
            </w:r>
          </w:p>
        </w:tc>
        <w:tc>
          <w:tcPr>
            <w:tcW w:w="4675" w:type="dxa"/>
          </w:tcPr>
          <w:p w14:paraId="1747BD3E" w14:textId="5CD5BB31"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Article 98.-</w:t>
            </w:r>
            <w:r w:rsidRPr="00E3602D">
              <w:rPr>
                <w:rFonts w:ascii="Verdana" w:hAnsi="Verdana"/>
                <w:sz w:val="16"/>
                <w:szCs w:val="16"/>
                <w:lang w:val="en-US"/>
              </w:rPr>
              <w:t xml:space="preserve"> The National Commission of Energy must establish, through general provisions, the operating rules and codes of ethics that avoid conflicts of interest and establish the functional separation corresponding to said managers.</w:t>
            </w:r>
          </w:p>
        </w:tc>
      </w:tr>
      <w:tr w:rsidR="003B20AD" w:rsidRPr="00475A0C" w14:paraId="253C6C84" w14:textId="687AE85F" w:rsidTr="007B36AB">
        <w:tc>
          <w:tcPr>
            <w:tcW w:w="4675" w:type="dxa"/>
          </w:tcPr>
          <w:p w14:paraId="61A8D691"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99.-</w:t>
            </w:r>
            <w:r w:rsidRPr="00475A0C">
              <w:rPr>
                <w:rFonts w:ascii="Verdana" w:hAnsi="Verdana"/>
                <w:sz w:val="16"/>
                <w:szCs w:val="16"/>
              </w:rPr>
              <w:t xml:space="preserve"> El Sistema de Transporte y Almacenamiento Nacional Integrado de Gas Natural se puede conformar por la siguiente infraestructura:</w:t>
            </w:r>
          </w:p>
        </w:tc>
        <w:tc>
          <w:tcPr>
            <w:tcW w:w="4675" w:type="dxa"/>
          </w:tcPr>
          <w:p w14:paraId="4E31852A" w14:textId="088F8E4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99.- </w:t>
            </w:r>
            <w:r w:rsidRPr="00E3602D">
              <w:rPr>
                <w:rFonts w:ascii="Verdana" w:hAnsi="Verdana"/>
                <w:sz w:val="16"/>
                <w:szCs w:val="16"/>
                <w:lang w:val="en-US"/>
              </w:rPr>
              <w:t>The National Integrated Natural Gas Transportation and Storage System may be comprised of the following infrastructure:</w:t>
            </w:r>
          </w:p>
        </w:tc>
      </w:tr>
      <w:tr w:rsidR="003B20AD" w:rsidRPr="00475A0C" w14:paraId="390A5293" w14:textId="1772AC65" w:rsidTr="007B36AB">
        <w:tc>
          <w:tcPr>
            <w:tcW w:w="4675" w:type="dxa"/>
          </w:tcPr>
          <w:p w14:paraId="1A1BD6C0"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Ductos de Transporte e instalaciones de Almacenamiento de Gas Natural;</w:t>
            </w:r>
          </w:p>
        </w:tc>
        <w:tc>
          <w:tcPr>
            <w:tcW w:w="4675" w:type="dxa"/>
          </w:tcPr>
          <w:p w14:paraId="254C5577" w14:textId="034FCFED"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Natural gas transportation pipelines and storage facilities;</w:t>
            </w:r>
          </w:p>
        </w:tc>
      </w:tr>
      <w:tr w:rsidR="003B20AD" w:rsidRPr="00475A0C" w14:paraId="3A4AB581" w14:textId="7F6B376F" w:rsidTr="007B36AB">
        <w:tc>
          <w:tcPr>
            <w:tcW w:w="4675" w:type="dxa"/>
          </w:tcPr>
          <w:p w14:paraId="5C0EAE8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Equipos de compresión, licuefacción, descompresión, regasificación y demás instalaciones vinculadas a la infraestructura de Transporte y Almacenamiento de Gas Natural,</w:t>
            </w:r>
            <w:r w:rsidRPr="00475A0C">
              <w:rPr>
                <w:rFonts w:ascii="Verdana" w:hAnsi="Verdana"/>
                <w:b/>
                <w:sz w:val="16"/>
                <w:szCs w:val="16"/>
              </w:rPr>
              <w:t xml:space="preserve"> </w:t>
            </w:r>
            <w:r w:rsidRPr="00475A0C">
              <w:rPr>
                <w:rFonts w:ascii="Verdana" w:hAnsi="Verdana"/>
                <w:sz w:val="16"/>
                <w:szCs w:val="16"/>
              </w:rPr>
              <w:t>y</w:t>
            </w:r>
          </w:p>
        </w:tc>
        <w:tc>
          <w:tcPr>
            <w:tcW w:w="4675" w:type="dxa"/>
          </w:tcPr>
          <w:p w14:paraId="4F3A94E9" w14:textId="4998307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Compression, liquefaction, decompression, regasification equipment and other facilities linked to the natural gas transportation and storage infrastructure,</w:t>
            </w:r>
            <w:r w:rsidRPr="00E3602D">
              <w:rPr>
                <w:rFonts w:ascii="Verdana" w:hAnsi="Verdana"/>
                <w:b/>
                <w:sz w:val="16"/>
                <w:szCs w:val="16"/>
                <w:lang w:val="en-US"/>
              </w:rPr>
              <w:t xml:space="preserve"> </w:t>
            </w:r>
            <w:r w:rsidRPr="00E3602D">
              <w:rPr>
                <w:rFonts w:ascii="Verdana" w:hAnsi="Verdana"/>
                <w:sz w:val="16"/>
                <w:szCs w:val="16"/>
                <w:lang w:val="en-US"/>
              </w:rPr>
              <w:t>and</w:t>
            </w:r>
          </w:p>
        </w:tc>
      </w:tr>
      <w:tr w:rsidR="003B20AD" w:rsidRPr="00475A0C" w14:paraId="3576CCBC" w14:textId="5C60BFEB" w:rsidTr="007B36AB">
        <w:tc>
          <w:tcPr>
            <w:tcW w:w="4675" w:type="dxa"/>
          </w:tcPr>
          <w:p w14:paraId="5F21F9BE"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En su caso, infraestructura de Transporte de Gas Natural por medios distintos a ductos.</w:t>
            </w:r>
          </w:p>
        </w:tc>
        <w:tc>
          <w:tcPr>
            <w:tcW w:w="4675" w:type="dxa"/>
          </w:tcPr>
          <w:p w14:paraId="06AF7B8F" w14:textId="1B2FF96F"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Where applicable, natural gas transportation infrastructure by means other than pipelines.</w:t>
            </w:r>
          </w:p>
        </w:tc>
      </w:tr>
      <w:tr w:rsidR="003B20AD" w:rsidRPr="00475A0C" w14:paraId="70698549" w14:textId="1E1D6487" w:rsidTr="007B36AB">
        <w:tc>
          <w:tcPr>
            <w:tcW w:w="4675" w:type="dxa"/>
          </w:tcPr>
          <w:p w14:paraId="2999128D"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 infraestructura de Transporte y Almacenamiento que se ubique a partir de que terminen las instalaciones de Recolección, Ductos de Internación al país o las instalaciones de procesamiento de Gas Natural y hasta los puntos de recepción y medición de los sistemas de Distribución, o de las personas Usuarias Finales conectados directamente, o bien la que determine la autoridad competente, puede integrarse al Sistema de Transporte y Almacenamiento Nacional Integrado de Gas Natural.</w:t>
            </w:r>
          </w:p>
        </w:tc>
        <w:tc>
          <w:tcPr>
            <w:tcW w:w="4675" w:type="dxa"/>
          </w:tcPr>
          <w:p w14:paraId="68A65AF1" w14:textId="174C455B"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transportation and storage infrastructure located from the end of the collection facilities, the national entry pipelines, or the natural gas processing facilities up to the reception and measurement points of the distribution systems, or of the end users directly connected, or as determined by the appropriate authority, may be integrated into the Integrated National Natural Gas Transportation and Storage System.</w:t>
            </w:r>
          </w:p>
        </w:tc>
      </w:tr>
      <w:tr w:rsidR="003B20AD" w:rsidRPr="00475A0C" w14:paraId="61AE142E" w14:textId="0831924E" w:rsidTr="007B36AB">
        <w:tc>
          <w:tcPr>
            <w:tcW w:w="4675" w:type="dxa"/>
          </w:tcPr>
          <w:p w14:paraId="1B2B281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 Secretaría de Energía es la autoridad competente para determinar la integración de la infraestructura pública referida en el párrafo anterior al Sistema de Transporte y Almacenamiento Nacional Integrado de Gas Natural. La integración de los sistemas de almacenamiento y transporte privados es de carácter voluntario.</w:t>
            </w:r>
          </w:p>
        </w:tc>
        <w:tc>
          <w:tcPr>
            <w:tcW w:w="4675" w:type="dxa"/>
          </w:tcPr>
          <w:p w14:paraId="70C66292" w14:textId="4FE97100"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Secretary of Energy is the appropriate authority to determine the integration of the public infrastructure referred to in the preceding paragraph into the National Integrated Natural Gas Transportation and Storage System. The integration of private storage and transportation systems is voluntary.</w:t>
            </w:r>
          </w:p>
        </w:tc>
      </w:tr>
      <w:tr w:rsidR="003B20AD" w:rsidRPr="00475A0C" w14:paraId="072C50C3" w14:textId="6390E23F" w:rsidTr="007B36AB">
        <w:tc>
          <w:tcPr>
            <w:tcW w:w="4675" w:type="dxa"/>
          </w:tcPr>
          <w:p w14:paraId="6E492564"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Capítulo III</w:t>
            </w:r>
          </w:p>
        </w:tc>
        <w:tc>
          <w:tcPr>
            <w:tcW w:w="4675" w:type="dxa"/>
          </w:tcPr>
          <w:p w14:paraId="48447429" w14:textId="613A0E34"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Chapter III</w:t>
            </w:r>
          </w:p>
        </w:tc>
      </w:tr>
      <w:tr w:rsidR="003B20AD" w:rsidRPr="00475A0C" w14:paraId="3B6FFE83" w14:textId="12EB0D02" w:rsidTr="007B36AB">
        <w:tc>
          <w:tcPr>
            <w:tcW w:w="4675" w:type="dxa"/>
          </w:tcPr>
          <w:p w14:paraId="4A22FDD0"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Del Centro Nacional de Control del Gas Natural</w:t>
            </w:r>
          </w:p>
        </w:tc>
        <w:tc>
          <w:tcPr>
            <w:tcW w:w="4675" w:type="dxa"/>
          </w:tcPr>
          <w:p w14:paraId="5E5EAE90" w14:textId="2BBA77A1"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National Natural Gas Control Center</w:t>
            </w:r>
          </w:p>
        </w:tc>
      </w:tr>
      <w:tr w:rsidR="003B20AD" w:rsidRPr="00475A0C" w14:paraId="22B4B53D" w14:textId="703EFCE5" w:rsidTr="007B36AB">
        <w:tc>
          <w:tcPr>
            <w:tcW w:w="4675" w:type="dxa"/>
          </w:tcPr>
          <w:p w14:paraId="5283BB4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100.-</w:t>
            </w:r>
            <w:r w:rsidRPr="00475A0C">
              <w:rPr>
                <w:rFonts w:ascii="Verdana" w:hAnsi="Verdana"/>
                <w:sz w:val="16"/>
                <w:szCs w:val="16"/>
              </w:rPr>
              <w:t xml:space="preserve"> El Centro Nacional de Control del Gas Natural es el gestor y administrador independiente del Sistema de Transporte y Almacenamiento Nacional Integrado de Gas Natural y tiene por objeto garantizar la continuidad y seguridad en la prestación de los servicios en ese sistema para contribuir con la continuidad del suministro de dicho energético en </w:t>
            </w:r>
            <w:r w:rsidRPr="00475A0C">
              <w:rPr>
                <w:rFonts w:ascii="Verdana" w:hAnsi="Verdana"/>
                <w:sz w:val="16"/>
                <w:szCs w:val="16"/>
              </w:rPr>
              <w:lastRenderedPageBreak/>
              <w:t>territorio nacional, así como realizar las demás actividades señaladas en la presente Ley y en el respectivo Decreto del Ejecutivo Federal.</w:t>
            </w:r>
          </w:p>
        </w:tc>
        <w:tc>
          <w:tcPr>
            <w:tcW w:w="4675" w:type="dxa"/>
          </w:tcPr>
          <w:p w14:paraId="3B78D7A0" w14:textId="2C468BE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100.- </w:t>
            </w:r>
            <w:r w:rsidRPr="00E3602D">
              <w:rPr>
                <w:rFonts w:ascii="Verdana" w:hAnsi="Verdana"/>
                <w:sz w:val="16"/>
                <w:szCs w:val="16"/>
                <w:lang w:val="en-US"/>
              </w:rPr>
              <w:t xml:space="preserve">The National Natural Gas Control Center is the independent manager and administrator of the National Integrated Natural Gas Transportation and Storage System and its purpose is to guarantee the continuity and security in the provision of services in that system to contribute to the continuity of the supply of said energy in national territory, as well as to carry </w:t>
            </w:r>
            <w:r w:rsidRPr="00E3602D">
              <w:rPr>
                <w:rFonts w:ascii="Verdana" w:hAnsi="Verdana"/>
                <w:sz w:val="16"/>
                <w:szCs w:val="16"/>
                <w:lang w:val="en-US"/>
              </w:rPr>
              <w:lastRenderedPageBreak/>
              <w:t>out the other activities indicated in this Law and in the respective Federal Executive Decree.</w:t>
            </w:r>
          </w:p>
        </w:tc>
      </w:tr>
      <w:tr w:rsidR="003B20AD" w:rsidRPr="00475A0C" w14:paraId="6916421F" w14:textId="01582ABF" w:rsidTr="007B36AB">
        <w:tc>
          <w:tcPr>
            <w:tcW w:w="4675" w:type="dxa"/>
          </w:tcPr>
          <w:p w14:paraId="0999B736"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 gestión y administración a que se refiere la presente Ley debe entenderse como la potestad del Centro Nacional de Control del Gas Natural para instruir las acciones necesarias a las personas Permisionarias de Transporte por ducto y Almacenamiento vinculado a ducto para que tanto la operación diaria como la de mediano y largo plazo del sistema permisionado, se realice en estricto apego a las obligaciones de acceso abierto, sin que se afecte en modo alguno la titularidad de los contratos de reserva de capacidad.</w:t>
            </w:r>
          </w:p>
        </w:tc>
        <w:tc>
          <w:tcPr>
            <w:tcW w:w="4675" w:type="dxa"/>
          </w:tcPr>
          <w:p w14:paraId="2E6C8A26" w14:textId="515F3E4B"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management and administration referred to in this Law shall be understood as the authority of the National Natural Gas Control Center to instruct the necessary actions to the Permit Holders of transportation by pipeline and storage linked to pipeline so that both the daily operation and the medium and long term operation of the permitted system are carried out in strict compliance with the open access obligations, without affecting in any way the ownership of the capacity reservation contracts.</w:t>
            </w:r>
          </w:p>
        </w:tc>
      </w:tr>
      <w:tr w:rsidR="003B20AD" w:rsidRPr="00475A0C" w14:paraId="39656183" w14:textId="4AD83B12" w:rsidTr="007B36AB">
        <w:tc>
          <w:tcPr>
            <w:tcW w:w="4675" w:type="dxa"/>
          </w:tcPr>
          <w:p w14:paraId="15F37F3F"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El Centro Nacional de Control del Gas Natural debe ejercer sus funciones bajo los principios de eficiencia, transparencia y objetividad, así como de independencia respecto de las personas Permisionarias cuyos sistemas conformen el Sistema de Transporte y Almacenamiento Nacional Integrado de Gas Natural.</w:t>
            </w:r>
          </w:p>
        </w:tc>
        <w:tc>
          <w:tcPr>
            <w:tcW w:w="4675" w:type="dxa"/>
          </w:tcPr>
          <w:p w14:paraId="645EF29C" w14:textId="29A069F9"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National Natural Gas Control Center must carry out its functions under the principles of efficiency, transparency, and objectivity, as well as independence from the permit holders whose systems comprise the National Integrated Natural Gas Transportation and Storage System.</w:t>
            </w:r>
          </w:p>
        </w:tc>
      </w:tr>
      <w:tr w:rsidR="003B20AD" w:rsidRPr="00475A0C" w14:paraId="116A99BD" w14:textId="3B7E44C6" w:rsidTr="007B36AB">
        <w:tc>
          <w:tcPr>
            <w:tcW w:w="4675" w:type="dxa"/>
          </w:tcPr>
          <w:p w14:paraId="015ABF5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 persona Titular del Ejecutivo Federal debe garantizar la independencia del Centro Nacional de Control del Gas Natural respecto de las demás personas Permisionarias y empresas del sector.</w:t>
            </w:r>
          </w:p>
        </w:tc>
        <w:tc>
          <w:tcPr>
            <w:tcW w:w="4675" w:type="dxa"/>
          </w:tcPr>
          <w:p w14:paraId="762121B7" w14:textId="0A0E4961"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Federal Executive Branch must guarantee the independence of the National Natural Gas Control Center from other permit holders and companies in the sector.</w:t>
            </w:r>
          </w:p>
        </w:tc>
      </w:tr>
      <w:tr w:rsidR="003B20AD" w:rsidRPr="00475A0C" w14:paraId="171FA3E8" w14:textId="50A6934E" w:rsidTr="007B36AB">
        <w:tc>
          <w:tcPr>
            <w:tcW w:w="4675" w:type="dxa"/>
          </w:tcPr>
          <w:p w14:paraId="41989F2F"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 xml:space="preserve">La conducción del Centro Nacional de Control del Gas Natural está a cargo de un Consejo de Administración y de la persona titular de </w:t>
            </w:r>
            <w:smartTag w:uri="urn:schemas-microsoft-com:office:smarttags" w:element="PersonName">
              <w:smartTagPr>
                <w:attr w:name="ProductID" w:val="la Dirección General."/>
              </w:smartTagPr>
              <w:r w:rsidRPr="00475A0C">
                <w:rPr>
                  <w:rFonts w:ascii="Verdana" w:hAnsi="Verdana"/>
                  <w:sz w:val="16"/>
                  <w:szCs w:val="16"/>
                </w:rPr>
                <w:t>la Dirección General.</w:t>
              </w:r>
            </w:smartTag>
            <w:r w:rsidRPr="00475A0C">
              <w:rPr>
                <w:rFonts w:ascii="Verdana" w:hAnsi="Verdana"/>
                <w:sz w:val="16"/>
                <w:szCs w:val="16"/>
              </w:rPr>
              <w:t xml:space="preserve"> La dirección y visión estratégica del Centro Nacional de Control del Gas Natural está a cargo de su Consejo de Administración, mismo que cuenta al menos con una tercera parte de consejeros independientes.</w:t>
            </w:r>
          </w:p>
        </w:tc>
        <w:tc>
          <w:tcPr>
            <w:tcW w:w="4675" w:type="dxa"/>
          </w:tcPr>
          <w:p w14:paraId="216DF7D9" w14:textId="69274749"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management of the National Center for Natural Gas Control is in the hands of a Board of Directors and the person in charge of General Management. The strategic vision and direction of the National Center for Natural Gas Control is in the hands of its Board of Directors, which has at least one third of its members as independent directors.</w:t>
            </w:r>
          </w:p>
        </w:tc>
      </w:tr>
      <w:tr w:rsidR="003B20AD" w:rsidRPr="00475A0C" w14:paraId="2A849484" w14:textId="6B5CFB86" w:rsidTr="007B36AB">
        <w:tc>
          <w:tcPr>
            <w:tcW w:w="4675" w:type="dxa"/>
          </w:tcPr>
          <w:p w14:paraId="33DFC490"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Los consejeros independientes del Centro Nacional de Control del Gas Natural no deben tener conflicto de interés, por lo que no pueden tener relación laboral o profesional con los demás integrantes del mercado del Gas Natural.</w:t>
            </w:r>
          </w:p>
        </w:tc>
        <w:tc>
          <w:tcPr>
            <w:tcW w:w="4675" w:type="dxa"/>
          </w:tcPr>
          <w:p w14:paraId="692A2F46" w14:textId="5F31909D"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independent directors of the National Natural Gas Control Center must not have any conflicts of interest and therefore cannot have any employment or professional relationships with other members of the natural gas market.</w:t>
            </w:r>
          </w:p>
        </w:tc>
      </w:tr>
      <w:tr w:rsidR="003B20AD" w:rsidRPr="00475A0C" w14:paraId="7BB86064" w14:textId="6954F740" w:rsidTr="007B36AB">
        <w:tc>
          <w:tcPr>
            <w:tcW w:w="4675" w:type="dxa"/>
          </w:tcPr>
          <w:p w14:paraId="3B425B6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 gestión, administración y ejecución de las funciones del Centro Nacional de Control del Gas Natural, en particular la asignación de la capacidad del Sistema Nacional de Transporte y Almacenamiento Integrado de Gas Natural, están a cargo exclusivamente de </w:t>
            </w:r>
            <w:smartTag w:uri="urn:schemas-microsoft-com:office:smarttags" w:element="PersonName">
              <w:smartTagPr>
                <w:attr w:name="ProductID" w:val="la Dirección General"/>
              </w:smartTagPr>
              <w:r w:rsidRPr="00475A0C">
                <w:rPr>
                  <w:rFonts w:ascii="Verdana" w:hAnsi="Verdana"/>
                  <w:sz w:val="16"/>
                  <w:szCs w:val="16"/>
                </w:rPr>
                <w:t>la Dirección General</w:t>
              </w:r>
            </w:smartTag>
            <w:r w:rsidRPr="00475A0C">
              <w:rPr>
                <w:rFonts w:ascii="Verdana" w:hAnsi="Verdana"/>
                <w:sz w:val="16"/>
                <w:szCs w:val="16"/>
              </w:rPr>
              <w:t>, para lo cual goza de autonomía.</w:t>
            </w:r>
          </w:p>
        </w:tc>
        <w:tc>
          <w:tcPr>
            <w:tcW w:w="4675" w:type="dxa"/>
          </w:tcPr>
          <w:p w14:paraId="7B9E4DBA" w14:textId="053B5404"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management, administration and execution of the functions of the National Natural Gas Control Centre, in particular the assignment of capacity for the National Integrated Natural Gas Transportation and Storage System, are the exclusive responsibility of the General Management, for which it enjoys autonomy.</w:t>
            </w:r>
          </w:p>
        </w:tc>
      </w:tr>
      <w:tr w:rsidR="003B20AD" w:rsidRPr="00475A0C" w14:paraId="7DE14487" w14:textId="06869AF8" w:rsidTr="007B36AB">
        <w:tc>
          <w:tcPr>
            <w:tcW w:w="4675" w:type="dxa"/>
          </w:tcPr>
          <w:p w14:paraId="6B56D97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En los comités consultivos que, en su caso, cree el Consejo de Administración del Centro Nacional de Control del Gas Natural, participan representantes del mercado de Gas Natural.</w:t>
            </w:r>
          </w:p>
        </w:tc>
        <w:tc>
          <w:tcPr>
            <w:tcW w:w="4675" w:type="dxa"/>
          </w:tcPr>
          <w:p w14:paraId="74F3CC1F" w14:textId="3BC82998"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Representatives of the natural gas market participate in the advisory committees established by the Board of Directors of the National Natural Gas Control Center, where appropriate.</w:t>
            </w:r>
          </w:p>
        </w:tc>
      </w:tr>
      <w:tr w:rsidR="003B20AD" w:rsidRPr="00475A0C" w14:paraId="4498A5AC" w14:textId="6EB9F01F" w:rsidTr="007B36AB">
        <w:tc>
          <w:tcPr>
            <w:tcW w:w="4675" w:type="dxa"/>
          </w:tcPr>
          <w:p w14:paraId="460EE5F4"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101.-</w:t>
            </w:r>
            <w:r w:rsidRPr="00475A0C">
              <w:rPr>
                <w:rFonts w:ascii="Verdana" w:hAnsi="Verdana"/>
                <w:sz w:val="16"/>
                <w:szCs w:val="16"/>
              </w:rPr>
              <w:t xml:space="preserve"> El Centro Nacional de Control del Gas Natural no puede privilegiar el uso de su infraestructura o la ampliación de la misma, en calidad de persona Permisionaria, en detrimento de la infraestructura integrada que pertenezca a otras personas Permisionarias.</w:t>
            </w:r>
          </w:p>
        </w:tc>
        <w:tc>
          <w:tcPr>
            <w:tcW w:w="4675" w:type="dxa"/>
          </w:tcPr>
          <w:p w14:paraId="6E3DCFEB" w14:textId="08F088C2"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101.- </w:t>
            </w:r>
            <w:r w:rsidRPr="00E3602D">
              <w:rPr>
                <w:rFonts w:ascii="Verdana" w:hAnsi="Verdana"/>
                <w:sz w:val="16"/>
                <w:szCs w:val="16"/>
                <w:lang w:val="en-US"/>
              </w:rPr>
              <w:t>The National Natural Gas Control Center may not, as a Permit Holder, privilege the use of its infrastructure or its expansion to the detriment of the integrated infrastructure belonging to other Permit Holders.</w:t>
            </w:r>
          </w:p>
        </w:tc>
      </w:tr>
      <w:tr w:rsidR="003B20AD" w:rsidRPr="00475A0C" w14:paraId="599DB094" w14:textId="4B7679AE" w:rsidTr="007B36AB">
        <w:tc>
          <w:tcPr>
            <w:tcW w:w="4675" w:type="dxa"/>
          </w:tcPr>
          <w:p w14:paraId="2F187DC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 Secretaría de Energía debe determinar los términos a que se sujete el Centro Nacional de Control del Gas </w:t>
            </w:r>
            <w:r w:rsidRPr="00475A0C">
              <w:rPr>
                <w:rFonts w:ascii="Verdana" w:hAnsi="Verdana"/>
                <w:sz w:val="16"/>
                <w:szCs w:val="16"/>
              </w:rPr>
              <w:lastRenderedPageBreak/>
              <w:t>Natural para cumplir con lo previsto en el presente artículo.</w:t>
            </w:r>
          </w:p>
        </w:tc>
        <w:tc>
          <w:tcPr>
            <w:tcW w:w="4675" w:type="dxa"/>
          </w:tcPr>
          <w:p w14:paraId="1B26EEA4" w14:textId="436D8171"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lastRenderedPageBreak/>
              <w:t>The Secretary of Energy must determine the terms and conditions under which the National Natural Gas Control Center must comply with the provisions of this article.</w:t>
            </w:r>
          </w:p>
        </w:tc>
      </w:tr>
      <w:tr w:rsidR="003B20AD" w:rsidRPr="00475A0C" w14:paraId="41CC254D" w14:textId="55556FEB" w:rsidTr="007B36AB">
        <w:tc>
          <w:tcPr>
            <w:tcW w:w="4675" w:type="dxa"/>
          </w:tcPr>
          <w:p w14:paraId="118BF89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102.-</w:t>
            </w:r>
            <w:r w:rsidRPr="00475A0C">
              <w:rPr>
                <w:rFonts w:ascii="Verdana" w:hAnsi="Verdana"/>
                <w:sz w:val="16"/>
                <w:szCs w:val="16"/>
              </w:rPr>
              <w:t xml:space="preserve"> El Centro Nacional de Control del Gas Natural debe prestar los servicios de Transporte y Almacenamiento en la infraestructura de la que sea titular como persona Permisionaria.</w:t>
            </w:r>
          </w:p>
        </w:tc>
        <w:tc>
          <w:tcPr>
            <w:tcW w:w="4675" w:type="dxa"/>
          </w:tcPr>
          <w:p w14:paraId="49B36C4D" w14:textId="3FBEC5B7"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102.- </w:t>
            </w:r>
            <w:r w:rsidRPr="00E3602D">
              <w:rPr>
                <w:rFonts w:ascii="Verdana" w:hAnsi="Verdana"/>
                <w:sz w:val="16"/>
                <w:szCs w:val="16"/>
                <w:lang w:val="en-US"/>
              </w:rPr>
              <w:t>The National Natural Gas Control Center must provide Transportation and Storage services in the infrastructure of which it is the owner as a Permit Holder.</w:t>
            </w:r>
          </w:p>
        </w:tc>
      </w:tr>
      <w:tr w:rsidR="003B20AD" w:rsidRPr="00475A0C" w14:paraId="0AFB3C44" w14:textId="71AC368E" w:rsidTr="007B36AB">
        <w:tc>
          <w:tcPr>
            <w:tcW w:w="4675" w:type="dxa"/>
          </w:tcPr>
          <w:p w14:paraId="4FBFC527"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Con independencia de su actividad como persona Permisionaria de Transporte y de Almacenamiento, el Centro Nacional de Control del Gas Natural debe sujetarse a las reglas de operación que emita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para los gestores de los Sistemas Integrados.</w:t>
            </w:r>
          </w:p>
        </w:tc>
        <w:tc>
          <w:tcPr>
            <w:tcW w:w="4675" w:type="dxa"/>
          </w:tcPr>
          <w:p w14:paraId="76B5CBB6" w14:textId="40F362BD"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Regardless of its activity as a Transportation and Storage Permit Holder, the National Natural Gas Control Center must adhere to the operating rules issued by the National Commission of Energy for Integrated Systems managers.</w:t>
            </w:r>
          </w:p>
        </w:tc>
      </w:tr>
      <w:tr w:rsidR="003B20AD" w:rsidRPr="00475A0C" w14:paraId="39516949" w14:textId="134ACBBF" w:rsidTr="007B36AB">
        <w:tc>
          <w:tcPr>
            <w:tcW w:w="4675" w:type="dxa"/>
          </w:tcPr>
          <w:p w14:paraId="6343C10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Artículo 103.-</w:t>
            </w:r>
            <w:r w:rsidRPr="00475A0C">
              <w:rPr>
                <w:rFonts w:ascii="Verdana" w:hAnsi="Verdana"/>
                <w:sz w:val="16"/>
                <w:szCs w:val="16"/>
              </w:rPr>
              <w:t xml:space="preserve"> El Centro Nacional de Control del Gas Natural debe proponer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aprobación, el plan quinquenal de expansión del Sistema de Transporte y Almacenamiento Nacional Integrado de Gas Natural.</w:t>
            </w:r>
          </w:p>
        </w:tc>
        <w:tc>
          <w:tcPr>
            <w:tcW w:w="4675" w:type="dxa"/>
          </w:tcPr>
          <w:p w14:paraId="3777244C" w14:textId="5F55147F"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Article 103.- </w:t>
            </w:r>
            <w:r w:rsidRPr="00E3602D">
              <w:rPr>
                <w:rFonts w:ascii="Verdana" w:hAnsi="Verdana"/>
                <w:sz w:val="16"/>
                <w:szCs w:val="16"/>
                <w:lang w:val="en-US"/>
              </w:rPr>
              <w:t>The National Natural Gas Control Center must propose to the Secretary of Energy, for approval, the five-year expansion plan for the National Integrated Natural Gas Transportation and Storage System.</w:t>
            </w:r>
          </w:p>
        </w:tc>
      </w:tr>
      <w:tr w:rsidR="003B20AD" w:rsidRPr="00475A0C" w14:paraId="6C201A1E" w14:textId="31F14EE0" w:rsidTr="007B36AB">
        <w:tc>
          <w:tcPr>
            <w:tcW w:w="4675" w:type="dxa"/>
          </w:tcPr>
          <w:p w14:paraId="0340E86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El plan quinquenal referido en el párrafo anterior debe contener, además de la planeación indicativa, los proyectos de cobertura social y aquellos que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considere estratégicos para garantizar el desarrollo eficiente del Sistema de Transporte y Almacenamiento Nacional Integrado de Gas Natural.</w:t>
            </w:r>
          </w:p>
        </w:tc>
        <w:tc>
          <w:tcPr>
            <w:tcW w:w="4675" w:type="dxa"/>
          </w:tcPr>
          <w:p w14:paraId="116BA3C5" w14:textId="37185B3A"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five-year plan referred to in the preceding paragraph must contain, in addition to the indicative planning, the social coverage projects and those that the Secretary of Energy considers strategic to guarantee the efficient development of the National Integrated Natural Gas Transportation and Storage System.</w:t>
            </w:r>
          </w:p>
        </w:tc>
      </w:tr>
      <w:tr w:rsidR="003B20AD" w:rsidRPr="00475A0C" w14:paraId="078CBC9F" w14:textId="2068D9FD" w:rsidTr="007B36AB">
        <w:tc>
          <w:tcPr>
            <w:tcW w:w="4675" w:type="dxa"/>
          </w:tcPr>
          <w:p w14:paraId="2696F04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Los proyectos tienen la naturaleza de estratégicos cuando cumplan con, al menos, alguna de las siguientes características:</w:t>
            </w:r>
          </w:p>
        </w:tc>
        <w:tc>
          <w:tcPr>
            <w:tcW w:w="4675" w:type="dxa"/>
          </w:tcPr>
          <w:p w14:paraId="717F8D96" w14:textId="3409E6B8"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projects are considered strategic when they meet at least one of the following characteristics:</w:t>
            </w:r>
          </w:p>
        </w:tc>
      </w:tr>
      <w:tr w:rsidR="003B20AD" w:rsidRPr="00475A0C" w14:paraId="7C5A3533" w14:textId="76478592" w:rsidTr="007B36AB">
        <w:tc>
          <w:tcPr>
            <w:tcW w:w="4675" w:type="dxa"/>
          </w:tcPr>
          <w:p w14:paraId="3D2CD7A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Tengan un diseño que considere como mínimo un diámetro de treinta pulgadas, una presión operativa igual o superior a 800 libras y una longitud de al menos 100 kilómetros;</w:t>
            </w:r>
          </w:p>
        </w:tc>
        <w:tc>
          <w:tcPr>
            <w:tcW w:w="4675" w:type="dxa"/>
          </w:tcPr>
          <w:p w14:paraId="30DC17B8" w14:textId="4BBE1ED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Have a design that considers a minimum diameter of thirty inches, an operating pressure equal to or greater than 800 pounds and a length of at least 100 kilometers;</w:t>
            </w:r>
          </w:p>
        </w:tc>
      </w:tr>
      <w:tr w:rsidR="003B20AD" w:rsidRPr="00475A0C" w14:paraId="46F27FC1" w14:textId="019428ED" w:rsidTr="007B36AB">
        <w:tc>
          <w:tcPr>
            <w:tcW w:w="4675" w:type="dxa"/>
          </w:tcPr>
          <w:p w14:paraId="2BB7D852"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Aporten redundancia al sistema, incluyendo el almacenamiento;</w:t>
            </w:r>
          </w:p>
        </w:tc>
        <w:tc>
          <w:tcPr>
            <w:tcW w:w="4675" w:type="dxa"/>
          </w:tcPr>
          <w:p w14:paraId="2BF2C4F8" w14:textId="57B30C94"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Provide redundancy to the system, including storage;</w:t>
            </w:r>
          </w:p>
        </w:tc>
      </w:tr>
      <w:tr w:rsidR="003B20AD" w:rsidRPr="00475A0C" w14:paraId="2B03BBF5" w14:textId="10EE9C39" w:rsidTr="007B36AB">
        <w:tc>
          <w:tcPr>
            <w:tcW w:w="4675" w:type="dxa"/>
          </w:tcPr>
          <w:p w14:paraId="601BF14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Brinden una nueva ruta o fuente de suministro a un mercado relevante, o</w:t>
            </w:r>
          </w:p>
        </w:tc>
        <w:tc>
          <w:tcPr>
            <w:tcW w:w="4675" w:type="dxa"/>
          </w:tcPr>
          <w:p w14:paraId="2CEBEB75" w14:textId="0AF6731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Provide a new route or source of supply to a relevant market, or</w:t>
            </w:r>
          </w:p>
        </w:tc>
      </w:tr>
      <w:tr w:rsidR="003B20AD" w:rsidRPr="00475A0C" w14:paraId="63EA2EDF" w14:textId="768BDA1D" w:rsidTr="007B36AB">
        <w:tc>
          <w:tcPr>
            <w:tcW w:w="4675" w:type="dxa"/>
          </w:tcPr>
          <w:p w14:paraId="494E825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Cuando por razones de seguridad de suministro, debidamente motivado, así lo determine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E3B7515" w14:textId="3EB0E11D"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r>
            <w:r w:rsidRPr="00E3602D">
              <w:rPr>
                <w:rFonts w:ascii="Verdana" w:hAnsi="Verdana"/>
                <w:sz w:val="16"/>
                <w:szCs w:val="16"/>
                <w:lang w:val="en-US"/>
              </w:rPr>
              <w:t xml:space="preserve">When, for reasons of security of supply, the </w:t>
            </w:r>
            <w:r w:rsidRPr="00E3602D">
              <w:rPr>
                <w:rFonts w:ascii="Verdana" w:hAnsi="Verdana"/>
                <w:sz w:val="16"/>
                <w:szCs w:val="16"/>
                <w:lang w:val="en-US"/>
              </w:rPr>
              <w:t>Secretary</w:t>
            </w:r>
            <w:r w:rsidRPr="00E3602D">
              <w:rPr>
                <w:rFonts w:ascii="Verdana" w:hAnsi="Verdana"/>
                <w:sz w:val="16"/>
                <w:szCs w:val="16"/>
                <w:lang w:val="en-US"/>
              </w:rPr>
              <w:t xml:space="preserve"> of Energy so determines, duly justified.</w:t>
            </w:r>
          </w:p>
        </w:tc>
      </w:tr>
      <w:tr w:rsidR="003B20AD" w:rsidRPr="00475A0C" w14:paraId="0474D184" w14:textId="5AEAC26B" w:rsidTr="007B36AB">
        <w:tc>
          <w:tcPr>
            <w:tcW w:w="4675" w:type="dxa"/>
          </w:tcPr>
          <w:p w14:paraId="2A150BDC"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Tratándose de los proyectos estratégicos, el Centro Nacional de Control del Gas Natural es el responsable de licitarlos. Las bases de licitación deben ser aprobadas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la infraestructura debe ser desarrollada por terceros.</w:t>
            </w:r>
          </w:p>
        </w:tc>
        <w:tc>
          <w:tcPr>
            <w:tcW w:w="4675" w:type="dxa"/>
          </w:tcPr>
          <w:p w14:paraId="7B316686" w14:textId="7C5264B3"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For strategic projects, the National Natural Gas Control Center is responsible for bidding. The bidding conditions must be approved by the Secretary of Energy, and the infrastructure must be developed by a third party.</w:t>
            </w:r>
          </w:p>
        </w:tc>
      </w:tr>
      <w:tr w:rsidR="003B20AD" w:rsidRPr="00475A0C" w14:paraId="72E98FE2" w14:textId="70A42596" w:rsidTr="007B36AB">
        <w:tc>
          <w:tcPr>
            <w:tcW w:w="4675" w:type="dxa"/>
          </w:tcPr>
          <w:p w14:paraId="10965939"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El Centro Nacional de Control del Gas Natural puede convocar conjuntamente cualquier licitación, apoyado de las Empresas Públicas del Estado y los Particulares, cuando aporten una capacidad de demanda significativa.</w:t>
            </w:r>
          </w:p>
        </w:tc>
        <w:tc>
          <w:tcPr>
            <w:tcW w:w="4675" w:type="dxa"/>
          </w:tcPr>
          <w:p w14:paraId="6442D883" w14:textId="12441F9A"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National Natural Gas Control Center may jointly call for any tender, with the support of state-owned companies and private individuals, when they provide significant demand capacity.</w:t>
            </w:r>
          </w:p>
        </w:tc>
      </w:tr>
      <w:tr w:rsidR="003B20AD" w:rsidRPr="00475A0C" w14:paraId="47D99CBD" w14:textId="514B1C35" w:rsidTr="007B36AB">
        <w:tc>
          <w:tcPr>
            <w:tcW w:w="4675" w:type="dxa"/>
          </w:tcPr>
          <w:p w14:paraId="0541C97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Tratándose de proyectos no considerados como estratégicos, las Empresas Públicas del Estado y los Particulares pueden desarrollar, sujetos al cumplimiento de la normatividad aplicable, proyectos de infraestructura actuando bajo su propia cuenta y riesgo. En el caso de las Empresas Públicas del Estado, los proyectos deben ejecutarse por terceros a través de </w:t>
            </w:r>
            <w:r w:rsidRPr="00475A0C">
              <w:rPr>
                <w:rFonts w:ascii="Verdana" w:hAnsi="Verdana"/>
                <w:sz w:val="16"/>
                <w:szCs w:val="16"/>
              </w:rPr>
              <w:lastRenderedPageBreak/>
              <w:t xml:space="preserve">procesos de licitación, en los cuales éstas deben reservar la capacidad que requieran para sus operaciones. Las bases de licitación deben ser aprobadas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49860A80" w14:textId="157B6982"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lastRenderedPageBreak/>
              <w:t xml:space="preserve">With regard to projects not considered strategic, State owned Public Enterprises and private individuals may develop infrastructure projects at their own expense and risk, subject to compliance with applicable regulations. In the case of State-owned Public Enterprises, projects must be executed by third parties through bidding processes, in which they must reserve </w:t>
            </w:r>
            <w:r w:rsidRPr="00E3602D">
              <w:rPr>
                <w:rFonts w:ascii="Verdana" w:hAnsi="Verdana"/>
                <w:sz w:val="16"/>
                <w:szCs w:val="16"/>
                <w:lang w:val="en-US"/>
              </w:rPr>
              <w:lastRenderedPageBreak/>
              <w:t>the capacity they require for their operations. The bidding conditions must be approved by the Secretary of Energy.</w:t>
            </w:r>
          </w:p>
        </w:tc>
      </w:tr>
      <w:tr w:rsidR="003B20AD" w:rsidRPr="00475A0C" w14:paraId="0985309E" w14:textId="0DD2F397" w:rsidTr="007B36AB">
        <w:tc>
          <w:tcPr>
            <w:tcW w:w="4675" w:type="dxa"/>
          </w:tcPr>
          <w:p w14:paraId="025ECA58"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El desarrollo de proyectos de infraestructura referidos en el presente artículo debe incluir la realización de Mecanismos de Asignación de Capacidad en los términos que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70D795DC" w14:textId="6BBF5101"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development of infrastructure projects referred to in this article must include the implementation of Capacity Assignment Mechanisms under the terms established by the Secretary of Energy.</w:t>
            </w:r>
          </w:p>
        </w:tc>
      </w:tr>
      <w:tr w:rsidR="003B20AD" w:rsidRPr="00475A0C" w14:paraId="7D5456C4" w14:textId="0E0CAD55" w:rsidTr="007B36AB">
        <w:tc>
          <w:tcPr>
            <w:tcW w:w="4675" w:type="dxa"/>
          </w:tcPr>
          <w:p w14:paraId="55A6DC0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 Secretaría de Energía debe verificar que los proyectos estratégicos de infraestructura a que se refiere el presente artículo se apeguen a los lineamientos del plan quinquenal de expansión del Sistema de Transporte y Almacenamiento Nacional Integrado de Gas Natural. En caso contrario,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debe dictar las acciones correctivas que procedan.</w:t>
            </w:r>
          </w:p>
        </w:tc>
        <w:tc>
          <w:tcPr>
            <w:tcW w:w="4675" w:type="dxa"/>
          </w:tcPr>
          <w:p w14:paraId="1762520D" w14:textId="5037A6A4"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Secretary of Energy must verify that the strategic infrastructure projects referred to in this article adhere to the guidelines of the five-year expansion plan for the National Integrated Natural Gas Transportation and Storage System. Otherwise, the Secretary must issue the appropriate corrective actions.</w:t>
            </w:r>
          </w:p>
        </w:tc>
      </w:tr>
      <w:tr w:rsidR="003B20AD" w:rsidRPr="00475A0C" w14:paraId="1A501983" w14:textId="4CFD19E6" w:rsidTr="007B36AB">
        <w:tc>
          <w:tcPr>
            <w:tcW w:w="4675" w:type="dxa"/>
          </w:tcPr>
          <w:p w14:paraId="2791AABF"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Cada año,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llevar a cabo una evaluación del plan quinquenal de expansión a fin de verificar su vigencia ante la evolución del mercado de Gas Natural y realizar los ajustes necesarios para garantizar el desarrollo eficiente del Sistema de Transporte y Almacenamiento Nacional Integrado de Gas Natural.</w:t>
            </w:r>
          </w:p>
        </w:tc>
        <w:tc>
          <w:tcPr>
            <w:tcW w:w="4675" w:type="dxa"/>
          </w:tcPr>
          <w:p w14:paraId="24D765CC" w14:textId="7236BD20"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Each year, the Secretary of Energy must conduct an evaluation of the five-year expansion plan to verify its validity in light of the evolution of the natural gas market and make the necessary adjustments to ensure the efficient development of the National Integrated Natural Gas Transportation and Storage System.</w:t>
            </w:r>
          </w:p>
        </w:tc>
      </w:tr>
      <w:tr w:rsidR="003B20AD" w:rsidRPr="00475A0C" w14:paraId="350CBC9E" w14:textId="5D3DA206" w:rsidTr="007B36AB">
        <w:tc>
          <w:tcPr>
            <w:tcW w:w="4675" w:type="dxa"/>
          </w:tcPr>
          <w:p w14:paraId="0DEF6BF1" w14:textId="77777777" w:rsidR="003B20AD" w:rsidRPr="00475A0C" w:rsidRDefault="003B20AD" w:rsidP="003B20AD">
            <w:pPr>
              <w:pStyle w:val="Texto"/>
              <w:spacing w:after="98"/>
              <w:ind w:firstLine="0"/>
              <w:jc w:val="center"/>
              <w:rPr>
                <w:rFonts w:ascii="Verdana" w:hAnsi="Verdana"/>
                <w:b/>
                <w:sz w:val="16"/>
                <w:szCs w:val="16"/>
              </w:rPr>
            </w:pPr>
            <w:r w:rsidRPr="00475A0C">
              <w:rPr>
                <w:rFonts w:ascii="Verdana" w:hAnsi="Verdana"/>
                <w:b/>
                <w:sz w:val="16"/>
                <w:szCs w:val="16"/>
              </w:rPr>
              <w:t>Capítulo IV</w:t>
            </w:r>
          </w:p>
        </w:tc>
        <w:tc>
          <w:tcPr>
            <w:tcW w:w="4675" w:type="dxa"/>
          </w:tcPr>
          <w:p w14:paraId="207DAF13" w14:textId="500B010E" w:rsidR="003B20AD" w:rsidRPr="00E3602D" w:rsidRDefault="003B20AD" w:rsidP="003B20AD">
            <w:pPr>
              <w:pStyle w:val="Texto"/>
              <w:spacing w:after="98"/>
              <w:ind w:firstLine="0"/>
              <w:jc w:val="center"/>
              <w:rPr>
                <w:rFonts w:ascii="Verdana" w:hAnsi="Verdana"/>
                <w:b/>
                <w:sz w:val="16"/>
                <w:szCs w:val="16"/>
                <w:lang w:val="en-US"/>
              </w:rPr>
            </w:pPr>
            <w:r w:rsidRPr="00E3602D">
              <w:rPr>
                <w:rFonts w:ascii="Verdana" w:hAnsi="Verdana"/>
                <w:b/>
                <w:sz w:val="16"/>
                <w:szCs w:val="16"/>
                <w:lang w:val="en-US"/>
              </w:rPr>
              <w:t>Chapter IV</w:t>
            </w:r>
          </w:p>
        </w:tc>
      </w:tr>
      <w:tr w:rsidR="003B20AD" w:rsidRPr="00475A0C" w14:paraId="312E6B01" w14:textId="65D82EAC" w:rsidTr="007B36AB">
        <w:tc>
          <w:tcPr>
            <w:tcW w:w="4675" w:type="dxa"/>
          </w:tcPr>
          <w:p w14:paraId="44ACB87D" w14:textId="77777777" w:rsidR="003B20AD" w:rsidRPr="00475A0C" w:rsidRDefault="003B20AD" w:rsidP="003B20AD">
            <w:pPr>
              <w:pStyle w:val="Texto"/>
              <w:spacing w:after="98"/>
              <w:ind w:firstLine="0"/>
              <w:jc w:val="center"/>
              <w:rPr>
                <w:rFonts w:ascii="Verdana" w:hAnsi="Verdana"/>
                <w:b/>
                <w:sz w:val="16"/>
                <w:szCs w:val="16"/>
              </w:rPr>
            </w:pPr>
            <w:r w:rsidRPr="00475A0C">
              <w:rPr>
                <w:rFonts w:ascii="Verdana" w:hAnsi="Verdana"/>
                <w:b/>
                <w:sz w:val="16"/>
                <w:szCs w:val="16"/>
              </w:rPr>
              <w:t>Del Acceso Abierto</w:t>
            </w:r>
          </w:p>
        </w:tc>
        <w:tc>
          <w:tcPr>
            <w:tcW w:w="4675" w:type="dxa"/>
          </w:tcPr>
          <w:p w14:paraId="31837678" w14:textId="78573467" w:rsidR="003B20AD" w:rsidRPr="00E3602D" w:rsidRDefault="003B20AD" w:rsidP="003B20AD">
            <w:pPr>
              <w:pStyle w:val="Texto"/>
              <w:spacing w:after="98"/>
              <w:ind w:firstLine="0"/>
              <w:jc w:val="center"/>
              <w:rPr>
                <w:rFonts w:ascii="Verdana" w:hAnsi="Verdana"/>
                <w:b/>
                <w:sz w:val="16"/>
                <w:szCs w:val="16"/>
                <w:lang w:val="en-US"/>
              </w:rPr>
            </w:pPr>
            <w:r w:rsidRPr="00E3602D">
              <w:rPr>
                <w:rFonts w:ascii="Verdana" w:hAnsi="Verdana"/>
                <w:b/>
                <w:sz w:val="16"/>
                <w:szCs w:val="16"/>
                <w:lang w:val="en-US"/>
              </w:rPr>
              <w:t>Open Access</w:t>
            </w:r>
          </w:p>
        </w:tc>
      </w:tr>
      <w:tr w:rsidR="003B20AD" w:rsidRPr="00475A0C" w14:paraId="10702B68" w14:textId="7A7A2A34" w:rsidTr="007B36AB">
        <w:tc>
          <w:tcPr>
            <w:tcW w:w="4675" w:type="dxa"/>
          </w:tcPr>
          <w:p w14:paraId="5CCBC5CD"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 xml:space="preserve">Artículo 104.- </w:t>
            </w:r>
            <w:r w:rsidRPr="00475A0C">
              <w:rPr>
                <w:rFonts w:ascii="Verdana" w:hAnsi="Verdana"/>
                <w:sz w:val="16"/>
                <w:szCs w:val="16"/>
              </w:rPr>
              <w:t xml:space="preserve">Las personas Permisionarias que presten a terceros los servicios de Transporte y Distribución por medio de ductos, así como de Almacenamiento de Hidrocarburos, Petrolíferos y Petroquímicos, tienen la obligación de dar acceso abierto no indebidamente discriminatorio a sus instalaciones y servicios, sujeto a disponibilidad de capacidad en sus sistemas, en términos de las políticas públicas y de la regulación emitidas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sus competencias.</w:t>
            </w:r>
          </w:p>
        </w:tc>
        <w:tc>
          <w:tcPr>
            <w:tcW w:w="4675" w:type="dxa"/>
          </w:tcPr>
          <w:p w14:paraId="3BB216D6" w14:textId="2239AABE"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104.- </w:t>
            </w:r>
            <w:r w:rsidRPr="00E3602D">
              <w:rPr>
                <w:rFonts w:ascii="Verdana" w:hAnsi="Verdana"/>
                <w:sz w:val="16"/>
                <w:szCs w:val="16"/>
                <w:lang w:val="en-US"/>
              </w:rPr>
              <w:t>Permit holders who provide third parties with transportation and distribution services through pipelines, as well as storage of hydrocarbons, petroleum products and petrochemicals, have the obligation to provide open, non-unduly discriminatory access to their facilities and services, subject to capacity availability in their systems, in terms of public policies and regulation issued by the Secretary of Energy or the National Commission of Energy, according to their powers.</w:t>
            </w:r>
          </w:p>
        </w:tc>
      </w:tr>
      <w:tr w:rsidR="003B20AD" w:rsidRPr="00475A0C" w14:paraId="765702E0" w14:textId="20B16152" w:rsidTr="007B36AB">
        <w:tc>
          <w:tcPr>
            <w:tcW w:w="4675" w:type="dxa"/>
          </w:tcPr>
          <w:p w14:paraId="3A3DF7C5"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La obligación prevista en el párrafo anterior no es aplicable a las Empresas Públicas del Estado o sus empresas filiales.</w:t>
            </w:r>
          </w:p>
        </w:tc>
        <w:tc>
          <w:tcPr>
            <w:tcW w:w="4675" w:type="dxa"/>
          </w:tcPr>
          <w:p w14:paraId="4FEF5577" w14:textId="2712D5AD"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obligation provided for in the preceding paragraph does not apply to state owned enterprises or their subsidiaries.</w:t>
            </w:r>
          </w:p>
        </w:tc>
      </w:tr>
      <w:tr w:rsidR="003B20AD" w:rsidRPr="00475A0C" w14:paraId="07F12EDE" w14:textId="2EA03889" w:rsidTr="007B36AB">
        <w:tc>
          <w:tcPr>
            <w:tcW w:w="4675" w:type="dxa"/>
          </w:tcPr>
          <w:p w14:paraId="03164211"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Para efectos de este artículo, las personas Permisionarias que cuenten con capacidad que no se encuentre contratada o que estando contratada no sea utilizada, la deben hacer pública mediante boletines electrónicos permitiendo a terceros aprovechar dicha capacidad disponible, previo pago de la tarifa autorizada y conforme a las condiciones para la prestación del servicio establecidas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w:t>
            </w:r>
          </w:p>
        </w:tc>
        <w:tc>
          <w:tcPr>
            <w:tcW w:w="4675" w:type="dxa"/>
          </w:tcPr>
          <w:p w14:paraId="53A59F28" w14:textId="78B09984"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For the purposes of this article, permit holders who have uncontracted capacity or who, even if contracted, are not being used, must make this public through electronic bulletins, allowing third parties to use said available capacity, upon payment of the authorized rate and in accordance with the conditions for the provision of the service established by the Secretary of Energy or the National Commission of Energy, as appropriate.</w:t>
            </w:r>
          </w:p>
        </w:tc>
      </w:tr>
      <w:tr w:rsidR="003B20AD" w:rsidRPr="00475A0C" w14:paraId="68C8A2BB" w14:textId="30C52412" w:rsidTr="007B36AB">
        <w:tc>
          <w:tcPr>
            <w:tcW w:w="4675" w:type="dxa"/>
          </w:tcPr>
          <w:p w14:paraId="4A9F9FF7"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 xml:space="preserve">La prestación de los servicios bajo el principio de acceso abierto se debe sujetar a las disposiciones de carácter general que expida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1605A1CE" w14:textId="037B7AE8"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provision of services under the open access principle must be subject to the general provisions issued by the National Commission of Energy.</w:t>
            </w:r>
          </w:p>
        </w:tc>
      </w:tr>
      <w:tr w:rsidR="003B20AD" w:rsidRPr="00475A0C" w14:paraId="51048726" w14:textId="24321959" w:rsidTr="007B36AB">
        <w:tc>
          <w:tcPr>
            <w:tcW w:w="4675" w:type="dxa"/>
          </w:tcPr>
          <w:p w14:paraId="7417D2F2"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t>La Comisión Nacional de Energía debe expedir la regulación a la que están sujetas las instalaciones de Transporte y de Almacenamiento para que puedan considerarse como de usos propios.</w:t>
            </w:r>
          </w:p>
        </w:tc>
        <w:tc>
          <w:tcPr>
            <w:tcW w:w="4675" w:type="dxa"/>
          </w:tcPr>
          <w:p w14:paraId="310340E7" w14:textId="0229B9BC"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National Commission of Energy must issue regulations governing transportation and storage facilities so they can be considered for private use.</w:t>
            </w:r>
          </w:p>
        </w:tc>
      </w:tr>
      <w:tr w:rsidR="003B20AD" w:rsidRPr="00475A0C" w14:paraId="5E279056" w14:textId="308E19E7" w:rsidTr="007B36AB">
        <w:tc>
          <w:tcPr>
            <w:tcW w:w="4675" w:type="dxa"/>
          </w:tcPr>
          <w:p w14:paraId="35C192C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lastRenderedPageBreak/>
              <w:t xml:space="preserve">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expedir la política pública en materia energética que se requiera para garantizar el suministro confiable y el acceso abierto a los Ductos de Internación de Gas Natural. Lo anterior, considerando el desarrollo eficiente de la industria, la seguridad, autosuficiencia energética, calidad y continuidad del suministro y los intereses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de las personas Usuarias.</w:t>
            </w:r>
          </w:p>
        </w:tc>
        <w:tc>
          <w:tcPr>
            <w:tcW w:w="4675" w:type="dxa"/>
          </w:tcPr>
          <w:p w14:paraId="56848796" w14:textId="1BF65D1E"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Secretary of Energy is responsible for issuing the energy public policy required to guarantee a reliable supply and open access to the natural gas intake pipelines. This is done in consideration of the efficient development of the industry, security, energy self-sufficiency, quality and continuity of supply, and the interests of the Nation and users.</w:t>
            </w:r>
          </w:p>
        </w:tc>
      </w:tr>
      <w:tr w:rsidR="003B20AD" w:rsidRPr="00475A0C" w14:paraId="5B24CA47" w14:textId="4D0FED66" w:rsidTr="007B36AB">
        <w:tc>
          <w:tcPr>
            <w:tcW w:w="4675" w:type="dxa"/>
          </w:tcPr>
          <w:p w14:paraId="2ED9231D"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105.-</w:t>
            </w:r>
            <w:r w:rsidRPr="00475A0C">
              <w:rPr>
                <w:rFonts w:ascii="Verdana" w:hAnsi="Verdana"/>
                <w:sz w:val="16"/>
                <w:szCs w:val="16"/>
              </w:rPr>
              <w:t xml:space="preserve"> Las personas Permisionarias de Transporte por ductos y Almacenamiento que se encuentren sujetas a la obligación de acceso abierto no pueden realizar la compra venta o Comercializar Hidrocarburos, Petrolíferos y Petroquímicos que hayan sido transportados o almacenados en sus sistemas permisionados, salvo cuando ello sea necesario para resolver una situación de emergencia operativa, caso fortuito o fuerza mayor. Asimismo, estas personas Permisionarias están sujetas a lo siguiente:</w:t>
            </w:r>
          </w:p>
        </w:tc>
        <w:tc>
          <w:tcPr>
            <w:tcW w:w="4675" w:type="dxa"/>
          </w:tcPr>
          <w:p w14:paraId="77133A9E" w14:textId="4CEC7B52"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105.- </w:t>
            </w:r>
            <w:r w:rsidRPr="00E3602D">
              <w:rPr>
                <w:rFonts w:ascii="Verdana" w:hAnsi="Verdana"/>
                <w:bCs/>
                <w:sz w:val="16"/>
                <w:szCs w:val="16"/>
                <w:lang w:val="en-US"/>
              </w:rPr>
              <w:t xml:space="preserve">The Permit holders of transport by pipelines and storage that are subject to the obligation of open access cannot carry out the purchase/sale or the commercial distribution of </w:t>
            </w:r>
            <w:r w:rsidRPr="00E3602D">
              <w:rPr>
                <w:rFonts w:ascii="Verdana" w:hAnsi="Verdana"/>
                <w:sz w:val="16"/>
                <w:szCs w:val="16"/>
                <w:lang w:val="en-US"/>
              </w:rPr>
              <w:t xml:space="preserve">hydrocarbons, petroleum products, and petrochemicals that have been transported or stored in their permitted systems, except when necessary to resolve an operational emergency, unforeseen event, or </w:t>
            </w:r>
            <w:r w:rsidRPr="00E3602D">
              <w:rPr>
                <w:rFonts w:ascii="Verdana" w:hAnsi="Verdana"/>
                <w:i/>
                <w:iCs/>
                <w:sz w:val="16"/>
                <w:szCs w:val="16"/>
                <w:lang w:val="en-US"/>
              </w:rPr>
              <w:t>force majeure</w:t>
            </w:r>
            <w:r w:rsidRPr="00E3602D">
              <w:rPr>
                <w:rFonts w:ascii="Verdana" w:hAnsi="Verdana"/>
                <w:sz w:val="16"/>
                <w:szCs w:val="16"/>
                <w:lang w:val="en-US"/>
              </w:rPr>
              <w:t>. These Permit Holders are also subject to the following:</w:t>
            </w:r>
          </w:p>
        </w:tc>
      </w:tr>
      <w:tr w:rsidR="003B20AD" w:rsidRPr="00475A0C" w14:paraId="6096009F" w14:textId="1208DB80" w:rsidTr="007B36AB">
        <w:tc>
          <w:tcPr>
            <w:tcW w:w="4675" w:type="dxa"/>
          </w:tcPr>
          <w:p w14:paraId="2D70EF38"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Solo pueden prestar el servicio de transporte y almacenamiento a las personas Usuarias que acrediten la propiedad del producto respectivo o a las personas que aquéllos designen expresamente;</w:t>
            </w:r>
          </w:p>
        </w:tc>
        <w:tc>
          <w:tcPr>
            <w:tcW w:w="4675" w:type="dxa"/>
          </w:tcPr>
          <w:p w14:paraId="78D97445" w14:textId="722D628D"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They may only provide the transportation and storage service to users who prove ownership of the respective product or to the persons expressly designated by them;</w:t>
            </w:r>
          </w:p>
        </w:tc>
      </w:tr>
      <w:tr w:rsidR="003B20AD" w:rsidRPr="00475A0C" w14:paraId="009F53F2" w14:textId="79E14925" w:rsidTr="007B36AB">
        <w:tc>
          <w:tcPr>
            <w:tcW w:w="4675" w:type="dxa"/>
          </w:tcPr>
          <w:p w14:paraId="75A2C653"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Sólo pueden transportar y almacenar productos de su propiedad siempre y cuando sea necesario para la operación de sus sistemas, y</w:t>
            </w:r>
          </w:p>
        </w:tc>
        <w:tc>
          <w:tcPr>
            <w:tcW w:w="4675" w:type="dxa"/>
          </w:tcPr>
          <w:p w14:paraId="52BFF8D1" w14:textId="770B204B"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They may only transport and store products that are their own as long as it is necessary for the operation of their systems, and</w:t>
            </w:r>
          </w:p>
        </w:tc>
      </w:tr>
      <w:tr w:rsidR="003B20AD" w:rsidRPr="00475A0C" w14:paraId="48485286" w14:textId="4A68403C" w:rsidTr="007B36AB">
        <w:tc>
          <w:tcPr>
            <w:tcW w:w="4675" w:type="dxa"/>
          </w:tcPr>
          <w:p w14:paraId="7B640CB4"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En el caso de Petróleo, Petrolíferos y Petroquímicos, pueden destinar al Transporte y Almacenamiento de productos de su propiedad, el porcentaje de capacidad que para tal efecto determine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en el permiso correspondiente.</w:t>
            </w:r>
          </w:p>
        </w:tc>
        <w:tc>
          <w:tcPr>
            <w:tcW w:w="4675" w:type="dxa"/>
          </w:tcPr>
          <w:p w14:paraId="1C751145" w14:textId="7BEFE20F"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In the case of petroleum, petroleum products and petrochemicals, they may allocate to the transportation and storage of products of their property, the percentage of capacity that is determined for such purpose the Secretary of Energy or the National Commission of Energy as appropriate, in the corresponding permit.</w:t>
            </w:r>
          </w:p>
        </w:tc>
      </w:tr>
      <w:tr w:rsidR="003B20AD" w:rsidRPr="00475A0C" w14:paraId="2AACAFC9" w14:textId="65F0688C" w:rsidTr="007B36AB">
        <w:tc>
          <w:tcPr>
            <w:tcW w:w="4675" w:type="dxa"/>
          </w:tcPr>
          <w:p w14:paraId="1992AABC"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106.-</w:t>
            </w:r>
            <w:r w:rsidRPr="00475A0C">
              <w:rPr>
                <w:rFonts w:ascii="Verdana" w:hAnsi="Verdana"/>
                <w:sz w:val="16"/>
                <w:szCs w:val="16"/>
              </w:rPr>
              <w:t xml:space="preserve"> Cuando las personas Permisionarias presten a terceros los servicios señalados en el artículo 104 de esta Ley,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pueden solicitar la certificación de la capacidad instalada, disponible y utilizada en las instalaciones de Transporte por ductos y de Almacenamiento de Hidrocarburos, Petrolíferos y Petroquímicos, a través de un tercero independiente debidamente calificado, en los términos de las disposiciones que emitan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w:t>
            </w:r>
          </w:p>
        </w:tc>
        <w:tc>
          <w:tcPr>
            <w:tcW w:w="4675" w:type="dxa"/>
          </w:tcPr>
          <w:p w14:paraId="52E7AD68" w14:textId="7D6B45AE"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106.- </w:t>
            </w:r>
            <w:r w:rsidRPr="00E3602D">
              <w:rPr>
                <w:rFonts w:ascii="Verdana" w:hAnsi="Verdana"/>
                <w:sz w:val="16"/>
                <w:szCs w:val="16"/>
                <w:lang w:val="en-US"/>
              </w:rPr>
              <w:t>When Permit holders provide third parties with the services indicated in Article 104 of this Law, the Secretary of Energy or the National Commission of Energy as appropriate, they may request certification of the installed, available and utilized capacity in the facilities for pipeline transportation and storage of hydrocarbons, petroleum products and petrochemicals, through a duly qualified independent third party, under the terms of the provisions issued by the Secretary of Energy or the National Commission of Energy, as appropriate.</w:t>
            </w:r>
          </w:p>
        </w:tc>
      </w:tr>
      <w:tr w:rsidR="003B20AD" w:rsidRPr="00475A0C" w14:paraId="68F818E3" w14:textId="31BEB930" w:rsidTr="007B36AB">
        <w:tc>
          <w:tcPr>
            <w:tcW w:w="4675" w:type="dxa"/>
          </w:tcPr>
          <w:p w14:paraId="3DE0826B"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107.-</w:t>
            </w:r>
            <w:r w:rsidRPr="00475A0C">
              <w:rPr>
                <w:rFonts w:ascii="Verdana" w:hAnsi="Verdana"/>
                <w:sz w:val="16"/>
                <w:szCs w:val="16"/>
              </w:rPr>
              <w:t xml:space="preserve"> Las personas que cuenten con contratos de reserva de capacidad y no la hagan efectiva, deben comercializarla en mercados secundarios o ponerla a disposición del gestor independiente del Sistema Integrado o del transportista a cargo del ducto o almacenista cuando las instalaciones correspondientes no formen parte de un Sistema Integrado, quienes a su vez deben hacerla pública en un boletín electrónico para que pueda ser contratada de manera firme en caso de certeza de no uso, de manera interrumpible o mediante un Mecanismo de Asignación de Capacidad, si la liberación de capacidad fuera permanente.</w:t>
            </w:r>
          </w:p>
        </w:tc>
        <w:tc>
          <w:tcPr>
            <w:tcW w:w="4675" w:type="dxa"/>
          </w:tcPr>
          <w:p w14:paraId="7CD3242D" w14:textId="7B807BC8"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107.- </w:t>
            </w:r>
            <w:r w:rsidRPr="00E3602D">
              <w:rPr>
                <w:rFonts w:ascii="Verdana" w:hAnsi="Verdana"/>
                <w:sz w:val="16"/>
                <w:szCs w:val="16"/>
                <w:lang w:val="en-US"/>
              </w:rPr>
              <w:t xml:space="preserve">Persons who have </w:t>
            </w:r>
            <w:r w:rsidRPr="00E3602D">
              <w:rPr>
                <w:rFonts w:ascii="Verdana" w:hAnsi="Verdana"/>
                <w:sz w:val="16"/>
                <w:szCs w:val="16"/>
                <w:lang w:val="en-US"/>
              </w:rPr>
              <w:t>reservation</w:t>
            </w:r>
            <w:r w:rsidRPr="00E3602D">
              <w:rPr>
                <w:rFonts w:ascii="Verdana" w:hAnsi="Verdana"/>
                <w:sz w:val="16"/>
                <w:szCs w:val="16"/>
                <w:lang w:val="en-US"/>
              </w:rPr>
              <w:t xml:space="preserve"> of capacity contracts and do not make them effective, must market them in secondary markets or make them available to the independent manager of the integrated system or to the transporter in charge of the pipeline or warehouse when the corresponding facilities are not part of an Integrated System, who in turn must make it public in an electronic bulletin so that it can be contracted firmly in case of certainty of non-use, in an interruptible manner or through a Capacity Assignment Mechanism, if the capacity release were permanent.</w:t>
            </w:r>
          </w:p>
        </w:tc>
      </w:tr>
      <w:tr w:rsidR="003B20AD" w:rsidRPr="00475A0C" w14:paraId="6F985D59" w14:textId="4A4358D2" w:rsidTr="007B36AB">
        <w:tc>
          <w:tcPr>
            <w:tcW w:w="4675" w:type="dxa"/>
          </w:tcPr>
          <w:p w14:paraId="10DFAA63"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sz w:val="16"/>
                <w:szCs w:val="16"/>
              </w:rPr>
              <w:lastRenderedPageBreak/>
              <w:t>La Secretaría de Energía debe establecer los términos y condiciones a los que se sujetan las personas previstas en el presente artículo.</w:t>
            </w:r>
          </w:p>
        </w:tc>
        <w:tc>
          <w:tcPr>
            <w:tcW w:w="4675" w:type="dxa"/>
          </w:tcPr>
          <w:p w14:paraId="14B3482F" w14:textId="6699D662" w:rsidR="003B20AD" w:rsidRPr="00E3602D" w:rsidRDefault="003B20AD" w:rsidP="003B20AD">
            <w:pPr>
              <w:pStyle w:val="Texto"/>
              <w:spacing w:after="98"/>
              <w:ind w:firstLine="0"/>
              <w:rPr>
                <w:rFonts w:ascii="Verdana" w:hAnsi="Verdana"/>
                <w:sz w:val="16"/>
                <w:szCs w:val="16"/>
                <w:lang w:val="en-US"/>
              </w:rPr>
            </w:pPr>
            <w:r w:rsidRPr="00E3602D">
              <w:rPr>
                <w:rFonts w:ascii="Verdana" w:hAnsi="Verdana"/>
                <w:sz w:val="16"/>
                <w:szCs w:val="16"/>
                <w:lang w:val="en-US"/>
              </w:rPr>
              <w:t>The Secretary of Energy must establish the terms and conditions to which the persons referred to in this article are subject.</w:t>
            </w:r>
          </w:p>
        </w:tc>
      </w:tr>
      <w:tr w:rsidR="003B20AD" w:rsidRPr="00475A0C" w14:paraId="5626118A" w14:textId="1F0A50FA" w:rsidTr="007B36AB">
        <w:tc>
          <w:tcPr>
            <w:tcW w:w="4675" w:type="dxa"/>
          </w:tcPr>
          <w:p w14:paraId="434200D0" w14:textId="77777777" w:rsidR="003B20AD" w:rsidRPr="00475A0C" w:rsidRDefault="003B20AD" w:rsidP="003B20AD">
            <w:pPr>
              <w:pStyle w:val="Texto"/>
              <w:spacing w:after="98"/>
              <w:ind w:firstLine="0"/>
              <w:rPr>
                <w:rFonts w:ascii="Verdana" w:hAnsi="Verdana"/>
                <w:sz w:val="16"/>
                <w:szCs w:val="16"/>
              </w:rPr>
            </w:pPr>
            <w:r w:rsidRPr="00475A0C">
              <w:rPr>
                <w:rFonts w:ascii="Verdana" w:hAnsi="Verdana"/>
                <w:b/>
                <w:sz w:val="16"/>
                <w:szCs w:val="16"/>
              </w:rPr>
              <w:t>Artículo 108.-</w:t>
            </w:r>
            <w:r w:rsidRPr="00475A0C">
              <w:rPr>
                <w:rFonts w:ascii="Verdana" w:hAnsi="Verdana"/>
                <w:sz w:val="16"/>
                <w:szCs w:val="16"/>
              </w:rPr>
              <w:t xml:space="preserve"> Las personas Permisionarias y las personas Usuarias pueden celebrar convenios de inversión para el desarrollo de ductos de Transporte y el Almacenamiento de Gas Natural, en los términos que apruebe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El diseño de la infraestructura puede considerar las necesidades de consumo propio para sus instalaciones o de Comercialización según la persona Usuaria de que se trate, así como la demanda presente y futura de la zona de influencia del proyecto.</w:t>
            </w:r>
          </w:p>
        </w:tc>
        <w:tc>
          <w:tcPr>
            <w:tcW w:w="4675" w:type="dxa"/>
          </w:tcPr>
          <w:p w14:paraId="69D13B0B" w14:textId="52186337" w:rsidR="003B20AD" w:rsidRPr="00E3602D" w:rsidRDefault="003B20AD" w:rsidP="003B20AD">
            <w:pPr>
              <w:pStyle w:val="Texto"/>
              <w:spacing w:after="98"/>
              <w:ind w:firstLine="0"/>
              <w:rPr>
                <w:rFonts w:ascii="Verdana" w:hAnsi="Verdana"/>
                <w:b/>
                <w:sz w:val="16"/>
                <w:szCs w:val="16"/>
                <w:lang w:val="en-US"/>
              </w:rPr>
            </w:pPr>
            <w:r w:rsidRPr="00E3602D">
              <w:rPr>
                <w:rFonts w:ascii="Verdana" w:hAnsi="Verdana"/>
                <w:b/>
                <w:sz w:val="16"/>
                <w:szCs w:val="16"/>
                <w:lang w:val="en-US"/>
              </w:rPr>
              <w:t xml:space="preserve">Article 108. </w:t>
            </w:r>
            <w:r w:rsidRPr="00E3602D">
              <w:rPr>
                <w:rFonts w:ascii="Verdana" w:hAnsi="Verdana"/>
                <w:sz w:val="16"/>
                <w:szCs w:val="16"/>
                <w:lang w:val="en-US"/>
              </w:rPr>
              <w:t>Permit holders and users may enter into investment agreements for the development of natural gas transportation and storage pipelines, under the terms approved by the National Commission of Energy. The infrastructure design may consider the user's own consumption needs for their facilities or marketing needs, as well as the current and future demand in the project's area of influence.</w:t>
            </w:r>
          </w:p>
        </w:tc>
      </w:tr>
      <w:tr w:rsidR="003B20AD" w:rsidRPr="00475A0C" w14:paraId="5F13D808" w14:textId="1A6DE11D" w:rsidTr="007B36AB">
        <w:tc>
          <w:tcPr>
            <w:tcW w:w="4675" w:type="dxa"/>
          </w:tcPr>
          <w:p w14:paraId="0D7BBD24"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sz w:val="16"/>
                <w:szCs w:val="16"/>
              </w:rPr>
              <w:t xml:space="preserve">A fin de cuantificar la demanda señalada en el párrafo anterior, el desarrollador del proyecto debe realizar un Mecanismo de Asignación de Capacidad, conforme a los términos de las disposiciones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su defecto, previa justificación,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determinar el nivel de capacidad requerido en el proyecto de que se trate, y corresponde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determinar la metodología tarifaria que permita la recuperación de las inversiones correspondientes.</w:t>
            </w:r>
          </w:p>
        </w:tc>
        <w:tc>
          <w:tcPr>
            <w:tcW w:w="4675" w:type="dxa"/>
          </w:tcPr>
          <w:p w14:paraId="0461E470" w14:textId="7D0A1082"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In order to quantify the demand indicated in the preceding paragraph, the project developer must implement a Capacity Assignment Mechanism, in accordance with the provisions issued by the Secretary of Energy. Failing this, and upon justification, the Secretary of Energy may determine the level of capacity required for the project in question, and the National Commission of Energy is responsible for determining the pricing methodology that allows for the recovery of the corresponding investments.</w:t>
            </w:r>
          </w:p>
        </w:tc>
      </w:tr>
      <w:tr w:rsidR="003B20AD" w:rsidRPr="00475A0C" w14:paraId="7BB37290" w14:textId="59B42ADF" w:rsidTr="007B36AB">
        <w:tc>
          <w:tcPr>
            <w:tcW w:w="4675" w:type="dxa"/>
          </w:tcPr>
          <w:p w14:paraId="17538F76"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Artículo 109.-</w:t>
            </w:r>
            <w:r w:rsidRPr="00475A0C">
              <w:rPr>
                <w:rFonts w:ascii="Verdana" w:hAnsi="Verdana"/>
                <w:sz w:val="16"/>
                <w:szCs w:val="16"/>
              </w:rPr>
              <w:t xml:space="preserve"> Para los efectos del artículo anterior, las personas Permisionarias y las personas Usuarias pueden establecer las condiciones para el uso de capacidad adicional, sujeto a que no impidan a terceros el acceso abierto no indebidamente discriminatorio a la capacidad adicional generada, que no sea utilizada. Lo anterior, en los términos que apruebe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FDD8832" w14:textId="7CD906AC"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Article 109.- </w:t>
            </w:r>
            <w:r w:rsidRPr="00E3602D">
              <w:rPr>
                <w:rFonts w:ascii="Verdana" w:hAnsi="Verdana"/>
                <w:sz w:val="16"/>
                <w:szCs w:val="16"/>
                <w:lang w:val="en-US"/>
              </w:rPr>
              <w:t>For the purposes of the preceding article, permit holders and users may establish the conditions for the use of additional capacity, provided that they do not impede third parties' non-unduly discriminatory open access to the generated additional capacity that is not used. This shall be under the terms approved by the Secretary of the Energy.</w:t>
            </w:r>
          </w:p>
        </w:tc>
      </w:tr>
      <w:tr w:rsidR="003B20AD" w:rsidRPr="00475A0C" w14:paraId="3F91D854" w14:textId="2FE6D182" w:rsidTr="007B36AB">
        <w:tc>
          <w:tcPr>
            <w:tcW w:w="4675" w:type="dxa"/>
          </w:tcPr>
          <w:p w14:paraId="2E3EF034"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sz w:val="16"/>
                <w:szCs w:val="16"/>
              </w:rPr>
              <w:t>Cuando la extensión o ampliación de la capacidad de infraestructura de Transporte y Almacenamiento de Gas Natural sea financiada por las personas Permisionarias, la capacidad adicional generada debe hacerse pública mediante un boletín electrónico. En caso de existir interés de terceros, dicha capacidad debe ser asignada a las personas Usuarias a través de un Mecanismo de Asignación de Capacidad.</w:t>
            </w:r>
          </w:p>
        </w:tc>
        <w:tc>
          <w:tcPr>
            <w:tcW w:w="4675" w:type="dxa"/>
          </w:tcPr>
          <w:p w14:paraId="45004151" w14:textId="44DED15D"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When the expansion or increase of natural gas transportation and storage infrastructure capacity is financed by permit holders, the additional capacity generated must be made public through an electronic bulletin. If there is third party interest, this capacity must be allocated to users through a Capacity Assignment Mechanism.</w:t>
            </w:r>
          </w:p>
        </w:tc>
      </w:tr>
      <w:tr w:rsidR="003B20AD" w:rsidRPr="00475A0C" w14:paraId="751B7D72" w14:textId="01D3ABE9" w:rsidTr="007B36AB">
        <w:tc>
          <w:tcPr>
            <w:tcW w:w="4675" w:type="dxa"/>
          </w:tcPr>
          <w:p w14:paraId="5924D566" w14:textId="77777777" w:rsidR="003B20AD" w:rsidRPr="00475A0C" w:rsidRDefault="003B20AD" w:rsidP="003B20AD">
            <w:pPr>
              <w:pStyle w:val="Texto"/>
              <w:spacing w:after="92"/>
              <w:ind w:firstLine="0"/>
              <w:jc w:val="center"/>
              <w:rPr>
                <w:rFonts w:ascii="Verdana" w:hAnsi="Verdana"/>
                <w:b/>
                <w:sz w:val="16"/>
                <w:szCs w:val="16"/>
              </w:rPr>
            </w:pPr>
            <w:r w:rsidRPr="00475A0C">
              <w:rPr>
                <w:rFonts w:ascii="Verdana" w:hAnsi="Verdana"/>
                <w:b/>
                <w:sz w:val="16"/>
                <w:szCs w:val="16"/>
              </w:rPr>
              <w:t>Capítulo V</w:t>
            </w:r>
          </w:p>
        </w:tc>
        <w:tc>
          <w:tcPr>
            <w:tcW w:w="4675" w:type="dxa"/>
          </w:tcPr>
          <w:p w14:paraId="3076ABE3" w14:textId="69F47C1D" w:rsidR="003B20AD" w:rsidRPr="00E3602D" w:rsidRDefault="003B20AD" w:rsidP="003B20AD">
            <w:pPr>
              <w:pStyle w:val="Texto"/>
              <w:spacing w:after="92"/>
              <w:ind w:firstLine="0"/>
              <w:jc w:val="center"/>
              <w:rPr>
                <w:rFonts w:ascii="Verdana" w:hAnsi="Verdana"/>
                <w:b/>
                <w:sz w:val="16"/>
                <w:szCs w:val="16"/>
                <w:lang w:val="en-US"/>
              </w:rPr>
            </w:pPr>
            <w:r w:rsidRPr="00E3602D">
              <w:rPr>
                <w:rFonts w:ascii="Verdana" w:hAnsi="Verdana"/>
                <w:b/>
                <w:sz w:val="16"/>
                <w:szCs w:val="16"/>
                <w:lang w:val="en-US"/>
              </w:rPr>
              <w:t>Chapter V</w:t>
            </w:r>
          </w:p>
        </w:tc>
      </w:tr>
      <w:tr w:rsidR="003B20AD" w:rsidRPr="00475A0C" w14:paraId="6E029A13" w14:textId="6DAE8EDD" w:rsidTr="007B36AB">
        <w:tc>
          <w:tcPr>
            <w:tcW w:w="4675" w:type="dxa"/>
          </w:tcPr>
          <w:p w14:paraId="3AA884FC" w14:textId="77777777" w:rsidR="003B20AD" w:rsidRPr="00475A0C" w:rsidRDefault="003B20AD" w:rsidP="003B20AD">
            <w:pPr>
              <w:pStyle w:val="Texto"/>
              <w:spacing w:after="92"/>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Regulación"/>
              </w:smartTagPr>
              <w:r w:rsidRPr="00475A0C">
                <w:rPr>
                  <w:rFonts w:ascii="Verdana" w:hAnsi="Verdana"/>
                  <w:b/>
                  <w:sz w:val="16"/>
                  <w:szCs w:val="16"/>
                </w:rPr>
                <w:t>la Regulación</w:t>
              </w:r>
            </w:smartTag>
            <w:r w:rsidRPr="00475A0C">
              <w:rPr>
                <w:rFonts w:ascii="Verdana" w:hAnsi="Verdana"/>
                <w:b/>
                <w:sz w:val="16"/>
                <w:szCs w:val="16"/>
              </w:rPr>
              <w:t xml:space="preserve"> y Obligaciones de las demás Actividades de </w:t>
            </w:r>
            <w:smartTag w:uri="urn:schemas-microsoft-com:office:smarttags" w:element="PersonName">
              <w:smartTagPr>
                <w:attr w:name="ProductID" w:val="la Industria"/>
              </w:smartTagPr>
              <w:r w:rsidRPr="00475A0C">
                <w:rPr>
                  <w:rFonts w:ascii="Verdana" w:hAnsi="Verdana"/>
                  <w:b/>
                  <w:sz w:val="16"/>
                  <w:szCs w:val="16"/>
                </w:rPr>
                <w:t>la Industria</w:t>
              </w:r>
            </w:smartTag>
            <w:r w:rsidRPr="00475A0C">
              <w:rPr>
                <w:rFonts w:ascii="Verdana" w:hAnsi="Verdana"/>
                <w:b/>
                <w:sz w:val="16"/>
                <w:szCs w:val="16"/>
              </w:rPr>
              <w:t xml:space="preserve"> de Hidrocarburos</w:t>
            </w:r>
          </w:p>
        </w:tc>
        <w:tc>
          <w:tcPr>
            <w:tcW w:w="4675" w:type="dxa"/>
          </w:tcPr>
          <w:p w14:paraId="5CABAB92" w14:textId="2E240B77" w:rsidR="003B20AD" w:rsidRPr="00E3602D" w:rsidRDefault="003B20AD" w:rsidP="003B20AD">
            <w:pPr>
              <w:pStyle w:val="Texto"/>
              <w:spacing w:after="92"/>
              <w:ind w:firstLine="0"/>
              <w:jc w:val="center"/>
              <w:rPr>
                <w:rFonts w:ascii="Verdana" w:hAnsi="Verdana"/>
                <w:b/>
                <w:sz w:val="16"/>
                <w:szCs w:val="16"/>
                <w:lang w:val="en-US"/>
              </w:rPr>
            </w:pPr>
            <w:r w:rsidRPr="00E3602D">
              <w:rPr>
                <w:rFonts w:ascii="Verdana" w:hAnsi="Verdana"/>
                <w:b/>
                <w:sz w:val="16"/>
                <w:szCs w:val="16"/>
                <w:lang w:val="en-US"/>
              </w:rPr>
              <w:t>The Regulation and Obligations and All Other Activities of the Hydrocarbons Industry</w:t>
            </w:r>
          </w:p>
        </w:tc>
      </w:tr>
      <w:tr w:rsidR="003B20AD" w:rsidRPr="00475A0C" w14:paraId="7AF3C611" w14:textId="611721E9" w:rsidTr="007B36AB">
        <w:tc>
          <w:tcPr>
            <w:tcW w:w="4675" w:type="dxa"/>
          </w:tcPr>
          <w:p w14:paraId="74DDC5A2"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 xml:space="preserve">Artículo 110.- </w:t>
            </w:r>
            <w:r w:rsidRPr="00475A0C">
              <w:rPr>
                <w:rFonts w:ascii="Verdana" w:hAnsi="Verdana"/>
                <w:sz w:val="16"/>
                <w:szCs w:val="16"/>
              </w:rPr>
              <w:t>No puede realizarse el Expendio de combustibles para aeronaves directamente al público.</w:t>
            </w:r>
          </w:p>
        </w:tc>
        <w:tc>
          <w:tcPr>
            <w:tcW w:w="4675" w:type="dxa"/>
          </w:tcPr>
          <w:p w14:paraId="4F7CD6D6" w14:textId="35B1933C"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Article 110.- </w:t>
            </w:r>
            <w:r w:rsidRPr="00E3602D">
              <w:rPr>
                <w:rFonts w:ascii="Verdana" w:hAnsi="Verdana"/>
                <w:sz w:val="16"/>
                <w:szCs w:val="16"/>
                <w:lang w:val="en-US"/>
              </w:rPr>
              <w:t>Aircraft fuel may not be sold directly to the public.</w:t>
            </w:r>
          </w:p>
        </w:tc>
      </w:tr>
      <w:tr w:rsidR="003B20AD" w:rsidRPr="00475A0C" w14:paraId="7C3D200D" w14:textId="4FEF2CD0" w:rsidTr="007B36AB">
        <w:tc>
          <w:tcPr>
            <w:tcW w:w="4675" w:type="dxa"/>
          </w:tcPr>
          <w:p w14:paraId="750281DE"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sz w:val="16"/>
                <w:szCs w:val="16"/>
              </w:rPr>
              <w:t xml:space="preserve">El permiso de Distribución </w:t>
            </w:r>
            <w:r w:rsidRPr="00475A0C">
              <w:rPr>
                <w:rFonts w:ascii="Verdana" w:hAnsi="Verdana"/>
                <w:sz w:val="16"/>
                <w:szCs w:val="16"/>
                <w:lang w:val="es-MX"/>
              </w:rPr>
              <w:t xml:space="preserve">de combustibles para aeronaves otorgado </w:t>
            </w:r>
            <w:r w:rsidRPr="00475A0C">
              <w:rPr>
                <w:rFonts w:ascii="Verdana" w:hAnsi="Verdana"/>
                <w:sz w:val="16"/>
                <w:szCs w:val="16"/>
              </w:rPr>
              <w:t xml:space="preserve">por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permite realizar la actividad de venta de combustibles para aeronaves en aeródromos a las siguientes personas Usuarias:</w:t>
            </w:r>
          </w:p>
        </w:tc>
        <w:tc>
          <w:tcPr>
            <w:tcW w:w="4675" w:type="dxa"/>
          </w:tcPr>
          <w:p w14:paraId="2597041A" w14:textId="51F7C86A"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Aircraft Fuel Distribution permit granted by the National Commission of Energy allows the following users to carry out the sale of aircraft fuel at aerodromes:</w:t>
            </w:r>
          </w:p>
        </w:tc>
      </w:tr>
      <w:tr w:rsidR="003B20AD" w:rsidRPr="00475A0C" w14:paraId="30E1059C" w14:textId="7DD901E8" w:rsidTr="007B36AB">
        <w:tc>
          <w:tcPr>
            <w:tcW w:w="4675" w:type="dxa"/>
          </w:tcPr>
          <w:p w14:paraId="50037D0C"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Transportistas aéreos;</w:t>
            </w:r>
          </w:p>
        </w:tc>
        <w:tc>
          <w:tcPr>
            <w:tcW w:w="4675" w:type="dxa"/>
          </w:tcPr>
          <w:p w14:paraId="092B2E13" w14:textId="1B1AB11E"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Air carriers;</w:t>
            </w:r>
          </w:p>
        </w:tc>
      </w:tr>
      <w:tr w:rsidR="003B20AD" w:rsidRPr="00475A0C" w14:paraId="119A30EA" w14:textId="37BCCEFA" w:rsidTr="007B36AB">
        <w:tc>
          <w:tcPr>
            <w:tcW w:w="4675" w:type="dxa"/>
          </w:tcPr>
          <w:p w14:paraId="43A0F9C1"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Operadores aéreos, y</w:t>
            </w:r>
          </w:p>
        </w:tc>
        <w:tc>
          <w:tcPr>
            <w:tcW w:w="4675" w:type="dxa"/>
          </w:tcPr>
          <w:p w14:paraId="615D2F20" w14:textId="6A099B3F"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Air operators, and</w:t>
            </w:r>
          </w:p>
        </w:tc>
      </w:tr>
      <w:tr w:rsidR="003B20AD" w:rsidRPr="00475A0C" w14:paraId="0CA38D1B" w14:textId="412D6BD0" w:rsidTr="007B36AB">
        <w:tc>
          <w:tcPr>
            <w:tcW w:w="4675" w:type="dxa"/>
          </w:tcPr>
          <w:p w14:paraId="635345A4"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Terceros para actividades distintas de las aeronáuticas.</w:t>
            </w:r>
          </w:p>
        </w:tc>
        <w:tc>
          <w:tcPr>
            <w:tcW w:w="4675" w:type="dxa"/>
          </w:tcPr>
          <w:p w14:paraId="068DEE5F" w14:textId="0D95A771"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Third parties for activities other than aeronautical activities.</w:t>
            </w:r>
          </w:p>
        </w:tc>
      </w:tr>
      <w:tr w:rsidR="003B20AD" w:rsidRPr="00475A0C" w14:paraId="4D45E074" w14:textId="1CEDD495" w:rsidTr="007B36AB">
        <w:tc>
          <w:tcPr>
            <w:tcW w:w="4675" w:type="dxa"/>
          </w:tcPr>
          <w:p w14:paraId="79690731"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sz w:val="16"/>
                <w:szCs w:val="16"/>
                <w:lang w:val="es-ES_tradnl"/>
              </w:rPr>
              <w:lastRenderedPageBreak/>
              <w:t>En el caso de la fracción III del presente artículo, dichos terceros deben contar previamente con el pronunciamiento favorable de las Secretarías de Energía y de Comunicaciones y Transportes.</w:t>
            </w:r>
          </w:p>
        </w:tc>
        <w:tc>
          <w:tcPr>
            <w:tcW w:w="4675" w:type="dxa"/>
          </w:tcPr>
          <w:p w14:paraId="6B011BF0" w14:textId="507C4A0C"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In the case of Section III of this article, said third parties must first have a favorable opinion from the Secretaries of Energy and Communications and Transportation.</w:t>
            </w:r>
          </w:p>
        </w:tc>
      </w:tr>
      <w:tr w:rsidR="003B20AD" w:rsidRPr="00475A0C" w14:paraId="57B3553F" w14:textId="6200D9D4" w:rsidTr="007B36AB">
        <w:tc>
          <w:tcPr>
            <w:tcW w:w="4675" w:type="dxa"/>
          </w:tcPr>
          <w:p w14:paraId="0CC0B383"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sz w:val="16"/>
                <w:szCs w:val="16"/>
              </w:rPr>
              <w:t>La Comisión Nacional de Energía debe emitir las disposiciones generales aplicables para el otorgamiento de los permisos previstos en el presente artículo.</w:t>
            </w:r>
          </w:p>
        </w:tc>
        <w:tc>
          <w:tcPr>
            <w:tcW w:w="4675" w:type="dxa"/>
          </w:tcPr>
          <w:p w14:paraId="55B18BAE" w14:textId="123B18AF"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The National Commission of Energy must issue the general provisions applicable to the granting of the permits provided for in this article.</w:t>
            </w:r>
          </w:p>
        </w:tc>
      </w:tr>
      <w:tr w:rsidR="003B20AD" w:rsidRPr="00475A0C" w14:paraId="6F47BF2B" w14:textId="7F74375B" w:rsidTr="007B36AB">
        <w:tc>
          <w:tcPr>
            <w:tcW w:w="4675" w:type="dxa"/>
          </w:tcPr>
          <w:p w14:paraId="15DA359F"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b/>
                <w:sz w:val="16"/>
                <w:szCs w:val="16"/>
              </w:rPr>
              <w:t>Artículo 111.-</w:t>
            </w:r>
            <w:r w:rsidRPr="00475A0C">
              <w:rPr>
                <w:rFonts w:ascii="Verdana" w:hAnsi="Verdana"/>
                <w:sz w:val="16"/>
                <w:szCs w:val="16"/>
              </w:rPr>
              <w:t xml:space="preserve"> </w:t>
            </w:r>
            <w:r w:rsidRPr="00475A0C">
              <w:rPr>
                <w:rFonts w:ascii="Verdana" w:hAnsi="Verdana"/>
                <w:sz w:val="16"/>
                <w:szCs w:val="16"/>
                <w:lang w:val="es-ES_tradnl"/>
              </w:rPr>
              <w:t>Los Hidrocarburos, los Petrolíferos y los Petroquímicos deben importarse, transportarse, almacenarse, comercializarse, distribuirse, venderse, comprarse, expenderse y suministrarse sin alteración o adulteración, de conformidad con lo que establece esta Ley y demás disposiciones aplicables.</w:t>
            </w:r>
          </w:p>
        </w:tc>
        <w:tc>
          <w:tcPr>
            <w:tcW w:w="4675" w:type="dxa"/>
          </w:tcPr>
          <w:p w14:paraId="287C88D5" w14:textId="420DE157"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Article 111.-</w:t>
            </w:r>
            <w:r w:rsidRPr="00E3602D">
              <w:rPr>
                <w:rFonts w:ascii="Verdana" w:hAnsi="Verdana"/>
                <w:sz w:val="16"/>
                <w:szCs w:val="16"/>
                <w:lang w:val="en-US"/>
              </w:rPr>
              <w:t xml:space="preserve"> Hydrocarbons, petroleum products, and petrochemicals must be imported, transported, stored, marketed, distributed, sold, purchased, dispensed, and supplied without alteration or adulteration, in accordance with the provisions of this Law and other applicable provisions.</w:t>
            </w:r>
          </w:p>
        </w:tc>
      </w:tr>
      <w:tr w:rsidR="003B20AD" w:rsidRPr="00475A0C" w14:paraId="2B40C113" w14:textId="507E7ACF" w:rsidTr="007B36AB">
        <w:tc>
          <w:tcPr>
            <w:tcW w:w="4675" w:type="dxa"/>
          </w:tcPr>
          <w:p w14:paraId="2E7DCD7B"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sz w:val="16"/>
                <w:szCs w:val="16"/>
                <w:lang w:val="es-ES_tradnl"/>
              </w:rPr>
              <w:t>Para efectos de la presente Ley, se considera que los combustibles han sido alterados o adulterados cuando se modifique su composición respecto de las especificaciones establecidas en las disposiciones aplicables.</w:t>
            </w:r>
          </w:p>
        </w:tc>
        <w:tc>
          <w:tcPr>
            <w:tcW w:w="4675" w:type="dxa"/>
          </w:tcPr>
          <w:p w14:paraId="1F3A2D12" w14:textId="298A9A14"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For the purposes of this Law, fuels are considered to have been altered or adulterated when their composition changes with respect to the specifications established in the applicable provisions.</w:t>
            </w:r>
          </w:p>
        </w:tc>
      </w:tr>
      <w:tr w:rsidR="003B20AD" w:rsidRPr="00475A0C" w14:paraId="05DFF1BF" w14:textId="1D11660D" w:rsidTr="007B36AB">
        <w:tc>
          <w:tcPr>
            <w:tcW w:w="4675" w:type="dxa"/>
          </w:tcPr>
          <w:p w14:paraId="6E3BC420"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sz w:val="16"/>
                <w:szCs w:val="16"/>
                <w:lang w:val="es-ES_tradnl"/>
              </w:rPr>
              <w:t xml:space="preserve">Las personas Permisionarias de importación serán responsables solidarios en materia fiscal de las demás actividades reguladas asociadas a la importación, para lo cual se debe estar a lo dispuesto por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Hacienda y Crédito Público.</w:t>
            </w:r>
          </w:p>
        </w:tc>
        <w:tc>
          <w:tcPr>
            <w:tcW w:w="4675" w:type="dxa"/>
          </w:tcPr>
          <w:p w14:paraId="3F84C74E" w14:textId="758CD8BC"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Import permit holders will be jointly and severally liable for taxes on all other regulated activities associated with imports and must comply with the provisions of the Secretary of the Treasury and Public Credit.</w:t>
            </w:r>
          </w:p>
        </w:tc>
      </w:tr>
      <w:tr w:rsidR="003B20AD" w:rsidRPr="00475A0C" w14:paraId="5A0D0AC0" w14:textId="73997C4D" w:rsidTr="007B36AB">
        <w:tc>
          <w:tcPr>
            <w:tcW w:w="4675" w:type="dxa"/>
          </w:tcPr>
          <w:p w14:paraId="7B49D213"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b/>
                <w:sz w:val="16"/>
                <w:szCs w:val="16"/>
              </w:rPr>
              <w:t>Artículo 112.-</w:t>
            </w:r>
            <w:r w:rsidRPr="00475A0C">
              <w:rPr>
                <w:rFonts w:ascii="Verdana" w:hAnsi="Verdana"/>
                <w:sz w:val="16"/>
                <w:szCs w:val="16"/>
              </w:rPr>
              <w:t xml:space="preserve"> </w:t>
            </w:r>
            <w:r w:rsidRPr="00475A0C">
              <w:rPr>
                <w:rFonts w:ascii="Verdana" w:hAnsi="Verdana"/>
                <w:sz w:val="16"/>
                <w:szCs w:val="16"/>
                <w:lang w:val="es-ES_tradnl"/>
              </w:rPr>
              <w:t xml:space="preserve">Las especificaciones de calidad de los Hidrocarburos, Petrolíferos y Petroquímicos se establecen en las </w:t>
            </w:r>
            <w:r w:rsidRPr="00475A0C">
              <w:rPr>
                <w:rFonts w:ascii="Verdana" w:hAnsi="Verdana"/>
                <w:sz w:val="16"/>
                <w:szCs w:val="16"/>
              </w:rPr>
              <w:t>Normas Oficiales Mexicanas</w:t>
            </w:r>
            <w:r w:rsidRPr="00475A0C">
              <w:rPr>
                <w:rFonts w:ascii="Verdana" w:hAnsi="Verdana"/>
                <w:sz w:val="16"/>
                <w:szCs w:val="16"/>
                <w:lang w:val="es-ES_tradnl"/>
              </w:rPr>
              <w:t xml:space="preserve"> que al efecto expida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y cuya verificación y vigilancia se llevará a cabo por </w:t>
            </w:r>
            <w:smartTag w:uri="urn:schemas-microsoft-com:office:smarttags" w:element="PersonName">
              <w:smartTagPr>
                <w:attr w:name="ProductID" w:val="la Comisión Nacional"/>
              </w:smartTagPr>
              <w:r w:rsidRPr="00475A0C">
                <w:rPr>
                  <w:rFonts w:ascii="Verdana" w:hAnsi="Verdana"/>
                  <w:sz w:val="16"/>
                  <w:szCs w:val="16"/>
                  <w:lang w:val="es-ES_tradnl"/>
                </w:rPr>
                <w:t>la Comisión Nacional</w:t>
              </w:r>
            </w:smartTag>
            <w:r w:rsidRPr="00475A0C">
              <w:rPr>
                <w:rFonts w:ascii="Verdana" w:hAnsi="Verdana"/>
                <w:sz w:val="16"/>
                <w:szCs w:val="16"/>
                <w:lang w:val="es-ES_tradnl"/>
              </w:rPr>
              <w:t xml:space="preserve"> de Energía.</w:t>
            </w:r>
          </w:p>
        </w:tc>
        <w:tc>
          <w:tcPr>
            <w:tcW w:w="4675" w:type="dxa"/>
          </w:tcPr>
          <w:p w14:paraId="62427880" w14:textId="34301E84"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Article 112.-</w:t>
            </w:r>
            <w:r w:rsidRPr="00E3602D">
              <w:rPr>
                <w:rFonts w:ascii="Verdana" w:hAnsi="Verdana"/>
                <w:sz w:val="16"/>
                <w:szCs w:val="16"/>
                <w:lang w:val="en-US"/>
              </w:rPr>
              <w:t xml:space="preserve"> The quality specifications for hydrocarbons, petroleum products, and petrochemicals are established in the Official Mexican Standards issued for this purpose by the Secretary of Energy, whose verification and monitoring will be carried out by the National Commission of Energy.</w:t>
            </w:r>
          </w:p>
        </w:tc>
      </w:tr>
      <w:tr w:rsidR="003B20AD" w:rsidRPr="00475A0C" w14:paraId="75D65D59" w14:textId="7E1EAC12" w:rsidTr="007B36AB">
        <w:tc>
          <w:tcPr>
            <w:tcW w:w="4675" w:type="dxa"/>
          </w:tcPr>
          <w:p w14:paraId="41625EA9"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sz w:val="16"/>
                <w:szCs w:val="16"/>
                <w:lang w:val="es-ES_tradnl"/>
              </w:rPr>
              <w:t xml:space="preserve">Con el objeto de salvaguardar los objetivos legítimos de seguridad de las personas, sus bienes, el medio ambiente, el desempeño de los motores o equipos que utilicen petrolíferos, así como la seguridad de su entorno, las </w:t>
            </w:r>
            <w:r w:rsidRPr="00475A0C">
              <w:rPr>
                <w:rFonts w:ascii="Verdana" w:hAnsi="Verdana"/>
                <w:sz w:val="16"/>
                <w:szCs w:val="16"/>
              </w:rPr>
              <w:t>Normas Oficiales Mexicanas</w:t>
            </w:r>
            <w:r w:rsidRPr="00475A0C">
              <w:rPr>
                <w:rFonts w:ascii="Verdana" w:hAnsi="Verdana"/>
                <w:sz w:val="16"/>
                <w:szCs w:val="16"/>
                <w:lang w:val="es-ES_tradnl"/>
              </w:rPr>
              <w:t xml:space="preserve"> sobre especificaciones de calidad de petrolíferos deben establecer que la evaluación de la conformidad del grado de su cumplimiento debe ser a solicitud de </w:t>
            </w:r>
            <w:smartTag w:uri="urn:schemas-microsoft-com:office:smarttags" w:element="PersonName">
              <w:smartTagPr>
                <w:attr w:name="ProductID" w:val="la Comisión Nacional"/>
              </w:smartTagPr>
              <w:r w:rsidRPr="00475A0C">
                <w:rPr>
                  <w:rFonts w:ascii="Verdana" w:hAnsi="Verdana"/>
                  <w:sz w:val="16"/>
                  <w:szCs w:val="16"/>
                  <w:lang w:val="es-ES_tradnl"/>
                </w:rPr>
                <w:t>la Comisión Nacional</w:t>
              </w:r>
            </w:smartTag>
            <w:r w:rsidRPr="00475A0C">
              <w:rPr>
                <w:rFonts w:ascii="Verdana" w:hAnsi="Verdana"/>
                <w:sz w:val="16"/>
                <w:szCs w:val="16"/>
                <w:lang w:val="es-ES_tradnl"/>
              </w:rPr>
              <w:t xml:space="preserve"> de Energía, la cual puede auxiliarse de los organismos de evaluación de la conformidad acreditados y aprobados, en los términos de lo dispuesto en </w:t>
            </w:r>
            <w:smartTag w:uri="urn:schemas-microsoft-com:office:smarttags" w:element="PersonName">
              <w:smartTagPr>
                <w:attr w:name="ProductID" w:val="la Ley"/>
              </w:smartTagPr>
              <w:r w:rsidRPr="00475A0C">
                <w:rPr>
                  <w:rFonts w:ascii="Verdana" w:hAnsi="Verdana"/>
                  <w:sz w:val="16"/>
                  <w:szCs w:val="16"/>
                  <w:lang w:val="es-ES_tradnl"/>
                </w:rPr>
                <w:t>la Ley</w:t>
              </w:r>
            </w:smartTag>
            <w:r w:rsidRPr="00475A0C">
              <w:rPr>
                <w:rFonts w:ascii="Verdana" w:hAnsi="Verdana"/>
                <w:sz w:val="16"/>
                <w:szCs w:val="16"/>
                <w:lang w:val="es-ES_tradnl"/>
              </w:rPr>
              <w:t xml:space="preserve"> de Infraestructura de </w:t>
            </w:r>
            <w:smartTag w:uri="urn:schemas-microsoft-com:office:smarttags" w:element="PersonName">
              <w:smartTagPr>
                <w:attr w:name="ProductID" w:val="la Calidad"/>
              </w:smartTagPr>
              <w:r w:rsidRPr="00475A0C">
                <w:rPr>
                  <w:rFonts w:ascii="Verdana" w:hAnsi="Verdana"/>
                  <w:sz w:val="16"/>
                  <w:szCs w:val="16"/>
                  <w:lang w:val="es-ES_tradnl"/>
                </w:rPr>
                <w:t>la Calidad</w:t>
              </w:r>
            </w:smartTag>
            <w:r w:rsidRPr="00475A0C">
              <w:rPr>
                <w:rFonts w:ascii="Verdana" w:hAnsi="Verdana"/>
                <w:sz w:val="16"/>
                <w:szCs w:val="16"/>
                <w:lang w:val="es-ES_tradnl"/>
              </w:rPr>
              <w:t xml:space="preserve"> y las </w:t>
            </w:r>
            <w:r w:rsidRPr="00475A0C">
              <w:rPr>
                <w:rFonts w:ascii="Verdana" w:hAnsi="Verdana"/>
                <w:sz w:val="16"/>
                <w:szCs w:val="16"/>
              </w:rPr>
              <w:t>Normas Oficiales Mexicanas</w:t>
            </w:r>
            <w:r w:rsidRPr="00475A0C">
              <w:rPr>
                <w:rFonts w:ascii="Verdana" w:hAnsi="Verdana"/>
                <w:sz w:val="16"/>
                <w:szCs w:val="16"/>
                <w:lang w:val="es-ES_tradnl"/>
              </w:rPr>
              <w:t xml:space="preserve"> respectivas.</w:t>
            </w:r>
          </w:p>
        </w:tc>
        <w:tc>
          <w:tcPr>
            <w:tcW w:w="4675" w:type="dxa"/>
          </w:tcPr>
          <w:p w14:paraId="79BC2E97" w14:textId="62DEFBEF" w:rsidR="003B20AD" w:rsidRPr="00E3602D" w:rsidRDefault="003B20AD" w:rsidP="003B20AD">
            <w:pPr>
              <w:pStyle w:val="Texto"/>
              <w:spacing w:after="92"/>
              <w:ind w:firstLine="0"/>
              <w:rPr>
                <w:rFonts w:ascii="Verdana" w:hAnsi="Verdana"/>
                <w:sz w:val="16"/>
                <w:szCs w:val="16"/>
                <w:lang w:val="en-US"/>
              </w:rPr>
            </w:pPr>
            <w:r w:rsidRPr="00E3602D">
              <w:rPr>
                <w:rFonts w:ascii="Verdana" w:hAnsi="Verdana"/>
                <w:sz w:val="16"/>
                <w:szCs w:val="16"/>
                <w:lang w:val="en-US"/>
              </w:rPr>
              <w:t>In order to safeguard the legitimate objectives of safety of people, their property, the environment, the performance of engines or equipment that use petroleum products, as well as the safety of their surroundings, the Official Mexican Standards on petroleum product quality specifications must establish that the conformity assessment of the degree of compliance must be at the request of the National Commission of Energy, which may be assisted by accredited and approved conformity assessment bodies, under the terms of the provisions of the Law of Infrastructure of the Quality and the respective Official Mexican Standards.</w:t>
            </w:r>
          </w:p>
        </w:tc>
      </w:tr>
      <w:tr w:rsidR="003B20AD" w:rsidRPr="00475A0C" w14:paraId="03750A4D" w14:textId="11A93EAC" w:rsidTr="007B36AB">
        <w:tc>
          <w:tcPr>
            <w:tcW w:w="4675" w:type="dxa"/>
          </w:tcPr>
          <w:p w14:paraId="3BC80503" w14:textId="77777777" w:rsidR="003B20AD" w:rsidRPr="00475A0C" w:rsidRDefault="003B20AD" w:rsidP="003B20AD">
            <w:pPr>
              <w:pStyle w:val="Texto"/>
              <w:spacing w:after="92"/>
              <w:ind w:firstLine="0"/>
              <w:rPr>
                <w:rFonts w:ascii="Verdana" w:hAnsi="Verdana"/>
                <w:sz w:val="16"/>
                <w:szCs w:val="16"/>
                <w:lang w:val="es-ES_tradnl"/>
              </w:rPr>
            </w:pPr>
            <w:r w:rsidRPr="00475A0C">
              <w:rPr>
                <w:rFonts w:ascii="Verdana" w:hAnsi="Verdana"/>
                <w:b/>
                <w:sz w:val="16"/>
                <w:szCs w:val="16"/>
              </w:rPr>
              <w:t>Artículo 113.-</w:t>
            </w:r>
            <w:r w:rsidRPr="00475A0C">
              <w:rPr>
                <w:rFonts w:ascii="Verdana" w:hAnsi="Verdana"/>
                <w:sz w:val="16"/>
                <w:szCs w:val="16"/>
              </w:rPr>
              <w:t xml:space="preserve"> Los métodos de prueba, muestreo y verificación aplicables a las características cualitativas, así como al volumen en el Transporte, Almacenamiento, Distribución y, en su caso, el Expendio al Público de Hidrocarburos, Petrolíferos y Petroquímicos se establecen en las Normas Oficiales Mexicanas que para tal </w:t>
            </w:r>
            <w:r w:rsidRPr="00475A0C">
              <w:rPr>
                <w:rFonts w:ascii="Verdana" w:hAnsi="Verdana"/>
                <w:sz w:val="16"/>
                <w:szCs w:val="16"/>
                <w:lang w:val="es-ES_tradnl"/>
              </w:rPr>
              <w:t xml:space="preserve">efecto expidan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y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Economía, en el ámbito de su competencia.</w:t>
            </w:r>
          </w:p>
        </w:tc>
        <w:tc>
          <w:tcPr>
            <w:tcW w:w="4675" w:type="dxa"/>
          </w:tcPr>
          <w:p w14:paraId="24D5F52C" w14:textId="19A35D2A"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t xml:space="preserve">Article 113.- </w:t>
            </w:r>
            <w:r w:rsidRPr="00E3602D">
              <w:rPr>
                <w:rFonts w:ascii="Verdana" w:hAnsi="Verdana"/>
                <w:sz w:val="16"/>
                <w:szCs w:val="16"/>
                <w:lang w:val="en-US"/>
              </w:rPr>
              <w:t>The testing, sampling and verification methods applicable to the qualitative characteristics, as well as to the volume in the transportation, storage, distribution and, where applicable, the public sale of hydrocarbons, petroleum products and petrochemicals are established in the Official Mexican Standards issued for such purpose by the Secretary of Energy and the Secretary of Economy, within the scope of their authority.</w:t>
            </w:r>
          </w:p>
        </w:tc>
      </w:tr>
      <w:tr w:rsidR="003B20AD" w:rsidRPr="00475A0C" w14:paraId="22636364" w14:textId="63284E34" w:rsidTr="007B36AB">
        <w:tc>
          <w:tcPr>
            <w:tcW w:w="4675" w:type="dxa"/>
          </w:tcPr>
          <w:p w14:paraId="3C18E704" w14:textId="77777777" w:rsidR="003B20AD" w:rsidRPr="00475A0C" w:rsidRDefault="003B20AD" w:rsidP="003B20AD">
            <w:pPr>
              <w:pStyle w:val="Texto"/>
              <w:spacing w:after="92"/>
              <w:ind w:firstLine="0"/>
              <w:rPr>
                <w:rFonts w:ascii="Verdana" w:hAnsi="Verdana"/>
                <w:sz w:val="16"/>
                <w:szCs w:val="16"/>
              </w:rPr>
            </w:pPr>
            <w:r w:rsidRPr="00475A0C">
              <w:rPr>
                <w:rFonts w:ascii="Verdana" w:hAnsi="Verdana"/>
                <w:b/>
                <w:sz w:val="16"/>
                <w:szCs w:val="16"/>
              </w:rPr>
              <w:t>Artículo 114.-</w:t>
            </w:r>
            <w:r w:rsidRPr="00475A0C">
              <w:rPr>
                <w:rFonts w:ascii="Verdana" w:hAnsi="Verdana"/>
                <w:sz w:val="16"/>
                <w:szCs w:val="16"/>
              </w:rPr>
              <w:t xml:space="preserve"> </w:t>
            </w:r>
            <w:r w:rsidRPr="00475A0C">
              <w:rPr>
                <w:rFonts w:ascii="Verdana" w:hAnsi="Verdana"/>
                <w:sz w:val="16"/>
                <w:szCs w:val="16"/>
                <w:lang w:val="es-ES_tradnl"/>
              </w:rPr>
              <w:t xml:space="preserve">El transvase de Hidrocarburos, Petrolíferos y Petroquímicos, relacionados con las actividades previstas en este Título, únicamente pueden llevarse a cabo como parte de las actividades inherentes a los permisos de Almacenamiento y Distribución de </w:t>
            </w:r>
            <w:r w:rsidRPr="00475A0C">
              <w:rPr>
                <w:rFonts w:ascii="Verdana" w:hAnsi="Verdana"/>
                <w:sz w:val="16"/>
                <w:szCs w:val="16"/>
                <w:lang w:val="es-ES_tradnl"/>
              </w:rPr>
              <w:lastRenderedPageBreak/>
              <w:t>Hidrocarburos, Petrolíferos y Petroquímicos, así como el permiso de Formulación de Petrolíferos, y deben realizarse en las instalaciones comprendidas en los referidos permisos.</w:t>
            </w:r>
          </w:p>
        </w:tc>
        <w:tc>
          <w:tcPr>
            <w:tcW w:w="4675" w:type="dxa"/>
          </w:tcPr>
          <w:p w14:paraId="1C4D1B67" w14:textId="658617AB" w:rsidR="003B20AD" w:rsidRPr="00E3602D" w:rsidRDefault="003B20AD" w:rsidP="003B20AD">
            <w:pPr>
              <w:pStyle w:val="Texto"/>
              <w:spacing w:after="92"/>
              <w:ind w:firstLine="0"/>
              <w:rPr>
                <w:rFonts w:ascii="Verdana" w:hAnsi="Verdana"/>
                <w:b/>
                <w:sz w:val="16"/>
                <w:szCs w:val="16"/>
                <w:lang w:val="en-US"/>
              </w:rPr>
            </w:pPr>
            <w:r w:rsidRPr="00E3602D">
              <w:rPr>
                <w:rFonts w:ascii="Verdana" w:hAnsi="Verdana"/>
                <w:b/>
                <w:sz w:val="16"/>
                <w:szCs w:val="16"/>
                <w:lang w:val="en-US"/>
              </w:rPr>
              <w:lastRenderedPageBreak/>
              <w:t>Article 114.-</w:t>
            </w:r>
            <w:r w:rsidRPr="00E3602D">
              <w:rPr>
                <w:rFonts w:ascii="Verdana" w:hAnsi="Verdana"/>
                <w:sz w:val="16"/>
                <w:szCs w:val="16"/>
                <w:lang w:val="en-US"/>
              </w:rPr>
              <w:t xml:space="preserve"> The transfer of hydrocarbons, petroleum products and petrochemicals, related to the activities provided for in this Title, may only be carried out as part of the activities inherent to the permits for the storage and distribution of hydrocarbons, petroleum products </w:t>
            </w:r>
            <w:r w:rsidRPr="00E3602D">
              <w:rPr>
                <w:rFonts w:ascii="Verdana" w:hAnsi="Verdana"/>
                <w:sz w:val="16"/>
                <w:szCs w:val="16"/>
                <w:lang w:val="en-US"/>
              </w:rPr>
              <w:lastRenderedPageBreak/>
              <w:t>and petrochemicals, as well as the permit for the formulation of petroleum products, and must be carried out in the facilities included in the aforementioned permits.</w:t>
            </w:r>
          </w:p>
        </w:tc>
      </w:tr>
      <w:tr w:rsidR="003B20AD" w:rsidRPr="00475A0C" w14:paraId="4E201553" w14:textId="11A9D1A9" w:rsidTr="007B36AB">
        <w:tc>
          <w:tcPr>
            <w:tcW w:w="4675" w:type="dxa"/>
          </w:tcPr>
          <w:p w14:paraId="59E8AC1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Artículo 115.-</w:t>
            </w:r>
            <w:r w:rsidRPr="00475A0C">
              <w:rPr>
                <w:rFonts w:ascii="Verdana" w:hAnsi="Verdana"/>
                <w:sz w:val="16"/>
                <w:szCs w:val="16"/>
              </w:rPr>
              <w:t xml:space="preserve">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3ADD0B40" w14:textId="2213904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115.- </w:t>
            </w:r>
            <w:r w:rsidRPr="00E3602D">
              <w:rPr>
                <w:rFonts w:ascii="Verdana" w:hAnsi="Verdana"/>
                <w:sz w:val="16"/>
                <w:szCs w:val="16"/>
                <w:lang w:val="en-US"/>
              </w:rPr>
              <w:t>The following is the responsibility of the Secretary of Energy:</w:t>
            </w:r>
          </w:p>
        </w:tc>
      </w:tr>
      <w:tr w:rsidR="003B20AD" w:rsidRPr="00475A0C" w14:paraId="67FDAC05" w14:textId="14D2F639" w:rsidTr="007B36AB">
        <w:tc>
          <w:tcPr>
            <w:tcW w:w="4675" w:type="dxa"/>
          </w:tcPr>
          <w:p w14:paraId="3FDEF8D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Con base en los criterios vinculantes de planeación incorporados en la política pública, regular y supervisar, sin perjuicio de las atribuciones que correspondan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así como otorgar, modificar, actualizar, suspender y revocar los permisos para las siguientes actividades:</w:t>
            </w:r>
          </w:p>
        </w:tc>
        <w:tc>
          <w:tcPr>
            <w:tcW w:w="4675" w:type="dxa"/>
          </w:tcPr>
          <w:p w14:paraId="7C3C9BE1" w14:textId="0F1FB3B7"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Based on the binding planning criteria incorporated in public policy, regulate and supervise, without prejudice to the powers that correspond to the  Agency, as well as grant, modify, update, suspend and revoke permits for the following activities:</w:t>
            </w:r>
          </w:p>
        </w:tc>
      </w:tr>
      <w:tr w:rsidR="003B20AD" w:rsidRPr="00475A0C" w14:paraId="369E3813" w14:textId="7EF27F72" w:rsidTr="007B36AB">
        <w:tc>
          <w:tcPr>
            <w:tcW w:w="4675" w:type="dxa"/>
          </w:tcPr>
          <w:p w14:paraId="09BD1A14"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Tratamiento, refinación, importación, exportación, Comercialización, Transporte y Almacenamiento de Petróleo;</w:t>
            </w:r>
          </w:p>
        </w:tc>
        <w:tc>
          <w:tcPr>
            <w:tcW w:w="4675" w:type="dxa"/>
          </w:tcPr>
          <w:p w14:paraId="38103060" w14:textId="0AFC2FB7"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Treatment, refining, import, export, marketing, transportation and storage of petroleum;</w:t>
            </w:r>
          </w:p>
        </w:tc>
      </w:tr>
      <w:tr w:rsidR="003B20AD" w:rsidRPr="00475A0C" w14:paraId="3BD863D8" w14:textId="306FBA46" w:rsidTr="007B36AB">
        <w:tc>
          <w:tcPr>
            <w:tcW w:w="4675" w:type="dxa"/>
          </w:tcPr>
          <w:p w14:paraId="6ED9FD54"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Importación y exportación de Gas Natural;</w:t>
            </w:r>
          </w:p>
        </w:tc>
        <w:tc>
          <w:tcPr>
            <w:tcW w:w="4675" w:type="dxa"/>
          </w:tcPr>
          <w:p w14:paraId="4949DF4E" w14:textId="0D723A0E"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Import and export of natural gas;</w:t>
            </w:r>
          </w:p>
        </w:tc>
      </w:tr>
      <w:tr w:rsidR="003B20AD" w:rsidRPr="00475A0C" w14:paraId="4D14ACE3" w14:textId="4C1606FB" w:rsidTr="007B36AB">
        <w:tc>
          <w:tcPr>
            <w:tcW w:w="4675" w:type="dxa"/>
          </w:tcPr>
          <w:p w14:paraId="777B37B2"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Importación y exportación de Petrolíferos, y</w:t>
            </w:r>
          </w:p>
        </w:tc>
        <w:tc>
          <w:tcPr>
            <w:tcW w:w="4675" w:type="dxa"/>
          </w:tcPr>
          <w:p w14:paraId="04169EF5" w14:textId="4B3B47E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Import and export of petroleum products, and</w:t>
            </w:r>
          </w:p>
        </w:tc>
      </w:tr>
      <w:tr w:rsidR="003B20AD" w:rsidRPr="00475A0C" w14:paraId="0C10B699" w14:textId="5C57C44B" w:rsidTr="007B36AB">
        <w:tc>
          <w:tcPr>
            <w:tcW w:w="4675" w:type="dxa"/>
          </w:tcPr>
          <w:p w14:paraId="2D3958C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Importación y exportación de Petroquímicos.</w:t>
            </w:r>
          </w:p>
        </w:tc>
        <w:tc>
          <w:tcPr>
            <w:tcW w:w="4675" w:type="dxa"/>
          </w:tcPr>
          <w:p w14:paraId="2E124DB6" w14:textId="3C419A2B"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Import and export of petrochemicals.</w:t>
            </w:r>
          </w:p>
        </w:tc>
      </w:tr>
      <w:tr w:rsidR="003B20AD" w:rsidRPr="00475A0C" w14:paraId="5B2CAB11" w14:textId="65C2DA20" w:rsidTr="007B36AB">
        <w:tc>
          <w:tcPr>
            <w:tcW w:w="4675" w:type="dxa"/>
          </w:tcPr>
          <w:p w14:paraId="7839C44D"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Determinar la política pública en materia energética aplicable a los niveles de Almacenamiento y a la garantía de suministro de Hidrocarburos y Petrolíferos, a fin de salvaguardar los intereses y la seguridad nacionales.</w:t>
            </w:r>
          </w:p>
        </w:tc>
        <w:tc>
          <w:tcPr>
            <w:tcW w:w="4675" w:type="dxa"/>
          </w:tcPr>
          <w:p w14:paraId="7F36E792" w14:textId="3BC44122"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Determine the public policy on energy matters applicable to the levels of storage and the guarantee of supply of hydrocarbons and petroleum products, in order to safeguard national interests and security.</w:t>
            </w:r>
          </w:p>
        </w:tc>
      </w:tr>
      <w:tr w:rsidR="003B20AD" w:rsidRPr="00475A0C" w14:paraId="60CC9D16" w14:textId="1AC3A478" w:rsidTr="007B36AB">
        <w:tc>
          <w:tcPr>
            <w:tcW w:w="4675" w:type="dxa"/>
          </w:tcPr>
          <w:p w14:paraId="5BAB96F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Con base en lo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las medidas que deben cumplir las personas Permisionarias respecto de dicha política pública.</w:t>
            </w:r>
          </w:p>
        </w:tc>
        <w:tc>
          <w:tcPr>
            <w:tcW w:w="4675" w:type="dxa"/>
          </w:tcPr>
          <w:p w14:paraId="5E8941F2" w14:textId="63A8B053"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ab/>
              <w:t>Based on the above, the Secretary of Energy must establish the measures that permit holders must comply with regarding said public policy.</w:t>
            </w:r>
          </w:p>
        </w:tc>
      </w:tr>
      <w:tr w:rsidR="003B20AD" w:rsidRPr="00475A0C" w14:paraId="0A492559" w14:textId="599EE7E9" w:rsidTr="007B36AB">
        <w:tc>
          <w:tcPr>
            <w:tcW w:w="4675" w:type="dxa"/>
          </w:tcPr>
          <w:p w14:paraId="24B336C7"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La gestión de los niveles mínimos de almacenamiento puede ser llevada a cabo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por la instancia que ésta designe;</w:t>
            </w:r>
          </w:p>
        </w:tc>
        <w:tc>
          <w:tcPr>
            <w:tcW w:w="4675" w:type="dxa"/>
          </w:tcPr>
          <w:p w14:paraId="4033AFDC" w14:textId="6EEBE161"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ab/>
              <w:t>The management of minimum storage levels may be carried out by the Secretary of Energy or by the body it designates;</w:t>
            </w:r>
          </w:p>
        </w:tc>
      </w:tr>
      <w:tr w:rsidR="003B20AD" w:rsidRPr="00475A0C" w14:paraId="7D6BC340" w14:textId="7BFA1A08" w:rsidTr="007B36AB">
        <w:tc>
          <w:tcPr>
            <w:tcW w:w="4675" w:type="dxa"/>
          </w:tcPr>
          <w:p w14:paraId="332A6B86"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Instruir, por sí misma o a propuesta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sus respectivas competencias, a las Empresas Públicas del Estado, y sus empresas filiales que realicen las acciones necesarias para que sus actividades y operaciones sean garantes de la seguridad y la autosuficiencia energética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que no obstaculicen el desarrollo eficiente de los mercados, así como la política pública en materia energética;</w:t>
            </w:r>
          </w:p>
        </w:tc>
        <w:tc>
          <w:tcPr>
            <w:tcW w:w="4675" w:type="dxa"/>
          </w:tcPr>
          <w:p w14:paraId="44C5ABC7" w14:textId="3843221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 xml:space="preserve">Instruct, by itself or at the proposal of the National Commission of Energy, within the scope of its respective powers, the Public Enterprises of the </w:t>
            </w:r>
            <w:r w:rsidRPr="00E3602D">
              <w:rPr>
                <w:rFonts w:ascii="Verdana" w:hAnsi="Verdana"/>
                <w:sz w:val="16"/>
                <w:szCs w:val="16"/>
                <w:lang w:val="en-US"/>
              </w:rPr>
              <w:t>State</w:t>
            </w:r>
            <w:r w:rsidRPr="00E3602D">
              <w:rPr>
                <w:rFonts w:ascii="Verdana" w:hAnsi="Verdana"/>
                <w:sz w:val="16"/>
                <w:szCs w:val="16"/>
                <w:lang w:val="en-US"/>
              </w:rPr>
              <w:t xml:space="preserve"> and their subsidiaries to carry out the necessary actions so that their activities and operations guarantee energy security and self-sufficiency of the Nation and that do not hinder the efficient development of markets, as well as public policy on energy matters;</w:t>
            </w:r>
          </w:p>
        </w:tc>
      </w:tr>
      <w:tr w:rsidR="003B20AD" w:rsidRPr="00475A0C" w14:paraId="51C0705A" w14:textId="22A33758" w:rsidTr="007B36AB">
        <w:tc>
          <w:tcPr>
            <w:tcW w:w="4675" w:type="dxa"/>
          </w:tcPr>
          <w:p w14:paraId="2A2E6AB5"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Emitir el plan quinquenal de expansión y optimización de la infraestructura de Transporte por ducto y Almacenamiento a nivel nacional, pudiendo considerar las propuestas que al efecto emitan, en su caso, los gestores de los Sistemas Integrados y las personas Usuarias de dichos sistemas;</w:t>
            </w:r>
          </w:p>
        </w:tc>
        <w:tc>
          <w:tcPr>
            <w:tcW w:w="4675" w:type="dxa"/>
          </w:tcPr>
          <w:p w14:paraId="6A8EFE23" w14:textId="5D0A9E5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Issue the five-year plan for the expansion and optimization of pipeline transportation and storage infrastructure nationwide, and may consider any proposals issued to this effect by the managers of the integrated systems and the users of said systems;</w:t>
            </w:r>
          </w:p>
        </w:tc>
      </w:tr>
      <w:tr w:rsidR="003B20AD" w:rsidRPr="00475A0C" w14:paraId="325AC39F" w14:textId="2BCF2999" w:rsidTr="007B36AB">
        <w:tc>
          <w:tcPr>
            <w:tcW w:w="4675" w:type="dxa"/>
          </w:tcPr>
          <w:p w14:paraId="5EA31B4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Aprobar la creación de Sistemas Integrados, las condiciones de prestación del servicio en los mismos y expedir las metodologías tarifarias respectivas, así como expedir las reglas de operación de los gestores independientes de dichos Sistemas;</w:t>
            </w:r>
          </w:p>
        </w:tc>
        <w:tc>
          <w:tcPr>
            <w:tcW w:w="4675" w:type="dxa"/>
          </w:tcPr>
          <w:p w14:paraId="457BA4DA" w14:textId="57020B92"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Approve the creation of Integrated Systems, the conditions for providing service therein and issue the respective tariff methodologies, as well as issue the operating rules for the independent managers of said systems;</w:t>
            </w:r>
          </w:p>
        </w:tc>
      </w:tr>
      <w:tr w:rsidR="003B20AD" w:rsidRPr="00475A0C" w14:paraId="6CF52C71" w14:textId="3034553B" w:rsidTr="007B36AB">
        <w:tc>
          <w:tcPr>
            <w:tcW w:w="4675" w:type="dxa"/>
          </w:tcPr>
          <w:p w14:paraId="5F0F6727"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 xml:space="preserve">Aprobar las bases de las licitaciones que realice el Centro Nacional de Control del Gas Natural, así como </w:t>
            </w:r>
            <w:r w:rsidRPr="00475A0C">
              <w:rPr>
                <w:rFonts w:ascii="Verdana" w:hAnsi="Verdana"/>
                <w:sz w:val="16"/>
                <w:szCs w:val="16"/>
              </w:rPr>
              <w:lastRenderedPageBreak/>
              <w:t>los Mecanismos de Asignación de Capacidad que realicen las personas Permisionarias para asignar la capacidad en los sistemas de Transporte y Almacenamiento de Gas Natural;</w:t>
            </w:r>
          </w:p>
        </w:tc>
        <w:tc>
          <w:tcPr>
            <w:tcW w:w="4675" w:type="dxa"/>
          </w:tcPr>
          <w:p w14:paraId="62B68EAD" w14:textId="40ED24A7"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lastRenderedPageBreak/>
              <w:t xml:space="preserve">VI. </w:t>
            </w:r>
            <w:r w:rsidRPr="00E3602D">
              <w:rPr>
                <w:rFonts w:ascii="Verdana" w:hAnsi="Verdana"/>
                <w:sz w:val="16"/>
                <w:szCs w:val="16"/>
                <w:lang w:val="en-US"/>
              </w:rPr>
              <w:tab/>
              <w:t xml:space="preserve">Approve the criteria of the tenders carried out by the National Center for Natural Gas Control, as well </w:t>
            </w:r>
            <w:r w:rsidRPr="00E3602D">
              <w:rPr>
                <w:rFonts w:ascii="Verdana" w:hAnsi="Verdana"/>
                <w:sz w:val="16"/>
                <w:szCs w:val="16"/>
                <w:lang w:val="en-US"/>
              </w:rPr>
              <w:lastRenderedPageBreak/>
              <w:t>as the Capacity Assignment Mechanisms carried out by the permit holders to assign capacity in the natural gas transportation and storage systems;</w:t>
            </w:r>
          </w:p>
        </w:tc>
      </w:tr>
      <w:tr w:rsidR="003B20AD" w:rsidRPr="00475A0C" w14:paraId="43DA02EC" w14:textId="1F67BD3D" w:rsidTr="007B36AB">
        <w:tc>
          <w:tcPr>
            <w:tcW w:w="4675" w:type="dxa"/>
          </w:tcPr>
          <w:p w14:paraId="14B6CCC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VII.</w:t>
            </w:r>
            <w:r w:rsidRPr="00475A0C">
              <w:rPr>
                <w:rFonts w:ascii="Verdana" w:hAnsi="Verdana"/>
                <w:sz w:val="16"/>
                <w:szCs w:val="16"/>
              </w:rPr>
              <w:tab/>
              <w:t xml:space="preserve">Dictar los planes de emergencia para la continuidad de las actividades en los Sistemas Integrados de Transporte por ducto y Almacenamiento, para lo cual debe considerar las opiniones que emitan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y los gestores de dichos sistemas, y</w:t>
            </w:r>
          </w:p>
        </w:tc>
        <w:tc>
          <w:tcPr>
            <w:tcW w:w="4675" w:type="dxa"/>
          </w:tcPr>
          <w:p w14:paraId="69D38222" w14:textId="03008CBA"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Issue emergency plans for the continuity of activities in the Integrated Pipeline Transportation and Storage Systems, for which it must consider the opinions issued the National Commission of Energy and the managers of said systems, and</w:t>
            </w:r>
          </w:p>
        </w:tc>
      </w:tr>
      <w:tr w:rsidR="003B20AD" w:rsidRPr="00475A0C" w14:paraId="59CA1958" w14:textId="101D5AEB" w:rsidTr="007B36AB">
        <w:tc>
          <w:tcPr>
            <w:tcW w:w="4675" w:type="dxa"/>
          </w:tcPr>
          <w:p w14:paraId="1DAEE66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Emitir los lineamientos de política pública en materia de Hidrocarburos, Petrolíferos y Petroquímicos e incorporarlos en la regulación que puede emitir para cada una de las actividades objeto de esta Ley.</w:t>
            </w:r>
          </w:p>
        </w:tc>
        <w:tc>
          <w:tcPr>
            <w:tcW w:w="4675" w:type="dxa"/>
          </w:tcPr>
          <w:p w14:paraId="51359C06" w14:textId="472378A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Issue public policy guidelines on hydrocarbons, petroleum products, and petrochemicals and incorporate them into the regulation it may issue for each of the activities covered by this Law.</w:t>
            </w:r>
          </w:p>
        </w:tc>
      </w:tr>
      <w:tr w:rsidR="003B20AD" w:rsidRPr="00475A0C" w14:paraId="2C111D43" w14:textId="1D56619C" w:rsidTr="007B36AB">
        <w:tc>
          <w:tcPr>
            <w:tcW w:w="4675" w:type="dxa"/>
          </w:tcPr>
          <w:p w14:paraId="393B1E95"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Como parte de la regulación y las disposiciones de política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instruir la adopción y observancia de estándares técnicos internacionales.</w:t>
            </w:r>
          </w:p>
        </w:tc>
        <w:tc>
          <w:tcPr>
            <w:tcW w:w="4675" w:type="dxa"/>
          </w:tcPr>
          <w:p w14:paraId="15EB69CD" w14:textId="36D7E07B"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As part of the regulation and policy provisions it issues, the Secretary of Energy may mandate the adoption and observance of international technical standards.</w:t>
            </w:r>
          </w:p>
        </w:tc>
      </w:tr>
      <w:tr w:rsidR="003B20AD" w:rsidRPr="00475A0C" w14:paraId="331E9D09" w14:textId="0290940F" w:rsidTr="007B36AB">
        <w:tc>
          <w:tcPr>
            <w:tcW w:w="4675" w:type="dxa"/>
          </w:tcPr>
          <w:p w14:paraId="279C52BB"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Las actividades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se deben orientar con base en los objetivos de la política pública en materia energética, incluyendo los de seguridad energética del país, la sustentabilidad, continuidad del suministro de combustibles y la diversificación de mercados.</w:t>
            </w:r>
          </w:p>
        </w:tc>
        <w:tc>
          <w:tcPr>
            <w:tcW w:w="4675" w:type="dxa"/>
          </w:tcPr>
          <w:p w14:paraId="7F8CB81F" w14:textId="05ECC1F1"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The activities of the Secretary of Energy must be guided by public energy policy objectives, including the country's energy security, sustainability, continuity of fuel supply, and market diversification.</w:t>
            </w:r>
          </w:p>
        </w:tc>
      </w:tr>
      <w:tr w:rsidR="003B20AD" w:rsidRPr="00475A0C" w14:paraId="6A36B5EB" w14:textId="5C6751A4" w:rsidTr="007B36AB">
        <w:tc>
          <w:tcPr>
            <w:tcW w:w="4675" w:type="dxa"/>
          </w:tcPr>
          <w:p w14:paraId="387B3896"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116.-</w:t>
            </w:r>
            <w:r w:rsidRPr="00475A0C">
              <w:rPr>
                <w:rFonts w:ascii="Verdana" w:hAnsi="Verdana"/>
                <w:sz w:val="16"/>
                <w:szCs w:val="16"/>
              </w:rPr>
              <w:t xml:space="preserve"> Corresponde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02B3DD6B" w14:textId="0F11709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116.- </w:t>
            </w:r>
            <w:r w:rsidRPr="00E3602D">
              <w:rPr>
                <w:rFonts w:ascii="Verdana" w:hAnsi="Verdana"/>
                <w:sz w:val="16"/>
                <w:szCs w:val="16"/>
                <w:lang w:val="en-US"/>
              </w:rPr>
              <w:t>The following is the responsibility the National Commission of Energy:</w:t>
            </w:r>
          </w:p>
        </w:tc>
      </w:tr>
      <w:tr w:rsidR="003B20AD" w:rsidRPr="00475A0C" w14:paraId="779C8E9D" w14:textId="7471B6CD" w:rsidTr="007B36AB">
        <w:tc>
          <w:tcPr>
            <w:tcW w:w="4675" w:type="dxa"/>
          </w:tcPr>
          <w:p w14:paraId="4FEDF9F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Con base en los criterios vinculantes de planeación incorporados en la política pública, regular y supervisar, sin perjuicio de las atribuciones que correspondan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así como otorgar, modificar, actualizar, suspender y revocar los permisos para las siguientes actividades:</w:t>
            </w:r>
          </w:p>
        </w:tc>
        <w:tc>
          <w:tcPr>
            <w:tcW w:w="4675" w:type="dxa"/>
          </w:tcPr>
          <w:p w14:paraId="497ECC1C" w14:textId="3393D6B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Based on the binding planning criteria incorporated in public policy, regulate and supervise, without prejudice to the powers that correspond to the Agency, as well as grant, modify, update, suspend and revoke permits for the following activities:</w:t>
            </w:r>
          </w:p>
        </w:tc>
      </w:tr>
      <w:tr w:rsidR="003B20AD" w:rsidRPr="00475A0C" w14:paraId="53D8E253" w14:textId="757A3C2B" w:rsidTr="007B36AB">
        <w:tc>
          <w:tcPr>
            <w:tcW w:w="4675" w:type="dxa"/>
          </w:tcPr>
          <w:p w14:paraId="4C181B37"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El procesamiento, licuefacción, regasificación, compresión, descompresión, Transporte, Almacenamiento, Distribución, Comercialización y Expendio al Público de Gas Natural;</w:t>
            </w:r>
          </w:p>
        </w:tc>
        <w:tc>
          <w:tcPr>
            <w:tcW w:w="4675" w:type="dxa"/>
          </w:tcPr>
          <w:p w14:paraId="6D632E63" w14:textId="0E3A31F9"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processing, liquefaction, regasification, compression, decompression, transportation, storage, distribution, marketing and sale to the public of natural gas;</w:t>
            </w:r>
          </w:p>
        </w:tc>
      </w:tr>
      <w:tr w:rsidR="003B20AD" w:rsidRPr="00475A0C" w14:paraId="45B80051" w14:textId="213408B7" w:rsidTr="007B36AB">
        <w:tc>
          <w:tcPr>
            <w:tcW w:w="4675" w:type="dxa"/>
          </w:tcPr>
          <w:p w14:paraId="426F5FB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smartTag w:uri="urn:schemas-microsoft-com:office:smarttags" w:element="PersonName">
              <w:smartTagPr>
                <w:attr w:name="ProductID" w:val="La Formulación"/>
              </w:smartTagPr>
              <w:r w:rsidRPr="00475A0C">
                <w:rPr>
                  <w:rFonts w:ascii="Verdana" w:hAnsi="Verdana"/>
                  <w:sz w:val="16"/>
                  <w:szCs w:val="16"/>
                </w:rPr>
                <w:t>La Formulación</w:t>
              </w:r>
            </w:smartTag>
            <w:r w:rsidRPr="00475A0C">
              <w:rPr>
                <w:rFonts w:ascii="Verdana" w:hAnsi="Verdana"/>
                <w:sz w:val="16"/>
                <w:szCs w:val="16"/>
              </w:rPr>
              <w:t>, Transporte, Almacenamiento, Distribución, Comercialización y Expendio al Público y despacho para autoconsumo de Petrolíferos;</w:t>
            </w:r>
          </w:p>
        </w:tc>
        <w:tc>
          <w:tcPr>
            <w:tcW w:w="4675" w:type="dxa"/>
          </w:tcPr>
          <w:p w14:paraId="643F190A" w14:textId="048C05DF"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 formulation, transportation, storage, distribution, commercial distribution and public sale and dispatch for self-consumption of petroleum products;</w:t>
            </w:r>
          </w:p>
        </w:tc>
      </w:tr>
      <w:tr w:rsidR="003B20AD" w:rsidRPr="00475A0C" w14:paraId="3ED4C401" w14:textId="3955A4A0" w:rsidTr="007B36AB">
        <w:tc>
          <w:tcPr>
            <w:tcW w:w="4675" w:type="dxa"/>
          </w:tcPr>
          <w:p w14:paraId="3EF1018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El Transporte, Almacenamiento y Comercialización de Petroquímicos, y</w:t>
            </w:r>
          </w:p>
        </w:tc>
        <w:tc>
          <w:tcPr>
            <w:tcW w:w="4675" w:type="dxa"/>
          </w:tcPr>
          <w:p w14:paraId="259957C8" w14:textId="1BE5098F"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The transportation, storage and commercial distribution of petrochemicals, and</w:t>
            </w:r>
          </w:p>
        </w:tc>
      </w:tr>
      <w:tr w:rsidR="003B20AD" w:rsidRPr="00475A0C" w14:paraId="01C9297D" w14:textId="67968FA0" w:rsidTr="007B36AB">
        <w:tc>
          <w:tcPr>
            <w:tcW w:w="4675" w:type="dxa"/>
          </w:tcPr>
          <w:p w14:paraId="03702F0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La gestión de los Sistemas Integrados, incluyendo el Sistema de Transporte y Almacenamiento Nacional Integrado de Gas Natural.</w:t>
            </w:r>
          </w:p>
        </w:tc>
        <w:tc>
          <w:tcPr>
            <w:tcW w:w="4675" w:type="dxa"/>
          </w:tcPr>
          <w:p w14:paraId="1610D8A6" w14:textId="406DE655"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The management of Integrated Systems, including the National Integrated Natural Gas Transportation and Storage System.</w:t>
            </w:r>
          </w:p>
        </w:tc>
      </w:tr>
      <w:tr w:rsidR="003B20AD" w:rsidRPr="00475A0C" w14:paraId="237142A1" w14:textId="7BE10646" w:rsidTr="007B36AB">
        <w:tc>
          <w:tcPr>
            <w:tcW w:w="4675" w:type="dxa"/>
          </w:tcPr>
          <w:p w14:paraId="1D496340"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Opinar sobre la planificación de la expansión del Transporte y </w:t>
            </w:r>
            <w:smartTag w:uri="urn:schemas-microsoft-com:office:smarttags" w:element="PersonName">
              <w:smartTagPr>
                <w:attr w:name="ProductID" w:val="la Distribución"/>
              </w:smartTagPr>
              <w:r w:rsidRPr="00475A0C">
                <w:rPr>
                  <w:rFonts w:ascii="Verdana" w:hAnsi="Verdana"/>
                  <w:sz w:val="16"/>
                  <w:szCs w:val="16"/>
                </w:rPr>
                <w:t>la Distribución</w:t>
              </w:r>
            </w:smartTag>
            <w:r w:rsidRPr="00475A0C">
              <w:rPr>
                <w:rFonts w:ascii="Verdana" w:hAnsi="Verdana"/>
                <w:sz w:val="16"/>
                <w:szCs w:val="16"/>
              </w:rPr>
              <w:t xml:space="preserve"> de Gas Natural y de Gas Licuado de Petróleo, conforme a los lineamientos que para tal efecto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02BAAA70" w14:textId="218D496D"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Provide an opinion on the planning of the expansion of transportation and the distribution of natural gas and liquefied petroleum gas, in accordance with the guidelines established for this purpose by the Secretary of Energy;</w:t>
            </w:r>
          </w:p>
        </w:tc>
      </w:tr>
      <w:tr w:rsidR="003B20AD" w:rsidRPr="00475A0C" w14:paraId="21CCE8E6" w14:textId="01F0A36B" w:rsidTr="007B36AB">
        <w:tc>
          <w:tcPr>
            <w:tcW w:w="4675" w:type="dxa"/>
          </w:tcPr>
          <w:p w14:paraId="4B15E3B1"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Supervisar las actividades reguladas, con objeto de evaluar su funcionamiento conforme a los objetivos de la política pública en materia energética y, </w:t>
            </w:r>
            <w:r w:rsidRPr="00475A0C">
              <w:rPr>
                <w:rFonts w:ascii="Verdana" w:hAnsi="Verdana"/>
                <w:sz w:val="16"/>
                <w:szCs w:val="16"/>
              </w:rPr>
              <w:lastRenderedPageBreak/>
              <w:t xml:space="preserve">en su caso, tomar las medidas conducentes, tales como proponer proyectos para expedir o modificar la regulación, proveer información pública sobre los resultados de sus análisis y el desempeño de los participantes, e informar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07B9EE8E" w14:textId="5A610325"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lastRenderedPageBreak/>
              <w:t xml:space="preserve">III. </w:t>
            </w:r>
            <w:r w:rsidRPr="00E3602D">
              <w:rPr>
                <w:rFonts w:ascii="Verdana" w:hAnsi="Verdana"/>
                <w:sz w:val="16"/>
                <w:szCs w:val="16"/>
                <w:lang w:val="en-US"/>
              </w:rPr>
              <w:tab/>
              <w:t xml:space="preserve">Supervise regulated activities in order to evaluate their operation in accordance with the objectives of public policy on energy matters and, </w:t>
            </w:r>
            <w:r w:rsidRPr="00E3602D">
              <w:rPr>
                <w:rFonts w:ascii="Verdana" w:hAnsi="Verdana"/>
                <w:sz w:val="16"/>
                <w:szCs w:val="16"/>
                <w:lang w:val="en-US"/>
              </w:rPr>
              <w:lastRenderedPageBreak/>
              <w:t>where appropriate, take appropriate measures, such as proposing projects to issue or modify the regulation, provide public information on the results of its analyses and the performance of participants, and report to the Secretary of Energy;</w:t>
            </w:r>
          </w:p>
        </w:tc>
      </w:tr>
      <w:tr w:rsidR="003B20AD" w:rsidRPr="00475A0C" w14:paraId="698B1439" w14:textId="31A593AE" w:rsidTr="007B36AB">
        <w:tc>
          <w:tcPr>
            <w:tcW w:w="4675" w:type="dxa"/>
          </w:tcPr>
          <w:p w14:paraId="4D0F931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Establecer lineamientos a los que se deben sujetar los personas Permisionarias de las actividades reguladas, respecto de sus relaciones con personas que formen parte de su mismo grupo empresarial o consorcio que lleven a cabo actividades de Comercialización de Hidrocarburos, Petrolíferos y Petroquímicos;</w:t>
            </w:r>
          </w:p>
        </w:tc>
        <w:tc>
          <w:tcPr>
            <w:tcW w:w="4675" w:type="dxa"/>
          </w:tcPr>
          <w:p w14:paraId="381F37F4" w14:textId="54B0E0C7"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Establish guidelines to which the persons licensed for the regulated activities must adhere, regarding their relations with persons who are part of the same business group or consortium that carry out activities of commercial distribution of hydrocarbons, petroleum products and petrochemicals;</w:t>
            </w:r>
          </w:p>
        </w:tc>
      </w:tr>
      <w:tr w:rsidR="003B20AD" w:rsidRPr="00475A0C" w14:paraId="1C86D18B" w14:textId="76618BD0" w:rsidTr="007B36AB">
        <w:tc>
          <w:tcPr>
            <w:tcW w:w="4675" w:type="dxa"/>
          </w:tcPr>
          <w:p w14:paraId="1793CF5D"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Recopilar información sobre los precios, descuentos y volúmenes en materia de Comercialización, Distribución y Expendio al Público de Gas Natural y Petrolíferos, para fines estadísticos, regulatorios y de supervisión, y</w:t>
            </w:r>
          </w:p>
        </w:tc>
        <w:tc>
          <w:tcPr>
            <w:tcW w:w="4675" w:type="dxa"/>
          </w:tcPr>
          <w:p w14:paraId="173DAD04" w14:textId="164465E7"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Collect information on prices, discounts and volumes in the area of commercial distribution, distribution and public sale of natural gas and petroleum products, for statistical, regulatory and supervisory purposes, and</w:t>
            </w:r>
          </w:p>
        </w:tc>
      </w:tr>
      <w:tr w:rsidR="003B20AD" w:rsidRPr="00475A0C" w14:paraId="4F8B2F5E" w14:textId="388E8167" w:rsidTr="007B36AB">
        <w:tc>
          <w:tcPr>
            <w:tcW w:w="4675" w:type="dxa"/>
          </w:tcPr>
          <w:p w14:paraId="7B21822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 xml:space="preserve">Proponer, en el ámbito de su competencia,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que instruya a las Empresas Públicas del Estado, y sus empresas filiales que realicen las acciones necesarias para que sus actividades y operaciones sean garantes de la seguridad y la autosuficiencia energética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y que no obstaculicen el desarrollo eficiente de los mercados, así como la política pública en materia energética.</w:t>
            </w:r>
          </w:p>
        </w:tc>
        <w:tc>
          <w:tcPr>
            <w:tcW w:w="4675" w:type="dxa"/>
          </w:tcPr>
          <w:p w14:paraId="4E0721FC" w14:textId="44BA7CC4"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Propose, within its scope of authority, that the Secretary of Energy instruct the state public enterprises and their subsidiaries to take the necessary actions to ensure that their activities and operations guarantee energy security and self-sufficiency of the Nation and do not hinder the efficient development of markets, as well as public policy on energy matters.</w:t>
            </w:r>
          </w:p>
        </w:tc>
      </w:tr>
      <w:tr w:rsidR="003B20AD" w:rsidRPr="00475A0C" w14:paraId="3AEEEFE4" w14:textId="569CAF55" w:rsidTr="007B36AB">
        <w:tc>
          <w:tcPr>
            <w:tcW w:w="4675" w:type="dxa"/>
          </w:tcPr>
          <w:p w14:paraId="29A5064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117.-</w:t>
            </w:r>
            <w:r w:rsidRPr="00475A0C">
              <w:rPr>
                <w:rFonts w:ascii="Verdana" w:hAnsi="Verdana"/>
                <w:sz w:val="16"/>
                <w:szCs w:val="16"/>
              </w:rPr>
              <w:t xml:space="preserve"> A efecto de que el desarrollo de los mercados se oriente a garantizar la seguridad y la autosuficiencia energética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puede expedir disposiciones de aplicación general para la regulación de las actividades a que se refiere esta Ley, en el ámbito de su competencia, incluyendo los términos y condiciones a los que deben sujetarse la prestación de los servicios; al igual que la determinación de las contraprestaciones, precios y tarifas aplicables, entre otros.</w:t>
            </w:r>
          </w:p>
        </w:tc>
        <w:tc>
          <w:tcPr>
            <w:tcW w:w="4675" w:type="dxa"/>
          </w:tcPr>
          <w:p w14:paraId="53FF3B8D" w14:textId="6D41AE77"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117.- </w:t>
            </w:r>
            <w:r w:rsidRPr="00E3602D">
              <w:rPr>
                <w:rFonts w:ascii="Verdana" w:hAnsi="Verdana"/>
                <w:sz w:val="16"/>
                <w:szCs w:val="16"/>
                <w:lang w:val="en-US"/>
              </w:rPr>
              <w:t>In order to ensure market development is oriented toward ensuring energy security and self-sufficiency of the Nation, the National Commission of Energy may issue generally applicable provisions regulating the activities referred to in this Law, within its scope of jurisdiction, including the terms and conditions governing the provision of services, as well as the determination of applicable compensation, prices, and tariffs, among others.</w:t>
            </w:r>
          </w:p>
        </w:tc>
      </w:tr>
      <w:tr w:rsidR="003B20AD" w:rsidRPr="00475A0C" w14:paraId="7460BB76" w14:textId="665B5C74" w:rsidTr="007B36AB">
        <w:tc>
          <w:tcPr>
            <w:tcW w:w="4675" w:type="dxa"/>
          </w:tcPr>
          <w:p w14:paraId="7B75E1B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La regulación de contraprestaciones, precios y tarifas que se establezca, con excepción de las actividades de Distribución y Expendio al Público de Gas Licuado de Petróleo, gasolinas y diésel, debe contemplar los impuestos que determinen las leyes aplicables y considerar, entre otros elementos, que:</w:t>
            </w:r>
          </w:p>
        </w:tc>
        <w:tc>
          <w:tcPr>
            <w:tcW w:w="4675" w:type="dxa"/>
          </w:tcPr>
          <w:p w14:paraId="59F6AB33" w14:textId="6EC021B5"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regulation of compensation, prices and rates established, with the exception of the activities of distribution and public sale of liquefied petroleum gas, gasoline and diesel, must contemplate the taxes determined by the applicable laws and consider, among other elements, that:</w:t>
            </w:r>
          </w:p>
        </w:tc>
      </w:tr>
      <w:tr w:rsidR="003B20AD" w:rsidRPr="00475A0C" w14:paraId="4FDB052F" w14:textId="10ED143A" w:rsidTr="007B36AB">
        <w:tc>
          <w:tcPr>
            <w:tcW w:w="4675" w:type="dxa"/>
          </w:tcPr>
          <w:p w14:paraId="3E048E7C"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Las contraprestaciones, precios y tarifas, de los bienes y servicios susceptibles de comercializarse internacionalmente deben fijarse considerando el costo de oportunidad y las condiciones de competitividad prevalecientes en el mercado internacional de estos productos, libres de impuestos, contribuciones o gravámenes, y</w:t>
            </w:r>
          </w:p>
        </w:tc>
        <w:tc>
          <w:tcPr>
            <w:tcW w:w="4675" w:type="dxa"/>
          </w:tcPr>
          <w:p w14:paraId="722D9C7B" w14:textId="1ADC8C25"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considerations, prices and rates of goods and services that may be traded internationally must be set considering the opportunity cost and the competitive conditions prevailing in the international market for these products, free of taxes, contributions or levies, and</w:t>
            </w:r>
          </w:p>
        </w:tc>
      </w:tr>
      <w:tr w:rsidR="003B20AD" w:rsidRPr="00475A0C" w14:paraId="08DDA1AC" w14:textId="25275590" w:rsidTr="007B36AB">
        <w:tc>
          <w:tcPr>
            <w:tcW w:w="4675" w:type="dxa"/>
          </w:tcPr>
          <w:p w14:paraId="2062C99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Para aquellos bienes o servicios que no sean susceptibles de comercializarse en el mercado internacional, las contraprestaciones, precios y tarifas deben fijarse de acuerdo a las metodologías de </w:t>
            </w:r>
            <w:r w:rsidRPr="00475A0C">
              <w:rPr>
                <w:rFonts w:ascii="Verdana" w:hAnsi="Verdana"/>
                <w:sz w:val="16"/>
                <w:szCs w:val="16"/>
              </w:rPr>
              <w:lastRenderedPageBreak/>
              <w:t>aplicación general para su cálculo que para tal efecto se emitan, considerando la estimación de costos eficientes para producir el bien o prestar el servicio, así como la obtención de una rentabilidad razonable que refleje el costo de oportunidad del capital invertido, el costo estimado de financiamiento y los riesgos inherentes del proyecto, entre otros.</w:t>
            </w:r>
          </w:p>
        </w:tc>
        <w:tc>
          <w:tcPr>
            <w:tcW w:w="4675" w:type="dxa"/>
          </w:tcPr>
          <w:p w14:paraId="710A3479" w14:textId="31C33053"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lastRenderedPageBreak/>
              <w:t xml:space="preserve">b) </w:t>
            </w:r>
            <w:r w:rsidRPr="00E3602D">
              <w:rPr>
                <w:rFonts w:ascii="Verdana" w:hAnsi="Verdana"/>
                <w:b/>
                <w:sz w:val="16"/>
                <w:szCs w:val="16"/>
                <w:lang w:val="en-US"/>
              </w:rPr>
              <w:tab/>
            </w:r>
            <w:r w:rsidRPr="00E3602D">
              <w:rPr>
                <w:rFonts w:ascii="Verdana" w:hAnsi="Verdana"/>
                <w:sz w:val="16"/>
                <w:szCs w:val="16"/>
                <w:lang w:val="en-US"/>
              </w:rPr>
              <w:t xml:space="preserve">For those goods or services that cannot be marketed on the international market, the consideration, prices and rates must be set in accordance with the generally applicable methodologies </w:t>
            </w:r>
            <w:r w:rsidRPr="00E3602D">
              <w:rPr>
                <w:rFonts w:ascii="Verdana" w:hAnsi="Verdana"/>
                <w:sz w:val="16"/>
                <w:szCs w:val="16"/>
                <w:lang w:val="en-US"/>
              </w:rPr>
              <w:lastRenderedPageBreak/>
              <w:t>for their calculation that are issued for such purpose, considering the estimate of efficient costs to produce the good or provide the service, as well as obtaining a reasonable profitability that reflects the opportunity cost of the invested capital, the estimated cost of financing and the inherent risks of the project, among others.</w:t>
            </w:r>
          </w:p>
        </w:tc>
      </w:tr>
      <w:tr w:rsidR="003B20AD" w:rsidRPr="00475A0C" w14:paraId="617DFE7F" w14:textId="144276EC" w:rsidTr="007B36AB">
        <w:tc>
          <w:tcPr>
            <w:tcW w:w="4675" w:type="dxa"/>
          </w:tcPr>
          <w:p w14:paraId="398FECD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Para la excepción mencionada en el segundo párrafo de este artículo, se pueden establecer metodologías para garantizar el bienestar de la población y el control de la inflación en los petrolíferos.</w:t>
            </w:r>
          </w:p>
        </w:tc>
        <w:tc>
          <w:tcPr>
            <w:tcW w:w="4675" w:type="dxa"/>
          </w:tcPr>
          <w:p w14:paraId="54D8F2F5" w14:textId="2821B2CD"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For the exception mentioned in the second paragraph of this article, methodologies can be established to ensure the well-being of the population and control inflation in the oil sector.</w:t>
            </w:r>
          </w:p>
        </w:tc>
      </w:tr>
      <w:tr w:rsidR="003B20AD" w:rsidRPr="00475A0C" w14:paraId="4670F308" w14:textId="4FB5C1CB" w:rsidTr="007B36AB">
        <w:tc>
          <w:tcPr>
            <w:tcW w:w="4675" w:type="dxa"/>
          </w:tcPr>
          <w:p w14:paraId="39993AC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118.-</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sus competencias, pueden establecer las disposiciones a las que se sujeten las personas Permisionarias de Transporte, Almacenamiento, Distribución, Expendio al Público y Comercialización de Hidrocarburos, Petrolíferos y Petroquímicos, así como las personas Usuarias de dichos productos y servicios, con objeto de promover el desarrollo eficiente de mercados en estos sectores. Para la emisión de las disposiciones puede solicitar la opinión de la autoridad competente en materia de competencia económica.</w:t>
            </w:r>
          </w:p>
        </w:tc>
        <w:tc>
          <w:tcPr>
            <w:tcW w:w="4675" w:type="dxa"/>
          </w:tcPr>
          <w:p w14:paraId="0AD8643D" w14:textId="6DD64516"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Article 118.-</w:t>
            </w:r>
            <w:r w:rsidRPr="00E3602D">
              <w:rPr>
                <w:rFonts w:ascii="Verdana" w:hAnsi="Verdana"/>
                <w:sz w:val="16"/>
                <w:szCs w:val="16"/>
                <w:lang w:val="en-US"/>
              </w:rPr>
              <w:t xml:space="preserve"> The Secretary of Energy or the National Commission of Energy, within the scope of their powers, may establish the provisions to which permit holders of transportation, storage, distribution, public sale, and marketing of hydrocarbons, petroleum products, and petrochemicals, as well as users of said products and services, are subject, in order to promote the efficient development of markets in these sectors. In issuing these provisions, they may request the opinion of the appropriate authority in matters of economic competition.</w:t>
            </w:r>
          </w:p>
        </w:tc>
      </w:tr>
      <w:tr w:rsidR="003B20AD" w:rsidRPr="00475A0C" w14:paraId="0446F662" w14:textId="2B9D3CFE" w:rsidTr="007B36AB">
        <w:tc>
          <w:tcPr>
            <w:tcW w:w="4675" w:type="dxa"/>
          </w:tcPr>
          <w:p w14:paraId="762854B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Las disposiciones a que se refiere el párrafo anterior deben contemplar que las personas que, directa o indirectamente, sean propietarias de capital social de personas Usuarias Finales, productores o comercializadores de Hidrocarburos, Petrolíferos y Petroquímicos que utilicen los servicios de Transporte por ducto o Almacenamiento sujetos a acceso abierto, solamente pueden participar, directa o indirectamente, en el capital social de las personas Permisionarias que presten estos servicios cuando dicha participación cruzada no afecte la competencia, la eficiencia en los mercados y el acceso abierto efectivo, para lo cual deben:</w:t>
            </w:r>
          </w:p>
        </w:tc>
        <w:tc>
          <w:tcPr>
            <w:tcW w:w="4675" w:type="dxa"/>
          </w:tcPr>
          <w:p w14:paraId="4A39A747" w14:textId="562A7079"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provisions referred to in the preceding paragraph must contemplate that persons who, directly or indirectly, are owners of share capital of end users, producers or marketers of hydrocarbons, petroleum products and petrochemicals that use pipeline transportation or storage services subject to open access, may only participate, directly or indirectly, in the share capital of Permit Holders who provide these services when such cross-participation does not affect competition, market efficiency and effective open access, for which they must:</w:t>
            </w:r>
          </w:p>
        </w:tc>
      </w:tr>
      <w:tr w:rsidR="003B20AD" w:rsidRPr="00475A0C" w14:paraId="4BB408D6" w14:textId="48756A05" w:rsidTr="007B36AB">
        <w:tc>
          <w:tcPr>
            <w:tcW w:w="4675" w:type="dxa"/>
          </w:tcPr>
          <w:p w14:paraId="3166B17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Realizar sus operaciones en sistemas independientes, o</w:t>
            </w:r>
          </w:p>
        </w:tc>
        <w:tc>
          <w:tcPr>
            <w:tcW w:w="4675" w:type="dxa"/>
          </w:tcPr>
          <w:p w14:paraId="5B711450" w14:textId="6FE03A18"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Carry out their operations on independent systems, or</w:t>
            </w:r>
          </w:p>
        </w:tc>
      </w:tr>
      <w:tr w:rsidR="003B20AD" w:rsidRPr="00475A0C" w14:paraId="798176D0" w14:textId="653F5202" w:rsidTr="007B36AB">
        <w:tc>
          <w:tcPr>
            <w:tcW w:w="4675" w:type="dxa"/>
          </w:tcPr>
          <w:p w14:paraId="54C3E05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Establecer los mecanismos jurídicos y corporativos respectivos que impidan intervenir de cualquier manera en la operación y administración de las personas Permisionarias.</w:t>
            </w:r>
          </w:p>
        </w:tc>
        <w:tc>
          <w:tcPr>
            <w:tcW w:w="4675" w:type="dxa"/>
          </w:tcPr>
          <w:p w14:paraId="493A08B1" w14:textId="082195A5"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Establish the respective legal and corporate mechanisms that prevent any intervention in the operation and administration of the Permit Holders.</w:t>
            </w:r>
          </w:p>
        </w:tc>
      </w:tr>
      <w:tr w:rsidR="003B20AD" w:rsidRPr="00475A0C" w14:paraId="0BC9080F" w14:textId="41C017B9" w:rsidTr="007B36AB">
        <w:tc>
          <w:tcPr>
            <w:tcW w:w="4675" w:type="dxa"/>
          </w:tcPr>
          <w:p w14:paraId="76B7FF46"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En todo caso, la participación cruzada a la que se refiere el segundo párrafo de este artículo y sus modificaciones deben ser autorizadas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quien debe contar previamente con la opinión favorable de la autoridad competente en materia de competencia económica.</w:t>
            </w:r>
          </w:p>
        </w:tc>
        <w:tc>
          <w:tcPr>
            <w:tcW w:w="4675" w:type="dxa"/>
          </w:tcPr>
          <w:p w14:paraId="015AF0E6" w14:textId="2F18B116"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In any case, the cross-shareholding referred to in the second paragraph of this article and any modifications thereof must be authorized by the Secretary of Energy, which must first obtain a favorable opinion from the competent authority in matters of economic competition.</w:t>
            </w:r>
          </w:p>
        </w:tc>
      </w:tr>
      <w:tr w:rsidR="003B20AD" w:rsidRPr="00475A0C" w14:paraId="4C7FF9CD" w14:textId="2825350B" w:rsidTr="007B36AB">
        <w:tc>
          <w:tcPr>
            <w:tcW w:w="4675" w:type="dxa"/>
          </w:tcPr>
          <w:p w14:paraId="3A46E305"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Lo previsto en el presente artículo no es aplicable al Grupo de Interés Económico del que formen parte las Empresas Públicas del Estado, atendiendo a lo previsto en el artículo 28, cuarto párrafo, de </w:t>
            </w:r>
            <w:smartTag w:uri="urn:schemas-microsoft-com:office:smarttags" w:element="PersonName">
              <w:smartTagPr>
                <w:attr w:name="ProductID" w:val="la Constitución Política"/>
              </w:smartTagPr>
              <w:r w:rsidRPr="00475A0C">
                <w:rPr>
                  <w:rFonts w:ascii="Verdana" w:hAnsi="Verdana"/>
                  <w:sz w:val="16"/>
                  <w:szCs w:val="16"/>
                </w:rPr>
                <w:t>la Constitución Política</w:t>
              </w:r>
            </w:smartTag>
            <w:r w:rsidRPr="00475A0C">
              <w:rPr>
                <w:rFonts w:ascii="Verdana" w:hAnsi="Verdana"/>
                <w:sz w:val="16"/>
                <w:szCs w:val="16"/>
              </w:rPr>
              <w:t xml:space="preserve"> de los Estados Unidos Mexicanos.</w:t>
            </w:r>
          </w:p>
        </w:tc>
        <w:tc>
          <w:tcPr>
            <w:tcW w:w="4675" w:type="dxa"/>
          </w:tcPr>
          <w:p w14:paraId="3670AEA1" w14:textId="1FCC4772"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provisions of this article do not apply to the Economic Interest Group of which the State-owned Enterprises are part, in accordance with the provisions of article 28, fourth paragraph of the Political Constitution of the United Mexican States.</w:t>
            </w:r>
          </w:p>
        </w:tc>
      </w:tr>
      <w:tr w:rsidR="003B20AD" w:rsidRPr="00475A0C" w14:paraId="46218021" w14:textId="53FA0E82" w:rsidTr="007B36AB">
        <w:tc>
          <w:tcPr>
            <w:tcW w:w="4675" w:type="dxa"/>
          </w:tcPr>
          <w:p w14:paraId="649F1625"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lastRenderedPageBreak/>
              <w:t>Artículo 119.-</w:t>
            </w:r>
            <w:r w:rsidRPr="00475A0C">
              <w:rPr>
                <w:rFonts w:ascii="Verdana" w:hAnsi="Verdana"/>
                <w:sz w:val="16"/>
                <w:szCs w:val="16"/>
              </w:rPr>
              <w:t xml:space="preserve"> Las personas Permisionarias de las actividades reguladas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deben, según corresponda:</w:t>
            </w:r>
          </w:p>
        </w:tc>
        <w:tc>
          <w:tcPr>
            <w:tcW w:w="4675" w:type="dxa"/>
          </w:tcPr>
          <w:p w14:paraId="3B0B68BE" w14:textId="5C238AD5"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119.- </w:t>
            </w:r>
            <w:r w:rsidRPr="00E3602D">
              <w:rPr>
                <w:rFonts w:ascii="Verdana" w:hAnsi="Verdana"/>
                <w:sz w:val="16"/>
                <w:szCs w:val="16"/>
                <w:lang w:val="en-US"/>
              </w:rPr>
              <w:t>The permit holders of activities regulated by the Secretary of Energy or the National Commission of Energy must, as appropriate:</w:t>
            </w:r>
          </w:p>
        </w:tc>
      </w:tr>
      <w:tr w:rsidR="003B20AD" w:rsidRPr="00475A0C" w14:paraId="5EF4E84F" w14:textId="0DD0E4A6" w:rsidTr="007B36AB">
        <w:tc>
          <w:tcPr>
            <w:tcW w:w="4675" w:type="dxa"/>
          </w:tcPr>
          <w:p w14:paraId="0E3D410A"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Contar con el permiso vigente correspondiente;</w:t>
            </w:r>
          </w:p>
        </w:tc>
        <w:tc>
          <w:tcPr>
            <w:tcW w:w="4675" w:type="dxa"/>
          </w:tcPr>
          <w:p w14:paraId="21E07A37" w14:textId="6BF330C6"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Have the corresponding valid permit;</w:t>
            </w:r>
          </w:p>
        </w:tc>
      </w:tr>
      <w:tr w:rsidR="003B20AD" w:rsidRPr="00475A0C" w14:paraId="156C398C" w14:textId="65D09463" w:rsidTr="007B36AB">
        <w:tc>
          <w:tcPr>
            <w:tcW w:w="4675" w:type="dxa"/>
          </w:tcPr>
          <w:p w14:paraId="74810A12"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Cumplir los términos y condiciones establecidos en los permisos, así como abstenerse de ceder, traspasar, realizar compra venta o gravar, total o parcialmente, los derechos u obligaciones derivados de los mismos en contravención de esta Ley;</w:t>
            </w:r>
          </w:p>
        </w:tc>
        <w:tc>
          <w:tcPr>
            <w:tcW w:w="4675" w:type="dxa"/>
          </w:tcPr>
          <w:p w14:paraId="0DD975C1" w14:textId="6BA31F6E"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Comply with the terms and conditions established in the permits, as well as refrain from assigning, transferring, buying or selling, or encumbering, in whole or in part, the rights or obligations derived from them in violation of this Law;</w:t>
            </w:r>
          </w:p>
        </w:tc>
      </w:tr>
      <w:tr w:rsidR="003B20AD" w:rsidRPr="00475A0C" w14:paraId="345D35BE" w14:textId="6E6F93E5" w:rsidTr="007B36AB">
        <w:tc>
          <w:tcPr>
            <w:tcW w:w="4675" w:type="dxa"/>
          </w:tcPr>
          <w:p w14:paraId="73E85DA3"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Entregar la cantidad y calidad de Hidrocarburos, Petrolíferos y Petroquímicos, conforme se establezca en las disposiciones aplicables;</w:t>
            </w:r>
          </w:p>
        </w:tc>
        <w:tc>
          <w:tcPr>
            <w:tcW w:w="4675" w:type="dxa"/>
          </w:tcPr>
          <w:p w14:paraId="49899B79" w14:textId="2DF7F7A2"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Deliver the quantity and quality of hydrocarbons, petroleum products and petrochemicals, as established in the applicable provisions;</w:t>
            </w:r>
          </w:p>
        </w:tc>
      </w:tr>
      <w:tr w:rsidR="003B20AD" w:rsidRPr="00475A0C" w14:paraId="14924C9D" w14:textId="0A613933" w:rsidTr="007B36AB">
        <w:tc>
          <w:tcPr>
            <w:tcW w:w="4675" w:type="dxa"/>
          </w:tcPr>
          <w:p w14:paraId="76E399D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Cumplir con la cantidad, medición y calidad conforme se establezca en las disposiciones jurídicas aplicables;</w:t>
            </w:r>
          </w:p>
        </w:tc>
        <w:tc>
          <w:tcPr>
            <w:tcW w:w="4675" w:type="dxa"/>
          </w:tcPr>
          <w:p w14:paraId="4EDC0FED" w14:textId="63956921"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Comply with the quantity, measurement and quality as established in the applicable legal provisions;</w:t>
            </w:r>
          </w:p>
        </w:tc>
      </w:tr>
      <w:tr w:rsidR="003B20AD" w:rsidRPr="00475A0C" w14:paraId="372996E1" w14:textId="0F157C88" w:rsidTr="007B36AB">
        <w:tc>
          <w:tcPr>
            <w:tcW w:w="4675" w:type="dxa"/>
          </w:tcPr>
          <w:p w14:paraId="4B91E5CC"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Realizar sus actividades, con Hidrocarburos, Petrolíferos y Petroquímicos de procedencia lícita;</w:t>
            </w:r>
          </w:p>
        </w:tc>
        <w:tc>
          <w:tcPr>
            <w:tcW w:w="4675" w:type="dxa"/>
          </w:tcPr>
          <w:p w14:paraId="465722E8" w14:textId="6A36C094"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Carry out its activities with hydrocarbons, petroleum products and petrochemicals of legal origin;</w:t>
            </w:r>
          </w:p>
        </w:tc>
      </w:tr>
      <w:tr w:rsidR="003B20AD" w:rsidRPr="00475A0C" w14:paraId="5265AD86" w14:textId="52E3E57D" w:rsidTr="007B36AB">
        <w:tc>
          <w:tcPr>
            <w:tcW w:w="4675" w:type="dxa"/>
          </w:tcPr>
          <w:p w14:paraId="518E126D"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Prestar los servicios de forma eficiente, uniforme, homogénea, regular, segura y continua, así como cumplir los términos y condiciones contenidos en los permisos;</w:t>
            </w:r>
          </w:p>
        </w:tc>
        <w:tc>
          <w:tcPr>
            <w:tcW w:w="4675" w:type="dxa"/>
          </w:tcPr>
          <w:p w14:paraId="0BE7CC3F" w14:textId="6C8270B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Provide services in an efficient, uniform, homogeneous, regular, safe and continuous manner, as well as comply with the terms and conditions contained in the permits;</w:t>
            </w:r>
          </w:p>
        </w:tc>
      </w:tr>
      <w:tr w:rsidR="003B20AD" w:rsidRPr="00475A0C" w14:paraId="2E6F1133" w14:textId="132F2B13" w:rsidTr="007B36AB">
        <w:tc>
          <w:tcPr>
            <w:tcW w:w="4675" w:type="dxa"/>
          </w:tcPr>
          <w:p w14:paraId="21BEC3ED"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VII.</w:t>
            </w:r>
            <w:r w:rsidRPr="00475A0C">
              <w:rPr>
                <w:rFonts w:ascii="Verdana" w:hAnsi="Verdana"/>
                <w:sz w:val="16"/>
                <w:szCs w:val="16"/>
              </w:rPr>
              <w:tab/>
              <w:t>Contar con un servicio permanente de recepción y atención de quejas y reportes de emergencia;</w:t>
            </w:r>
          </w:p>
        </w:tc>
        <w:tc>
          <w:tcPr>
            <w:tcW w:w="4675" w:type="dxa"/>
          </w:tcPr>
          <w:p w14:paraId="13943678" w14:textId="632A78BD"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Have a permanent service for receiving and handling complaints and emergency reports;</w:t>
            </w:r>
          </w:p>
        </w:tc>
      </w:tr>
      <w:tr w:rsidR="003B20AD" w:rsidRPr="00475A0C" w14:paraId="1B16FF78" w14:textId="2F073A81" w:rsidTr="007B36AB">
        <w:tc>
          <w:tcPr>
            <w:tcW w:w="4675" w:type="dxa"/>
          </w:tcPr>
          <w:p w14:paraId="75F38A8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 xml:space="preserve">Obtener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para modificar las condiciones técnicas y de prestación del servicio de los sistemas, ductos, instalaciones o equipos, según corresponda;</w:t>
            </w:r>
          </w:p>
        </w:tc>
        <w:tc>
          <w:tcPr>
            <w:tcW w:w="4675" w:type="dxa"/>
          </w:tcPr>
          <w:p w14:paraId="435C4280" w14:textId="548639D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Obtain authorization from the Secretary of Energy, or the National Commission of Energy, to modify the technical and service provision conditions of the systems, pipelines, facilities or equipment, as appropriate;</w:t>
            </w:r>
          </w:p>
        </w:tc>
      </w:tr>
      <w:tr w:rsidR="003B20AD" w:rsidRPr="00475A0C" w14:paraId="03B9CBA1" w14:textId="4D0AA3FB" w:rsidTr="007B36AB">
        <w:tc>
          <w:tcPr>
            <w:tcW w:w="4675" w:type="dxa"/>
          </w:tcPr>
          <w:p w14:paraId="5C53539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IX.</w:t>
            </w:r>
            <w:r w:rsidRPr="00475A0C">
              <w:rPr>
                <w:rFonts w:ascii="Verdana" w:hAnsi="Verdana"/>
                <w:sz w:val="16"/>
                <w:szCs w:val="16"/>
              </w:rPr>
              <w:tab/>
              <w:t xml:space="preserve">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de cualquier circunstancia que implique la modificación de los términos y condiciones en la prestación del servicio;</w:t>
            </w:r>
          </w:p>
        </w:tc>
        <w:tc>
          <w:tcPr>
            <w:tcW w:w="4675" w:type="dxa"/>
          </w:tcPr>
          <w:p w14:paraId="2C41BE82" w14:textId="14547609"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sz w:val="16"/>
                <w:szCs w:val="16"/>
                <w:lang w:val="en-US"/>
              </w:rPr>
              <w:tab/>
              <w:t>Notify the Secretary of Energy or the National Commission of Energy, as appropriate, of any circumstance that implies the modification of the terms and conditions of the provision of the service;</w:t>
            </w:r>
          </w:p>
        </w:tc>
      </w:tr>
      <w:tr w:rsidR="003B20AD" w:rsidRPr="00475A0C" w14:paraId="7AB82A01" w14:textId="0FF13E67" w:rsidTr="007B36AB">
        <w:tc>
          <w:tcPr>
            <w:tcW w:w="4675" w:type="dxa"/>
          </w:tcPr>
          <w:p w14:paraId="09C58CD3"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w:t>
            </w:r>
            <w:r w:rsidRPr="00475A0C">
              <w:rPr>
                <w:rFonts w:ascii="Verdana" w:hAnsi="Verdana"/>
                <w:sz w:val="16"/>
                <w:szCs w:val="16"/>
              </w:rPr>
              <w:tab/>
              <w:t>Abstenerse de otorgar subsidios cruzados en la prestación de los servicios permisionados, así como de realizar prácticas indebidamente discriminatorias;</w:t>
            </w:r>
          </w:p>
        </w:tc>
        <w:tc>
          <w:tcPr>
            <w:tcW w:w="4675" w:type="dxa"/>
          </w:tcPr>
          <w:p w14:paraId="34F3C0A6" w14:textId="0AB37169"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sz w:val="16"/>
                <w:szCs w:val="16"/>
                <w:lang w:val="en-US"/>
              </w:rPr>
              <w:tab/>
              <w:t>Refrain from granting cross-subsidies in the provision of permitted services, as well as from engaging in unduly discriminatory practices;</w:t>
            </w:r>
          </w:p>
        </w:tc>
      </w:tr>
      <w:tr w:rsidR="003B20AD" w:rsidRPr="00475A0C" w14:paraId="08FD61E0" w14:textId="4120C05A" w:rsidTr="007B36AB">
        <w:tc>
          <w:tcPr>
            <w:tcW w:w="4675" w:type="dxa"/>
          </w:tcPr>
          <w:p w14:paraId="063060C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XI.</w:t>
            </w:r>
            <w:r w:rsidRPr="00475A0C">
              <w:rPr>
                <w:rFonts w:ascii="Verdana" w:hAnsi="Verdana"/>
                <w:sz w:val="16"/>
                <w:szCs w:val="16"/>
              </w:rPr>
              <w:tab/>
              <w:t>Respetar los precios o tarifas máximas que se establezcan;</w:t>
            </w:r>
          </w:p>
        </w:tc>
        <w:tc>
          <w:tcPr>
            <w:tcW w:w="4675" w:type="dxa"/>
          </w:tcPr>
          <w:p w14:paraId="208004A1" w14:textId="21127727"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sz w:val="16"/>
                <w:szCs w:val="16"/>
                <w:lang w:val="en-US"/>
              </w:rPr>
              <w:tab/>
              <w:t>Respect the maximum prices or rates that are established;</w:t>
            </w:r>
          </w:p>
        </w:tc>
      </w:tr>
      <w:tr w:rsidR="003B20AD" w:rsidRPr="00475A0C" w14:paraId="5999633C" w14:textId="74F4D3D0" w:rsidTr="007B36AB">
        <w:tc>
          <w:tcPr>
            <w:tcW w:w="4675" w:type="dxa"/>
          </w:tcPr>
          <w:p w14:paraId="7BA08EF6"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XII.</w:t>
            </w:r>
            <w:r w:rsidRPr="00475A0C">
              <w:rPr>
                <w:rFonts w:ascii="Verdana" w:hAnsi="Verdana"/>
                <w:sz w:val="16"/>
                <w:szCs w:val="16"/>
              </w:rPr>
              <w:tab/>
              <w:t xml:space="preserve">Obtener autorización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según corresponda, para la suspensión de los servicios, salvo por causa de caso fortuito o fuerza mayor, en cuyo caso se debe informar de inmediato a la autoridad correspondiente;</w:t>
            </w:r>
          </w:p>
        </w:tc>
        <w:tc>
          <w:tcPr>
            <w:tcW w:w="4675" w:type="dxa"/>
          </w:tcPr>
          <w:p w14:paraId="6F6EC26E" w14:textId="135ACC3F"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sz w:val="16"/>
                <w:szCs w:val="16"/>
                <w:lang w:val="en-US"/>
              </w:rPr>
              <w:tab/>
              <w:t>Obtain authorization from the Secretary of Energy or the National Commission of Energy, as appropriate, for the suspension of services, except in cases of unforeseen circumstances or force majeure, in which case the corresponding authority must be informed immediately;</w:t>
            </w:r>
          </w:p>
        </w:tc>
      </w:tr>
      <w:tr w:rsidR="003B20AD" w:rsidRPr="00475A0C" w14:paraId="259DC837" w14:textId="1ED976FD" w:rsidTr="007B36AB">
        <w:tc>
          <w:tcPr>
            <w:tcW w:w="4675" w:type="dxa"/>
          </w:tcPr>
          <w:p w14:paraId="6C80D5FA"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XIII.</w:t>
            </w:r>
            <w:r w:rsidRPr="00475A0C">
              <w:rPr>
                <w:rFonts w:ascii="Verdana" w:hAnsi="Verdana"/>
                <w:sz w:val="16"/>
                <w:szCs w:val="16"/>
              </w:rPr>
              <w:tab/>
              <w:t>Observar las disposiciones legales en materia laboral, penal, fiscal y de transparencia que resulten aplicables;</w:t>
            </w:r>
          </w:p>
        </w:tc>
        <w:tc>
          <w:tcPr>
            <w:tcW w:w="4675" w:type="dxa"/>
          </w:tcPr>
          <w:p w14:paraId="17B6905E" w14:textId="16E696B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sz w:val="16"/>
                <w:szCs w:val="16"/>
                <w:lang w:val="en-US"/>
              </w:rPr>
              <w:tab/>
              <w:t>Observe the legal provisions regarding labor, criminal, tax and transparency matters that are applicable;</w:t>
            </w:r>
          </w:p>
        </w:tc>
      </w:tr>
      <w:tr w:rsidR="003B20AD" w:rsidRPr="00475A0C" w14:paraId="4DB050A8" w14:textId="4F33B54F" w:rsidTr="007B36AB">
        <w:tc>
          <w:tcPr>
            <w:tcW w:w="4675" w:type="dxa"/>
          </w:tcPr>
          <w:p w14:paraId="3116AB24"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XIV.</w:t>
            </w:r>
            <w:r w:rsidRPr="00475A0C">
              <w:rPr>
                <w:rFonts w:ascii="Verdana" w:hAnsi="Verdana"/>
                <w:sz w:val="16"/>
                <w:szCs w:val="16"/>
              </w:rPr>
              <w:tab/>
              <w:t xml:space="preserve">Permitir el acceso a sus instalaciones y equipos, así como facilitar la labor de los verificadores de las Secretarías de Energía, y de Hacienda y Crédito </w:t>
            </w:r>
            <w:r w:rsidRPr="00475A0C">
              <w:rPr>
                <w:rFonts w:ascii="Verdana" w:hAnsi="Verdana"/>
                <w:sz w:val="16"/>
                <w:szCs w:val="16"/>
              </w:rPr>
              <w:lastRenderedPageBreak/>
              <w:t xml:space="preserve">Público, así como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y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según corresponda;</w:t>
            </w:r>
          </w:p>
        </w:tc>
        <w:tc>
          <w:tcPr>
            <w:tcW w:w="4675" w:type="dxa"/>
          </w:tcPr>
          <w:p w14:paraId="0DBF6ED8" w14:textId="34174150"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lastRenderedPageBreak/>
              <w:t xml:space="preserve">XIV. </w:t>
            </w:r>
            <w:r w:rsidRPr="00E3602D">
              <w:rPr>
                <w:rFonts w:ascii="Verdana" w:hAnsi="Verdana"/>
                <w:sz w:val="16"/>
                <w:szCs w:val="16"/>
                <w:lang w:val="en-US"/>
              </w:rPr>
              <w:tab/>
              <w:t xml:space="preserve">Allow access to its facilities and equipment, as well as facilitate the work of the verifiers of the Secretaries of Energy, and of Finance and Public Credit, </w:t>
            </w:r>
            <w:r w:rsidRPr="00E3602D">
              <w:rPr>
                <w:rFonts w:ascii="Verdana" w:hAnsi="Verdana"/>
                <w:sz w:val="16"/>
                <w:szCs w:val="16"/>
                <w:lang w:val="en-US"/>
              </w:rPr>
              <w:lastRenderedPageBreak/>
              <w:t>as well as of the National Commission of Energy and la Agencia, as appropriate;</w:t>
            </w:r>
          </w:p>
        </w:tc>
      </w:tr>
      <w:tr w:rsidR="003B20AD" w:rsidRPr="00475A0C" w14:paraId="754A92BC" w14:textId="41A0FBFF" w:rsidTr="007B36AB">
        <w:tc>
          <w:tcPr>
            <w:tcW w:w="4675" w:type="dxa"/>
          </w:tcPr>
          <w:p w14:paraId="001308F0"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XV.</w:t>
            </w:r>
            <w:r w:rsidRPr="00475A0C">
              <w:rPr>
                <w:rFonts w:ascii="Verdana" w:hAnsi="Verdana"/>
                <w:sz w:val="16"/>
                <w:szCs w:val="16"/>
              </w:rPr>
              <w:tab/>
              <w:t xml:space="preserve">Cumplir con la regulación, lineamientos y disposiciones administrativas que emitan las Secretarías de Energía, de Hacienda y Crédito Público y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en el ámbito de sus respectivas competencias.</w:t>
            </w:r>
          </w:p>
        </w:tc>
        <w:tc>
          <w:tcPr>
            <w:tcW w:w="4675" w:type="dxa"/>
          </w:tcPr>
          <w:p w14:paraId="57F03D14" w14:textId="670B259B"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XV. </w:t>
            </w:r>
            <w:r w:rsidRPr="00E3602D">
              <w:rPr>
                <w:rFonts w:ascii="Verdana" w:hAnsi="Verdana"/>
                <w:sz w:val="16"/>
                <w:szCs w:val="16"/>
                <w:lang w:val="en-US"/>
              </w:rPr>
              <w:tab/>
              <w:t>Comply with the regulation, guidelines and administrative provisions issued by the Secretaries of Energy, Finance and Public Credit and the Agency, within the scope of their respective powers.</w:t>
            </w:r>
          </w:p>
        </w:tc>
      </w:tr>
      <w:tr w:rsidR="003B20AD" w:rsidRPr="00475A0C" w14:paraId="28C5ADF4" w14:textId="5F79C27E" w:rsidTr="007B36AB">
        <w:tc>
          <w:tcPr>
            <w:tcW w:w="4675" w:type="dxa"/>
          </w:tcPr>
          <w:p w14:paraId="48EC354D"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En materia de seguridad industrial, operativa y protección al medio ambiente, las personas Permisionarias son responsables de los daños y perjuicios ocasionados por fugas y derrames de Hidrocarburos, Petrolíferos y Petroquímicos o demás daños que resulten por la realización de sus actividades, en términos de las disposiciones jurídicas aplicables;</w:t>
            </w:r>
          </w:p>
        </w:tc>
        <w:tc>
          <w:tcPr>
            <w:tcW w:w="4675" w:type="dxa"/>
          </w:tcPr>
          <w:p w14:paraId="5D274B7D" w14:textId="14F3B265" w:rsidR="003B20AD" w:rsidRPr="00E3602D" w:rsidRDefault="003B20AD" w:rsidP="003B20AD">
            <w:pPr>
              <w:pStyle w:val="Texto"/>
              <w:spacing w:line="229" w:lineRule="exact"/>
              <w:ind w:firstLine="0"/>
              <w:rPr>
                <w:rFonts w:ascii="Verdana" w:hAnsi="Verdana"/>
                <w:sz w:val="16"/>
                <w:szCs w:val="16"/>
                <w:lang w:val="en-US"/>
              </w:rPr>
            </w:pPr>
            <w:r w:rsidRPr="00E3602D">
              <w:rPr>
                <w:rFonts w:ascii="Verdana" w:hAnsi="Verdana"/>
                <w:sz w:val="16"/>
                <w:szCs w:val="16"/>
                <w:lang w:val="en-US"/>
              </w:rPr>
              <w:tab/>
              <w:t>In terms of industrial and operational safety and environmental protection, permit holders are responsible for damages and losses caused by leaks and spills of hydrocarbons, petroleum products and petrochemicals or other damages resulting from the performance of their activities, in terms of the applicable legal provisions;</w:t>
            </w:r>
          </w:p>
        </w:tc>
      </w:tr>
      <w:tr w:rsidR="003B20AD" w:rsidRPr="00475A0C" w14:paraId="586EFAD9" w14:textId="19466AE1" w:rsidTr="007B36AB">
        <w:tc>
          <w:tcPr>
            <w:tcW w:w="4675" w:type="dxa"/>
          </w:tcPr>
          <w:p w14:paraId="42AF4175"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XVI.</w:t>
            </w:r>
            <w:r w:rsidRPr="00475A0C">
              <w:rPr>
                <w:rFonts w:ascii="Verdana" w:hAnsi="Verdana"/>
                <w:sz w:val="16"/>
                <w:szCs w:val="16"/>
              </w:rPr>
              <w:tab/>
              <w:t xml:space="preserve">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y a las demás autoridades competentes sobre cualquier siniestro, hecho o contingencia que, como resultado de sus actividades, ponga en peligro la vida, la salud o la seguridad públicas, el medio ambiente; la seguridad de las instalaciones o la producción o suministro de Hidrocarburos, Petrolíferos y Petroquímicos; y aplicar los planes de contingencia, medidas de emergencia y acciones de contención que correspondan de acuerdo con su responsabilidad, en los términos de la regulación correspondiente. Sin perjuicio de lo anterior, deben presentar ante dichas dependencias:</w:t>
            </w:r>
          </w:p>
        </w:tc>
        <w:tc>
          <w:tcPr>
            <w:tcW w:w="4675" w:type="dxa"/>
          </w:tcPr>
          <w:p w14:paraId="3D7EE69F" w14:textId="7EA973A3"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XVI. </w:t>
            </w:r>
            <w:r w:rsidRPr="00E3602D">
              <w:rPr>
                <w:rFonts w:ascii="Verdana" w:hAnsi="Verdana"/>
                <w:sz w:val="16"/>
                <w:szCs w:val="16"/>
                <w:lang w:val="en-US"/>
              </w:rPr>
              <w:tab/>
              <w:t>Notify the Secretary of Energy, the National Commission of Energy, and to the Agency and all appropriate authorities of any incident, event, or contingency that, as a result of their activities, endangers public life, health, or safety, the environment, the safety of facilities, or the production or supply of hydrocarbons, petroleum products, and petrochemicals; and implement the contingency plans, emergency measures, and containment actions that correspond to their responsibilities, in accordance with the terms of the relevant regulations. Without prejudice to the foregoing, they must submit to said agencies:</w:t>
            </w:r>
          </w:p>
        </w:tc>
      </w:tr>
      <w:tr w:rsidR="003B20AD" w:rsidRPr="00475A0C" w14:paraId="19A62F88" w14:textId="291443D5" w:rsidTr="007B36AB">
        <w:tc>
          <w:tcPr>
            <w:tcW w:w="4675" w:type="dxa"/>
          </w:tcPr>
          <w:p w14:paraId="349A2C67"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Un informe de hechos, así como las medidas tomadas para su control, en los casos y términos que establece la regulación correspondiente, y</w:t>
            </w:r>
          </w:p>
        </w:tc>
        <w:tc>
          <w:tcPr>
            <w:tcW w:w="4675" w:type="dxa"/>
          </w:tcPr>
          <w:p w14:paraId="097B1122" w14:textId="23F40803"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A report of the facts, as well as the measures taken to control them, in the cases and terms established by the corresponding regulation, and</w:t>
            </w:r>
          </w:p>
        </w:tc>
      </w:tr>
      <w:tr w:rsidR="003B20AD" w:rsidRPr="00475A0C" w14:paraId="44FCB367" w14:textId="2DAA2AB0" w:rsidTr="007B36AB">
        <w:tc>
          <w:tcPr>
            <w:tcW w:w="4675" w:type="dxa"/>
          </w:tcPr>
          <w:p w14:paraId="177A2C28"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lang w:val="es-ES_tradnl"/>
              </w:rPr>
              <w:t xml:space="preserve">Un informe detallado sobre las causas que lo originaron y las medidas tomadas para su control y, en su caso, </w:t>
            </w:r>
            <w:r w:rsidRPr="00475A0C">
              <w:rPr>
                <w:rFonts w:ascii="Verdana" w:hAnsi="Verdana"/>
                <w:sz w:val="16"/>
                <w:szCs w:val="16"/>
              </w:rPr>
              <w:t>remediación, en los casos y términos que establece la regulación correspondiente.</w:t>
            </w:r>
          </w:p>
        </w:tc>
        <w:tc>
          <w:tcPr>
            <w:tcW w:w="4675" w:type="dxa"/>
          </w:tcPr>
          <w:p w14:paraId="74345DCD" w14:textId="63E40EF0"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A detailed report on the causes that gave rise to it and the measures taken to control it and, where appropriate, remediate it, in the cases and terms established by the corresponding regulations.</w:t>
            </w:r>
          </w:p>
        </w:tc>
      </w:tr>
      <w:tr w:rsidR="003B20AD" w:rsidRPr="00475A0C" w14:paraId="6DFC6E92" w14:textId="4DB48D1F" w:rsidTr="007B36AB">
        <w:tc>
          <w:tcPr>
            <w:tcW w:w="4675" w:type="dxa"/>
          </w:tcPr>
          <w:p w14:paraId="2D7B4B17"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XVII.</w:t>
            </w:r>
            <w:r w:rsidRPr="00475A0C">
              <w:rPr>
                <w:rFonts w:ascii="Verdana" w:hAnsi="Verdana"/>
                <w:sz w:val="16"/>
                <w:szCs w:val="16"/>
              </w:rPr>
              <w:tab/>
              <w:t>Proporcionar el auxilio que les sea requerido por las autoridades competentes en caso de emergencia o siniestro;</w:t>
            </w:r>
          </w:p>
        </w:tc>
        <w:tc>
          <w:tcPr>
            <w:tcW w:w="4675" w:type="dxa"/>
          </w:tcPr>
          <w:p w14:paraId="2296BD59" w14:textId="3522970E"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XVII. </w:t>
            </w:r>
            <w:r w:rsidRPr="00E3602D">
              <w:rPr>
                <w:rFonts w:ascii="Verdana" w:hAnsi="Verdana"/>
                <w:sz w:val="16"/>
                <w:szCs w:val="16"/>
                <w:lang w:val="en-US"/>
              </w:rPr>
              <w:tab/>
              <w:t>Provide the assistance required by the appropriate authorities in case of emergency or disaster;</w:t>
            </w:r>
          </w:p>
        </w:tc>
      </w:tr>
      <w:tr w:rsidR="003B20AD" w:rsidRPr="00475A0C" w14:paraId="6B1DBEE5" w14:textId="1F3F124E" w:rsidTr="007B36AB">
        <w:tc>
          <w:tcPr>
            <w:tcW w:w="4675" w:type="dxa"/>
          </w:tcPr>
          <w:p w14:paraId="082AC03E"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XVIII.</w:t>
            </w:r>
            <w:r w:rsidRPr="00475A0C">
              <w:rPr>
                <w:rFonts w:ascii="Verdana" w:hAnsi="Verdana"/>
                <w:sz w:val="16"/>
                <w:szCs w:val="16"/>
              </w:rPr>
              <w:tab/>
              <w:t>Presentar anualmente el programa de mantenimiento de sus sistemas e instalaciones y comprobar su cumplimiento, en los términos de las Normas Oficiales Mexicanas y la regulación aplicable;</w:t>
            </w:r>
          </w:p>
        </w:tc>
        <w:tc>
          <w:tcPr>
            <w:tcW w:w="4675" w:type="dxa"/>
          </w:tcPr>
          <w:p w14:paraId="51ADF5C1" w14:textId="2FC136F2"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XVIII. </w:t>
            </w:r>
            <w:r w:rsidRPr="00E3602D">
              <w:rPr>
                <w:rFonts w:ascii="Verdana" w:hAnsi="Verdana"/>
                <w:sz w:val="16"/>
                <w:szCs w:val="16"/>
                <w:lang w:val="en-US"/>
              </w:rPr>
              <w:tab/>
              <w:t>Annually submit the maintenance program for its systems and facilities and verify its compliance, in accordance with the Official Mexican Standards and applicable regulations;</w:t>
            </w:r>
          </w:p>
        </w:tc>
      </w:tr>
      <w:tr w:rsidR="003B20AD" w:rsidRPr="00475A0C" w14:paraId="52C1B1B6" w14:textId="70669627" w:rsidTr="007B36AB">
        <w:tc>
          <w:tcPr>
            <w:tcW w:w="4675" w:type="dxa"/>
          </w:tcPr>
          <w:p w14:paraId="6F31561E"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XIX.</w:t>
            </w:r>
            <w:r w:rsidRPr="00475A0C">
              <w:rPr>
                <w:rFonts w:ascii="Verdana" w:hAnsi="Verdana"/>
                <w:sz w:val="16"/>
                <w:szCs w:val="16"/>
              </w:rPr>
              <w:tab/>
              <w:t>Llevar un libro de bitácora para la operación, supervisión y mantenimiento de obras e instalaciones, así como capacitar a su personal en materias de prevención y atención de siniestros;</w:t>
            </w:r>
          </w:p>
        </w:tc>
        <w:tc>
          <w:tcPr>
            <w:tcW w:w="4675" w:type="dxa"/>
          </w:tcPr>
          <w:p w14:paraId="2A9B52A0" w14:textId="53035D72"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XIX. </w:t>
            </w:r>
            <w:r w:rsidRPr="00E3602D">
              <w:rPr>
                <w:rFonts w:ascii="Verdana" w:hAnsi="Verdana"/>
                <w:sz w:val="16"/>
                <w:szCs w:val="16"/>
                <w:lang w:val="en-US"/>
              </w:rPr>
              <w:tab/>
              <w:t>Keep a logbook for the operation, supervision, and maintenance of works and facilities, as well as train its personnel in matters of accident prevention and response;</w:t>
            </w:r>
          </w:p>
        </w:tc>
      </w:tr>
      <w:tr w:rsidR="003B20AD" w:rsidRPr="00475A0C" w14:paraId="772838C6" w14:textId="745BE335" w:rsidTr="007B36AB">
        <w:tc>
          <w:tcPr>
            <w:tcW w:w="4675" w:type="dxa"/>
          </w:tcPr>
          <w:p w14:paraId="6BCB73D9"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XX.</w:t>
            </w:r>
            <w:r w:rsidRPr="00475A0C">
              <w:rPr>
                <w:rFonts w:ascii="Verdana" w:hAnsi="Verdana"/>
                <w:sz w:val="16"/>
                <w:szCs w:val="16"/>
              </w:rPr>
              <w:tab/>
              <w:t xml:space="preserve">Cumplir en tiempo y forma con las solicitudes de información y reportes que soliciten las Secretarías de Energía y de Hacienda y Crédito Público,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y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w:t>
            </w:r>
          </w:p>
        </w:tc>
        <w:tc>
          <w:tcPr>
            <w:tcW w:w="4675" w:type="dxa"/>
          </w:tcPr>
          <w:p w14:paraId="04284B03" w14:textId="5E27FED1"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XX. </w:t>
            </w:r>
            <w:r w:rsidRPr="00E3602D">
              <w:rPr>
                <w:rFonts w:ascii="Verdana" w:hAnsi="Verdana"/>
                <w:sz w:val="16"/>
                <w:szCs w:val="16"/>
                <w:lang w:val="en-US"/>
              </w:rPr>
              <w:tab/>
              <w:t>Comply in a timely manner with requests for information and reports requested by the Secretaries of Energy and Finance and Public Credit, the National Commission of Energy and the Agency;</w:t>
            </w:r>
          </w:p>
        </w:tc>
      </w:tr>
      <w:tr w:rsidR="003B20AD" w:rsidRPr="00475A0C" w14:paraId="57A756DB" w14:textId="5D6761FA" w:rsidTr="007B36AB">
        <w:tc>
          <w:tcPr>
            <w:tcW w:w="4675" w:type="dxa"/>
          </w:tcPr>
          <w:p w14:paraId="5D170854"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XXI.</w:t>
            </w:r>
            <w:r w:rsidRPr="00475A0C">
              <w:rPr>
                <w:rFonts w:ascii="Verdana" w:hAnsi="Verdana"/>
                <w:sz w:val="16"/>
                <w:szCs w:val="16"/>
              </w:rPr>
              <w:tab/>
              <w:t xml:space="preserve">Presentar la información en los términos y formatos que les sea requerida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w:t>
            </w:r>
            <w:r w:rsidRPr="00475A0C">
              <w:rPr>
                <w:rFonts w:ascii="Verdana" w:hAnsi="Verdana"/>
                <w:sz w:val="16"/>
                <w:szCs w:val="16"/>
              </w:rPr>
              <w:lastRenderedPageBreak/>
              <w:t>de sus competencias, en relación con las actividades reguladas;</w:t>
            </w:r>
          </w:p>
        </w:tc>
        <w:tc>
          <w:tcPr>
            <w:tcW w:w="4675" w:type="dxa"/>
          </w:tcPr>
          <w:p w14:paraId="6226A99B" w14:textId="09C78BF3"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lastRenderedPageBreak/>
              <w:t xml:space="preserve">XXI. </w:t>
            </w:r>
            <w:r w:rsidRPr="00E3602D">
              <w:rPr>
                <w:rFonts w:ascii="Verdana" w:hAnsi="Verdana"/>
                <w:sz w:val="16"/>
                <w:szCs w:val="16"/>
                <w:lang w:val="en-US"/>
              </w:rPr>
              <w:tab/>
              <w:t xml:space="preserve">Submit information under the terms and formats required by the Secretary of Energy or the </w:t>
            </w:r>
            <w:r w:rsidRPr="00E3602D">
              <w:rPr>
                <w:rFonts w:ascii="Verdana" w:hAnsi="Verdana"/>
                <w:sz w:val="16"/>
                <w:szCs w:val="16"/>
                <w:lang w:val="en-US"/>
              </w:rPr>
              <w:lastRenderedPageBreak/>
              <w:t>National Commission of Energy, within the scope of their powers, with regard to the regulated activities;</w:t>
            </w:r>
          </w:p>
        </w:tc>
      </w:tr>
      <w:tr w:rsidR="003B20AD" w:rsidRPr="00475A0C" w14:paraId="49D8D582" w14:textId="5C15E388" w:rsidTr="007B36AB">
        <w:tc>
          <w:tcPr>
            <w:tcW w:w="4675" w:type="dxa"/>
          </w:tcPr>
          <w:p w14:paraId="49BBEF51"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XXII.</w:t>
            </w:r>
            <w:r w:rsidRPr="00475A0C">
              <w:rPr>
                <w:rFonts w:ascii="Verdana" w:hAnsi="Verdana"/>
                <w:sz w:val="16"/>
                <w:szCs w:val="16"/>
              </w:rPr>
              <w:tab/>
              <w:t>Contar con los equipos y programas informáticos para llevar controles volumétricos y los certificados que acrediten su correcta operación y funcionamiento, así como con dictámenes emitidos por un laboratorio de prueba o ensayo, que determinen el tipo de hidrocarburo o petrolífero de que se trate, el poder calorífico del gas natural y el octanaje en el caso de gasolina. Se entiende por controles volumétricos de los Hidrocarburos y Petrolíferos, los registros de volumen, objeto de sus operaciones, incluyendo sus existencias;</w:t>
            </w:r>
          </w:p>
        </w:tc>
        <w:tc>
          <w:tcPr>
            <w:tcW w:w="4675" w:type="dxa"/>
          </w:tcPr>
          <w:p w14:paraId="4EC6CFAF" w14:textId="2BF16F12"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XXII. </w:t>
            </w:r>
            <w:r w:rsidRPr="00E3602D">
              <w:rPr>
                <w:rFonts w:ascii="Verdana" w:hAnsi="Verdana"/>
                <w:sz w:val="16"/>
                <w:szCs w:val="16"/>
                <w:lang w:val="en-US"/>
              </w:rPr>
              <w:tab/>
              <w:t>Have the necessary equipment and software to carry out volumetric controls and the certificates that attest to their correct operation and functioning, as well as reports issued by a testing or trial laboratory, which determine the type of hydrocarbon or petroleum involved, the calorific value of natural gas, and the octane rating in the case of gasoline. Volumetric controls of hydrocarbons and petroleum products are understood to include volume records, the object of their operations, including their stocks;</w:t>
            </w:r>
          </w:p>
        </w:tc>
      </w:tr>
      <w:tr w:rsidR="003B20AD" w:rsidRPr="00475A0C" w14:paraId="40CF3A9C" w14:textId="0FA01CC9" w:rsidTr="007B36AB">
        <w:tc>
          <w:tcPr>
            <w:tcW w:w="4675" w:type="dxa"/>
          </w:tcPr>
          <w:p w14:paraId="1E83C953"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XXIII.</w:t>
            </w:r>
            <w:r w:rsidRPr="00475A0C">
              <w:rPr>
                <w:rFonts w:ascii="Verdana" w:hAnsi="Verdana"/>
                <w:sz w:val="16"/>
                <w:szCs w:val="16"/>
              </w:rPr>
              <w:tab/>
              <w:t>Contar con los controles volumétricos de Hidrocarburos o Petrolíferos, y</w:t>
            </w:r>
          </w:p>
        </w:tc>
        <w:tc>
          <w:tcPr>
            <w:tcW w:w="4675" w:type="dxa"/>
          </w:tcPr>
          <w:p w14:paraId="0C7D1427" w14:textId="6FFE753C"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XXIII. </w:t>
            </w:r>
            <w:r w:rsidRPr="00E3602D">
              <w:rPr>
                <w:rFonts w:ascii="Verdana" w:hAnsi="Verdana"/>
                <w:sz w:val="16"/>
                <w:szCs w:val="16"/>
                <w:lang w:val="en-US"/>
              </w:rPr>
              <w:tab/>
              <w:t>Have volumetric controls of hydrocarbons or petroleum products, and</w:t>
            </w:r>
          </w:p>
        </w:tc>
      </w:tr>
      <w:tr w:rsidR="003B20AD" w:rsidRPr="00475A0C" w14:paraId="009C960C" w14:textId="2B44F6AF" w:rsidTr="007B36AB">
        <w:tc>
          <w:tcPr>
            <w:tcW w:w="4675" w:type="dxa"/>
          </w:tcPr>
          <w:p w14:paraId="69085B1F"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b/>
                <w:sz w:val="16"/>
                <w:szCs w:val="16"/>
              </w:rPr>
              <w:t>XXIV.</w:t>
            </w:r>
            <w:r w:rsidRPr="00475A0C">
              <w:rPr>
                <w:rFonts w:ascii="Verdana" w:hAnsi="Verdana"/>
                <w:b/>
                <w:sz w:val="16"/>
                <w:szCs w:val="16"/>
              </w:rPr>
              <w:tab/>
            </w:r>
            <w:r w:rsidRPr="00475A0C">
              <w:rPr>
                <w:rFonts w:ascii="Verdana" w:hAnsi="Verdana"/>
                <w:sz w:val="16"/>
                <w:szCs w:val="16"/>
              </w:rPr>
              <w:t>Generar el registro de información de forma diaria y reportes mensuales de información de controles volumétricos que deberán contener: los registros de volumen provenientes de las operaciones de recepción, entrega y de control de existencias obtenidos de los equipos instalados en los puntos donde se reciban, se entreguen y se encuentren almacenados Hidrocarburos o Petrolíferos; los datos de los comprobantes fiscales o pedimentos asociados a la adquisición y enajenación de los Hidrocarburos o Petrolíferos o, en su caso, a los servicios que tuvieron por objeto tales productos; la información contenida en los dictámenes que determinen el tipo de Hidrocarburo o Petrolífero, así como en los certificados que acrediten la correcta operación y funcionamiento de los equipos y programas informáticos para llevar controles volumétricos, de conformidad con las reglas de carácter general y las especificaciones técnicas que para tal efecto emita la autoridad fiscal competente.</w:t>
            </w:r>
          </w:p>
        </w:tc>
        <w:tc>
          <w:tcPr>
            <w:tcW w:w="4675" w:type="dxa"/>
          </w:tcPr>
          <w:p w14:paraId="0FB84F06" w14:textId="2AA0567B" w:rsidR="003B20AD" w:rsidRPr="00E3602D" w:rsidRDefault="003B20AD" w:rsidP="003B20AD">
            <w:pPr>
              <w:pStyle w:val="Texto"/>
              <w:spacing w:line="229" w:lineRule="exact"/>
              <w:ind w:firstLine="0"/>
              <w:rPr>
                <w:rFonts w:ascii="Verdana" w:hAnsi="Verdana"/>
                <w:b/>
                <w:sz w:val="16"/>
                <w:szCs w:val="16"/>
                <w:lang w:val="en-US"/>
              </w:rPr>
            </w:pPr>
            <w:r w:rsidRPr="00E3602D">
              <w:rPr>
                <w:rFonts w:ascii="Verdana" w:hAnsi="Verdana"/>
                <w:b/>
                <w:sz w:val="16"/>
                <w:szCs w:val="16"/>
                <w:lang w:val="en-US"/>
              </w:rPr>
              <w:t xml:space="preserve">XXIV. </w:t>
            </w:r>
            <w:r w:rsidRPr="00E3602D">
              <w:rPr>
                <w:rFonts w:ascii="Verdana" w:hAnsi="Verdana"/>
                <w:b/>
                <w:sz w:val="16"/>
                <w:szCs w:val="16"/>
                <w:lang w:val="en-US"/>
              </w:rPr>
              <w:tab/>
            </w:r>
            <w:r w:rsidRPr="00E3602D">
              <w:rPr>
                <w:rFonts w:ascii="Verdana" w:hAnsi="Verdana"/>
                <w:sz w:val="16"/>
                <w:szCs w:val="16"/>
                <w:lang w:val="en-US"/>
              </w:rPr>
              <w:t>Generate daily information records and monthly reports on volumetric control information, which must contain: volume records from receiving, delivery, and inventory control operations obtained from the equipment installed at the points where hydrocarbons or petroleum products are received, delivered, and stored; data from tax receipts or customs documents associated with the acquisition and sale of hydrocarbons or petroleum products or, where applicable, the services provided for such products; information contained in reports determining the type of hydrocarbon or petroleum product, as well as in certificates attesting to the proper operation and functioning of the equipment and software for volumetric control, in accordance with the general rules and technical specifications issued for such purposes by the appropriate tax authority.</w:t>
            </w:r>
          </w:p>
        </w:tc>
      </w:tr>
      <w:tr w:rsidR="003B20AD" w:rsidRPr="00475A0C" w14:paraId="163729B4" w14:textId="45EC759A" w:rsidTr="007B36AB">
        <w:tc>
          <w:tcPr>
            <w:tcW w:w="4675" w:type="dxa"/>
          </w:tcPr>
          <w:p w14:paraId="1234FF69" w14:textId="77777777" w:rsidR="003B20AD" w:rsidRPr="00475A0C" w:rsidRDefault="003B20AD" w:rsidP="003B20AD">
            <w:pPr>
              <w:pStyle w:val="Texto"/>
              <w:spacing w:line="229" w:lineRule="exact"/>
              <w:ind w:firstLine="0"/>
              <w:rPr>
                <w:rFonts w:ascii="Verdana" w:hAnsi="Verdana"/>
                <w:sz w:val="16"/>
                <w:szCs w:val="16"/>
              </w:rPr>
            </w:pPr>
            <w:r w:rsidRPr="00475A0C">
              <w:rPr>
                <w:rFonts w:ascii="Verdana" w:hAnsi="Verdana"/>
                <w:sz w:val="16"/>
                <w:szCs w:val="16"/>
              </w:rPr>
              <w:t>El incumplimiento de las obligaciones previstas en las fracciones XXII, XXIII y XXIV del presente artículo, podrán dar lugar a la restricción temporal o cancelación de los certificados de sello digital para la expedición de comprobantes fiscales digitales por Internet, en los términos previstos en las disposiciones fiscales.</w:t>
            </w:r>
          </w:p>
        </w:tc>
        <w:tc>
          <w:tcPr>
            <w:tcW w:w="4675" w:type="dxa"/>
          </w:tcPr>
          <w:p w14:paraId="1B6865DF" w14:textId="1D1234A7" w:rsidR="003B20AD" w:rsidRPr="00E3602D" w:rsidRDefault="003B20AD" w:rsidP="003B20AD">
            <w:pPr>
              <w:pStyle w:val="Texto"/>
              <w:spacing w:line="229" w:lineRule="exact"/>
              <w:ind w:firstLine="0"/>
              <w:rPr>
                <w:rFonts w:ascii="Verdana" w:hAnsi="Verdana"/>
                <w:sz w:val="16"/>
                <w:szCs w:val="16"/>
                <w:lang w:val="en-US"/>
              </w:rPr>
            </w:pPr>
            <w:r w:rsidRPr="00E3602D">
              <w:rPr>
                <w:rFonts w:ascii="Verdana" w:hAnsi="Verdana"/>
                <w:sz w:val="16"/>
                <w:szCs w:val="16"/>
                <w:lang w:val="en-US"/>
              </w:rPr>
              <w:t>Failure to comply with the obligations set forth in sections XXII, XXIII, and XXIV of this article may result in the temporary restriction or cancellation of digital seal certificates for the issuance of digital tax receipts online, under the terms provided for in the tax regulations.</w:t>
            </w:r>
          </w:p>
        </w:tc>
      </w:tr>
      <w:tr w:rsidR="003B20AD" w:rsidRPr="00475A0C" w14:paraId="1DE33130" w14:textId="28F62566" w:rsidTr="007B36AB">
        <w:tc>
          <w:tcPr>
            <w:tcW w:w="4675" w:type="dxa"/>
          </w:tcPr>
          <w:p w14:paraId="5D47931A"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TÍTULO CUARTO</w:t>
            </w:r>
          </w:p>
        </w:tc>
        <w:tc>
          <w:tcPr>
            <w:tcW w:w="4675" w:type="dxa"/>
          </w:tcPr>
          <w:p w14:paraId="060582E4" w14:textId="64000228"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FOUR</w:t>
            </w:r>
            <w:r w:rsidRPr="00E3602D">
              <w:rPr>
                <w:rFonts w:ascii="Verdana" w:hAnsi="Verdana"/>
                <w:b/>
                <w:sz w:val="16"/>
                <w:szCs w:val="16"/>
                <w:lang w:val="en-US"/>
              </w:rPr>
              <w:t xml:space="preserve">TH TITLE </w:t>
            </w:r>
          </w:p>
        </w:tc>
      </w:tr>
      <w:tr w:rsidR="003B20AD" w:rsidRPr="00475A0C" w14:paraId="2AEF2038" w14:textId="04E7E90C" w:rsidTr="007B36AB">
        <w:tc>
          <w:tcPr>
            <w:tcW w:w="4675" w:type="dxa"/>
          </w:tcPr>
          <w:p w14:paraId="2FE2CD6A"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 xml:space="preserve">Disposiciones aplicables a </w:t>
            </w:r>
            <w:smartTag w:uri="urn:schemas-microsoft-com:office:smarttags" w:element="PersonName">
              <w:smartTagPr>
                <w:attr w:name="ProductID" w:val="la Industria"/>
              </w:smartTagPr>
              <w:r w:rsidRPr="00475A0C">
                <w:rPr>
                  <w:rFonts w:ascii="Verdana" w:hAnsi="Verdana"/>
                  <w:b/>
                  <w:sz w:val="16"/>
                  <w:szCs w:val="16"/>
                </w:rPr>
                <w:t>la Industria</w:t>
              </w:r>
            </w:smartTag>
            <w:r w:rsidRPr="00475A0C">
              <w:rPr>
                <w:rFonts w:ascii="Verdana" w:hAnsi="Verdana"/>
                <w:b/>
                <w:sz w:val="16"/>
                <w:szCs w:val="16"/>
              </w:rPr>
              <w:t xml:space="preserve"> de Hidrocarburos</w:t>
            </w:r>
          </w:p>
        </w:tc>
        <w:tc>
          <w:tcPr>
            <w:tcW w:w="4675" w:type="dxa"/>
          </w:tcPr>
          <w:p w14:paraId="4FE436E4" w14:textId="3072C27A"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Provisions applicable to the Hydrocarbons Industry</w:t>
            </w:r>
          </w:p>
        </w:tc>
      </w:tr>
      <w:tr w:rsidR="003B20AD" w:rsidRPr="00475A0C" w14:paraId="36DE7F96" w14:textId="21A2A4A6" w:rsidTr="007B36AB">
        <w:tc>
          <w:tcPr>
            <w:tcW w:w="4675" w:type="dxa"/>
          </w:tcPr>
          <w:p w14:paraId="32B3CD7A"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Capítulo I</w:t>
            </w:r>
          </w:p>
        </w:tc>
        <w:tc>
          <w:tcPr>
            <w:tcW w:w="4675" w:type="dxa"/>
          </w:tcPr>
          <w:p w14:paraId="779346F3" w14:textId="6A418A03"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Chapter I</w:t>
            </w:r>
          </w:p>
        </w:tc>
      </w:tr>
      <w:tr w:rsidR="003B20AD" w:rsidRPr="00475A0C" w14:paraId="4E886D4D" w14:textId="2901569A" w:rsidTr="007B36AB">
        <w:tc>
          <w:tcPr>
            <w:tcW w:w="4675" w:type="dxa"/>
          </w:tcPr>
          <w:p w14:paraId="10D17529" w14:textId="77777777" w:rsidR="003B20AD" w:rsidRPr="00475A0C" w:rsidRDefault="003B20AD" w:rsidP="003B20AD">
            <w:pPr>
              <w:pStyle w:val="Texto"/>
              <w:spacing w:line="226" w:lineRule="exact"/>
              <w:ind w:firstLine="0"/>
              <w:jc w:val="center"/>
              <w:rPr>
                <w:rFonts w:ascii="Verdana" w:hAnsi="Verdana"/>
                <w:b/>
                <w:sz w:val="16"/>
                <w:szCs w:val="16"/>
              </w:rPr>
            </w:pPr>
            <w:r w:rsidRPr="00475A0C">
              <w:rPr>
                <w:rFonts w:ascii="Verdana" w:hAnsi="Verdana"/>
                <w:b/>
                <w:sz w:val="16"/>
                <w:szCs w:val="16"/>
              </w:rPr>
              <w:t>De las Sanciones</w:t>
            </w:r>
          </w:p>
        </w:tc>
        <w:tc>
          <w:tcPr>
            <w:tcW w:w="4675" w:type="dxa"/>
          </w:tcPr>
          <w:p w14:paraId="33640E44" w14:textId="698640A8" w:rsidR="003B20AD" w:rsidRPr="00E3602D" w:rsidRDefault="003B20AD" w:rsidP="003B20AD">
            <w:pPr>
              <w:pStyle w:val="Texto"/>
              <w:spacing w:line="226" w:lineRule="exact"/>
              <w:ind w:firstLine="0"/>
              <w:jc w:val="center"/>
              <w:rPr>
                <w:rFonts w:ascii="Verdana" w:hAnsi="Verdana"/>
                <w:b/>
                <w:sz w:val="16"/>
                <w:szCs w:val="16"/>
                <w:lang w:val="en-US"/>
              </w:rPr>
            </w:pPr>
            <w:r w:rsidRPr="00E3602D">
              <w:rPr>
                <w:rFonts w:ascii="Verdana" w:hAnsi="Verdana"/>
                <w:b/>
                <w:sz w:val="16"/>
                <w:szCs w:val="16"/>
                <w:lang w:val="en-US"/>
              </w:rPr>
              <w:t>Sanctions</w:t>
            </w:r>
          </w:p>
        </w:tc>
      </w:tr>
      <w:tr w:rsidR="003B20AD" w:rsidRPr="00475A0C" w14:paraId="46E8E261" w14:textId="088EAEA4" w:rsidTr="007B36AB">
        <w:tc>
          <w:tcPr>
            <w:tcW w:w="4675" w:type="dxa"/>
          </w:tcPr>
          <w:p w14:paraId="62D600C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120.-</w:t>
            </w:r>
            <w:r w:rsidRPr="00475A0C">
              <w:rPr>
                <w:rFonts w:ascii="Verdana" w:hAnsi="Verdana"/>
                <w:sz w:val="16"/>
                <w:szCs w:val="16"/>
              </w:rPr>
              <w:t xml:space="preserve"> Las infracciones al Título Segundo de esta Ley y a sus disposiciones reglamentarias serán sancionadas tomando en cuenta la gravedad de la falta, de acuerdo con lo siguiente:</w:t>
            </w:r>
          </w:p>
        </w:tc>
        <w:tc>
          <w:tcPr>
            <w:tcW w:w="4675" w:type="dxa"/>
          </w:tcPr>
          <w:p w14:paraId="64CE7569" w14:textId="52F7632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120.- </w:t>
            </w:r>
            <w:r w:rsidRPr="00E3602D">
              <w:rPr>
                <w:rFonts w:ascii="Verdana" w:hAnsi="Verdana"/>
                <w:sz w:val="16"/>
                <w:szCs w:val="16"/>
                <w:lang w:val="en-US"/>
              </w:rPr>
              <w:t>Violations of Second Title of this Law and its regulatory provisions will be sanctioned taking into account the seriousness of the violation, in accordance with the following:</w:t>
            </w:r>
          </w:p>
        </w:tc>
      </w:tr>
      <w:tr w:rsidR="003B20AD" w:rsidRPr="00475A0C" w14:paraId="401A4669" w14:textId="0A0AA832" w:rsidTr="007B36AB">
        <w:tc>
          <w:tcPr>
            <w:tcW w:w="4675" w:type="dxa"/>
          </w:tcPr>
          <w:p w14:paraId="6F41886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sancionar:</w:t>
            </w:r>
          </w:p>
        </w:tc>
        <w:tc>
          <w:tcPr>
            <w:tcW w:w="4675" w:type="dxa"/>
          </w:tcPr>
          <w:p w14:paraId="55E3397D" w14:textId="6FB37D2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Secretary of Energy must sanction:</w:t>
            </w:r>
          </w:p>
        </w:tc>
      </w:tr>
      <w:tr w:rsidR="003B20AD" w:rsidRPr="00475A0C" w14:paraId="25AE7B7B" w14:textId="3438DB66" w:rsidTr="007B36AB">
        <w:tc>
          <w:tcPr>
            <w:tcW w:w="4675" w:type="dxa"/>
          </w:tcPr>
          <w:p w14:paraId="4B0BFB2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lastRenderedPageBreak/>
              <w:t>a)</w:t>
            </w:r>
            <w:r w:rsidRPr="00475A0C">
              <w:rPr>
                <w:rFonts w:ascii="Verdana" w:hAnsi="Verdana"/>
                <w:b/>
                <w:sz w:val="16"/>
                <w:szCs w:val="16"/>
              </w:rPr>
              <w:tab/>
            </w:r>
            <w:r w:rsidRPr="00475A0C">
              <w:rPr>
                <w:rFonts w:ascii="Verdana" w:hAnsi="Verdana"/>
                <w:sz w:val="16"/>
                <w:szCs w:val="16"/>
              </w:rPr>
              <w:t xml:space="preserve">No entregar en tiempo y forma la información que se obtenga como resultado de los trabajos de Reconocimiento y Exploración Superficial, así como de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conforme a la regulación correspondiente, con multa de entre diecisiete mil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0445AADB" w14:textId="5B3516D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Failure to deliver in a timely manner the information obtained as a result of the work of surface reconnaissance and exploration, as well as the exploration and extraction of hydrocarbons, in accordance with the corresponding regulation, with a fine of between seventeen thousand and five hundred and sixteen thousand times the daily value of the Unit of Measurement and Update (UMA);</w:t>
            </w:r>
            <w:r w:rsidRPr="00E3602D">
              <w:rPr>
                <w:rStyle w:val="FootnoteReference"/>
                <w:rFonts w:ascii="Verdana" w:hAnsi="Verdana"/>
                <w:sz w:val="16"/>
                <w:szCs w:val="16"/>
                <w:lang w:val="en-US"/>
              </w:rPr>
              <w:footnoteReference w:id="2"/>
            </w:r>
          </w:p>
        </w:tc>
      </w:tr>
      <w:tr w:rsidR="003B20AD" w:rsidRPr="00475A0C" w14:paraId="440D3798" w14:textId="043E2A17" w:rsidTr="007B36AB">
        <w:tc>
          <w:tcPr>
            <w:tcW w:w="4675" w:type="dxa"/>
          </w:tcPr>
          <w:p w14:paraId="31C3EAA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El incumplimiento de los términos y condiciones que se establezcan en las autorizaciones para las actividades de Reconocimiento y Exploración Superficial que haya expedido, con multa de entre diecisiete mil a ciento setenta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FE178D7" w14:textId="670E39F0"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 xml:space="preserve">Failure to comply with the terms and conditions established in the authorizations for surface reconnaissance and exploration activities that have been issued, with a fine of between seventeen thousand and one hundred seventy-two thousand times the daily value of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7C8DDE57" w14:textId="4BECC8CA" w:rsidTr="007B36AB">
        <w:tc>
          <w:tcPr>
            <w:tcW w:w="4675" w:type="dxa"/>
          </w:tcPr>
          <w:p w14:paraId="4A1AADE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El inicio de los trabajos de Reconocimiento y Exploración Superficial sin la autorización correspondiente, con multa de entre trescientas cuarenta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5DFBF6E" w14:textId="354F3D57"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 xml:space="preserve">The start of surface reconnaissance and exploration works without the corresponding authorization, with a fine of between three hundred and forty-four thousand and one million thirty-two thousand times the daily value of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77ED9039" w14:textId="602B12A0" w:rsidTr="007B36AB">
        <w:tc>
          <w:tcPr>
            <w:tcW w:w="4675" w:type="dxa"/>
          </w:tcPr>
          <w:p w14:paraId="699799A0"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 xml:space="preserve">El inicio de los trabajos de Reconocimiento y Exploración Superficial por parte de Asignatarios y Contratistas, sin dar el aviso a que se refiere el párrafo tercero del artículo 65 de esta Ley, con multa de entre treinta y cuatro mil a ciento setenta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F7664DB" w14:textId="3F2C254D"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 xml:space="preserve">The commencement of surface reconnaissance and exploration works by Assignees and Contractors, without giving the notice referred to in the third paragraph of article 65 of this Law, with a fine of between thirty-four thousand and one hundred seventy-two thousand times the daily value of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212410AB" w14:textId="0C4FE15F" w:rsidTr="007B36AB">
        <w:tc>
          <w:tcPr>
            <w:tcW w:w="4675" w:type="dxa"/>
          </w:tcPr>
          <w:p w14:paraId="6FC2D9A2"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 xml:space="preserve">El incumplimiento de los términos y condiciones que se establezcan en las Asignaciones, con multa de entre treinta y cuatro mil a ciento setenta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F85AE2F" w14:textId="3E66EB3D"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 xml:space="preserve">Failure to comply with the terms and conditions established in the Assignments, with a fine of between thirty-four thousand and one hundred seventy-two thousand times the daily value of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3E8AEA5B" w14:textId="1841079B" w:rsidTr="007B36AB">
        <w:tc>
          <w:tcPr>
            <w:tcW w:w="4675" w:type="dxa"/>
          </w:tcPr>
          <w:p w14:paraId="7FA02A7D"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 xml:space="preserve">La cesión, compra venta, traspaso o gravamen total o parcial, de los derechos u obligaciones derivados de una Asignación en contravención de lo establecido en esta Ley, con multa de entre ochocientas sesenta mil a un millón setecientas veinte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11CD7DE2" w14:textId="2722663E"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 xml:space="preserve">The assignment, sale, purchase, transfer or total or partial encumbrance of the rights or obligations derived from an Assignment in violation of the provisions of this Law, with a fine of between eight hundred and sixty thousand and one million seven hundred and twenty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22AB07FD" w14:textId="0F7DED51" w:rsidTr="007B36AB">
        <w:tc>
          <w:tcPr>
            <w:tcW w:w="4675" w:type="dxa"/>
          </w:tcPr>
          <w:p w14:paraId="724D8317"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g)</w:t>
            </w:r>
            <w:r w:rsidRPr="00475A0C">
              <w:rPr>
                <w:rFonts w:ascii="Verdana" w:hAnsi="Verdana"/>
                <w:b/>
                <w:sz w:val="16"/>
                <w:szCs w:val="16"/>
              </w:rPr>
              <w:tab/>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o Extracción de Hidrocarburos sin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vigente a que hace referencia esta Ley, con multa de entre once millones cuatrocientas sesenta y cuatro mil a diecisiete millones ciento noventa y cinco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 más un monto equivalente al valor de los </w:t>
            </w:r>
            <w:r w:rsidRPr="00475A0C">
              <w:rPr>
                <w:rFonts w:ascii="Verdana" w:hAnsi="Verdana"/>
                <w:sz w:val="16"/>
                <w:szCs w:val="16"/>
              </w:rPr>
              <w:lastRenderedPageBreak/>
              <w:t xml:space="preserve">Hidrocarburos que hayan sido extraídos conforme a la estimación que al efecto lleve a cabo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6D05FEE2" w14:textId="00B94BE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lastRenderedPageBreak/>
              <w:t xml:space="preserve">g) </w:t>
            </w:r>
            <w:r w:rsidRPr="00E3602D">
              <w:rPr>
                <w:rFonts w:ascii="Verdana" w:hAnsi="Verdana"/>
                <w:b/>
                <w:sz w:val="16"/>
                <w:szCs w:val="16"/>
                <w:lang w:val="en-US"/>
              </w:rPr>
              <w:tab/>
            </w:r>
            <w:r w:rsidRPr="00E3602D">
              <w:rPr>
                <w:rFonts w:ascii="Verdana" w:hAnsi="Verdana"/>
                <w:sz w:val="16"/>
                <w:szCs w:val="16"/>
                <w:lang w:val="en-US"/>
              </w:rPr>
              <w:t xml:space="preserve">The exploration or extraction of hydrocarbons without the Assignment or Contract for the current exploration and extraction to which this Law makes reference, with a fine of between eleven million four hundred sixty-four thousand and seventeen million one hundred ninety-five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 xml:space="preserve">; plus an amount </w:t>
            </w:r>
            <w:r w:rsidRPr="00E3602D">
              <w:rPr>
                <w:rFonts w:ascii="Verdana" w:hAnsi="Verdana"/>
                <w:sz w:val="16"/>
                <w:szCs w:val="16"/>
                <w:lang w:val="en-US"/>
              </w:rPr>
              <w:lastRenderedPageBreak/>
              <w:t xml:space="preserve">equivalent to the value of the hydrocarbons that have been extracted according to the estimate made for this purpose by the Secretary of Energy; </w:t>
            </w:r>
          </w:p>
        </w:tc>
      </w:tr>
      <w:tr w:rsidR="003B20AD" w:rsidRPr="00475A0C" w14:paraId="351DB131" w14:textId="3DC0CB68" w:rsidTr="007B36AB">
        <w:tc>
          <w:tcPr>
            <w:tcW w:w="4675" w:type="dxa"/>
          </w:tcPr>
          <w:p w14:paraId="165E277D"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h)</w:t>
            </w:r>
            <w:r w:rsidRPr="00475A0C">
              <w:rPr>
                <w:rFonts w:ascii="Verdana" w:hAnsi="Verdana"/>
                <w:b/>
                <w:sz w:val="16"/>
                <w:szCs w:val="16"/>
              </w:rPr>
              <w:tab/>
            </w:r>
            <w:r w:rsidRPr="00475A0C">
              <w:rPr>
                <w:rFonts w:ascii="Verdana" w:hAnsi="Verdana"/>
                <w:sz w:val="16"/>
                <w:szCs w:val="16"/>
              </w:rPr>
              <w:t xml:space="preserve">La realización de actividades de perforación de pozos sin la autorización correspondiente en los términos de la regulación que al efecto emita la misma Secretaría de Energía, con multa de entre trescientas cuarenta y cuatro mil a ochocientos sesenta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28483105" w14:textId="5B1B2B8E"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h) </w:t>
            </w:r>
            <w:r w:rsidRPr="00E3602D">
              <w:rPr>
                <w:rFonts w:ascii="Verdana" w:hAnsi="Verdana"/>
                <w:b/>
                <w:sz w:val="16"/>
                <w:szCs w:val="16"/>
                <w:lang w:val="en-US"/>
              </w:rPr>
              <w:tab/>
            </w:r>
            <w:r w:rsidRPr="00E3602D">
              <w:rPr>
                <w:rFonts w:ascii="Verdana" w:hAnsi="Verdana"/>
                <w:sz w:val="16"/>
                <w:szCs w:val="16"/>
                <w:lang w:val="en-US"/>
              </w:rPr>
              <w:t xml:space="preserve">Carrying out well drilling activities without the corresponding authorization under the terms of the regulations issued for this purpose by the same Secretary of Energy, with a fine of between three hundred and forty-four thousand and eight hundred and sixty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1B969B1A" w14:textId="4E996345" w:rsidTr="007B36AB">
        <w:tc>
          <w:tcPr>
            <w:tcW w:w="4675" w:type="dxa"/>
          </w:tcPr>
          <w:p w14:paraId="4F2362EA"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 xml:space="preserve">El inicio de la ejecución del plan de Exploración o del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sin la aprobación correspondiente, con multa de entre un millón setecientas veinte mil a seis millones ochocientas ochenta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D822342" w14:textId="0ABB162D"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 xml:space="preserve">The start of the execution of the exploration plan or the development plan for the extraction without the corresponding approval, with a fine of between one million seven hundred twenty thousand and six million eight hundred eighty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69AEE9C7" w14:textId="20A1D690" w:rsidTr="007B36AB">
        <w:tc>
          <w:tcPr>
            <w:tcW w:w="4675" w:type="dxa"/>
          </w:tcPr>
          <w:p w14:paraId="7BC90417"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j)</w:t>
            </w:r>
            <w:r w:rsidRPr="00475A0C">
              <w:rPr>
                <w:rFonts w:ascii="Verdana" w:hAnsi="Verdana"/>
                <w:b/>
                <w:sz w:val="16"/>
                <w:szCs w:val="16"/>
              </w:rPr>
              <w:tab/>
            </w:r>
            <w:r w:rsidRPr="00475A0C">
              <w:rPr>
                <w:rFonts w:ascii="Verdana" w:hAnsi="Verdana"/>
                <w:sz w:val="16"/>
                <w:szCs w:val="16"/>
              </w:rPr>
              <w:t xml:space="preserve">Incumplir el plan de Exploración o el plan de desarrollo para </w:t>
            </w:r>
            <w:smartTag w:uri="urn:schemas-microsoft-com:office:smarttags" w:element="PersonName">
              <w:smartTagPr>
                <w:attr w:name="ProductID" w:val="la Extracción"/>
              </w:smartTagPr>
              <w:r w:rsidRPr="00475A0C">
                <w:rPr>
                  <w:rFonts w:ascii="Verdana" w:hAnsi="Verdana"/>
                  <w:sz w:val="16"/>
                  <w:szCs w:val="16"/>
                </w:rPr>
                <w:t>la Extracción</w:t>
              </w:r>
            </w:smartTag>
            <w:r w:rsidRPr="00475A0C">
              <w:rPr>
                <w:rFonts w:ascii="Verdana" w:hAnsi="Verdana"/>
                <w:sz w:val="16"/>
                <w:szCs w:val="16"/>
              </w:rPr>
              <w:t xml:space="preserve">, con multa de entre trescientas cuarenta y cuatro mil a seis millones ochocientas ochenta mil de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7BB11239" w14:textId="205185B5"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j) </w:t>
            </w:r>
            <w:r w:rsidRPr="00E3602D">
              <w:rPr>
                <w:rFonts w:ascii="Verdana" w:hAnsi="Verdana"/>
                <w:b/>
                <w:sz w:val="16"/>
                <w:szCs w:val="16"/>
                <w:lang w:val="en-US"/>
              </w:rPr>
              <w:tab/>
            </w:r>
            <w:r w:rsidRPr="00E3602D">
              <w:rPr>
                <w:rFonts w:ascii="Verdana" w:hAnsi="Verdana"/>
                <w:sz w:val="16"/>
                <w:szCs w:val="16"/>
                <w:lang w:val="en-US"/>
              </w:rPr>
              <w:t xml:space="preserve">Failure to comply with the exploration plan or the development plan for the extraction, with a fine of between three hundred and forty-four thousand and six million eight hundred and eighty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45E9AF31" w14:textId="0D5C185C" w:rsidTr="007B36AB">
        <w:tc>
          <w:tcPr>
            <w:tcW w:w="4675" w:type="dxa"/>
          </w:tcPr>
          <w:p w14:paraId="764B6835"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k)</w:t>
            </w:r>
            <w:r w:rsidRPr="00475A0C">
              <w:rPr>
                <w:rFonts w:ascii="Verdana" w:hAnsi="Verdana"/>
                <w:b/>
                <w:sz w:val="16"/>
                <w:szCs w:val="16"/>
              </w:rPr>
              <w:tab/>
            </w:r>
            <w:r w:rsidRPr="00475A0C">
              <w:rPr>
                <w:rFonts w:ascii="Verdana" w:hAnsi="Verdana"/>
                <w:sz w:val="16"/>
                <w:szCs w:val="16"/>
              </w:rPr>
              <w:t xml:space="preserve">La cesión, enajenación, traspaso o gravamen total o parcial de los derechos u obligaciones derivados de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sin la aprobación correspondiente, con multa de entre un millón setecientas veinte mil a trece millones setecientas cincuenta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211F4216" w14:textId="7655C716"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k) </w:t>
            </w:r>
            <w:r w:rsidRPr="00E3602D">
              <w:rPr>
                <w:rFonts w:ascii="Verdana" w:hAnsi="Verdana"/>
                <w:b/>
                <w:sz w:val="16"/>
                <w:szCs w:val="16"/>
                <w:lang w:val="en-US"/>
              </w:rPr>
              <w:tab/>
            </w:r>
            <w:r w:rsidRPr="00E3602D">
              <w:rPr>
                <w:rFonts w:ascii="Verdana" w:hAnsi="Verdana"/>
                <w:sz w:val="16"/>
                <w:szCs w:val="16"/>
                <w:lang w:val="en-US"/>
              </w:rPr>
              <w:t xml:space="preserve">The assignment, transference, transfer or total or partial encumbrance of the rights or obligations derived from a Contract for the exploration and extraction, without the corresponding approval, with a fine of between one million seven hundred twenty thousand to thirteen million seven hundred fifty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6BE49F75" w14:textId="032617C9" w:rsidTr="007B36AB">
        <w:tc>
          <w:tcPr>
            <w:tcW w:w="4675" w:type="dxa"/>
          </w:tcPr>
          <w:p w14:paraId="30F2C10B"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l)</w:t>
            </w:r>
            <w:r w:rsidRPr="00475A0C">
              <w:rPr>
                <w:rFonts w:ascii="Verdana" w:hAnsi="Verdana"/>
                <w:b/>
                <w:sz w:val="16"/>
                <w:szCs w:val="16"/>
              </w:rPr>
              <w:tab/>
            </w:r>
            <w:r w:rsidRPr="00475A0C">
              <w:rPr>
                <w:rFonts w:ascii="Verdana" w:hAnsi="Verdana"/>
                <w:sz w:val="16"/>
                <w:szCs w:val="16"/>
              </w:rPr>
              <w:t xml:space="preserve">Llevar a cabo cualquier acto que impida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desarrollo y producción de Hidrocarburos, las actividades relacionadas con la ejecución de los trabajos geológicos, geofísicos u otros violando lo establecido en esta Ley y la regulación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multa de entre ciento setenta y dos mil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76B196A" w14:textId="314181B5"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l) </w:t>
            </w:r>
            <w:r w:rsidRPr="00E3602D">
              <w:rPr>
                <w:rFonts w:ascii="Verdana" w:hAnsi="Verdana"/>
                <w:b/>
                <w:sz w:val="16"/>
                <w:szCs w:val="16"/>
                <w:lang w:val="en-US"/>
              </w:rPr>
              <w:tab/>
            </w:r>
            <w:r w:rsidRPr="00E3602D">
              <w:rPr>
                <w:rFonts w:ascii="Verdana" w:hAnsi="Verdana"/>
                <w:sz w:val="16"/>
                <w:szCs w:val="16"/>
                <w:lang w:val="en-US"/>
              </w:rPr>
              <w:t xml:space="preserve">Carry out any act that prevents the exploration, development and production of hydrocarbons, the activities related to the execution of geological, geophysical or other works in violation of the provisions of this Law and the regulation issued by the Secretary of Energy, with a fine of between one hundred seventy-two thousand and five hundred sixteen thousand times the daily value of the </w:t>
            </w:r>
            <w:r w:rsidRPr="00E3602D">
              <w:rPr>
                <w:rFonts w:ascii="Verdana" w:hAnsi="Verdana"/>
                <w:sz w:val="16"/>
                <w:szCs w:val="16"/>
                <w:lang w:val="en-US"/>
              </w:rPr>
              <w:t>Unit of Measurement and Update</w:t>
            </w:r>
            <w:r w:rsidRPr="00E3602D">
              <w:rPr>
                <w:rFonts w:ascii="Verdana" w:hAnsi="Verdana"/>
                <w:sz w:val="16"/>
                <w:szCs w:val="16"/>
                <w:lang w:val="en-US"/>
              </w:rPr>
              <w:t>;</w:t>
            </w:r>
          </w:p>
        </w:tc>
      </w:tr>
      <w:tr w:rsidR="003B20AD" w:rsidRPr="00475A0C" w14:paraId="19682926" w14:textId="1A0BD90A" w:rsidTr="007B36AB">
        <w:tc>
          <w:tcPr>
            <w:tcW w:w="4675" w:type="dxa"/>
          </w:tcPr>
          <w:p w14:paraId="3CC62AE3"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m)</w:t>
            </w:r>
            <w:r w:rsidRPr="00475A0C">
              <w:rPr>
                <w:rFonts w:ascii="Verdana" w:hAnsi="Verdana"/>
                <w:b/>
                <w:sz w:val="16"/>
                <w:szCs w:val="16"/>
              </w:rPr>
              <w:tab/>
            </w:r>
            <w:r w:rsidRPr="00475A0C">
              <w:rPr>
                <w:rFonts w:ascii="Verdana" w:hAnsi="Verdana"/>
                <w:sz w:val="16"/>
                <w:szCs w:val="16"/>
              </w:rPr>
              <w:t xml:space="preserve">Incumplir los requerimientos y los lineamientos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la finalidad de integrar la plataforma de información electrónica, con una multa de entre seiscientas ochenta y ocho mil a tres millones cuatrocientas cuarenta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39211EC" w14:textId="34B0D6C6"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m) </w:t>
            </w:r>
            <w:r w:rsidRPr="00E3602D">
              <w:rPr>
                <w:rFonts w:ascii="Verdana" w:hAnsi="Verdana"/>
                <w:b/>
                <w:sz w:val="16"/>
                <w:szCs w:val="16"/>
                <w:lang w:val="en-US"/>
              </w:rPr>
              <w:tab/>
            </w:r>
            <w:r w:rsidRPr="00E3602D">
              <w:rPr>
                <w:rFonts w:ascii="Verdana" w:hAnsi="Verdana"/>
                <w:sz w:val="16"/>
                <w:szCs w:val="16"/>
                <w:lang w:val="en-US"/>
              </w:rPr>
              <w:t xml:space="preserve">Failure to comply with the requirements and guidelines issued by the Secretary of Energy for the purpose of integrating the electronic information platform, with a fine of between six hundred and eighty-eight thousand and three million four hundred and forty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1D164F37" w14:textId="3D7E4EB6" w:rsidTr="007B36AB">
        <w:tc>
          <w:tcPr>
            <w:tcW w:w="4675" w:type="dxa"/>
          </w:tcPr>
          <w:p w14:paraId="4BFF52BF"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n)</w:t>
            </w:r>
            <w:r w:rsidRPr="00475A0C">
              <w:rPr>
                <w:rFonts w:ascii="Verdana" w:hAnsi="Verdana"/>
                <w:b/>
                <w:sz w:val="16"/>
                <w:szCs w:val="16"/>
              </w:rPr>
              <w:tab/>
            </w:r>
            <w:r w:rsidRPr="00475A0C">
              <w:rPr>
                <w:rFonts w:ascii="Verdana" w:hAnsi="Verdana"/>
                <w:sz w:val="16"/>
                <w:szCs w:val="16"/>
              </w:rPr>
              <w:t xml:space="preserve">El incumplimiento a lo dispuesto en los artículos 133, fracciones I, II, IV, VIII y IX; 144 y 145 de esta Ley, con multa de tres mil quinientas a diecinueve mil quinientas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19E66E6" w14:textId="0A2BDF29"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n) </w:t>
            </w:r>
            <w:r w:rsidRPr="00E3602D">
              <w:rPr>
                <w:rFonts w:ascii="Verdana" w:hAnsi="Verdana"/>
                <w:b/>
                <w:sz w:val="16"/>
                <w:szCs w:val="16"/>
                <w:lang w:val="en-US"/>
              </w:rPr>
              <w:tab/>
            </w:r>
            <w:r w:rsidRPr="00E3602D">
              <w:rPr>
                <w:rFonts w:ascii="Verdana" w:hAnsi="Verdana"/>
                <w:sz w:val="16"/>
                <w:szCs w:val="16"/>
                <w:lang w:val="en-US"/>
              </w:rPr>
              <w:t xml:space="preserve">Failure to comply with the provisions of Articles 133, Sections I, II, IV, VIII and IX; 144 and 145 of this Law, with a fine of three thousand five hundred to nineteen thousand five hundred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523955EB" w14:textId="3870F8A1" w:rsidTr="007B36AB">
        <w:tc>
          <w:tcPr>
            <w:tcW w:w="4675" w:type="dxa"/>
          </w:tcPr>
          <w:p w14:paraId="7BE9C50C"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ñ)</w:t>
            </w:r>
            <w:r w:rsidRPr="00475A0C">
              <w:rPr>
                <w:rFonts w:ascii="Verdana" w:hAnsi="Verdana"/>
                <w:b/>
                <w:sz w:val="16"/>
                <w:szCs w:val="16"/>
              </w:rPr>
              <w:tab/>
            </w:r>
            <w:r w:rsidRPr="00475A0C">
              <w:rPr>
                <w:rFonts w:ascii="Verdana" w:hAnsi="Verdana"/>
                <w:sz w:val="16"/>
                <w:szCs w:val="16"/>
              </w:rPr>
              <w:t xml:space="preserve">El incumplimiento a lo dispuesto por los artículos 133, último párrafo, y 137, primer párrafo, de esta Ley, con multa de diez mil a ciento setenta y dos </w:t>
            </w:r>
            <w:r w:rsidRPr="00475A0C">
              <w:rPr>
                <w:rFonts w:ascii="Verdana" w:hAnsi="Verdana"/>
                <w:sz w:val="16"/>
                <w:szCs w:val="16"/>
              </w:rPr>
              <w:lastRenderedPageBreak/>
              <w:t xml:space="preserve">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0FF159F" w14:textId="2B42117B"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lastRenderedPageBreak/>
              <w:t xml:space="preserve">ñ) </w:t>
            </w:r>
            <w:r w:rsidRPr="00E3602D">
              <w:rPr>
                <w:rFonts w:ascii="Verdana" w:hAnsi="Verdana"/>
                <w:b/>
                <w:sz w:val="16"/>
                <w:szCs w:val="16"/>
                <w:lang w:val="en-US"/>
              </w:rPr>
              <w:tab/>
            </w:r>
            <w:r w:rsidRPr="00E3602D">
              <w:rPr>
                <w:rFonts w:ascii="Verdana" w:hAnsi="Verdana"/>
                <w:sz w:val="16"/>
                <w:szCs w:val="16"/>
                <w:lang w:val="en-US"/>
              </w:rPr>
              <w:t xml:space="preserve">Failure to comply with the provisions of articles 133, last paragraph, and 137, first paragraph, of this Law, with a fine of ten thousand to one hundred </w:t>
            </w:r>
            <w:r w:rsidRPr="00E3602D">
              <w:rPr>
                <w:rFonts w:ascii="Verdana" w:hAnsi="Verdana"/>
                <w:sz w:val="16"/>
                <w:szCs w:val="16"/>
                <w:lang w:val="en-US"/>
              </w:rPr>
              <w:lastRenderedPageBreak/>
              <w:t xml:space="preserve">seventy-two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 xml:space="preserve">; </w:t>
            </w:r>
          </w:p>
        </w:tc>
      </w:tr>
      <w:tr w:rsidR="003B20AD" w:rsidRPr="00475A0C" w14:paraId="6D5701F5" w14:textId="1DD4002A" w:rsidTr="007B36AB">
        <w:tc>
          <w:tcPr>
            <w:tcW w:w="4675" w:type="dxa"/>
          </w:tcPr>
          <w:p w14:paraId="7CA1FC3F"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o)</w:t>
            </w:r>
            <w:r w:rsidRPr="00475A0C">
              <w:rPr>
                <w:rFonts w:ascii="Verdana" w:hAnsi="Verdana"/>
                <w:b/>
                <w:sz w:val="16"/>
                <w:szCs w:val="16"/>
              </w:rPr>
              <w:tab/>
            </w:r>
            <w:r w:rsidRPr="00475A0C">
              <w:rPr>
                <w:rFonts w:ascii="Verdana" w:hAnsi="Verdana"/>
                <w:sz w:val="16"/>
                <w:szCs w:val="16"/>
              </w:rPr>
              <w:t xml:space="preserve">Realizar actividades de desarrollo y producción de Hidrocarburos sin el sistema de medición aprobado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multa de entre seis millones novecientas mil a trece millones setecientas cincuenta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9171582" w14:textId="0521E3CC"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o) </w:t>
            </w:r>
            <w:r w:rsidRPr="00E3602D">
              <w:rPr>
                <w:rFonts w:ascii="Verdana" w:hAnsi="Verdana"/>
                <w:b/>
                <w:sz w:val="16"/>
                <w:szCs w:val="16"/>
                <w:lang w:val="en-US"/>
              </w:rPr>
              <w:tab/>
            </w:r>
            <w:r w:rsidRPr="00E3602D">
              <w:rPr>
                <w:rFonts w:ascii="Verdana" w:hAnsi="Verdana"/>
                <w:sz w:val="16"/>
                <w:szCs w:val="16"/>
                <w:lang w:val="en-US"/>
              </w:rPr>
              <w:t xml:space="preserve">Carry out hydrocarbon development and production activities without the measurement system approved by the Secretary of Energy, with a fine of between six million nine hundred thousand and thirteen million seven hundred fifty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2F0521E7" w14:textId="0A3652EB" w:rsidTr="007B36AB">
        <w:tc>
          <w:tcPr>
            <w:tcW w:w="4675" w:type="dxa"/>
          </w:tcPr>
          <w:p w14:paraId="3DF3049F"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p)</w:t>
            </w:r>
            <w:r w:rsidRPr="00475A0C">
              <w:rPr>
                <w:rFonts w:ascii="Verdana" w:hAnsi="Verdana"/>
                <w:b/>
                <w:sz w:val="16"/>
                <w:szCs w:val="16"/>
              </w:rPr>
              <w:tab/>
            </w:r>
            <w:r w:rsidRPr="00475A0C">
              <w:rPr>
                <w:rFonts w:ascii="Verdana" w:hAnsi="Verdana"/>
                <w:sz w:val="16"/>
                <w:szCs w:val="16"/>
              </w:rPr>
              <w:t xml:space="preserve">Publicar, entregar o allegarse de información propiedad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a la que se refiere el artículo 60 de esta Ley, por medios distintos a los contemplados en la misma o sin contar con el consentimiento previo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multa de entre ciento setenta y dos mil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 y</w:t>
            </w:r>
          </w:p>
        </w:tc>
        <w:tc>
          <w:tcPr>
            <w:tcW w:w="4675" w:type="dxa"/>
          </w:tcPr>
          <w:p w14:paraId="6117AA5B" w14:textId="4D057EF9"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p) </w:t>
            </w:r>
            <w:r w:rsidRPr="00E3602D">
              <w:rPr>
                <w:rFonts w:ascii="Verdana" w:hAnsi="Verdana"/>
                <w:b/>
                <w:sz w:val="16"/>
                <w:szCs w:val="16"/>
                <w:lang w:val="en-US"/>
              </w:rPr>
              <w:tab/>
            </w:r>
            <w:r w:rsidRPr="00E3602D">
              <w:rPr>
                <w:rFonts w:ascii="Verdana" w:hAnsi="Verdana"/>
                <w:sz w:val="16"/>
                <w:szCs w:val="16"/>
                <w:lang w:val="en-US"/>
              </w:rPr>
              <w:t xml:space="preserve">Publish, deliver or obtain information belonging to the Nation referred to in article 60 of this Law, by means other than those contemplated in the same or without the prior consent of the Secretary of Energy with a fine of between one hundred seventy-two thousand to five hundred sixteen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 and</w:t>
            </w:r>
          </w:p>
        </w:tc>
      </w:tr>
      <w:tr w:rsidR="003B20AD" w:rsidRPr="00475A0C" w14:paraId="57AA4859" w14:textId="4D437DBB" w:rsidTr="007B36AB">
        <w:tc>
          <w:tcPr>
            <w:tcW w:w="4675" w:type="dxa"/>
          </w:tcPr>
          <w:p w14:paraId="72F26219"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q)</w:t>
            </w:r>
            <w:r w:rsidRPr="00475A0C">
              <w:rPr>
                <w:rFonts w:ascii="Verdana" w:hAnsi="Verdana"/>
                <w:b/>
                <w:sz w:val="16"/>
                <w:szCs w:val="16"/>
              </w:rPr>
              <w:tab/>
            </w:r>
            <w:r w:rsidRPr="00475A0C">
              <w:rPr>
                <w:rFonts w:ascii="Verdana" w:hAnsi="Verdana"/>
                <w:sz w:val="16"/>
                <w:szCs w:val="16"/>
              </w:rPr>
              <w:t xml:space="preserve">Las demás violaciones al Título Segundo de esta Ley y a sus disposiciones reglamentarias, así como a la regulación, lineamientos y disposiciones administrativas competencia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multa de entre diecisiete mil doscientas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13B5D74" w14:textId="0CAAD69F"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q) </w:t>
            </w:r>
            <w:r w:rsidRPr="00E3602D">
              <w:rPr>
                <w:rFonts w:ascii="Verdana" w:hAnsi="Verdana"/>
                <w:b/>
                <w:sz w:val="16"/>
                <w:szCs w:val="16"/>
                <w:lang w:val="en-US"/>
              </w:rPr>
              <w:tab/>
            </w:r>
            <w:r w:rsidRPr="00E3602D">
              <w:rPr>
                <w:rFonts w:ascii="Verdana" w:hAnsi="Verdana"/>
                <w:sz w:val="16"/>
                <w:szCs w:val="16"/>
                <w:lang w:val="en-US"/>
              </w:rPr>
              <w:t xml:space="preserve">Other violations of Second Title of this Law and its regulatory provisions, as well as the regulations, guidelines and administrative provisions under the jurisdiction of the Secretary of Energy, with a fine of between seventeen thousand two hundred and five hundred and sixteen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1ECFF0C6" w14:textId="6EA8CF6E" w:rsidTr="007B36AB">
        <w:tc>
          <w:tcPr>
            <w:tcW w:w="4675" w:type="dxa"/>
          </w:tcPr>
          <w:p w14:paraId="3AA6747F"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Las Secretarías de Energía, de Hacienda y Crédito Público y de Economía deben sancionar, en el ámbito de sus competencias:</w:t>
            </w:r>
          </w:p>
        </w:tc>
        <w:tc>
          <w:tcPr>
            <w:tcW w:w="4675" w:type="dxa"/>
          </w:tcPr>
          <w:p w14:paraId="5D2A9430" w14:textId="40FA17F8"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Secretaries of Energy, Finance and Public Credit, and Economy must sanction, within the scope of their powers:</w:t>
            </w:r>
          </w:p>
        </w:tc>
      </w:tr>
      <w:tr w:rsidR="003B20AD" w:rsidRPr="00475A0C" w14:paraId="0B41C11C" w14:textId="236F1851" w:rsidTr="007B36AB">
        <w:tc>
          <w:tcPr>
            <w:tcW w:w="4675" w:type="dxa"/>
          </w:tcPr>
          <w:p w14:paraId="2A549E18"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La restricción de acceso a instalaciones y equipos relacionados con actividades de la industria de Hidrocarburos, a los inspectores y verificadores, con multa de entre ciento setenta y dos mil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7804A96C" w14:textId="3041BE2D"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 xml:space="preserve">The restriction of access to facilities and equipment related to activities of the hydrocarbon industry, to inspectors and verifiers, with a fine of between one hundred seventy-two thousand and five hundred sixteen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 xml:space="preserve">; </w:t>
            </w:r>
          </w:p>
        </w:tc>
      </w:tr>
      <w:tr w:rsidR="003B20AD" w:rsidRPr="00475A0C" w14:paraId="5302B05F" w14:textId="69D465E4" w:rsidTr="007B36AB">
        <w:tc>
          <w:tcPr>
            <w:tcW w:w="4675" w:type="dxa"/>
          </w:tcPr>
          <w:p w14:paraId="749A0019"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El incumplimiento o entorpecimiento de la obligación de informar o reportar, conforme a las disposiciones jurídicas aplicables, cualquier situación relacionada con esta Ley o sus disposiciones reglamentarias, con multa de entre diecisiete mil doscientas a trescientos cuarenta y cuatro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1455BAEA" w14:textId="08810ACB"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 xml:space="preserve">Failure to comply with or obstruction of the obligation to inform or report, in accordance with the applicable legal provisions, any situation related to this Law or its regulatory provisions, with a fine of between seventeen thousand two hundred and three hundred and forty-four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75F051F2" w14:textId="58964E22" w:rsidTr="007B36AB">
        <w:tc>
          <w:tcPr>
            <w:tcW w:w="4675" w:type="dxa"/>
          </w:tcPr>
          <w:p w14:paraId="29351EEE"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La sanción anterior es aplicable a los terceros que operen por cuenta y orden de las personas Asignatarias o Contratistas que incumplan o entorpezcan la obligación de informar o reportar a las autoridades que correspondan, conforme a lo establecido en el Reglamento de esta Ley y demás disposiciones aplicables, y</w:t>
            </w:r>
          </w:p>
        </w:tc>
        <w:tc>
          <w:tcPr>
            <w:tcW w:w="4675" w:type="dxa"/>
          </w:tcPr>
          <w:p w14:paraId="19405023" w14:textId="4F313913" w:rsidR="003B20AD" w:rsidRPr="00E3602D" w:rsidRDefault="003B20AD" w:rsidP="003B20AD">
            <w:pPr>
              <w:pStyle w:val="Texto"/>
              <w:spacing w:line="221" w:lineRule="exact"/>
              <w:ind w:firstLine="0"/>
              <w:rPr>
                <w:rFonts w:ascii="Verdana" w:hAnsi="Verdana"/>
                <w:sz w:val="16"/>
                <w:szCs w:val="16"/>
                <w:lang w:val="en-US"/>
              </w:rPr>
            </w:pPr>
            <w:r w:rsidRPr="00E3602D">
              <w:rPr>
                <w:rFonts w:ascii="Verdana" w:hAnsi="Verdana"/>
                <w:sz w:val="16"/>
                <w:szCs w:val="16"/>
                <w:lang w:val="en-US"/>
              </w:rPr>
              <w:tab/>
              <w:t>The above sanction is applicable to third parties operating on behalf of and under the orders of the Assignees or Contractors who fail to comply with or hinder the obligation to inform or report to the corresponding authorities, in accordance with the provisions of the Regulation of this Law and other applicable provisions, and</w:t>
            </w:r>
          </w:p>
        </w:tc>
      </w:tr>
      <w:tr w:rsidR="003B20AD" w:rsidRPr="00475A0C" w14:paraId="3F216DF1" w14:textId="36D1220D" w:rsidTr="007B36AB">
        <w:tc>
          <w:tcPr>
            <w:tcW w:w="4675" w:type="dxa"/>
          </w:tcPr>
          <w:p w14:paraId="1F84A7AD"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Proporcionar información falsa, alterada o simular registros de contabilidad, conforme a las disposiciones jurídicas aplicables, con multa de entre ocho millones seiscientas mil a diecisiete millones doscientas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101422D2" w14:textId="4FE6F6FD"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 xml:space="preserve">Providing false or altered information or simulating accounting records, in accordance with applicable legal provisions, with a fine of between eight million six hundred thousand and seventeen million two hundred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50951187" w14:textId="487AD259" w:rsidTr="007B36AB">
        <w:tc>
          <w:tcPr>
            <w:tcW w:w="4675" w:type="dxa"/>
          </w:tcPr>
          <w:p w14:paraId="00838514"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Artículo 121.-</w:t>
            </w:r>
            <w:r w:rsidRPr="00475A0C">
              <w:rPr>
                <w:rFonts w:ascii="Verdana" w:hAnsi="Verdana"/>
                <w:sz w:val="16"/>
                <w:szCs w:val="16"/>
              </w:rPr>
              <w:t xml:space="preserve"> Las infracciones al Título Tercero de esta Ley y a sus disposiciones reglamentarias deben ser </w:t>
            </w:r>
            <w:r w:rsidRPr="00475A0C">
              <w:rPr>
                <w:rFonts w:ascii="Verdana" w:hAnsi="Verdana"/>
                <w:sz w:val="16"/>
                <w:szCs w:val="16"/>
              </w:rPr>
              <w:lastRenderedPageBreak/>
              <w:t>sancionadas tomando en cuenta la gravedad de la falta, de acuerdo con lo siguiente:</w:t>
            </w:r>
          </w:p>
        </w:tc>
        <w:tc>
          <w:tcPr>
            <w:tcW w:w="4675" w:type="dxa"/>
          </w:tcPr>
          <w:p w14:paraId="2AE489AF" w14:textId="1DAC54F8"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121.- </w:t>
            </w:r>
            <w:r w:rsidRPr="00E3602D">
              <w:rPr>
                <w:rFonts w:ascii="Verdana" w:hAnsi="Verdana"/>
                <w:sz w:val="16"/>
                <w:szCs w:val="16"/>
                <w:lang w:val="en-US"/>
              </w:rPr>
              <w:t xml:space="preserve">Violations of Third Title of this Law and its regulatory provisions must be sanctioned taking into </w:t>
            </w:r>
            <w:r w:rsidRPr="00E3602D">
              <w:rPr>
                <w:rFonts w:ascii="Verdana" w:hAnsi="Verdana"/>
                <w:sz w:val="16"/>
                <w:szCs w:val="16"/>
                <w:lang w:val="en-US"/>
              </w:rPr>
              <w:lastRenderedPageBreak/>
              <w:t>account the seriousness of the offense, in accordance with the following:</w:t>
            </w:r>
          </w:p>
        </w:tc>
      </w:tr>
      <w:tr w:rsidR="003B20AD" w:rsidRPr="00475A0C" w14:paraId="61F5EA66" w14:textId="190ED86F" w:rsidTr="007B36AB">
        <w:tc>
          <w:tcPr>
            <w:tcW w:w="4675" w:type="dxa"/>
          </w:tcPr>
          <w:p w14:paraId="01CE49E8" w14:textId="77777777" w:rsidR="003B20AD" w:rsidRPr="00475A0C" w:rsidRDefault="003B20AD" w:rsidP="003B20AD">
            <w:pPr>
              <w:pStyle w:val="Texto"/>
              <w:spacing w:line="221" w:lineRule="exact"/>
              <w:ind w:firstLine="0"/>
              <w:rPr>
                <w:rFonts w:ascii="Verdana" w:hAnsi="Verdana"/>
                <w:b/>
                <w:sz w:val="16"/>
                <w:szCs w:val="16"/>
              </w:rPr>
            </w:pPr>
            <w:r w:rsidRPr="00475A0C">
              <w:rPr>
                <w:rFonts w:ascii="Verdana" w:hAnsi="Verdana"/>
                <w:b/>
                <w:sz w:val="16"/>
                <w:szCs w:val="16"/>
              </w:rPr>
              <w:t>I.</w:t>
            </w:r>
            <w:r w:rsidRPr="00475A0C">
              <w:rPr>
                <w:rFonts w:ascii="Verdana" w:hAnsi="Verdana"/>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sancionar:</w:t>
            </w:r>
          </w:p>
        </w:tc>
        <w:tc>
          <w:tcPr>
            <w:tcW w:w="4675" w:type="dxa"/>
          </w:tcPr>
          <w:p w14:paraId="6991E600" w14:textId="615306FF"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Secretary of Energy must sanction:</w:t>
            </w:r>
          </w:p>
        </w:tc>
      </w:tr>
      <w:tr w:rsidR="003B20AD" w:rsidRPr="00475A0C" w14:paraId="30EDFAFC" w14:textId="340E9A19" w:rsidTr="007B36AB">
        <w:tc>
          <w:tcPr>
            <w:tcW w:w="4675" w:type="dxa"/>
          </w:tcPr>
          <w:p w14:paraId="322E2FD6" w14:textId="77777777" w:rsidR="003B20AD" w:rsidRPr="00475A0C" w:rsidRDefault="003B20AD" w:rsidP="003B20AD">
            <w:pPr>
              <w:pStyle w:val="Texto"/>
              <w:spacing w:line="221"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La realización de actividades reguladas en el ámbito de su competencia, establecidas en el artículo 76, fracción I de esta Ley, cuya adquisición lícita no se compruebe al momento de una verificación, con multa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2F3A8A40" w14:textId="5210DC1D" w:rsidR="003B20AD" w:rsidRPr="00E3602D" w:rsidRDefault="003B20AD" w:rsidP="003B20AD">
            <w:pPr>
              <w:pStyle w:val="Texto"/>
              <w:spacing w:line="221"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 xml:space="preserve">The carrying out of activities regulated within the scope of its authority, established in article 76, section I of this Law, whose lawful acquisition is not proven at the time of verification, with a fine of between one hundred thirty-eight thousand and six hundred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229C961D" w14:textId="71AF8062" w:rsidTr="007B36AB">
        <w:tc>
          <w:tcPr>
            <w:tcW w:w="4675" w:type="dxa"/>
          </w:tcPr>
          <w:p w14:paraId="34C27202"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El incumplimiento de los términos y condiciones que se establezcan en los permisos que haya otorgado, con multa de entre ciento setenta y dos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74DD1B0C" w14:textId="27C23C5F"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 xml:space="preserve">Failure to comply with the terms and conditions established in the permits granted, with a fine of between one hundred seventy-two thousand and six hundred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2B06B7A2" w14:textId="459F061C" w:rsidTr="007B36AB">
        <w:tc>
          <w:tcPr>
            <w:tcW w:w="4675" w:type="dxa"/>
          </w:tcPr>
          <w:p w14:paraId="6C3792C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La suspensión de los servicios amparados por un permiso que haya otorgado, sin la autorización correspondiente, salvo por causa de caso fortuito o fuerza mayor, con multa de entre treinta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00BA38F7" w14:textId="6BD5011B"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 xml:space="preserve">The suspension of services covered by a permit that has been granted, without the corresponding authorization, except in cases of fortuitous event or force majeure, with a fine of between thirty-four thousand and six hundred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3D71CD41" w14:textId="1D6F5E52" w:rsidTr="007B36AB">
        <w:tc>
          <w:tcPr>
            <w:tcW w:w="4675" w:type="dxa"/>
          </w:tcPr>
          <w:p w14:paraId="3BBF858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 xml:space="preserve">La cesión, enajenación, traspaso o gravamen total o parcial, de los derechos u obligaciones derivados de un permiso que haya otorgado, sin la autorización correspondiente, con multa de entre trescientas cuarenta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4823E20" w14:textId="247F092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 xml:space="preserve">The assignment, transference, transfer or total or partial encumbrance of the rights or obligations derived from a permit that has been granted, without the corresponding authorization, with a fine of between three hundred and forty-four thousand and six hundred and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0133D20B" w14:textId="47B0CC8E" w:rsidTr="007B36AB">
        <w:tc>
          <w:tcPr>
            <w:tcW w:w="4675" w:type="dxa"/>
          </w:tcPr>
          <w:p w14:paraId="51DC083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 xml:space="preserve">La modificación de las condiciones técnicas de sistemas, ductos, instalaciones o equipos sin la autorización correspondiente, con multa de entre trescientas cuarenta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4A443F1" w14:textId="4EEA8619"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 xml:space="preserve">The modification of the technical conditions of systems, ducts, installations or equipment without the corresponding authorization, with a fine of between three hundred and forty-four thousand and six hundred and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7125B78F" w14:textId="7925D85E" w:rsidTr="007B36AB">
        <w:tc>
          <w:tcPr>
            <w:tcW w:w="4675" w:type="dxa"/>
          </w:tcPr>
          <w:p w14:paraId="3C0D9BFB"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 xml:space="preserve">La realización de actividades en el ámbito de su regulación sin permiso vigente, con multa de entre trescientas cuarenta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BEA80CA" w14:textId="3B382B48"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 xml:space="preserve">Carrying out activities within the scope of its regulation without a valid permit, with a fine of between three hundred and forty-four thousand and six hundred and ninety thousand times the daily value of </w:t>
            </w:r>
            <w:r w:rsidRPr="00E3602D">
              <w:rPr>
                <w:rFonts w:ascii="Verdana" w:hAnsi="Verdana"/>
                <w:sz w:val="16"/>
                <w:szCs w:val="16"/>
                <w:lang w:val="en-US"/>
              </w:rPr>
              <w:t>the Unit of Measurement and Update</w:t>
            </w:r>
            <w:r w:rsidRPr="00E3602D">
              <w:rPr>
                <w:rFonts w:ascii="Verdana" w:hAnsi="Verdana"/>
                <w:sz w:val="16"/>
                <w:szCs w:val="16"/>
                <w:lang w:val="en-US"/>
              </w:rPr>
              <w:t>;</w:t>
            </w:r>
          </w:p>
        </w:tc>
      </w:tr>
      <w:tr w:rsidR="003B20AD" w:rsidRPr="00475A0C" w14:paraId="4ACB6D0D" w14:textId="54BE7270" w:rsidTr="007B36AB">
        <w:tc>
          <w:tcPr>
            <w:tcW w:w="4675" w:type="dxa"/>
          </w:tcPr>
          <w:p w14:paraId="4EFFEA4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g)</w:t>
            </w:r>
            <w:r w:rsidRPr="00475A0C">
              <w:rPr>
                <w:rFonts w:ascii="Verdana" w:hAnsi="Verdana"/>
                <w:b/>
                <w:sz w:val="16"/>
                <w:szCs w:val="16"/>
              </w:rPr>
              <w:tab/>
            </w:r>
            <w:r w:rsidRPr="00475A0C">
              <w:rPr>
                <w:rFonts w:ascii="Verdana" w:hAnsi="Verdana"/>
                <w:sz w:val="16"/>
                <w:szCs w:val="16"/>
              </w:rPr>
              <w:t xml:space="preserve">El incumplimiento de las disposiciones aplicables a la cantidad, calidad y medición de Hidrocarburos, Petrolíferos y Petroquímicos, con multa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293916CB" w14:textId="7DD02DD7"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g) </w:t>
            </w:r>
            <w:r w:rsidRPr="00E3602D">
              <w:rPr>
                <w:rFonts w:ascii="Verdana" w:hAnsi="Verdana"/>
                <w:b/>
                <w:sz w:val="16"/>
                <w:szCs w:val="16"/>
                <w:lang w:val="en-US"/>
              </w:rPr>
              <w:tab/>
            </w:r>
            <w:r w:rsidRPr="00E3602D">
              <w:rPr>
                <w:rFonts w:ascii="Verdana" w:hAnsi="Verdana"/>
                <w:sz w:val="16"/>
                <w:szCs w:val="16"/>
                <w:lang w:val="en-US"/>
              </w:rPr>
              <w:t>Failure to comply with the provisions applicable to the quantity, quality and measurement of Hydrocarbons, Petroleum Products and Petrochemicals, with a fine of between one hundred thirty-eight thousand and six hundred ninety thousand times the daily value of the Unit of Measurement and Update;</w:t>
            </w:r>
          </w:p>
        </w:tc>
      </w:tr>
      <w:tr w:rsidR="003B20AD" w:rsidRPr="00475A0C" w14:paraId="5C7DC82F" w14:textId="212FDE05" w:rsidTr="007B36AB">
        <w:tc>
          <w:tcPr>
            <w:tcW w:w="4675" w:type="dxa"/>
          </w:tcPr>
          <w:p w14:paraId="79235B98"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h)</w:t>
            </w:r>
            <w:r w:rsidRPr="00475A0C">
              <w:rPr>
                <w:rFonts w:ascii="Verdana" w:hAnsi="Verdana"/>
                <w:b/>
                <w:sz w:val="16"/>
                <w:szCs w:val="16"/>
              </w:rPr>
              <w:tab/>
            </w:r>
            <w:r w:rsidRPr="00475A0C">
              <w:rPr>
                <w:rFonts w:ascii="Verdana" w:hAnsi="Verdana"/>
                <w:sz w:val="16"/>
                <w:szCs w:val="16"/>
              </w:rPr>
              <w:t xml:space="preserve">La realización de actividades en el ámbito de su competencia, con Hidrocarburos, Petrolíferos o Petroquímicos cuya adquisición lícita no se compruebe, con multas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44651B77" w14:textId="605AD9DB"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h) </w:t>
            </w:r>
            <w:r w:rsidRPr="00E3602D">
              <w:rPr>
                <w:rFonts w:ascii="Verdana" w:hAnsi="Verdana"/>
                <w:b/>
                <w:sz w:val="16"/>
                <w:szCs w:val="16"/>
                <w:lang w:val="en-US"/>
              </w:rPr>
              <w:tab/>
            </w:r>
            <w:r w:rsidRPr="00E3602D">
              <w:rPr>
                <w:rFonts w:ascii="Verdana" w:hAnsi="Verdana"/>
                <w:sz w:val="16"/>
                <w:szCs w:val="16"/>
                <w:lang w:val="en-US"/>
              </w:rPr>
              <w:t>Carrying out activities within the scope of its authority, with hydrocarbons, petroleum products or petrochemicals whose lawful acquisition is not proven, with fines of between one hundred thirty-eight thousand to six hundred ninety thousand times the daily value of the Unit of Measurement and Update;</w:t>
            </w:r>
          </w:p>
        </w:tc>
      </w:tr>
      <w:tr w:rsidR="003B20AD" w:rsidRPr="00475A0C" w14:paraId="1A43EC51" w14:textId="645F6818" w:rsidTr="007B36AB">
        <w:tc>
          <w:tcPr>
            <w:tcW w:w="4675" w:type="dxa"/>
          </w:tcPr>
          <w:p w14:paraId="6075978D"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lastRenderedPageBreak/>
              <w:t>i)</w:t>
            </w:r>
            <w:r w:rsidRPr="00475A0C">
              <w:rPr>
                <w:rFonts w:ascii="Verdana" w:hAnsi="Verdana"/>
                <w:b/>
                <w:sz w:val="16"/>
                <w:szCs w:val="16"/>
              </w:rPr>
              <w:tab/>
            </w:r>
            <w:r w:rsidRPr="00475A0C">
              <w:rPr>
                <w:rFonts w:ascii="Verdana" w:hAnsi="Verdana"/>
                <w:sz w:val="16"/>
                <w:szCs w:val="16"/>
              </w:rPr>
              <w:t xml:space="preserve">El incumplimiento a lo previsto en el artículo 111 de esta Ley, con multas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B29475F" w14:textId="79123733"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Failure to comply with the provisions of Article 111 of this Law, with fines of between one hundred thirty-eight thousand and six hundred ninety thousand times the daily value of the Unit of Measurement and Update;</w:t>
            </w:r>
          </w:p>
        </w:tc>
      </w:tr>
      <w:tr w:rsidR="003B20AD" w:rsidRPr="00475A0C" w14:paraId="7FC248F6" w14:textId="47A6F456" w:rsidTr="007B36AB">
        <w:tc>
          <w:tcPr>
            <w:tcW w:w="4675" w:type="dxa"/>
          </w:tcPr>
          <w:p w14:paraId="3ACDAF1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j)</w:t>
            </w:r>
            <w:r w:rsidRPr="00475A0C">
              <w:rPr>
                <w:rFonts w:ascii="Verdana" w:hAnsi="Verdana"/>
                <w:b/>
                <w:sz w:val="16"/>
                <w:szCs w:val="16"/>
              </w:rPr>
              <w:tab/>
            </w:r>
            <w:r w:rsidRPr="00475A0C">
              <w:rPr>
                <w:rFonts w:ascii="Verdana" w:hAnsi="Verdana"/>
                <w:sz w:val="16"/>
                <w:szCs w:val="16"/>
              </w:rPr>
              <w:t xml:space="preserve">Cuando se acredite que los Hidrocarburos, Petrolíferos o Petroquímicos, objeto de las actividades reguladas, generen una afectación a la persona Usuaria Final, atribuible a la persona Permisionaria, con multas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 y</w:t>
            </w:r>
          </w:p>
        </w:tc>
        <w:tc>
          <w:tcPr>
            <w:tcW w:w="4675" w:type="dxa"/>
          </w:tcPr>
          <w:p w14:paraId="6AF87190" w14:textId="69520A99"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j) </w:t>
            </w:r>
            <w:r w:rsidRPr="00E3602D">
              <w:rPr>
                <w:rFonts w:ascii="Verdana" w:hAnsi="Verdana"/>
                <w:b/>
                <w:sz w:val="16"/>
                <w:szCs w:val="16"/>
                <w:lang w:val="en-US"/>
              </w:rPr>
              <w:tab/>
            </w:r>
            <w:r w:rsidRPr="00E3602D">
              <w:rPr>
                <w:rFonts w:ascii="Verdana" w:hAnsi="Verdana"/>
                <w:sz w:val="16"/>
                <w:szCs w:val="16"/>
                <w:lang w:val="en-US"/>
              </w:rPr>
              <w:t>When it is proven that hydrocarbons, petroleum or petrochemicals, object of the regulated activities, generate an impact on the Final User, attributable to the Permit Holder, with fines of between one hundred thirty-eight thousand to six hundred ninety thousand times the daily value of the Unit of Measurement and Update, and</w:t>
            </w:r>
          </w:p>
        </w:tc>
      </w:tr>
      <w:tr w:rsidR="003B20AD" w:rsidRPr="00475A0C" w14:paraId="57705E6D" w14:textId="4EC9355C" w:rsidTr="007B36AB">
        <w:tc>
          <w:tcPr>
            <w:tcW w:w="4675" w:type="dxa"/>
          </w:tcPr>
          <w:p w14:paraId="5B75F622"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k)</w:t>
            </w:r>
            <w:r w:rsidRPr="00475A0C">
              <w:rPr>
                <w:rFonts w:ascii="Verdana" w:hAnsi="Verdana"/>
                <w:b/>
                <w:sz w:val="16"/>
                <w:szCs w:val="16"/>
              </w:rPr>
              <w:tab/>
            </w:r>
            <w:r w:rsidRPr="00475A0C">
              <w:rPr>
                <w:rFonts w:ascii="Verdana" w:hAnsi="Verdana"/>
                <w:sz w:val="16"/>
                <w:szCs w:val="16"/>
              </w:rPr>
              <w:t xml:space="preserve">Las demás violaciones al Título Tercero de esta Ley y a sus disposiciones reglamentarias, así como a la regulación, lineamientos y disposiciones administrativas competencia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deben ser sancionadas con multa de entre diecisiete mil doscientas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1810ECCE" w14:textId="688C8BA7"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k) </w:t>
            </w:r>
            <w:r w:rsidRPr="00E3602D">
              <w:rPr>
                <w:rFonts w:ascii="Verdana" w:hAnsi="Verdana"/>
                <w:b/>
                <w:sz w:val="16"/>
                <w:szCs w:val="16"/>
                <w:lang w:val="en-US"/>
              </w:rPr>
              <w:tab/>
            </w:r>
            <w:r w:rsidRPr="00E3602D">
              <w:rPr>
                <w:rFonts w:ascii="Verdana" w:hAnsi="Verdana"/>
                <w:sz w:val="16"/>
                <w:szCs w:val="16"/>
                <w:lang w:val="en-US"/>
              </w:rPr>
              <w:t>Other violations of the Third Title of this Law and its regulatory provisions, as well as the regulation, guidelines and administrative provisions under the jurisdiction of the Secretary of Energy, must be sanctioned with a fine of between seventeen thousand two hundred and five hundred and sixteen thousand times the daily value of the Unit of Measurement and Update.</w:t>
            </w:r>
          </w:p>
        </w:tc>
      </w:tr>
      <w:tr w:rsidR="003B20AD" w:rsidRPr="00475A0C" w14:paraId="0A094793" w14:textId="400AC006" w:rsidTr="007B36AB">
        <w:tc>
          <w:tcPr>
            <w:tcW w:w="4675" w:type="dxa"/>
          </w:tcPr>
          <w:p w14:paraId="0CE360E7"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Tratándose de las infracciones previstas en el inciso e) de esta fracción, en caso de reincidencia, además de las sanciones señaladas en la presente Ley, se revoca el permiso respectivo.</w:t>
            </w:r>
          </w:p>
        </w:tc>
        <w:tc>
          <w:tcPr>
            <w:tcW w:w="4675" w:type="dxa"/>
          </w:tcPr>
          <w:p w14:paraId="7775869C" w14:textId="61A70C92"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ab/>
              <w:t>In the case of violations provided for in paragraph e) of this section, in the event of a repeat offense, in addition to the penalties specified in this Law, the respective permit shall be revoked.</w:t>
            </w:r>
          </w:p>
        </w:tc>
      </w:tr>
      <w:tr w:rsidR="003B20AD" w:rsidRPr="00475A0C" w14:paraId="554955CF" w14:textId="59DCF55B" w:rsidTr="007B36AB">
        <w:tc>
          <w:tcPr>
            <w:tcW w:w="4675" w:type="dxa"/>
          </w:tcPr>
          <w:p w14:paraId="210B9B1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w:t>
            </w:r>
            <w:r w:rsidRPr="00475A0C">
              <w:rPr>
                <w:rFonts w:ascii="Verdana" w:hAnsi="Verdana"/>
                <w:b/>
                <w:sz w:val="16"/>
                <w:szCs w:val="16"/>
              </w:rPr>
              <w:t xml:space="preserve"> </w:t>
            </w:r>
            <w:r w:rsidRPr="00475A0C">
              <w:rPr>
                <w:rFonts w:ascii="Verdana" w:hAnsi="Verdana"/>
                <w:sz w:val="16"/>
                <w:szCs w:val="16"/>
              </w:rPr>
              <w:t>sancionar:</w:t>
            </w:r>
          </w:p>
        </w:tc>
        <w:tc>
          <w:tcPr>
            <w:tcW w:w="4675" w:type="dxa"/>
          </w:tcPr>
          <w:p w14:paraId="0CBD91E8" w14:textId="2DC038EA"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National Commission of Energy must</w:t>
            </w:r>
            <w:r w:rsidRPr="00E3602D">
              <w:rPr>
                <w:rFonts w:ascii="Verdana" w:hAnsi="Verdana"/>
                <w:b/>
                <w:sz w:val="16"/>
                <w:szCs w:val="16"/>
                <w:lang w:val="en-US"/>
              </w:rPr>
              <w:t xml:space="preserve"> </w:t>
            </w:r>
            <w:r w:rsidRPr="00E3602D">
              <w:rPr>
                <w:rFonts w:ascii="Verdana" w:hAnsi="Verdana"/>
                <w:sz w:val="16"/>
                <w:szCs w:val="16"/>
                <w:lang w:val="en-US"/>
              </w:rPr>
              <w:t>sanction:</w:t>
            </w:r>
          </w:p>
        </w:tc>
      </w:tr>
      <w:tr w:rsidR="003B20AD" w:rsidRPr="00475A0C" w14:paraId="05CE4A62" w14:textId="1D66073C" w:rsidTr="007B36AB">
        <w:tc>
          <w:tcPr>
            <w:tcW w:w="4675" w:type="dxa"/>
          </w:tcPr>
          <w:p w14:paraId="796DD697"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La realización de actividades reguladas en el ámbito de su competencia, establecidas en el artículo 76, fracción II de esta Ley, cuya adquisición lícita no se compruebe al momento de una verificación, con multas de entre cinto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E3040FE" w14:textId="1FC61A1A"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carrying out of activities regulated within the scope of its authoirtty, established in article 76, section II of this Law, whose lawful acquisition is not proven at the time of verification, with fines of between five hundred thirty-eight thousand and six hundred ninety thousand times the daily value of the Unit of Measurement and Update;</w:t>
            </w:r>
          </w:p>
        </w:tc>
      </w:tr>
      <w:tr w:rsidR="003B20AD" w:rsidRPr="00475A0C" w14:paraId="1454F8B4" w14:textId="71B1B59C" w:rsidTr="007B36AB">
        <w:tc>
          <w:tcPr>
            <w:tcW w:w="4675" w:type="dxa"/>
          </w:tcPr>
          <w:p w14:paraId="560837E4"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El incumplimiento de los términos y condiciones que se establezcan en los permisos que haya otorgado, con multa de entre treinta y cuatro mil a trescientas cuarenta y cuatro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499117FC" w14:textId="2885CE99"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Failure to comply with the terms and conditions established in the permits granted, with a fine of between thirty-four thousand and three hundred forty-four thousand times the daily value of the Unit of Measurement and Update;</w:t>
            </w:r>
          </w:p>
        </w:tc>
      </w:tr>
      <w:tr w:rsidR="003B20AD" w:rsidRPr="00475A0C" w14:paraId="1553114F" w14:textId="4F06F41A" w:rsidTr="007B36AB">
        <w:tc>
          <w:tcPr>
            <w:tcW w:w="4675" w:type="dxa"/>
          </w:tcPr>
          <w:p w14:paraId="1AD5C0D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El incumplimiento de la obligación de acceso abierto, con multa de entre trescientas cuarenta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8CF5A11" w14:textId="0DD4831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Failure to comply with the open access obligation, with a fine of between three hundred and forty-four thousand and one million thirty-two thousand times the daily value of the Unit of Measurement and Update;</w:t>
            </w:r>
          </w:p>
        </w:tc>
      </w:tr>
      <w:tr w:rsidR="003B20AD" w:rsidRPr="00475A0C" w14:paraId="570898FC" w14:textId="434BAB16" w:rsidTr="007B36AB">
        <w:tc>
          <w:tcPr>
            <w:tcW w:w="4675" w:type="dxa"/>
          </w:tcPr>
          <w:p w14:paraId="2ECBAF16"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 xml:space="preserve">La suspensión sin la autorización correspondiente de los servicios amparados por un permiso que haya otorgado, salvo por causa de caso fortuito o fuerza mayor, con multa de entre treinta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48EF41E9" w14:textId="390D3516"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The suspension without the corresponding authorization of the services covered by a permit that has been granted, except in cases of fortuitous event or force majeure, with a fine of between thirty-four thousand and six hundred ninety thousand times the daily value of the Unit of Measurement and Update;</w:t>
            </w:r>
          </w:p>
        </w:tc>
      </w:tr>
      <w:tr w:rsidR="003B20AD" w:rsidRPr="00475A0C" w14:paraId="19282195" w14:textId="678EC3DA" w:rsidTr="007B36AB">
        <w:tc>
          <w:tcPr>
            <w:tcW w:w="4675" w:type="dxa"/>
          </w:tcPr>
          <w:p w14:paraId="7FE1EC03"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 xml:space="preserve">El incumplimiento de la regulación que establezca sobre precios o tarifas máximas, con multa </w:t>
            </w:r>
            <w:r w:rsidRPr="00475A0C">
              <w:rPr>
                <w:rFonts w:ascii="Verdana" w:hAnsi="Verdana"/>
                <w:sz w:val="16"/>
                <w:szCs w:val="16"/>
              </w:rPr>
              <w:lastRenderedPageBreak/>
              <w:t xml:space="preserve">de entre treinta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AFC6446" w14:textId="6D387D57"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lastRenderedPageBreak/>
              <w:t xml:space="preserve">e) </w:t>
            </w:r>
            <w:r w:rsidRPr="00E3602D">
              <w:rPr>
                <w:rFonts w:ascii="Verdana" w:hAnsi="Verdana"/>
                <w:b/>
                <w:sz w:val="16"/>
                <w:szCs w:val="16"/>
                <w:lang w:val="en-US"/>
              </w:rPr>
              <w:tab/>
            </w:r>
            <w:r w:rsidRPr="00E3602D">
              <w:rPr>
                <w:rFonts w:ascii="Verdana" w:hAnsi="Verdana"/>
                <w:sz w:val="16"/>
                <w:szCs w:val="16"/>
                <w:lang w:val="en-US"/>
              </w:rPr>
              <w:t xml:space="preserve">Failure to comply with the regulation established on maximum prices or rates, with a fine of </w:t>
            </w:r>
            <w:r w:rsidRPr="00E3602D">
              <w:rPr>
                <w:rFonts w:ascii="Verdana" w:hAnsi="Verdana"/>
                <w:sz w:val="16"/>
                <w:szCs w:val="16"/>
                <w:lang w:val="en-US"/>
              </w:rPr>
              <w:lastRenderedPageBreak/>
              <w:t>between thirty-four thousand and six hundred ninety thousand times the daily value of the Unit of Measurement and Update;</w:t>
            </w:r>
          </w:p>
        </w:tc>
      </w:tr>
      <w:tr w:rsidR="003B20AD" w:rsidRPr="00475A0C" w14:paraId="2CEB5BC5" w14:textId="47378628" w:rsidTr="007B36AB">
        <w:tc>
          <w:tcPr>
            <w:tcW w:w="4675" w:type="dxa"/>
          </w:tcPr>
          <w:p w14:paraId="339D1996"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f)</w:t>
            </w:r>
            <w:r w:rsidRPr="00475A0C">
              <w:rPr>
                <w:rFonts w:ascii="Verdana" w:hAnsi="Verdana"/>
                <w:b/>
                <w:sz w:val="16"/>
                <w:szCs w:val="16"/>
              </w:rPr>
              <w:tab/>
            </w:r>
            <w:r w:rsidRPr="00475A0C">
              <w:rPr>
                <w:rFonts w:ascii="Verdana" w:hAnsi="Verdana"/>
                <w:sz w:val="16"/>
                <w:szCs w:val="16"/>
              </w:rPr>
              <w:t xml:space="preserve">La cesión, enajenación, traspaso o gravamen total o parcial, de los derechos u obligaciones derivados de un permiso que haya otorgado, sin la autorización correspondiente, con multa de entre seiscientos noventa mil a dos millones sesenta y tres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8227B82" w14:textId="280320ED"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f) </w:t>
            </w:r>
            <w:r w:rsidRPr="00E3602D">
              <w:rPr>
                <w:rFonts w:ascii="Verdana" w:hAnsi="Verdana"/>
                <w:b/>
                <w:sz w:val="16"/>
                <w:szCs w:val="16"/>
                <w:lang w:val="en-US"/>
              </w:rPr>
              <w:tab/>
            </w:r>
            <w:r w:rsidRPr="00E3602D">
              <w:rPr>
                <w:rFonts w:ascii="Verdana" w:hAnsi="Verdana"/>
                <w:sz w:val="16"/>
                <w:szCs w:val="16"/>
                <w:lang w:val="en-US"/>
              </w:rPr>
              <w:t>The assignment, transference, transfer or total or partial encumbrance of the rights or obligations derived from a permit that has been granted, without the corresponding authorization, with a fine of between six hundred ninety thousand and two million sixty-three thousand times the daily value of the Unit of Measurement and Update;</w:t>
            </w:r>
          </w:p>
        </w:tc>
      </w:tr>
      <w:tr w:rsidR="003B20AD" w:rsidRPr="00475A0C" w14:paraId="2F102367" w14:textId="3DE7A60E" w:rsidTr="007B36AB">
        <w:tc>
          <w:tcPr>
            <w:tcW w:w="4675" w:type="dxa"/>
          </w:tcPr>
          <w:p w14:paraId="5C2C6AF5"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g)</w:t>
            </w:r>
            <w:r w:rsidRPr="00475A0C">
              <w:rPr>
                <w:rFonts w:ascii="Verdana" w:hAnsi="Verdana"/>
                <w:b/>
                <w:sz w:val="16"/>
                <w:szCs w:val="16"/>
              </w:rPr>
              <w:tab/>
            </w:r>
            <w:r w:rsidRPr="00475A0C">
              <w:rPr>
                <w:rFonts w:ascii="Verdana" w:hAnsi="Verdana"/>
                <w:sz w:val="16"/>
                <w:szCs w:val="16"/>
              </w:rPr>
              <w:t xml:space="preserve">La modificación de las condiciones técnicas de sistemas, ductos, instalaciones o equipos sin la autorización correspondiente, con multa de entre trescientas cuarenta y cuatro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7ADA3EC0" w14:textId="51D5B22B"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g) </w:t>
            </w:r>
            <w:r w:rsidRPr="00E3602D">
              <w:rPr>
                <w:rFonts w:ascii="Verdana" w:hAnsi="Verdana"/>
                <w:b/>
                <w:sz w:val="16"/>
                <w:szCs w:val="16"/>
                <w:lang w:val="en-US"/>
              </w:rPr>
              <w:tab/>
            </w:r>
            <w:r w:rsidRPr="00E3602D">
              <w:rPr>
                <w:rFonts w:ascii="Verdana" w:hAnsi="Verdana"/>
                <w:sz w:val="16"/>
                <w:szCs w:val="16"/>
                <w:lang w:val="en-US"/>
              </w:rPr>
              <w:t>The modification of the technical conditions of systems, ducts, installations or equipment without the corresponding authorization, with a fine of between three hundred and forty-four thousand and six hundred and ninety thousand times the daily value of the Unit of Measurement and Update;</w:t>
            </w:r>
          </w:p>
        </w:tc>
      </w:tr>
      <w:tr w:rsidR="003B20AD" w:rsidRPr="00475A0C" w14:paraId="214E3A4E" w14:textId="7EDE7237" w:rsidTr="007B36AB">
        <w:tc>
          <w:tcPr>
            <w:tcW w:w="4675" w:type="dxa"/>
          </w:tcPr>
          <w:p w14:paraId="192AFD90"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h)</w:t>
            </w:r>
            <w:r w:rsidRPr="00475A0C">
              <w:rPr>
                <w:rFonts w:ascii="Verdana" w:hAnsi="Verdana"/>
                <w:b/>
                <w:sz w:val="16"/>
                <w:szCs w:val="16"/>
              </w:rPr>
              <w:tab/>
            </w:r>
            <w:r w:rsidRPr="00475A0C">
              <w:rPr>
                <w:rFonts w:ascii="Verdana" w:hAnsi="Verdana"/>
                <w:sz w:val="16"/>
                <w:szCs w:val="16"/>
              </w:rPr>
              <w:t xml:space="preserve">La realización de actividades en el ámbito de su regulación sin permiso vigente o autorización, con multa de entre trecientas cuarenta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6D0AF61" w14:textId="2394C919"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h) </w:t>
            </w:r>
            <w:r w:rsidRPr="00E3602D">
              <w:rPr>
                <w:rFonts w:ascii="Verdana" w:hAnsi="Verdana"/>
                <w:b/>
                <w:sz w:val="16"/>
                <w:szCs w:val="16"/>
                <w:lang w:val="en-US"/>
              </w:rPr>
              <w:tab/>
            </w:r>
            <w:r w:rsidRPr="00E3602D">
              <w:rPr>
                <w:rFonts w:ascii="Verdana" w:hAnsi="Verdana"/>
                <w:sz w:val="16"/>
                <w:szCs w:val="16"/>
                <w:lang w:val="en-US"/>
              </w:rPr>
              <w:t>Carrying out activities within the scope of its regulation without a current permit or authorization, with a fine of between three hundred and forty-four thousand and one million thirty-two thousand times the daily value of the Unit of Measurement and Update;</w:t>
            </w:r>
          </w:p>
        </w:tc>
      </w:tr>
      <w:tr w:rsidR="003B20AD" w:rsidRPr="00475A0C" w14:paraId="43E28597" w14:textId="3FA26D09" w:rsidTr="007B36AB">
        <w:tc>
          <w:tcPr>
            <w:tcW w:w="4675" w:type="dxa"/>
          </w:tcPr>
          <w:p w14:paraId="511F96A1"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 xml:space="preserve">El incumplimiento de las disposiciones aplicables a la cantidad, calidad y medición de Hidrocarburos, Petrolíferos y Petroquímicos, con multa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53DD8EC" w14:textId="48A81A9F"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Failure to comply with the provisions applicable to the quantity, quality and measurement of hydrocarbons, petroleum products and petrochemicals, with a fine of between one hundred thirty-eight thousand and six hundred ninety thousand times the daily value of the Unit of Measurement and Update;</w:t>
            </w:r>
          </w:p>
        </w:tc>
      </w:tr>
      <w:tr w:rsidR="003B20AD" w:rsidRPr="00475A0C" w14:paraId="7ED64179" w14:textId="06E5AAD3" w:rsidTr="007B36AB">
        <w:tc>
          <w:tcPr>
            <w:tcW w:w="4675" w:type="dxa"/>
          </w:tcPr>
          <w:p w14:paraId="642BC94B"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j)</w:t>
            </w:r>
            <w:r w:rsidRPr="00475A0C">
              <w:rPr>
                <w:rFonts w:ascii="Verdana" w:hAnsi="Verdana"/>
                <w:b/>
                <w:sz w:val="16"/>
                <w:szCs w:val="16"/>
              </w:rPr>
              <w:tab/>
            </w:r>
            <w:r w:rsidRPr="00475A0C">
              <w:rPr>
                <w:rFonts w:ascii="Verdana" w:hAnsi="Verdana"/>
                <w:sz w:val="16"/>
                <w:szCs w:val="16"/>
              </w:rPr>
              <w:t xml:space="preserve">El incumplimiento a lo previsto en el artículo 111 de esta Ley, con multa de entre ciento treinta y ocho mil a seiscientas noventa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33D711A8" w14:textId="65D54090"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j) </w:t>
            </w:r>
            <w:r w:rsidRPr="00E3602D">
              <w:rPr>
                <w:rFonts w:ascii="Verdana" w:hAnsi="Verdana"/>
                <w:b/>
                <w:sz w:val="16"/>
                <w:szCs w:val="16"/>
                <w:lang w:val="en-US"/>
              </w:rPr>
              <w:tab/>
            </w:r>
            <w:r w:rsidRPr="00E3602D">
              <w:rPr>
                <w:rFonts w:ascii="Verdana" w:hAnsi="Verdana"/>
                <w:sz w:val="16"/>
                <w:szCs w:val="16"/>
                <w:lang w:val="en-US"/>
              </w:rPr>
              <w:t>Failure to comply with the provisions of Article 111 of this Law, with a fine of between one hundred thirty-eight thousand and six hundred ninety thousand times the daily value of the Unit of Measurement and Update;</w:t>
            </w:r>
          </w:p>
        </w:tc>
      </w:tr>
      <w:tr w:rsidR="003B20AD" w:rsidRPr="00475A0C" w14:paraId="54573FAA" w14:textId="1777118E" w:rsidTr="007B36AB">
        <w:tc>
          <w:tcPr>
            <w:tcW w:w="4675" w:type="dxa"/>
          </w:tcPr>
          <w:p w14:paraId="7C9AA921"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k)</w:t>
            </w:r>
            <w:r w:rsidRPr="00475A0C">
              <w:rPr>
                <w:rFonts w:ascii="Verdana" w:hAnsi="Verdana"/>
                <w:b/>
                <w:sz w:val="16"/>
                <w:szCs w:val="16"/>
              </w:rPr>
              <w:tab/>
            </w:r>
            <w:r w:rsidRPr="00475A0C">
              <w:rPr>
                <w:rFonts w:ascii="Verdana" w:hAnsi="Verdana"/>
                <w:sz w:val="16"/>
                <w:szCs w:val="16"/>
              </w:rPr>
              <w:t>La realización de actividades en el ámbito de su competencia cuando se acredite afectación a la persona Usuaria Final por el producto importado, transportado, comercializado, almacenado, distribuido o expendido, y</w:t>
            </w:r>
          </w:p>
        </w:tc>
        <w:tc>
          <w:tcPr>
            <w:tcW w:w="4675" w:type="dxa"/>
          </w:tcPr>
          <w:p w14:paraId="4DE94176" w14:textId="5083886E"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k) </w:t>
            </w:r>
            <w:r w:rsidRPr="00E3602D">
              <w:rPr>
                <w:rFonts w:ascii="Verdana" w:hAnsi="Verdana"/>
                <w:b/>
                <w:sz w:val="16"/>
                <w:szCs w:val="16"/>
                <w:lang w:val="en-US"/>
              </w:rPr>
              <w:tab/>
            </w:r>
            <w:r w:rsidRPr="00E3602D">
              <w:rPr>
                <w:rFonts w:ascii="Verdana" w:hAnsi="Verdana"/>
                <w:sz w:val="16"/>
                <w:szCs w:val="16"/>
                <w:lang w:val="en-US"/>
              </w:rPr>
              <w:t>The performance of activities within the scope of its authority when the Final User is affected by the imported, transported, marketed, stored, distributed or sold product, and</w:t>
            </w:r>
          </w:p>
        </w:tc>
      </w:tr>
      <w:tr w:rsidR="003B20AD" w:rsidRPr="00475A0C" w14:paraId="49FB2D8C" w14:textId="2645B8A7" w:rsidTr="007B36AB">
        <w:tc>
          <w:tcPr>
            <w:tcW w:w="4675" w:type="dxa"/>
          </w:tcPr>
          <w:p w14:paraId="32322D28"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l)</w:t>
            </w:r>
            <w:r w:rsidRPr="00475A0C">
              <w:rPr>
                <w:rFonts w:ascii="Verdana" w:hAnsi="Verdana"/>
                <w:b/>
                <w:sz w:val="16"/>
                <w:szCs w:val="16"/>
              </w:rPr>
              <w:tab/>
            </w:r>
            <w:r w:rsidRPr="00475A0C">
              <w:rPr>
                <w:rFonts w:ascii="Verdana" w:hAnsi="Verdana"/>
                <w:sz w:val="16"/>
                <w:szCs w:val="16"/>
              </w:rPr>
              <w:t xml:space="preserve">Las demás violaciones al Título Tercero de esta Ley y a sus disposiciones reglamentarias, así como a la regulación, lineamientos y disposiciones administrativas competencia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deben sancionarse con multa de entre treinta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5BC9A5D9" w14:textId="13E988B1"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l) </w:t>
            </w:r>
            <w:r w:rsidRPr="00E3602D">
              <w:rPr>
                <w:rFonts w:ascii="Verdana" w:hAnsi="Verdana"/>
                <w:b/>
                <w:sz w:val="16"/>
                <w:szCs w:val="16"/>
                <w:lang w:val="en-US"/>
              </w:rPr>
              <w:tab/>
            </w:r>
            <w:r w:rsidRPr="00E3602D">
              <w:rPr>
                <w:rFonts w:ascii="Verdana" w:hAnsi="Verdana"/>
                <w:sz w:val="16"/>
                <w:szCs w:val="16"/>
                <w:lang w:val="en-US"/>
              </w:rPr>
              <w:t>Other violations of the Third Title of this Law and its regulatory provisions, as well as the regulations, guidelines and administrative provisions under the jurisdiction of the National Commission of Energy, must be sanctioned with a fine of between thirty-four thousand and one million thirty-two thousand times the daily value of the Unit of Measurement and Update;</w:t>
            </w:r>
          </w:p>
        </w:tc>
      </w:tr>
      <w:tr w:rsidR="003B20AD" w:rsidRPr="00475A0C" w14:paraId="185B5B0B" w14:textId="2F2F63A7" w:rsidTr="007B36AB">
        <w:tc>
          <w:tcPr>
            <w:tcW w:w="4675" w:type="dxa"/>
          </w:tcPr>
          <w:p w14:paraId="440F41C7"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Tratándose de las infracciones previstas en el inciso g) de esta fracción, en caso de reincidencia, además de las sanciones señaladas en la presente Ley, se revoca el permiso respectivo.</w:t>
            </w:r>
          </w:p>
        </w:tc>
        <w:tc>
          <w:tcPr>
            <w:tcW w:w="4675" w:type="dxa"/>
          </w:tcPr>
          <w:p w14:paraId="480EC3F3" w14:textId="6BC0028A" w:rsidR="003B20AD" w:rsidRPr="00E3602D" w:rsidRDefault="003B20AD" w:rsidP="003B20AD">
            <w:pPr>
              <w:pStyle w:val="Texto"/>
              <w:spacing w:line="241" w:lineRule="exact"/>
              <w:ind w:firstLine="0"/>
              <w:rPr>
                <w:rFonts w:ascii="Verdana" w:hAnsi="Verdana"/>
                <w:sz w:val="16"/>
                <w:szCs w:val="16"/>
                <w:lang w:val="en-US"/>
              </w:rPr>
            </w:pPr>
            <w:r w:rsidRPr="00E3602D">
              <w:rPr>
                <w:rFonts w:ascii="Verdana" w:hAnsi="Verdana"/>
                <w:sz w:val="16"/>
                <w:szCs w:val="16"/>
                <w:lang w:val="en-US"/>
              </w:rPr>
              <w:tab/>
              <w:t>In the case of the violations provided for in paragraph g) of this section, in the event of a repeat offense, in addition to the penalties specified in this Law, the respective permit shall be revoked.</w:t>
            </w:r>
          </w:p>
        </w:tc>
      </w:tr>
      <w:tr w:rsidR="003B20AD" w:rsidRPr="00475A0C" w14:paraId="0899EE71" w14:textId="322D3C38" w:rsidTr="007B36AB">
        <w:tc>
          <w:tcPr>
            <w:tcW w:w="4675" w:type="dxa"/>
          </w:tcPr>
          <w:p w14:paraId="03C0701E" w14:textId="77777777" w:rsidR="003B20AD" w:rsidRPr="00475A0C" w:rsidRDefault="003B20AD" w:rsidP="003B20AD">
            <w:pPr>
              <w:pStyle w:val="Texto"/>
              <w:spacing w:line="241" w:lineRule="exact"/>
              <w:ind w:firstLine="0"/>
              <w:rPr>
                <w:rFonts w:ascii="Verdana" w:hAnsi="Verdana"/>
                <w:b/>
                <w:sz w:val="16"/>
                <w:szCs w:val="16"/>
              </w:rPr>
            </w:pPr>
            <w:r w:rsidRPr="00475A0C">
              <w:rPr>
                <w:rFonts w:ascii="Verdana" w:hAnsi="Verdana"/>
                <w:b/>
                <w:sz w:val="16"/>
                <w:szCs w:val="16"/>
              </w:rPr>
              <w:lastRenderedPageBreak/>
              <w:t>III.</w:t>
            </w:r>
            <w:r w:rsidRPr="00475A0C">
              <w:rPr>
                <w:rFonts w:ascii="Verdana" w:hAnsi="Verdana"/>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deben sancionar, en el ámbito de sus competencias:</w:t>
            </w:r>
          </w:p>
        </w:tc>
        <w:tc>
          <w:tcPr>
            <w:tcW w:w="4675" w:type="dxa"/>
          </w:tcPr>
          <w:p w14:paraId="0C6BFA87" w14:textId="0D112054"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Secretary of Economy or the National Commission of Energy must sanction, within the scope of their powers:</w:t>
            </w:r>
          </w:p>
        </w:tc>
      </w:tr>
      <w:tr w:rsidR="003B20AD" w:rsidRPr="00475A0C" w14:paraId="52B0C2A5" w14:textId="63ADAC23" w:rsidTr="007B36AB">
        <w:tc>
          <w:tcPr>
            <w:tcW w:w="4675" w:type="dxa"/>
          </w:tcPr>
          <w:p w14:paraId="145D19BA"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La restricción de acceso a instalaciones y equipos relacionadas con actividades de la industria de Hidrocarburos, a los inspectores y verificadores, con multa de entre ciento setenta y dos mil a quinientas dieciséis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18B1B3F4" w14:textId="52197922"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Restriction of access to facilities and equipment related to activities of the hydrocarbon industry, to inspectors and verifiers, with a fine of between one hundred seventy-two thousand and five hundred sixteen thousand times the daily value of the Unit of Measurement and Update;</w:t>
            </w:r>
          </w:p>
        </w:tc>
      </w:tr>
      <w:tr w:rsidR="003B20AD" w:rsidRPr="00475A0C" w14:paraId="3732317B" w14:textId="0CA55756" w:rsidTr="007B36AB">
        <w:tc>
          <w:tcPr>
            <w:tcW w:w="4675" w:type="dxa"/>
          </w:tcPr>
          <w:p w14:paraId="6228181E"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La falta de presentación de la información que se requiera a personas Permisionarias, con multa de entre trescientas cuarenta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 y</w:t>
            </w:r>
          </w:p>
        </w:tc>
        <w:tc>
          <w:tcPr>
            <w:tcW w:w="4675" w:type="dxa"/>
          </w:tcPr>
          <w:p w14:paraId="3E143850" w14:textId="2CBEF85F"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Failure to submit the information required from Permit Holders, with a fine of between three hundred and forty-four thousand and one million thirty-two thousand times the daily value of the Unit of Measurement and Update, and</w:t>
            </w:r>
          </w:p>
        </w:tc>
      </w:tr>
      <w:tr w:rsidR="003B20AD" w:rsidRPr="00475A0C" w14:paraId="0EB4FC7E" w14:textId="104D860A" w:rsidTr="007B36AB">
        <w:tc>
          <w:tcPr>
            <w:tcW w:w="4675" w:type="dxa"/>
          </w:tcPr>
          <w:p w14:paraId="1BA11BD2" w14:textId="77777777" w:rsidR="003B20AD" w:rsidRPr="00475A0C" w:rsidRDefault="003B20AD" w:rsidP="003B20AD">
            <w:pPr>
              <w:pStyle w:val="Texto"/>
              <w:spacing w:line="241"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 xml:space="preserve">El incumplimiento o entorpecimiento de la obligación de informar o reportar, conforme a las disposiciones jurídicas aplicables, cualquier situación relacionada con esta Ley o sus disposiciones reglamentarias, con multa de entre diecisiete mil doscientas a trescientas cuarenta y cuatro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091BF664" w14:textId="50203FDF" w:rsidR="003B20AD" w:rsidRPr="00E3602D" w:rsidRDefault="003B20AD" w:rsidP="003B20AD">
            <w:pPr>
              <w:pStyle w:val="Texto"/>
              <w:spacing w:line="241"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Failure to comply with or the obstruction of the obligation to inform or report, in accordance with the applicable legal provisions, any situation related to this Law or its regulatory provisions, with a fine of between seventeen thousand two hundred and three hundred and forty-four thousand times the daily value of the Unit of Measurement and Update.</w:t>
            </w:r>
          </w:p>
        </w:tc>
      </w:tr>
      <w:tr w:rsidR="003B20AD" w:rsidRPr="00475A0C" w14:paraId="539FA840" w14:textId="4E537ABB" w:rsidTr="007B36AB">
        <w:tc>
          <w:tcPr>
            <w:tcW w:w="4675" w:type="dxa"/>
          </w:tcPr>
          <w:p w14:paraId="50471FE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Artículo 122.-</w:t>
            </w:r>
            <w:r w:rsidRPr="00475A0C">
              <w:rPr>
                <w:rFonts w:ascii="Verdana" w:hAnsi="Verdana"/>
                <w:sz w:val="16"/>
                <w:szCs w:val="16"/>
              </w:rPr>
              <w:t xml:space="preserve"> El incumplimiento a lo establecido en el Capítulo V del Título Cuarto de esta Ley y a sus disposiciones reglamentarias deben ser sancionadas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tomando en cuenta la gravedad de la falta, de acuerdo con lo siguiente:</w:t>
            </w:r>
          </w:p>
        </w:tc>
        <w:tc>
          <w:tcPr>
            <w:tcW w:w="4675" w:type="dxa"/>
          </w:tcPr>
          <w:p w14:paraId="73984759" w14:textId="22B6DADA"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122.- </w:t>
            </w:r>
            <w:r w:rsidRPr="00E3602D">
              <w:rPr>
                <w:rFonts w:ascii="Verdana" w:hAnsi="Verdana"/>
                <w:sz w:val="16"/>
                <w:szCs w:val="16"/>
                <w:lang w:val="en-US"/>
              </w:rPr>
              <w:t>Failure to comply with the provisions of Chapter V of the Fourth Title of this Law and its regulatory provisions must be sanctioned by the Secretary of Energy taking into account the seriousness of the violation, in accordance with the following:</w:t>
            </w:r>
          </w:p>
        </w:tc>
      </w:tr>
      <w:tr w:rsidR="003B20AD" w:rsidRPr="00475A0C" w14:paraId="25ED3E34" w14:textId="031ADE9C" w:rsidTr="007B36AB">
        <w:tc>
          <w:tcPr>
            <w:tcW w:w="4675" w:type="dxa"/>
          </w:tcPr>
          <w:p w14:paraId="2F067618"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El incumplimiento de los términos y condiciones que se establezcan en las Autorizaciones en materia de Manifestación de Impacto Social del Sector Energético con multa de entre diecisiete mil a ciento setenta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 y</w:t>
            </w:r>
          </w:p>
        </w:tc>
        <w:tc>
          <w:tcPr>
            <w:tcW w:w="4675" w:type="dxa"/>
          </w:tcPr>
          <w:p w14:paraId="38DAB966" w14:textId="0834C323"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Failure to comply with the terms and conditions established in the authorizations regarding the Social Impact Statement of the Energy Sector with a fine of between seventeen thousand and one hundred seventy-two thousand times the daily value of the Unit of Measurement and Update, and</w:t>
            </w:r>
          </w:p>
        </w:tc>
      </w:tr>
      <w:tr w:rsidR="003B20AD" w:rsidRPr="00475A0C" w14:paraId="2DF008F1" w14:textId="6BA9E49C" w:rsidTr="007B36AB">
        <w:tc>
          <w:tcPr>
            <w:tcW w:w="4675" w:type="dxa"/>
          </w:tcPr>
          <w:p w14:paraId="19780F4F" w14:textId="77777777" w:rsidR="003B20AD" w:rsidRPr="00475A0C" w:rsidRDefault="003B20AD" w:rsidP="003B20AD">
            <w:pPr>
              <w:pStyle w:val="Texto"/>
              <w:spacing w:line="230" w:lineRule="exact"/>
              <w:ind w:firstLine="0"/>
              <w:rPr>
                <w:rFonts w:ascii="Verdana" w:hAnsi="Verdana"/>
                <w:b/>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 xml:space="preserve">Iniciar el desarrollo de infraestructura sin la autorización definitiva de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 con multa de entre trescientas cuarenta y cuatro mil a un millón treinta y dos mil veces el valor diario de </w:t>
            </w:r>
            <w:smartTag w:uri="urn:schemas-microsoft-com:office:smarttags" w:element="PersonName">
              <w:smartTagPr>
                <w:attr w:name="ProductID" w:val="la Unidad"/>
              </w:smartTagPr>
              <w:r w:rsidRPr="00475A0C">
                <w:rPr>
                  <w:rFonts w:ascii="Verdana" w:hAnsi="Verdana"/>
                  <w:sz w:val="16"/>
                  <w:szCs w:val="16"/>
                </w:rPr>
                <w:t>la Unidad</w:t>
              </w:r>
            </w:smartTag>
            <w:r w:rsidRPr="00475A0C">
              <w:rPr>
                <w:rFonts w:ascii="Verdana" w:hAnsi="Verdana"/>
                <w:sz w:val="16"/>
                <w:szCs w:val="16"/>
              </w:rPr>
              <w:t xml:space="preserve"> de Medida y Actualización.</w:t>
            </w:r>
          </w:p>
        </w:tc>
        <w:tc>
          <w:tcPr>
            <w:tcW w:w="4675" w:type="dxa"/>
          </w:tcPr>
          <w:p w14:paraId="6FB42476" w14:textId="70196335"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Start the development of infrastructure without the definitive authorization of Statement of Social Impact of the Energy Sector with a fine of between three hundred and forty-four thousand and one million thirty-two thousand times the daily value of the Unit of Measurement and Update.</w:t>
            </w:r>
          </w:p>
        </w:tc>
      </w:tr>
      <w:tr w:rsidR="003B20AD" w:rsidRPr="00475A0C" w14:paraId="7BEE7F09" w14:textId="105B8785" w:rsidTr="007B36AB">
        <w:tc>
          <w:tcPr>
            <w:tcW w:w="4675" w:type="dxa"/>
          </w:tcPr>
          <w:p w14:paraId="6C93C4B7"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Tratándose de las infracciones previstas en el inciso b) de este artículo, además de la sanción señalada en la presente Ley, se negará el otorgamiento del permiso o autorización respectivos.</w:t>
            </w:r>
          </w:p>
        </w:tc>
        <w:tc>
          <w:tcPr>
            <w:tcW w:w="4675" w:type="dxa"/>
          </w:tcPr>
          <w:p w14:paraId="226AA587" w14:textId="2453A225"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In the case of the violations provided for in paragraph b) of this article, in addition to the penalty indicated in this Law, the granting of the respective permit or authorization will be denied.</w:t>
            </w:r>
          </w:p>
        </w:tc>
      </w:tr>
      <w:tr w:rsidR="003B20AD" w:rsidRPr="00475A0C" w14:paraId="34E8F030" w14:textId="08A7CFE6" w:rsidTr="007B36AB">
        <w:tc>
          <w:tcPr>
            <w:tcW w:w="4675" w:type="dxa"/>
          </w:tcPr>
          <w:p w14:paraId="078C8578" w14:textId="77777777" w:rsidR="003B20AD" w:rsidRPr="00475A0C" w:rsidRDefault="003B20AD" w:rsidP="003B20AD">
            <w:pPr>
              <w:pStyle w:val="Texto"/>
              <w:spacing w:line="230" w:lineRule="exact"/>
              <w:ind w:firstLine="0"/>
              <w:rPr>
                <w:rFonts w:ascii="Verdana" w:hAnsi="Verdana"/>
                <w:b/>
                <w:sz w:val="16"/>
                <w:szCs w:val="16"/>
              </w:rPr>
            </w:pPr>
            <w:r w:rsidRPr="00475A0C">
              <w:rPr>
                <w:rFonts w:ascii="Verdana" w:hAnsi="Verdana"/>
                <w:b/>
                <w:sz w:val="16"/>
                <w:szCs w:val="16"/>
              </w:rPr>
              <w:t>Artículo 123.-</w:t>
            </w:r>
            <w:r w:rsidRPr="00475A0C">
              <w:rPr>
                <w:rFonts w:ascii="Verdana" w:hAnsi="Verdana"/>
                <w:sz w:val="16"/>
                <w:szCs w:val="16"/>
              </w:rPr>
              <w:t xml:space="preserve"> Para la aplicación de las sanciones previstas en esta Ley, la autoridad administrativa debe fundar y motivar su resolución considerando:</w:t>
            </w:r>
          </w:p>
        </w:tc>
        <w:tc>
          <w:tcPr>
            <w:tcW w:w="4675" w:type="dxa"/>
          </w:tcPr>
          <w:p w14:paraId="28DF72A3" w14:textId="37801BB1"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123.- </w:t>
            </w:r>
            <w:r w:rsidRPr="00E3602D">
              <w:rPr>
                <w:rFonts w:ascii="Verdana" w:hAnsi="Verdana"/>
                <w:sz w:val="16"/>
                <w:szCs w:val="16"/>
                <w:lang w:val="en-US"/>
              </w:rPr>
              <w:t>In order to apply the sanctions provided for in this Law, the administrative authority must base and motivate its resolution considering:</w:t>
            </w:r>
          </w:p>
        </w:tc>
      </w:tr>
      <w:tr w:rsidR="003B20AD" w:rsidRPr="00475A0C" w14:paraId="7AF1342F" w14:textId="0F927985" w:rsidTr="007B36AB">
        <w:tc>
          <w:tcPr>
            <w:tcW w:w="4675" w:type="dxa"/>
          </w:tcPr>
          <w:p w14:paraId="67531FA0"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Los daños directos e indirectos que se hubieren producido o puedan producirse;</w:t>
            </w:r>
          </w:p>
        </w:tc>
        <w:tc>
          <w:tcPr>
            <w:tcW w:w="4675" w:type="dxa"/>
          </w:tcPr>
          <w:p w14:paraId="014CA5B5" w14:textId="48B31C4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Direct and indirect damages that have occurred or may occur;</w:t>
            </w:r>
          </w:p>
        </w:tc>
      </w:tr>
      <w:tr w:rsidR="003B20AD" w:rsidRPr="00475A0C" w14:paraId="4FA2412A" w14:textId="101E2975" w:rsidTr="007B36AB">
        <w:tc>
          <w:tcPr>
            <w:tcW w:w="4675" w:type="dxa"/>
          </w:tcPr>
          <w:p w14:paraId="126BE0F8"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El carácter intencional o no de la acción u omisión constitutiva de la infracción;</w:t>
            </w:r>
          </w:p>
        </w:tc>
        <w:tc>
          <w:tcPr>
            <w:tcW w:w="4675" w:type="dxa"/>
          </w:tcPr>
          <w:p w14:paraId="70292DF1" w14:textId="1A4FEA58"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intentional or unintentional nature of the action or omission constituting the infringement;</w:t>
            </w:r>
          </w:p>
        </w:tc>
      </w:tr>
      <w:tr w:rsidR="003B20AD" w:rsidRPr="00475A0C" w14:paraId="1ACD8943" w14:textId="56350B87" w:rsidTr="007B36AB">
        <w:tc>
          <w:tcPr>
            <w:tcW w:w="4675" w:type="dxa"/>
          </w:tcPr>
          <w:p w14:paraId="1EAAD581"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La gravedad de la infracción, y</w:t>
            </w:r>
          </w:p>
        </w:tc>
        <w:tc>
          <w:tcPr>
            <w:tcW w:w="4675" w:type="dxa"/>
          </w:tcPr>
          <w:p w14:paraId="4C080D37" w14:textId="06DDE7B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seriousness of the violation, and</w:t>
            </w:r>
          </w:p>
        </w:tc>
      </w:tr>
      <w:tr w:rsidR="003B20AD" w:rsidRPr="00475A0C" w14:paraId="53F6B29B" w14:textId="779C4CF7" w:rsidTr="007B36AB">
        <w:tc>
          <w:tcPr>
            <w:tcW w:w="4675" w:type="dxa"/>
          </w:tcPr>
          <w:p w14:paraId="5A17892F" w14:textId="77777777" w:rsidR="003B20AD" w:rsidRPr="00475A0C" w:rsidRDefault="003B20AD" w:rsidP="003B20AD">
            <w:pPr>
              <w:pStyle w:val="Texto"/>
              <w:spacing w:line="230" w:lineRule="exact"/>
              <w:ind w:firstLine="0"/>
              <w:rPr>
                <w:rFonts w:ascii="Verdana" w:hAnsi="Verdana"/>
                <w:b/>
                <w:sz w:val="16"/>
                <w:szCs w:val="16"/>
              </w:rPr>
            </w:pPr>
            <w:r w:rsidRPr="00475A0C">
              <w:rPr>
                <w:rFonts w:ascii="Verdana" w:hAnsi="Verdana"/>
                <w:b/>
                <w:sz w:val="16"/>
                <w:szCs w:val="16"/>
              </w:rPr>
              <w:lastRenderedPageBreak/>
              <w:t>IV.</w:t>
            </w:r>
            <w:r w:rsidRPr="00475A0C">
              <w:rPr>
                <w:rFonts w:ascii="Verdana" w:hAnsi="Verdana"/>
                <w:sz w:val="16"/>
                <w:szCs w:val="16"/>
              </w:rPr>
              <w:tab/>
              <w:t>La reincidencia del infractor.</w:t>
            </w:r>
          </w:p>
        </w:tc>
        <w:tc>
          <w:tcPr>
            <w:tcW w:w="4675" w:type="dxa"/>
          </w:tcPr>
          <w:p w14:paraId="4241985D" w14:textId="0A0E5436"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The offender's recidivism.</w:t>
            </w:r>
          </w:p>
        </w:tc>
      </w:tr>
      <w:tr w:rsidR="003B20AD" w:rsidRPr="00475A0C" w14:paraId="2D6FB2EB" w14:textId="7BD64291" w:rsidTr="007B36AB">
        <w:tc>
          <w:tcPr>
            <w:tcW w:w="4675" w:type="dxa"/>
          </w:tcPr>
          <w:p w14:paraId="3A2EB8AE"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Para la aplicación de las sanciones se está a lo dispuesto en </w:t>
            </w:r>
            <w:smartTag w:uri="urn:schemas-microsoft-com:office:smarttags" w:element="PersonName">
              <w:smartTagPr>
                <w:attr w:name="ProductID" w:val="la Ley Federal"/>
              </w:smartTagPr>
              <w:r w:rsidRPr="00475A0C">
                <w:rPr>
                  <w:rFonts w:ascii="Verdana" w:hAnsi="Verdana"/>
                  <w:sz w:val="16"/>
                  <w:szCs w:val="16"/>
                </w:rPr>
                <w:t>la Ley Federal</w:t>
              </w:r>
            </w:smartTag>
            <w:r w:rsidRPr="00475A0C">
              <w:rPr>
                <w:rFonts w:ascii="Verdana" w:hAnsi="Verdana"/>
                <w:sz w:val="16"/>
                <w:szCs w:val="16"/>
              </w:rPr>
              <w:t xml:space="preserve"> de Procedimiento Administrativo.</w:t>
            </w:r>
          </w:p>
        </w:tc>
        <w:tc>
          <w:tcPr>
            <w:tcW w:w="4675" w:type="dxa"/>
          </w:tcPr>
          <w:p w14:paraId="65C4B1F4" w14:textId="50D654C6"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For the application of sanctions, the provisions of the Federal Law of Administrative Procedure.</w:t>
            </w:r>
          </w:p>
        </w:tc>
      </w:tr>
      <w:tr w:rsidR="003B20AD" w:rsidRPr="00475A0C" w14:paraId="0E33C38B" w14:textId="21275417" w:rsidTr="007B36AB">
        <w:tc>
          <w:tcPr>
            <w:tcW w:w="4675" w:type="dxa"/>
          </w:tcPr>
          <w:p w14:paraId="312FB4B1"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Las sanciones señaladas en esta Ley se aplican sin perjuicio de la responsabilidad civil, penal o administrativa que resulte de la aplicación de sanciones por otros ordenamientos y, en su caso, de la revocación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permiso o autorización, o de la rescisión del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7CD1B1FF" w14:textId="2F985E64"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The sanctions indicated in this Law are applied without prejudice to the civil, criminal or administrative liability resulting from the application of sanctions by other regulations and, where applicable, the revocation of the Assignment permit or authorization, or the termination of the Contract for the exploration and extraction.</w:t>
            </w:r>
          </w:p>
        </w:tc>
      </w:tr>
      <w:tr w:rsidR="003B20AD" w:rsidRPr="00475A0C" w14:paraId="4CF0D204" w14:textId="2F77D70A" w:rsidTr="007B36AB">
        <w:tc>
          <w:tcPr>
            <w:tcW w:w="4675" w:type="dxa"/>
          </w:tcPr>
          <w:p w14:paraId="72E16BC8"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En caso de reincidencia, debe imponerse una multa por el doble de la anteriormente impuesta. Se considera reincidente al que, habiendo incurrido en una infracción que haya sido sancionada, cometa otra del mismo tipo o naturaleza, dentro de un plazo de diez años, contados a partir de la imposición de la sanción.</w:t>
            </w:r>
          </w:p>
        </w:tc>
        <w:tc>
          <w:tcPr>
            <w:tcW w:w="4675" w:type="dxa"/>
          </w:tcPr>
          <w:p w14:paraId="23815DFF" w14:textId="60E6BBD6"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In the event of a repeat offense, a fine double the amount previously imposed shall be imposed. A repeat offender is considered to be someone who, having committed an offense that has been sanctioned, commits another of the same type or nature within a period of ten years from the date the sanction is imposed.</w:t>
            </w:r>
          </w:p>
        </w:tc>
      </w:tr>
      <w:tr w:rsidR="003B20AD" w:rsidRPr="00475A0C" w14:paraId="4DFE1102" w14:textId="79000D21" w:rsidTr="007B36AB">
        <w:tc>
          <w:tcPr>
            <w:tcW w:w="4675" w:type="dxa"/>
          </w:tcPr>
          <w:p w14:paraId="4DB5AEC1" w14:textId="77777777" w:rsidR="003B20AD" w:rsidRPr="00475A0C" w:rsidRDefault="003B20AD" w:rsidP="003B20AD">
            <w:pPr>
              <w:pStyle w:val="Texto"/>
              <w:spacing w:line="230" w:lineRule="exact"/>
              <w:ind w:firstLine="0"/>
              <w:jc w:val="center"/>
              <w:rPr>
                <w:rFonts w:ascii="Verdana" w:hAnsi="Verdana"/>
                <w:b/>
                <w:sz w:val="16"/>
                <w:szCs w:val="16"/>
              </w:rPr>
            </w:pPr>
            <w:r w:rsidRPr="00475A0C">
              <w:rPr>
                <w:rFonts w:ascii="Verdana" w:hAnsi="Verdana"/>
                <w:b/>
                <w:sz w:val="16"/>
                <w:szCs w:val="16"/>
              </w:rPr>
              <w:t>Capítulo II</w:t>
            </w:r>
          </w:p>
        </w:tc>
        <w:tc>
          <w:tcPr>
            <w:tcW w:w="4675" w:type="dxa"/>
          </w:tcPr>
          <w:p w14:paraId="1204B1CA" w14:textId="0EC0EEBE" w:rsidR="003B20AD" w:rsidRPr="00E3602D" w:rsidRDefault="003B20AD" w:rsidP="003B20AD">
            <w:pPr>
              <w:pStyle w:val="Texto"/>
              <w:spacing w:line="230" w:lineRule="exact"/>
              <w:ind w:firstLine="0"/>
              <w:jc w:val="center"/>
              <w:rPr>
                <w:rFonts w:ascii="Verdana" w:hAnsi="Verdana"/>
                <w:b/>
                <w:sz w:val="16"/>
                <w:szCs w:val="16"/>
                <w:lang w:val="en-US"/>
              </w:rPr>
            </w:pPr>
            <w:r w:rsidRPr="00E3602D">
              <w:rPr>
                <w:rFonts w:ascii="Verdana" w:hAnsi="Verdana"/>
                <w:b/>
                <w:sz w:val="16"/>
                <w:szCs w:val="16"/>
                <w:lang w:val="en-US"/>
              </w:rPr>
              <w:t>Chapter II</w:t>
            </w:r>
          </w:p>
        </w:tc>
      </w:tr>
      <w:tr w:rsidR="003B20AD" w:rsidRPr="00475A0C" w14:paraId="5F98BEBA" w14:textId="4BE7D74A" w:rsidTr="007B36AB">
        <w:tc>
          <w:tcPr>
            <w:tcW w:w="4675" w:type="dxa"/>
          </w:tcPr>
          <w:p w14:paraId="26DF4CF9" w14:textId="77777777" w:rsidR="003B20AD" w:rsidRPr="00475A0C" w:rsidRDefault="003B20AD" w:rsidP="003B20AD">
            <w:pPr>
              <w:pStyle w:val="Texto"/>
              <w:spacing w:line="230" w:lineRule="exact"/>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Transparencia"/>
              </w:smartTagPr>
              <w:r w:rsidRPr="00475A0C">
                <w:rPr>
                  <w:rFonts w:ascii="Verdana" w:hAnsi="Verdana"/>
                  <w:b/>
                  <w:sz w:val="16"/>
                  <w:szCs w:val="16"/>
                </w:rPr>
                <w:t>la Transparencia</w:t>
              </w:r>
            </w:smartTag>
            <w:r w:rsidRPr="00475A0C">
              <w:rPr>
                <w:rFonts w:ascii="Verdana" w:hAnsi="Verdana"/>
                <w:b/>
                <w:sz w:val="16"/>
                <w:szCs w:val="16"/>
              </w:rPr>
              <w:t xml:space="preserve"> y el Combate a la Corrupción</w:t>
            </w:r>
          </w:p>
        </w:tc>
        <w:tc>
          <w:tcPr>
            <w:tcW w:w="4675" w:type="dxa"/>
          </w:tcPr>
          <w:p w14:paraId="183B2161" w14:textId="14C4C3FE" w:rsidR="003B20AD" w:rsidRPr="00E3602D" w:rsidRDefault="003B20AD" w:rsidP="003B20AD">
            <w:pPr>
              <w:pStyle w:val="Texto"/>
              <w:spacing w:line="230" w:lineRule="exact"/>
              <w:ind w:firstLine="0"/>
              <w:jc w:val="center"/>
              <w:rPr>
                <w:rFonts w:ascii="Verdana" w:hAnsi="Verdana"/>
                <w:b/>
                <w:sz w:val="16"/>
                <w:szCs w:val="16"/>
                <w:lang w:val="en-US"/>
              </w:rPr>
            </w:pPr>
            <w:r w:rsidRPr="00E3602D">
              <w:rPr>
                <w:rFonts w:ascii="Verdana" w:hAnsi="Verdana"/>
                <w:b/>
                <w:sz w:val="16"/>
                <w:szCs w:val="16"/>
                <w:lang w:val="en-US"/>
              </w:rPr>
              <w:t>Transparency and the Fight against Corruption</w:t>
            </w:r>
          </w:p>
        </w:tc>
      </w:tr>
      <w:tr w:rsidR="003B20AD" w:rsidRPr="00475A0C" w14:paraId="1C1A9397" w14:textId="7F1E88CF" w:rsidTr="007B36AB">
        <w:tc>
          <w:tcPr>
            <w:tcW w:w="4675" w:type="dxa"/>
          </w:tcPr>
          <w:p w14:paraId="01D9D059" w14:textId="77777777" w:rsidR="003B20AD" w:rsidRPr="00475A0C" w:rsidRDefault="003B20AD" w:rsidP="003B20AD">
            <w:pPr>
              <w:pStyle w:val="Texto"/>
              <w:spacing w:line="230" w:lineRule="exact"/>
              <w:ind w:firstLine="0"/>
              <w:rPr>
                <w:rFonts w:ascii="Verdana" w:hAnsi="Verdana"/>
                <w:b/>
                <w:sz w:val="16"/>
                <w:szCs w:val="16"/>
              </w:rPr>
            </w:pPr>
            <w:r w:rsidRPr="00475A0C">
              <w:rPr>
                <w:rFonts w:ascii="Verdana" w:hAnsi="Verdana"/>
                <w:b/>
                <w:sz w:val="16"/>
                <w:szCs w:val="16"/>
              </w:rPr>
              <w:t>Artículo 124.-</w:t>
            </w:r>
            <w:r w:rsidRPr="00475A0C">
              <w:rPr>
                <w:rFonts w:ascii="Verdana" w:hAnsi="Verdana"/>
                <w:sz w:val="16"/>
                <w:szCs w:val="16"/>
              </w:rPr>
              <w:t xml:space="preserve"> 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poner a disposición del público, de forma mensual, al menos la siguiente información:</w:t>
            </w:r>
          </w:p>
        </w:tc>
        <w:tc>
          <w:tcPr>
            <w:tcW w:w="4675" w:type="dxa"/>
          </w:tcPr>
          <w:p w14:paraId="5173715F" w14:textId="420EA1CF"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124.- </w:t>
            </w:r>
            <w:r w:rsidRPr="00E3602D">
              <w:rPr>
                <w:rFonts w:ascii="Verdana" w:hAnsi="Verdana"/>
                <w:sz w:val="16"/>
                <w:szCs w:val="16"/>
                <w:lang w:val="en-US"/>
              </w:rPr>
              <w:t>It is the responsibility the Secretary of the Energy Department to make available to the public, on a monthly basis, at least the following information:</w:t>
            </w:r>
          </w:p>
        </w:tc>
      </w:tr>
      <w:tr w:rsidR="003B20AD" w:rsidRPr="00475A0C" w14:paraId="15E1E57B" w14:textId="4998715C" w:rsidTr="007B36AB">
        <w:tc>
          <w:tcPr>
            <w:tcW w:w="4675" w:type="dxa"/>
          </w:tcPr>
          <w:p w14:paraId="429CD69C"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El número y tipo de Asignaciones, en su caso personas Participantes y su carácter, y permisos que se encuentran vigentes, así como sus términos y condiciones;</w:t>
            </w:r>
          </w:p>
        </w:tc>
        <w:tc>
          <w:tcPr>
            <w:tcW w:w="4675" w:type="dxa"/>
          </w:tcPr>
          <w:p w14:paraId="7841A76B" w14:textId="3D63ED3C"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number and type of Assignments, if any, the participants and their nature, and permits that are in force, as well as their terms and conditions;</w:t>
            </w:r>
          </w:p>
        </w:tc>
      </w:tr>
      <w:tr w:rsidR="003B20AD" w:rsidRPr="00475A0C" w14:paraId="67995280" w14:textId="67360CFB" w:rsidTr="007B36AB">
        <w:tc>
          <w:tcPr>
            <w:tcW w:w="4675" w:type="dxa"/>
          </w:tcPr>
          <w:p w14:paraId="162D6C1D"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Los resultados y estadísticas de los procesos de licitación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1F9CE4DC" w14:textId="5C1E985A"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results and statistics of the bidding processes for Contracts for exploration and extraction;</w:t>
            </w:r>
          </w:p>
        </w:tc>
      </w:tr>
      <w:tr w:rsidR="003B20AD" w:rsidRPr="00475A0C" w14:paraId="6F1736EB" w14:textId="3FFE9AFA" w:rsidTr="007B36AB">
        <w:tc>
          <w:tcPr>
            <w:tcW w:w="4675" w:type="dxa"/>
          </w:tcPr>
          <w:p w14:paraId="7FFEDAA7"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Las bases y reglas de los procesos de licitación que se hayan empleado para adjudicar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258C3A6B" w14:textId="4A3854AC"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criteria and rules of the bidding processes that have been used to award the Contracts for exploration and extraction;</w:t>
            </w:r>
          </w:p>
        </w:tc>
      </w:tr>
      <w:tr w:rsidR="003B20AD" w:rsidRPr="00475A0C" w14:paraId="4A49F5C0" w14:textId="187F1A99" w:rsidTr="007B36AB">
        <w:tc>
          <w:tcPr>
            <w:tcW w:w="4675" w:type="dxa"/>
          </w:tcPr>
          <w:p w14:paraId="68A2D81E"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El número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que se encuentran vigentes, así como sus términos y condiciones;</w:t>
            </w:r>
          </w:p>
        </w:tc>
        <w:tc>
          <w:tcPr>
            <w:tcW w:w="4675" w:type="dxa"/>
          </w:tcPr>
          <w:p w14:paraId="5F2C2F14" w14:textId="6DAACF89"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The number of Contracts for exploration and extraction that are in force, as well as their terms and conditions;</w:t>
            </w:r>
          </w:p>
        </w:tc>
      </w:tr>
      <w:tr w:rsidR="003B20AD" w:rsidRPr="00475A0C" w14:paraId="62C85041" w14:textId="5BC77EBA" w:rsidTr="007B36AB">
        <w:tc>
          <w:tcPr>
            <w:tcW w:w="4675" w:type="dxa"/>
          </w:tcPr>
          <w:p w14:paraId="1265B47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El número de autorizaciones que haya otorgado y se encuentran vigentes, así como sus términos y condiciones;</w:t>
            </w:r>
          </w:p>
        </w:tc>
        <w:tc>
          <w:tcPr>
            <w:tcW w:w="4675" w:type="dxa"/>
          </w:tcPr>
          <w:p w14:paraId="0F558AF4" w14:textId="1A2ECAF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The number of authorizations that have been granted and are in force, as well as their terms and conditions;</w:t>
            </w:r>
          </w:p>
        </w:tc>
      </w:tr>
      <w:tr w:rsidR="003B20AD" w:rsidRPr="00475A0C" w14:paraId="72135C48" w14:textId="59D5FFE0" w:rsidTr="007B36AB">
        <w:tc>
          <w:tcPr>
            <w:tcW w:w="4675" w:type="dxa"/>
          </w:tcPr>
          <w:p w14:paraId="39BBBB75"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VI.</w:t>
            </w:r>
            <w:r w:rsidRPr="00475A0C">
              <w:rPr>
                <w:rFonts w:ascii="Verdana" w:hAnsi="Verdana"/>
                <w:sz w:val="16"/>
                <w:szCs w:val="16"/>
              </w:rPr>
              <w:tab/>
              <w:t xml:space="preserve">La información relacionada con la administración técnica y supervisión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01C62166" w14:textId="16D85A1A"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sz w:val="16"/>
                <w:szCs w:val="16"/>
                <w:lang w:val="en-US"/>
              </w:rPr>
              <w:tab/>
              <w:t>Information related to the technical administration and supervision of the Contracts for exploration and extraction;</w:t>
            </w:r>
          </w:p>
        </w:tc>
      </w:tr>
      <w:tr w:rsidR="003B20AD" w:rsidRPr="00475A0C" w14:paraId="76DDC700" w14:textId="31CBC596" w:rsidTr="007B36AB">
        <w:tc>
          <w:tcPr>
            <w:tcW w:w="4675" w:type="dxa"/>
          </w:tcPr>
          <w:p w14:paraId="6BC81BC2"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VII.</w:t>
            </w:r>
            <w:r w:rsidRPr="00475A0C">
              <w:rPr>
                <w:rFonts w:ascii="Verdana" w:hAnsi="Verdana"/>
                <w:sz w:val="16"/>
                <w:szCs w:val="16"/>
              </w:rPr>
              <w:tab/>
              <w:t xml:space="preserve">El volumen de producción de Hidrocarburos por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w:t>
            </w:r>
          </w:p>
        </w:tc>
        <w:tc>
          <w:tcPr>
            <w:tcW w:w="4675" w:type="dxa"/>
          </w:tcPr>
          <w:p w14:paraId="7167E15B" w14:textId="17379EDC"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sz w:val="16"/>
                <w:szCs w:val="16"/>
                <w:lang w:val="en-US"/>
              </w:rPr>
              <w:tab/>
              <w:t>The volume of production of hydrocarbons by Contract for the exploration and extraction;</w:t>
            </w:r>
          </w:p>
        </w:tc>
      </w:tr>
      <w:tr w:rsidR="003B20AD" w:rsidRPr="00475A0C" w14:paraId="6691D35C" w14:textId="0AA46363" w:rsidTr="007B36AB">
        <w:tc>
          <w:tcPr>
            <w:tcW w:w="4675" w:type="dxa"/>
          </w:tcPr>
          <w:p w14:paraId="35285000"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El número de permisos que haya otorgado y se encuentren vigentes, así como sus términos y condiciones;</w:t>
            </w:r>
          </w:p>
        </w:tc>
        <w:tc>
          <w:tcPr>
            <w:tcW w:w="4675" w:type="dxa"/>
          </w:tcPr>
          <w:p w14:paraId="5F858F6D" w14:textId="63EB517E"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The number of permits that have been granted and are in force, as well as their terms and conditions;</w:t>
            </w:r>
          </w:p>
        </w:tc>
      </w:tr>
      <w:tr w:rsidR="003B20AD" w:rsidRPr="00475A0C" w14:paraId="07EDCA7D" w14:textId="3CE2AE5C" w:rsidTr="007B36AB">
        <w:tc>
          <w:tcPr>
            <w:tcW w:w="4675" w:type="dxa"/>
          </w:tcPr>
          <w:p w14:paraId="03665594"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IX.</w:t>
            </w:r>
            <w:r w:rsidRPr="00475A0C">
              <w:rPr>
                <w:rFonts w:ascii="Verdana" w:hAnsi="Verdana"/>
                <w:sz w:val="16"/>
                <w:szCs w:val="16"/>
              </w:rPr>
              <w:tab/>
              <w:t>El volumen de Gas Natural transportado y almacenado en los sistemas permisionados, incluido el Sistema de Transporte y Almacenamiento Nacional Integrado de Gas Natural;</w:t>
            </w:r>
          </w:p>
        </w:tc>
        <w:tc>
          <w:tcPr>
            <w:tcW w:w="4675" w:type="dxa"/>
          </w:tcPr>
          <w:p w14:paraId="5F47E3C0" w14:textId="6FA8393D"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sz w:val="16"/>
                <w:szCs w:val="16"/>
                <w:lang w:val="en-US"/>
              </w:rPr>
              <w:tab/>
              <w:t>The volume of natural gas transported and stored in the permitted systems, including the National Integrated Natural Gas Transportation and Storage System;</w:t>
            </w:r>
          </w:p>
        </w:tc>
      </w:tr>
      <w:tr w:rsidR="003B20AD" w:rsidRPr="00475A0C" w14:paraId="1C6D5587" w14:textId="5845AE4B" w:rsidTr="007B36AB">
        <w:tc>
          <w:tcPr>
            <w:tcW w:w="4675" w:type="dxa"/>
          </w:tcPr>
          <w:p w14:paraId="487DC7F8"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lastRenderedPageBreak/>
              <w:t>X.</w:t>
            </w:r>
            <w:r w:rsidRPr="00475A0C">
              <w:rPr>
                <w:rFonts w:ascii="Verdana" w:hAnsi="Verdana"/>
                <w:sz w:val="16"/>
                <w:szCs w:val="16"/>
              </w:rPr>
              <w:tab/>
              <w:t>La capacidad utilizada y disponible en las instalaciones y ductos de l</w:t>
            </w:r>
            <w:r w:rsidRPr="00475A0C">
              <w:rPr>
                <w:rFonts w:ascii="Verdana" w:hAnsi="Verdana"/>
                <w:b/>
                <w:sz w:val="16"/>
                <w:szCs w:val="16"/>
              </w:rPr>
              <w:t>a</w:t>
            </w:r>
            <w:r w:rsidRPr="00475A0C">
              <w:rPr>
                <w:rFonts w:ascii="Verdana" w:hAnsi="Verdana"/>
                <w:sz w:val="16"/>
                <w:szCs w:val="16"/>
              </w:rPr>
              <w:t>s personas Permisionarias;</w:t>
            </w:r>
          </w:p>
        </w:tc>
        <w:tc>
          <w:tcPr>
            <w:tcW w:w="4675" w:type="dxa"/>
          </w:tcPr>
          <w:p w14:paraId="043C6B0F" w14:textId="498F7A1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X. </w:t>
            </w:r>
            <w:r w:rsidRPr="00E3602D">
              <w:rPr>
                <w:rFonts w:ascii="Verdana" w:hAnsi="Verdana"/>
                <w:sz w:val="16"/>
                <w:szCs w:val="16"/>
                <w:lang w:val="en-US"/>
              </w:rPr>
              <w:tab/>
              <w:t xml:space="preserve">The capacity used and available in the facilities and pipelines of the </w:t>
            </w:r>
            <w:r w:rsidRPr="00E3602D">
              <w:rPr>
                <w:rFonts w:ascii="Verdana" w:hAnsi="Verdana"/>
                <w:bCs/>
                <w:sz w:val="16"/>
                <w:szCs w:val="16"/>
                <w:lang w:val="en-US"/>
              </w:rPr>
              <w:t>Permit</w:t>
            </w:r>
            <w:r w:rsidRPr="00E3602D">
              <w:rPr>
                <w:rFonts w:ascii="Verdana" w:hAnsi="Verdana"/>
                <w:b/>
                <w:sz w:val="16"/>
                <w:szCs w:val="16"/>
                <w:lang w:val="en-US"/>
              </w:rPr>
              <w:t xml:space="preserve"> </w:t>
            </w:r>
            <w:r w:rsidRPr="00E3602D">
              <w:rPr>
                <w:rFonts w:ascii="Verdana" w:hAnsi="Verdana"/>
                <w:sz w:val="16"/>
                <w:szCs w:val="16"/>
                <w:lang w:val="en-US"/>
              </w:rPr>
              <w:t>Holders;</w:t>
            </w:r>
          </w:p>
        </w:tc>
      </w:tr>
      <w:tr w:rsidR="003B20AD" w:rsidRPr="00475A0C" w14:paraId="52735FE7" w14:textId="3FF33E23" w:rsidTr="007B36AB">
        <w:tc>
          <w:tcPr>
            <w:tcW w:w="4675" w:type="dxa"/>
          </w:tcPr>
          <w:p w14:paraId="2976ED1E"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XI.</w:t>
            </w:r>
            <w:r w:rsidRPr="00475A0C">
              <w:rPr>
                <w:rFonts w:ascii="Verdana" w:hAnsi="Verdana"/>
                <w:sz w:val="16"/>
                <w:szCs w:val="16"/>
              </w:rPr>
              <w:tab/>
              <w:t xml:space="preserve">Las estadísticas relacionadas con el Transporte, el Almacenamiento, </w:t>
            </w:r>
            <w:smartTag w:uri="urn:schemas-microsoft-com:office:smarttags" w:element="PersonName">
              <w:smartTagPr>
                <w:attr w:name="ProductID" w:val="la Distribución"/>
              </w:smartTagPr>
              <w:r w:rsidRPr="00475A0C">
                <w:rPr>
                  <w:rFonts w:ascii="Verdana" w:hAnsi="Verdana"/>
                  <w:sz w:val="16"/>
                  <w:szCs w:val="16"/>
                </w:rPr>
                <w:t>la Distribución</w:t>
              </w:r>
            </w:smartTag>
            <w:r w:rsidRPr="00475A0C">
              <w:rPr>
                <w:rFonts w:ascii="Verdana" w:hAnsi="Verdana"/>
                <w:sz w:val="16"/>
                <w:szCs w:val="16"/>
              </w:rPr>
              <w:t xml:space="preserve"> y el Expendio al Público de Gas Natural, Petrolíferos y Petroquímicos, a nivel nacional;</w:t>
            </w:r>
          </w:p>
        </w:tc>
        <w:tc>
          <w:tcPr>
            <w:tcW w:w="4675" w:type="dxa"/>
          </w:tcPr>
          <w:p w14:paraId="71A39B41" w14:textId="6222A0CB"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XI. </w:t>
            </w:r>
            <w:r w:rsidRPr="00E3602D">
              <w:rPr>
                <w:rFonts w:ascii="Verdana" w:hAnsi="Verdana"/>
                <w:sz w:val="16"/>
                <w:szCs w:val="16"/>
                <w:lang w:val="en-US"/>
              </w:rPr>
              <w:tab/>
              <w:t>Statistics related to the transportation, storage, the distribution and the public sale of natural gas, petroleum products and petrochemicals, at the national level;</w:t>
            </w:r>
          </w:p>
        </w:tc>
      </w:tr>
      <w:tr w:rsidR="003B20AD" w:rsidRPr="00475A0C" w14:paraId="54FDF14A" w14:textId="28303B32" w:rsidTr="007B36AB">
        <w:tc>
          <w:tcPr>
            <w:tcW w:w="4675" w:type="dxa"/>
          </w:tcPr>
          <w:p w14:paraId="2F33101D"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XII.</w:t>
            </w:r>
            <w:r w:rsidRPr="00475A0C">
              <w:rPr>
                <w:rFonts w:ascii="Verdana" w:hAnsi="Verdana"/>
                <w:sz w:val="16"/>
                <w:szCs w:val="16"/>
              </w:rPr>
              <w:tab/>
              <w:t>Los resultados y estadísticas de las actividades de los gestores de Sistemas Integrados, y</w:t>
            </w:r>
          </w:p>
        </w:tc>
        <w:tc>
          <w:tcPr>
            <w:tcW w:w="4675" w:type="dxa"/>
          </w:tcPr>
          <w:p w14:paraId="5D5BB252" w14:textId="2FADA902"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XII. </w:t>
            </w:r>
            <w:r w:rsidRPr="00E3602D">
              <w:rPr>
                <w:rFonts w:ascii="Verdana" w:hAnsi="Verdana"/>
                <w:sz w:val="16"/>
                <w:szCs w:val="16"/>
                <w:lang w:val="en-US"/>
              </w:rPr>
              <w:tab/>
              <w:t>The results and statistics of the activities of the Integrated Systems managers, and</w:t>
            </w:r>
          </w:p>
        </w:tc>
      </w:tr>
      <w:tr w:rsidR="003B20AD" w:rsidRPr="00475A0C" w14:paraId="07EEFB2E" w14:textId="5FFD6EA8" w:rsidTr="007B36AB">
        <w:tc>
          <w:tcPr>
            <w:tcW w:w="4675" w:type="dxa"/>
          </w:tcPr>
          <w:p w14:paraId="2D1E8C09"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XIII.</w:t>
            </w:r>
            <w:r w:rsidRPr="00475A0C">
              <w:rPr>
                <w:rFonts w:ascii="Verdana" w:hAnsi="Verdana"/>
                <w:sz w:val="16"/>
                <w:szCs w:val="16"/>
              </w:rPr>
              <w:tab/>
              <w:t>La demás información que determine.</w:t>
            </w:r>
          </w:p>
        </w:tc>
        <w:tc>
          <w:tcPr>
            <w:tcW w:w="4675" w:type="dxa"/>
          </w:tcPr>
          <w:p w14:paraId="188AFBAD" w14:textId="14BF6E2A"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XIII. </w:t>
            </w:r>
            <w:r w:rsidRPr="00E3602D">
              <w:rPr>
                <w:rFonts w:ascii="Verdana" w:hAnsi="Verdana"/>
                <w:sz w:val="16"/>
                <w:szCs w:val="16"/>
                <w:lang w:val="en-US"/>
              </w:rPr>
              <w:tab/>
              <w:t>All other information that is determined.</w:t>
            </w:r>
          </w:p>
        </w:tc>
      </w:tr>
      <w:tr w:rsidR="003B20AD" w:rsidRPr="00475A0C" w14:paraId="4B690EF1" w14:textId="117A60B7" w:rsidTr="007B36AB">
        <w:tc>
          <w:tcPr>
            <w:tcW w:w="4675" w:type="dxa"/>
          </w:tcPr>
          <w:p w14:paraId="7626D93E" w14:textId="77777777" w:rsidR="003B20AD" w:rsidRPr="00475A0C" w:rsidRDefault="003B20AD" w:rsidP="003B20AD">
            <w:pPr>
              <w:pStyle w:val="Texto"/>
              <w:ind w:firstLine="0"/>
              <w:rPr>
                <w:rFonts w:ascii="Verdana" w:hAnsi="Verdana"/>
                <w:b/>
                <w:sz w:val="16"/>
                <w:szCs w:val="16"/>
              </w:rPr>
            </w:pPr>
            <w:r w:rsidRPr="00475A0C">
              <w:rPr>
                <w:rFonts w:ascii="Verdana" w:hAnsi="Verdana"/>
                <w:b/>
                <w:sz w:val="16"/>
                <w:szCs w:val="16"/>
              </w:rPr>
              <w:t>Artículo 125.-</w:t>
            </w:r>
            <w:r w:rsidRPr="00475A0C">
              <w:rPr>
                <w:rFonts w:ascii="Verdana" w:hAnsi="Verdana"/>
                <w:sz w:val="16"/>
                <w:szCs w:val="16"/>
              </w:rPr>
              <w:t xml:space="preserve"> La información a que se refiere el presente Título debe publicarse de tal forma que facilite su uso y comprensión, aprovechando los medios electrónicos y tecnologías de la información.</w:t>
            </w:r>
          </w:p>
        </w:tc>
        <w:tc>
          <w:tcPr>
            <w:tcW w:w="4675" w:type="dxa"/>
          </w:tcPr>
          <w:p w14:paraId="1EDD03DB" w14:textId="1E642E95"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Article 125.- </w:t>
            </w:r>
            <w:r w:rsidRPr="00E3602D">
              <w:rPr>
                <w:rFonts w:ascii="Verdana" w:hAnsi="Verdana"/>
                <w:sz w:val="16"/>
                <w:szCs w:val="16"/>
                <w:lang w:val="en-US"/>
              </w:rPr>
              <w:t>The information referred to in this Title must be published in such a way as to facilitate its use and understanding, taking advantage of electronic media and information technologies.</w:t>
            </w:r>
          </w:p>
        </w:tc>
      </w:tr>
      <w:tr w:rsidR="003B20AD" w:rsidRPr="00475A0C" w14:paraId="77F70046" w14:textId="36E4EDEE" w:rsidTr="007B36AB">
        <w:tc>
          <w:tcPr>
            <w:tcW w:w="4675" w:type="dxa"/>
          </w:tcPr>
          <w:p w14:paraId="186F114A"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Artículo 126.-</w:t>
            </w:r>
            <w:r w:rsidRPr="00475A0C">
              <w:rPr>
                <w:rFonts w:ascii="Verdana" w:hAnsi="Verdana"/>
                <w:sz w:val="16"/>
                <w:szCs w:val="16"/>
              </w:rPr>
              <w:t xml:space="preserve"> Todos los procedimientos de contratación, sus actos previos y aquéllos que deriven de la celebración, ejecución y cumplimiento de las Asignaciones,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los permisos y las autorizaciones, que se lleven a cabo al amparo de esta Ley, se sujetan a las disposiciones aplicables en materia de combate a la corrupción.</w:t>
            </w:r>
          </w:p>
        </w:tc>
        <w:tc>
          <w:tcPr>
            <w:tcW w:w="4675" w:type="dxa"/>
          </w:tcPr>
          <w:p w14:paraId="078897E9" w14:textId="3829251F"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Article 126.- </w:t>
            </w:r>
            <w:r w:rsidRPr="00E3602D">
              <w:rPr>
                <w:rFonts w:ascii="Verdana" w:hAnsi="Verdana"/>
                <w:sz w:val="16"/>
                <w:szCs w:val="16"/>
                <w:lang w:val="en-US"/>
              </w:rPr>
              <w:t>All contracting procedures, their prior acts and those arising from the celebration, execution and fulfillment of the Assignments, Contracts for exploration and extraction, permits and authorizations, carried out under this Law, are subject to the applicable provisions regarding the fight against corruption.</w:t>
            </w:r>
          </w:p>
        </w:tc>
      </w:tr>
      <w:tr w:rsidR="003B20AD" w:rsidRPr="00475A0C" w14:paraId="77BAE92B" w14:textId="0BBCE782" w:rsidTr="007B36AB">
        <w:tc>
          <w:tcPr>
            <w:tcW w:w="4675" w:type="dxa"/>
          </w:tcPr>
          <w:p w14:paraId="59D266B4" w14:textId="77777777" w:rsidR="003B20AD" w:rsidRPr="00475A0C" w:rsidRDefault="003B20AD" w:rsidP="003B20AD">
            <w:pPr>
              <w:pStyle w:val="Texto"/>
              <w:ind w:firstLine="0"/>
              <w:rPr>
                <w:rFonts w:ascii="Verdana" w:hAnsi="Verdana"/>
                <w:b/>
                <w:sz w:val="16"/>
                <w:szCs w:val="16"/>
              </w:rPr>
            </w:pPr>
            <w:r w:rsidRPr="00475A0C">
              <w:rPr>
                <w:rFonts w:ascii="Verdana" w:hAnsi="Verdana"/>
                <w:sz w:val="16"/>
                <w:szCs w:val="16"/>
              </w:rPr>
              <w:t xml:space="preserve">La actuación de las personas servidoras públicas en el ejercicio de sus atribuciones y facultades, derivada de los procedimientos de contratación, sus actos previos y aquéllos relacionados con la suscripción y administración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así como de la administración y supervisión de las Asignaciones, permisos, autorizaciones o cualquier otro acto o procedimiento relacionado con las actividades que se lleven a cabo al amparo de esta Ley, debe sujetarse a los principios constitucionales de legalidad, honradez, lealtad, imparcialidad y eficiencia.</w:t>
            </w:r>
          </w:p>
        </w:tc>
        <w:tc>
          <w:tcPr>
            <w:tcW w:w="4675" w:type="dxa"/>
          </w:tcPr>
          <w:p w14:paraId="690A22FE" w14:textId="1BA5D57A"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The actions of public servants in the exercise of their powers and authority, arising from contracting procedures, their prior acts and those related to the signing and administration of Contracts for exploration and extraction, as well as the administration and supervision of Assignments, permits, authorizations or any other act or procedure related to the activities carried out under this Law, must be subject to the constitutional principles of legality, honesty, loyalty, impartiality and efficiency.</w:t>
            </w:r>
          </w:p>
        </w:tc>
      </w:tr>
      <w:tr w:rsidR="003B20AD" w:rsidRPr="00475A0C" w14:paraId="2B04CB9C" w14:textId="7FC73541" w:rsidTr="007B36AB">
        <w:tc>
          <w:tcPr>
            <w:tcW w:w="4675" w:type="dxa"/>
          </w:tcPr>
          <w:p w14:paraId="58901865" w14:textId="77777777" w:rsidR="003B20AD" w:rsidRPr="00475A0C" w:rsidRDefault="003B20AD" w:rsidP="003B20AD">
            <w:pPr>
              <w:pStyle w:val="Texto"/>
              <w:ind w:firstLine="0"/>
              <w:jc w:val="center"/>
              <w:rPr>
                <w:rFonts w:ascii="Verdana" w:hAnsi="Verdana"/>
                <w:b/>
                <w:sz w:val="16"/>
                <w:szCs w:val="16"/>
              </w:rPr>
            </w:pPr>
            <w:r w:rsidRPr="00475A0C">
              <w:rPr>
                <w:rFonts w:ascii="Verdana" w:hAnsi="Verdana"/>
                <w:b/>
                <w:sz w:val="16"/>
                <w:szCs w:val="16"/>
              </w:rPr>
              <w:t>Capítulo III</w:t>
            </w:r>
          </w:p>
        </w:tc>
        <w:tc>
          <w:tcPr>
            <w:tcW w:w="4675" w:type="dxa"/>
          </w:tcPr>
          <w:p w14:paraId="18530869" w14:textId="17618EDB" w:rsidR="003B20AD" w:rsidRPr="00E3602D" w:rsidRDefault="003B20AD" w:rsidP="003B20AD">
            <w:pPr>
              <w:pStyle w:val="Texto"/>
              <w:ind w:firstLine="0"/>
              <w:jc w:val="center"/>
              <w:rPr>
                <w:rFonts w:ascii="Verdana" w:hAnsi="Verdana"/>
                <w:b/>
                <w:sz w:val="16"/>
                <w:szCs w:val="16"/>
                <w:lang w:val="en-US"/>
              </w:rPr>
            </w:pPr>
            <w:r w:rsidRPr="00E3602D">
              <w:rPr>
                <w:rFonts w:ascii="Verdana" w:hAnsi="Verdana"/>
                <w:b/>
                <w:sz w:val="16"/>
                <w:szCs w:val="16"/>
                <w:lang w:val="en-US"/>
              </w:rPr>
              <w:t>Chapter III</w:t>
            </w:r>
          </w:p>
        </w:tc>
      </w:tr>
      <w:tr w:rsidR="003B20AD" w:rsidRPr="00475A0C" w14:paraId="1BFE19FB" w14:textId="0D910188" w:rsidTr="007B36AB">
        <w:tc>
          <w:tcPr>
            <w:tcW w:w="4675" w:type="dxa"/>
          </w:tcPr>
          <w:p w14:paraId="7203EF3E" w14:textId="77777777" w:rsidR="003B20AD" w:rsidRPr="00475A0C" w:rsidRDefault="003B20AD" w:rsidP="003B20AD">
            <w:pPr>
              <w:pStyle w:val="Texto"/>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Jurisdicción"/>
              </w:smartTagPr>
              <w:r w:rsidRPr="00475A0C">
                <w:rPr>
                  <w:rFonts w:ascii="Verdana" w:hAnsi="Verdana"/>
                  <w:b/>
                  <w:sz w:val="16"/>
                  <w:szCs w:val="16"/>
                </w:rPr>
                <w:t>la Jurisdicción</w:t>
              </w:r>
            </w:smartTag>
            <w:r w:rsidRPr="00475A0C">
              <w:rPr>
                <w:rFonts w:ascii="Verdana" w:hAnsi="Verdana"/>
                <w:b/>
                <w:sz w:val="16"/>
                <w:szCs w:val="16"/>
              </w:rPr>
              <w:t>, Utilidad Pública y Procedimientos</w:t>
            </w:r>
          </w:p>
        </w:tc>
        <w:tc>
          <w:tcPr>
            <w:tcW w:w="4675" w:type="dxa"/>
          </w:tcPr>
          <w:p w14:paraId="0EF46DC4" w14:textId="13523E4F" w:rsidR="003B20AD" w:rsidRPr="00E3602D" w:rsidRDefault="003B20AD" w:rsidP="003B20AD">
            <w:pPr>
              <w:pStyle w:val="Texto"/>
              <w:ind w:firstLine="0"/>
              <w:jc w:val="center"/>
              <w:rPr>
                <w:rFonts w:ascii="Verdana" w:hAnsi="Verdana"/>
                <w:b/>
                <w:sz w:val="16"/>
                <w:szCs w:val="16"/>
                <w:lang w:val="en-US"/>
              </w:rPr>
            </w:pPr>
            <w:r w:rsidRPr="00E3602D">
              <w:rPr>
                <w:rFonts w:ascii="Verdana" w:hAnsi="Verdana"/>
                <w:b/>
                <w:sz w:val="16"/>
                <w:szCs w:val="16"/>
                <w:lang w:val="en-US"/>
              </w:rPr>
              <w:t>Jurisdiction, Public Utility and Procedures</w:t>
            </w:r>
          </w:p>
        </w:tc>
      </w:tr>
      <w:tr w:rsidR="003B20AD" w:rsidRPr="00475A0C" w14:paraId="32546740" w14:textId="59CCC9DC" w:rsidTr="007B36AB">
        <w:tc>
          <w:tcPr>
            <w:tcW w:w="4675" w:type="dxa"/>
          </w:tcPr>
          <w:p w14:paraId="7E3780C8"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Artículo 127.-</w:t>
            </w:r>
            <w:r w:rsidRPr="00475A0C">
              <w:rPr>
                <w:rFonts w:ascii="Verdana" w:hAnsi="Verdana"/>
                <w:sz w:val="16"/>
                <w:szCs w:val="16"/>
              </w:rPr>
              <w:t xml:space="preserve"> La industria de Hidrocarburos es de exclusiva jurisdicción federal. En consecuencia, únicamente el Gobierno Federal puede dictar las disposiciones técnicas, reglamentarias y de regulación en la materia, incluyendo aquéllas relacionadas con la emisión de gases de efecto invernadero</w:t>
            </w:r>
            <w:r w:rsidRPr="00475A0C">
              <w:rPr>
                <w:rFonts w:ascii="Verdana" w:hAnsi="Verdana"/>
                <w:b/>
                <w:sz w:val="16"/>
                <w:szCs w:val="16"/>
              </w:rPr>
              <w:t>,</w:t>
            </w:r>
            <w:r w:rsidRPr="00475A0C">
              <w:rPr>
                <w:rFonts w:ascii="Verdana" w:hAnsi="Verdana"/>
                <w:sz w:val="16"/>
                <w:szCs w:val="16"/>
              </w:rPr>
              <w:t xml:space="preserve"> el desarrollo sustentable, el equilibrio ecológico y la protección al medio ambiente en el desarrollo de esta industria.</w:t>
            </w:r>
          </w:p>
        </w:tc>
        <w:tc>
          <w:tcPr>
            <w:tcW w:w="4675" w:type="dxa"/>
          </w:tcPr>
          <w:p w14:paraId="2068F0EA" w14:textId="7833F0B7"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t xml:space="preserve">Article 127.- </w:t>
            </w:r>
            <w:r w:rsidRPr="00E3602D">
              <w:rPr>
                <w:rFonts w:ascii="Verdana" w:hAnsi="Verdana"/>
                <w:sz w:val="16"/>
                <w:szCs w:val="16"/>
                <w:lang w:val="en-US"/>
              </w:rPr>
              <w:t>The hydrocarbon industry is under exclusive federal jurisdiction. Consequently, only the Federal Government may issue technical, regulatory, and other provisions on this matter, including those related to greenhouse gas emissions,</w:t>
            </w:r>
            <w:r w:rsidRPr="00E3602D">
              <w:rPr>
                <w:rFonts w:ascii="Verdana" w:hAnsi="Verdana"/>
                <w:b/>
                <w:sz w:val="16"/>
                <w:szCs w:val="16"/>
                <w:lang w:val="en-US"/>
              </w:rPr>
              <w:t xml:space="preserve"> </w:t>
            </w:r>
            <w:r w:rsidRPr="00E3602D">
              <w:rPr>
                <w:rFonts w:ascii="Verdana" w:hAnsi="Verdana"/>
                <w:sz w:val="16"/>
                <w:szCs w:val="16"/>
                <w:lang w:val="en-US"/>
              </w:rPr>
              <w:t>sustainable development, ecological balance, and environmental protection in the development of this industry.</w:t>
            </w:r>
          </w:p>
        </w:tc>
      </w:tr>
      <w:tr w:rsidR="003B20AD" w:rsidRPr="00475A0C" w14:paraId="74E2A94D" w14:textId="05C41C54" w:rsidTr="007B36AB">
        <w:tc>
          <w:tcPr>
            <w:tcW w:w="4675" w:type="dxa"/>
          </w:tcPr>
          <w:p w14:paraId="6B09DFFC"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Con el fin de promover el desarrollo sustentable de las actividades que se realizan en los términos de esta Ley, en todo momento deben seguirse criterios que fomenten la protección, la restauración y la conservación de los ecosistemas, además de cumplir estrictamente con las leyes, reglamentos y demás normativa aplicable en materia de medio ambiente, recursos naturales, aguas, bosques, flora y fauna silvestre, terrestre y acuática, así como de pesca.</w:t>
            </w:r>
          </w:p>
        </w:tc>
        <w:tc>
          <w:tcPr>
            <w:tcW w:w="4675" w:type="dxa"/>
          </w:tcPr>
          <w:p w14:paraId="4F7F746B" w14:textId="11B27C3A"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In order to promote the sustainable development of activities carried out under this Law, criteria that foster the protection, restoration, and conservation of ecosystems must be followed at all times, in addition to strict compliance with the laws, regulations, and other applicable standards regarding the environment, natural resources, water, forests, terrestrial and aquatic flora and fauna, as well as fishing.</w:t>
            </w:r>
          </w:p>
        </w:tc>
      </w:tr>
      <w:tr w:rsidR="003B20AD" w:rsidRPr="00475A0C" w14:paraId="47CB8A69" w14:textId="5AF0654D" w:rsidTr="007B36AB">
        <w:tc>
          <w:tcPr>
            <w:tcW w:w="4675" w:type="dxa"/>
          </w:tcPr>
          <w:p w14:paraId="3685D866" w14:textId="77777777" w:rsidR="003B20AD" w:rsidRPr="00475A0C" w:rsidRDefault="003B20AD" w:rsidP="003B20AD">
            <w:pPr>
              <w:pStyle w:val="Texto"/>
              <w:ind w:firstLine="0"/>
              <w:rPr>
                <w:rFonts w:ascii="Verdana" w:hAnsi="Verdana"/>
                <w:sz w:val="16"/>
                <w:szCs w:val="16"/>
              </w:rPr>
            </w:pPr>
            <w:r w:rsidRPr="00475A0C">
              <w:rPr>
                <w:rFonts w:ascii="Verdana" w:hAnsi="Verdana"/>
                <w:b/>
                <w:sz w:val="16"/>
                <w:szCs w:val="16"/>
              </w:rPr>
              <w:t>Artículo 128.-</w:t>
            </w:r>
            <w:r w:rsidRPr="00475A0C">
              <w:rPr>
                <w:rFonts w:ascii="Verdana" w:hAnsi="Verdana"/>
                <w:sz w:val="16"/>
                <w:szCs w:val="16"/>
              </w:rPr>
              <w:t xml:space="preserve"> La industria de Hidrocarburos a que se refiere esta Ley es de utilidad pública. Procede la </w:t>
            </w:r>
            <w:r w:rsidRPr="00475A0C">
              <w:rPr>
                <w:rFonts w:ascii="Verdana" w:hAnsi="Verdana"/>
                <w:sz w:val="16"/>
                <w:szCs w:val="16"/>
              </w:rPr>
              <w:lastRenderedPageBreak/>
              <w:t xml:space="preserve">constitución de servidumbres legales, o la ocupación o afectación superficial necesarias, para la realización de las actividades de la industria de Hidrocarburos, conforme a las disposiciones aplicables en los casos en los que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lo requiera.</w:t>
            </w:r>
          </w:p>
        </w:tc>
        <w:tc>
          <w:tcPr>
            <w:tcW w:w="4675" w:type="dxa"/>
          </w:tcPr>
          <w:p w14:paraId="536B2A51" w14:textId="071CA46D" w:rsidR="003B20AD" w:rsidRPr="00E3602D" w:rsidRDefault="003B20AD" w:rsidP="003B20AD">
            <w:pPr>
              <w:pStyle w:val="Texto"/>
              <w:ind w:firstLine="0"/>
              <w:rPr>
                <w:rFonts w:ascii="Verdana" w:hAnsi="Verdana"/>
                <w:b/>
                <w:sz w:val="16"/>
                <w:szCs w:val="16"/>
                <w:lang w:val="en-US"/>
              </w:rPr>
            </w:pPr>
            <w:r w:rsidRPr="00E3602D">
              <w:rPr>
                <w:rFonts w:ascii="Verdana" w:hAnsi="Verdana"/>
                <w:b/>
                <w:sz w:val="16"/>
                <w:szCs w:val="16"/>
                <w:lang w:val="en-US"/>
              </w:rPr>
              <w:lastRenderedPageBreak/>
              <w:t xml:space="preserve">Article 128.- </w:t>
            </w:r>
            <w:r w:rsidRPr="00E3602D">
              <w:rPr>
                <w:rFonts w:ascii="Verdana" w:hAnsi="Verdana"/>
                <w:sz w:val="16"/>
                <w:szCs w:val="16"/>
                <w:lang w:val="en-US"/>
              </w:rPr>
              <w:t xml:space="preserve">The hydrocarbon industry referred to in this Law is for the public good. Legal easements, or the </w:t>
            </w:r>
            <w:r w:rsidRPr="00E3602D">
              <w:rPr>
                <w:rFonts w:ascii="Verdana" w:hAnsi="Verdana"/>
                <w:sz w:val="16"/>
                <w:szCs w:val="16"/>
                <w:lang w:val="en-US"/>
              </w:rPr>
              <w:lastRenderedPageBreak/>
              <w:t>occupation or appropriation of land necessary for hydrocarbon industry activities, may be established in accordance with the applicable provisions in cases where required by the Nation.</w:t>
            </w:r>
          </w:p>
        </w:tc>
      </w:tr>
      <w:tr w:rsidR="003B20AD" w:rsidRPr="00475A0C" w14:paraId="4B643BBA" w14:textId="39850DDB" w:rsidTr="007B36AB">
        <w:tc>
          <w:tcPr>
            <w:tcW w:w="4675" w:type="dxa"/>
          </w:tcPr>
          <w:p w14:paraId="6689B150"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Las actividades de Exploración y Extracción de Hidrocarburos se consideran de interés social y orden público, por lo que tienen preferencia sobre cualquier otra que implique el aprovechamiento de la superficie o del subsuelo de los terrenos afectos a aquéllas.</w:t>
            </w:r>
          </w:p>
        </w:tc>
        <w:tc>
          <w:tcPr>
            <w:tcW w:w="4675" w:type="dxa"/>
          </w:tcPr>
          <w:p w14:paraId="40716F6A" w14:textId="4D999A97"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Hydrocarbon exploration and extraction activities are considered to be of social interest and public order, and therefore have priority over any other activities involving the use of the surface or subsoil of the lands designated for them.</w:t>
            </w:r>
          </w:p>
        </w:tc>
      </w:tr>
      <w:tr w:rsidR="003B20AD" w:rsidRPr="00475A0C" w14:paraId="3DC6D17A" w14:textId="1BB7EF67" w:rsidTr="007B36AB">
        <w:tc>
          <w:tcPr>
            <w:tcW w:w="4675" w:type="dxa"/>
          </w:tcPr>
          <w:p w14:paraId="5F543D76"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 xml:space="preserve">La Federación, los gobiernos de los Estados y de </w:t>
            </w:r>
            <w:smartTag w:uri="urn:schemas-microsoft-com:office:smarttags" w:element="PersonName">
              <w:smartTagPr>
                <w:attr w:name="ProductID" w:val="la Ciudad"/>
              </w:smartTagPr>
              <w:r w:rsidRPr="00475A0C">
                <w:rPr>
                  <w:rFonts w:ascii="Verdana" w:hAnsi="Verdana"/>
                  <w:sz w:val="16"/>
                  <w:szCs w:val="16"/>
                </w:rPr>
                <w:t>la Ciudad</w:t>
              </w:r>
            </w:smartTag>
            <w:r w:rsidRPr="00475A0C">
              <w:rPr>
                <w:rFonts w:ascii="Verdana" w:hAnsi="Verdana"/>
                <w:sz w:val="16"/>
                <w:szCs w:val="16"/>
              </w:rPr>
              <w:t xml:space="preserve"> de México, de los municipios y de las Alcaldías, deben contribuir al desarrollo de proyectos de Exploración y Extracción, así como de Transporte y Distribución por ductos y de Almacenamiento, mediante procedimientos y bases de coordinación que agilicen y garanticen el otorgamiento de los permisos y autorizaciones en el ámbito de su competencia.</w:t>
            </w:r>
          </w:p>
        </w:tc>
        <w:tc>
          <w:tcPr>
            <w:tcW w:w="4675" w:type="dxa"/>
          </w:tcPr>
          <w:p w14:paraId="7A67FB36" w14:textId="3C29F82B"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The Federation, the governments of the states and Mexico City, of the municipalities, and the mayoralties must contribute to the development of exploration and extraction projects, as well as pipeline transportation and distribution and storage projects, through procedures and coordination bases that expedite and guarantee the granting of permits and authorizations within their areas of competence.</w:t>
            </w:r>
          </w:p>
        </w:tc>
      </w:tr>
      <w:tr w:rsidR="003B20AD" w:rsidRPr="00475A0C" w14:paraId="4BB316A1" w14:textId="443C0F58" w:rsidTr="007B36AB">
        <w:tc>
          <w:tcPr>
            <w:tcW w:w="4675" w:type="dxa"/>
          </w:tcPr>
          <w:p w14:paraId="0F5F0798"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129.-</w:t>
            </w:r>
            <w:r w:rsidRPr="00475A0C">
              <w:rPr>
                <w:rFonts w:ascii="Verdana" w:hAnsi="Verdana"/>
                <w:sz w:val="16"/>
                <w:szCs w:val="16"/>
              </w:rPr>
              <w:t xml:space="preserve"> En lo no previsto por esta Ley, se consideran mercantiles los actos de la industria de Hidrocarburos, por lo que se rigen por el Código de Comercio y, de modo supletorio, por las disposiciones del Código Civil Federal.</w:t>
            </w:r>
          </w:p>
        </w:tc>
        <w:tc>
          <w:tcPr>
            <w:tcW w:w="4675" w:type="dxa"/>
          </w:tcPr>
          <w:p w14:paraId="4F256DBF" w14:textId="58FC53C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129.- </w:t>
            </w:r>
            <w:r w:rsidRPr="00E3602D">
              <w:rPr>
                <w:rFonts w:ascii="Verdana" w:hAnsi="Verdana"/>
                <w:sz w:val="16"/>
                <w:szCs w:val="16"/>
                <w:lang w:val="en-US"/>
              </w:rPr>
              <w:t>In matters not provided for by this Law, the acts of the hydrocarbon industry are considered commercial, and are therefore governed by the Commercial Code and, in a supplementary manner, by the provisions of the Federal Civil Code.</w:t>
            </w:r>
          </w:p>
        </w:tc>
      </w:tr>
      <w:tr w:rsidR="003B20AD" w:rsidRPr="00475A0C" w14:paraId="048FEAED" w14:textId="271C6AE4" w:rsidTr="007B36AB">
        <w:tc>
          <w:tcPr>
            <w:tcW w:w="4675" w:type="dxa"/>
          </w:tcPr>
          <w:p w14:paraId="3077F21C"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130.-</w:t>
            </w:r>
            <w:r w:rsidRPr="00475A0C">
              <w:rPr>
                <w:rFonts w:ascii="Verdana" w:hAnsi="Verdana"/>
                <w:sz w:val="16"/>
                <w:szCs w:val="16"/>
              </w:rPr>
              <w:t xml:space="preserve"> Las personas Autorizadas, Asignatarias, Contratistas y Permisionarias, así como concesionarias mineras, no pueden oponerse al tendido de ductos, cables o a la instalación de cualquier otra infraestructura en el área comprendida en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o permiso correspondiente, siempre que sea técnicamente factible.</w:t>
            </w:r>
          </w:p>
        </w:tc>
        <w:tc>
          <w:tcPr>
            <w:tcW w:w="4675" w:type="dxa"/>
          </w:tcPr>
          <w:p w14:paraId="083D6388" w14:textId="4CC6922F"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130.- </w:t>
            </w:r>
            <w:r w:rsidRPr="00E3602D">
              <w:rPr>
                <w:rFonts w:ascii="Verdana" w:hAnsi="Verdana"/>
                <w:sz w:val="16"/>
                <w:szCs w:val="16"/>
                <w:lang w:val="en-US"/>
              </w:rPr>
              <w:t>Authorized persons, Assignees, Contractors and Permit Holders, as well as mining concessionaires, may not oppose the laying of pipelines, cables or the installation of any other infrastructure in the area included in the Assignment, Contract for the exploration and extraction or the corresponding permit, provided that it is technically feasible.</w:t>
            </w:r>
          </w:p>
        </w:tc>
      </w:tr>
      <w:tr w:rsidR="003B20AD" w:rsidRPr="00475A0C" w14:paraId="0E04B46A" w14:textId="08B885D9" w:rsidTr="007B36AB">
        <w:tc>
          <w:tcPr>
            <w:tcW w:w="4675" w:type="dxa"/>
          </w:tcPr>
          <w:p w14:paraId="203435E7"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En el derecho de vía destinado a las actividades de Transporte por ducto, se permite el acceso y actividad de prestadores de servicios de cualquier industria a cambio de una contraprestación justa, siempre que no se ponga en riesgo la seguridad y continuidad de la prestación de los servicios.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con la opinión que corresponda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debe emitir las disposiciones necesarias para que dicho acceso sea permitido y vigilar el cumplimiento de esta obligación, así como la forma en que se pueden afectar las tarifas de las actividades permisionadas por los ingresos que perciban las personas Permisionarias por el uso de terceros de sus derechos de vía.</w:t>
            </w:r>
          </w:p>
        </w:tc>
        <w:tc>
          <w:tcPr>
            <w:tcW w:w="4675" w:type="dxa"/>
          </w:tcPr>
          <w:p w14:paraId="29F37D3F" w14:textId="12BF47D4"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In the right-of-way designated for pipeline transportation activities, access and activity by service providers from any industry are permitted in exchange for fair compensation, provided that the safety and continuity of the service provision are not jeopardized. The National Commission of Energy, with the corresponding opinion of the Agency, must issue the necessary provisions to allow such access and monitor compliance with this obligation, as well as the manner in which the rates for permitted activities may be affected by the income received by permit holders from third-party use of their rights of way.</w:t>
            </w:r>
          </w:p>
        </w:tc>
      </w:tr>
      <w:tr w:rsidR="003B20AD" w:rsidRPr="00475A0C" w14:paraId="7ABAD988" w14:textId="38533180" w:rsidTr="007B36AB">
        <w:tc>
          <w:tcPr>
            <w:tcW w:w="4675" w:type="dxa"/>
          </w:tcPr>
          <w:p w14:paraId="658A03A6"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rPr>
              <w:t xml:space="preserve">No obstante, las obras e infraestructura a que se refiere este artículo deben ser seguras, necesarias, adecuadas y proporcionales a los requerimientos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xml:space="preserve"> de acuerdo con lo que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previa opinión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p>
        </w:tc>
        <w:tc>
          <w:tcPr>
            <w:tcW w:w="4675" w:type="dxa"/>
          </w:tcPr>
          <w:p w14:paraId="6A9EBEC9" w14:textId="79BDD64D"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However, the works and infrastructure referred to in this article must be safe, necessary, adequate and proportional to the requirements of the Nation in accordance with the provisions established by  the Secretary of the Energy, following the opinion of the National Commission of Energy.</w:t>
            </w:r>
          </w:p>
        </w:tc>
      </w:tr>
      <w:tr w:rsidR="003B20AD" w:rsidRPr="00475A0C" w14:paraId="215467D5" w14:textId="0BEE1145" w:rsidTr="007B36AB">
        <w:tc>
          <w:tcPr>
            <w:tcW w:w="4675" w:type="dxa"/>
          </w:tcPr>
          <w:p w14:paraId="6D383BA0"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 xml:space="preserve">Artículo 131.- </w:t>
            </w:r>
            <w:r w:rsidRPr="00475A0C">
              <w:rPr>
                <w:rFonts w:ascii="Verdana" w:hAnsi="Verdana"/>
                <w:sz w:val="16"/>
                <w:szCs w:val="16"/>
              </w:rPr>
              <w:t xml:space="preserve">Las Asignaciones,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y permisos a que se refiere esta Ley, no limitan el derecho del Estado a otorgar concesiones, licencias o permisos para la exploración, extracción y aprovechamiento de otros recursos naturales, distintos de los Hidrocarburos, dentro de las </w:t>
            </w:r>
            <w:r w:rsidRPr="00475A0C">
              <w:rPr>
                <w:rFonts w:ascii="Verdana" w:hAnsi="Verdana"/>
                <w:sz w:val="16"/>
                <w:szCs w:val="16"/>
              </w:rPr>
              <w:lastRenderedPageBreak/>
              <w:t xml:space="preserve">áreas comprendidas en dichos títulos. En caso de ocurrir,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establecer la prioridad y no generar una afectación a las actividades comprendidas en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Contrato o Permiso.</w:t>
            </w:r>
          </w:p>
        </w:tc>
        <w:tc>
          <w:tcPr>
            <w:tcW w:w="4675" w:type="dxa"/>
          </w:tcPr>
          <w:p w14:paraId="471941A8" w14:textId="313E45E2"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131.- </w:t>
            </w:r>
            <w:r w:rsidRPr="00E3602D">
              <w:rPr>
                <w:rFonts w:ascii="Verdana" w:hAnsi="Verdana"/>
                <w:sz w:val="16"/>
                <w:szCs w:val="16"/>
                <w:lang w:val="en-US"/>
              </w:rPr>
              <w:t xml:space="preserve">The Assignments, Contracts for exploration and extraction, and permits referred to in this Law do not limit the State's right to grant concessions, licenses, or permits for the exploration, extraction, and use of other natural resources, other than hydrocarbons, within the areas covered by said </w:t>
            </w:r>
            <w:r w:rsidRPr="00E3602D">
              <w:rPr>
                <w:rFonts w:ascii="Verdana" w:hAnsi="Verdana"/>
                <w:sz w:val="16"/>
                <w:szCs w:val="16"/>
                <w:lang w:val="en-US"/>
              </w:rPr>
              <w:lastRenderedPageBreak/>
              <w:t>titles. If this occurs, the Secretary of Energy must establish priority and not impact the activities covered by the Assignment, Contract or Permit.</w:t>
            </w:r>
          </w:p>
        </w:tc>
      </w:tr>
      <w:tr w:rsidR="003B20AD" w:rsidRPr="00475A0C" w14:paraId="6F0CDDE2" w14:textId="75DF34AF" w:rsidTr="007B36AB">
        <w:tc>
          <w:tcPr>
            <w:tcW w:w="4675" w:type="dxa"/>
          </w:tcPr>
          <w:p w14:paraId="3E200FD9" w14:textId="77777777" w:rsidR="003B20AD" w:rsidRPr="00475A0C" w:rsidRDefault="003B20AD" w:rsidP="003B20AD">
            <w:pPr>
              <w:pStyle w:val="Texto"/>
              <w:spacing w:line="219" w:lineRule="exact"/>
              <w:ind w:firstLine="0"/>
              <w:jc w:val="center"/>
              <w:rPr>
                <w:rFonts w:ascii="Verdana" w:hAnsi="Verdana"/>
                <w:b/>
                <w:sz w:val="16"/>
                <w:szCs w:val="16"/>
                <w:lang w:val="es-ES_tradnl"/>
              </w:rPr>
            </w:pPr>
            <w:r w:rsidRPr="00475A0C">
              <w:rPr>
                <w:rFonts w:ascii="Verdana" w:hAnsi="Verdana"/>
                <w:b/>
                <w:sz w:val="16"/>
                <w:szCs w:val="16"/>
                <w:lang w:val="es-ES_tradnl"/>
              </w:rPr>
              <w:t>Capítulo IV</w:t>
            </w:r>
          </w:p>
        </w:tc>
        <w:tc>
          <w:tcPr>
            <w:tcW w:w="4675" w:type="dxa"/>
          </w:tcPr>
          <w:p w14:paraId="0EF526FF" w14:textId="401B0D9B" w:rsidR="003B20AD" w:rsidRPr="00E3602D" w:rsidRDefault="003B20AD" w:rsidP="003B20AD">
            <w:pPr>
              <w:pStyle w:val="Texto"/>
              <w:spacing w:line="219" w:lineRule="exact"/>
              <w:ind w:firstLine="0"/>
              <w:jc w:val="center"/>
              <w:rPr>
                <w:rFonts w:ascii="Verdana" w:hAnsi="Verdana"/>
                <w:b/>
                <w:sz w:val="16"/>
                <w:szCs w:val="16"/>
                <w:lang w:val="en-US"/>
              </w:rPr>
            </w:pPr>
            <w:r w:rsidRPr="00E3602D">
              <w:rPr>
                <w:rFonts w:ascii="Verdana" w:hAnsi="Verdana"/>
                <w:b/>
                <w:sz w:val="16"/>
                <w:szCs w:val="16"/>
                <w:lang w:val="en-US"/>
              </w:rPr>
              <w:t>Chapter IV</w:t>
            </w:r>
          </w:p>
        </w:tc>
      </w:tr>
      <w:tr w:rsidR="003B20AD" w:rsidRPr="00475A0C" w14:paraId="7FDA952C" w14:textId="7176A55B" w:rsidTr="007B36AB">
        <w:tc>
          <w:tcPr>
            <w:tcW w:w="4675" w:type="dxa"/>
          </w:tcPr>
          <w:p w14:paraId="5BA91013" w14:textId="77777777" w:rsidR="003B20AD" w:rsidRPr="00475A0C" w:rsidRDefault="003B20AD" w:rsidP="003B20AD">
            <w:pPr>
              <w:pStyle w:val="Texto"/>
              <w:spacing w:line="219" w:lineRule="exact"/>
              <w:ind w:firstLine="0"/>
              <w:jc w:val="center"/>
              <w:rPr>
                <w:rFonts w:ascii="Verdana" w:hAnsi="Verdana"/>
                <w:b/>
                <w:sz w:val="16"/>
                <w:szCs w:val="16"/>
                <w:lang w:val="es-ES_tradnl"/>
              </w:rPr>
            </w:pPr>
            <w:r w:rsidRPr="00475A0C">
              <w:rPr>
                <w:rFonts w:ascii="Verdana" w:hAnsi="Verdana"/>
                <w:b/>
                <w:sz w:val="16"/>
                <w:szCs w:val="16"/>
                <w:lang w:val="es-ES_tradnl"/>
              </w:rPr>
              <w:t>Del Uso y Ocupación Superficial</w:t>
            </w:r>
          </w:p>
        </w:tc>
        <w:tc>
          <w:tcPr>
            <w:tcW w:w="4675" w:type="dxa"/>
          </w:tcPr>
          <w:p w14:paraId="6FB289B2" w14:textId="3D0BC173" w:rsidR="003B20AD" w:rsidRPr="00E3602D" w:rsidRDefault="003B20AD" w:rsidP="003B20AD">
            <w:pPr>
              <w:pStyle w:val="Texto"/>
              <w:spacing w:line="219" w:lineRule="exact"/>
              <w:ind w:firstLine="0"/>
              <w:jc w:val="center"/>
              <w:rPr>
                <w:rFonts w:ascii="Verdana" w:hAnsi="Verdana"/>
                <w:b/>
                <w:sz w:val="16"/>
                <w:szCs w:val="16"/>
                <w:lang w:val="en-US"/>
              </w:rPr>
            </w:pPr>
            <w:r w:rsidRPr="00E3602D">
              <w:rPr>
                <w:rFonts w:ascii="Verdana" w:hAnsi="Verdana"/>
                <w:b/>
                <w:sz w:val="16"/>
                <w:szCs w:val="16"/>
                <w:lang w:val="en-US"/>
              </w:rPr>
              <w:t>Surface Use and Occupation</w:t>
            </w:r>
          </w:p>
        </w:tc>
      </w:tr>
      <w:tr w:rsidR="003B20AD" w:rsidRPr="00475A0C" w14:paraId="44573B28" w14:textId="6B3EFFF8" w:rsidTr="007B36AB">
        <w:tc>
          <w:tcPr>
            <w:tcW w:w="4675" w:type="dxa"/>
          </w:tcPr>
          <w:p w14:paraId="7F99A4E1"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Artículo 132.-</w:t>
            </w:r>
            <w:r w:rsidRPr="00475A0C">
              <w:rPr>
                <w:rFonts w:ascii="Verdana" w:hAnsi="Verdana"/>
                <w:sz w:val="16"/>
                <w:szCs w:val="16"/>
              </w:rPr>
              <w:t xml:space="preserve"> La contraprestación, los términos y las condiciones para el uso, goce o afectación de los terrenos, bienes o derechos necesarios para realizar las actividades de Exploración y Extracción de Hidrocarburos, así como para el Transporte por medio de ducto, deben ser negociados y acordados entre los propietarios o titulares de dichos terrenos, bienes o derechos, incluyendo derechos reales, ejidales o comunales, y las personas Asignatarias, Contratistas o Permisionarias de Transporte por ducto. Tratándose de propiedad privada, además puede convenirse la adquisición.</w:t>
            </w:r>
          </w:p>
        </w:tc>
        <w:tc>
          <w:tcPr>
            <w:tcW w:w="4675" w:type="dxa"/>
          </w:tcPr>
          <w:p w14:paraId="6AEEB9AA" w14:textId="4F532AB7"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Article 132.- </w:t>
            </w:r>
            <w:r w:rsidRPr="00E3602D">
              <w:rPr>
                <w:rFonts w:ascii="Verdana" w:hAnsi="Verdana"/>
                <w:sz w:val="16"/>
                <w:szCs w:val="16"/>
                <w:lang w:val="en-US"/>
              </w:rPr>
              <w:t>The consideration, terms, and conditions for the use, enjoyment, or assignment of the land, assets, or rights necessary for the exploration and extraction of hydrocarbons, as well as for pipeline transportation, must be negotiated and agreed upon between the owners or holders of said land, assets, or rights, including real rights, ejido or communal rights, and the assignees, contractors, or pipeline transportation permit holders. In the case of private property, acquisition may also be agreed upon.</w:t>
            </w:r>
          </w:p>
        </w:tc>
      </w:tr>
      <w:tr w:rsidR="003B20AD" w:rsidRPr="00475A0C" w14:paraId="51A55275" w14:textId="510DD2B8" w:rsidTr="007B36AB">
        <w:tc>
          <w:tcPr>
            <w:tcW w:w="4675" w:type="dxa"/>
          </w:tcPr>
          <w:p w14:paraId="61854B44"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lang w:val="es-ES_tradnl"/>
              </w:rPr>
              <w:t xml:space="preserve">Lo dispuesto en el presente Capítulo </w:t>
            </w:r>
            <w:r w:rsidRPr="00475A0C">
              <w:rPr>
                <w:rFonts w:ascii="Verdana" w:hAnsi="Verdana"/>
                <w:sz w:val="16"/>
                <w:szCs w:val="16"/>
              </w:rPr>
              <w:t xml:space="preserve">es </w:t>
            </w:r>
            <w:r w:rsidRPr="00475A0C">
              <w:rPr>
                <w:rFonts w:ascii="Verdana" w:hAnsi="Verdana"/>
                <w:sz w:val="16"/>
                <w:szCs w:val="16"/>
                <w:lang w:val="es-ES_tradnl"/>
              </w:rPr>
              <w:t xml:space="preserve">aplicable respecto de los derechos que </w:t>
            </w:r>
            <w:smartTag w:uri="urn:schemas-microsoft-com:office:smarttags" w:element="PersonName">
              <w:smartTagPr>
                <w:attr w:name="ProductID" w:val="la Constitución"/>
              </w:smartTagPr>
              <w:r w:rsidRPr="00475A0C">
                <w:rPr>
                  <w:rFonts w:ascii="Verdana" w:hAnsi="Verdana"/>
                  <w:sz w:val="16"/>
                  <w:szCs w:val="16"/>
                  <w:lang w:val="es-ES_tradnl"/>
                </w:rPr>
                <w:t>la Constitución</w:t>
              </w:r>
            </w:smartTag>
            <w:r w:rsidRPr="00475A0C">
              <w:rPr>
                <w:rFonts w:ascii="Verdana" w:hAnsi="Verdana"/>
                <w:sz w:val="16"/>
                <w:szCs w:val="16"/>
                <w:lang w:val="es-ES_tradnl"/>
              </w:rPr>
              <w:t>, las leyes y los tratados internacionales suscritos por el Estado Mexicano, reconocen a los pueblos y comunidades indígenas y afromexicanas.</w:t>
            </w:r>
          </w:p>
        </w:tc>
        <w:tc>
          <w:tcPr>
            <w:tcW w:w="4675" w:type="dxa"/>
          </w:tcPr>
          <w:p w14:paraId="1A59CD2A" w14:textId="4D1F661C"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The provisions of this Chapter are applicable to the rights that the Constitution, the laws and international treaties signed by the Mexican State recognize the indigenous and Afro-Mexican peoples and communities.</w:t>
            </w:r>
          </w:p>
        </w:tc>
      </w:tr>
      <w:tr w:rsidR="003B20AD" w:rsidRPr="00475A0C" w14:paraId="50572300" w14:textId="145181DA" w:rsidTr="007B36AB">
        <w:tc>
          <w:tcPr>
            <w:tcW w:w="4675" w:type="dxa"/>
          </w:tcPr>
          <w:p w14:paraId="4E593BC7"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Artículo 133.-</w:t>
            </w:r>
            <w:r w:rsidRPr="00475A0C">
              <w:rPr>
                <w:rFonts w:ascii="Verdana" w:hAnsi="Verdana"/>
                <w:sz w:val="16"/>
                <w:szCs w:val="16"/>
              </w:rPr>
              <w:t xml:space="preserve"> La negociación y acuerdo a que se refiere el artículo anterior debe realizarse de manera transparente y sujetarse a las siguientes bases y a lo señalado en las disposiciones que emanen de esta Ley:</w:t>
            </w:r>
          </w:p>
        </w:tc>
        <w:tc>
          <w:tcPr>
            <w:tcW w:w="4675" w:type="dxa"/>
          </w:tcPr>
          <w:p w14:paraId="15EF5646" w14:textId="7678C283"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Article 133.- </w:t>
            </w:r>
            <w:r w:rsidRPr="00E3602D">
              <w:rPr>
                <w:rFonts w:ascii="Verdana" w:hAnsi="Verdana"/>
                <w:sz w:val="16"/>
                <w:szCs w:val="16"/>
                <w:lang w:val="en-US"/>
              </w:rPr>
              <w:t>The negotiation and agreement referred to in the preceding article must be carried out in a transparent manner and subject to the following criteria and to what is indicated in the provisions emanating from this Law:</w:t>
            </w:r>
          </w:p>
        </w:tc>
      </w:tr>
      <w:tr w:rsidR="003B20AD" w:rsidRPr="00475A0C" w14:paraId="5C806316" w14:textId="7C0EFDF0" w:rsidTr="007B36AB">
        <w:tc>
          <w:tcPr>
            <w:tcW w:w="4675" w:type="dxa"/>
          </w:tcPr>
          <w:p w14:paraId="39E68B72"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La persona Asignataria, Contratista o Permisionaria de Transporte por ducto, debe expresar por escrito al propietario o titular del terreno, bien o derecho de que se trate, su interés de usar, gozar, afectar o, en su caso, adquirir tales terrenos, bienes o derechos;</w:t>
            </w:r>
          </w:p>
        </w:tc>
        <w:tc>
          <w:tcPr>
            <w:tcW w:w="4675" w:type="dxa"/>
          </w:tcPr>
          <w:p w14:paraId="6630E230" w14:textId="7BAE21C3"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The Assignee, Contractor or Permit Holder of pipeline transportation must express in writing to the owner or holder of the land, property or right in question, his interest in using, enjoying, affecting or, where appropriate, acquiring such land, property or rights;</w:t>
            </w:r>
          </w:p>
        </w:tc>
      </w:tr>
      <w:tr w:rsidR="003B20AD" w:rsidRPr="00475A0C" w14:paraId="20947934" w14:textId="2B83F134" w:rsidTr="007B36AB">
        <w:tc>
          <w:tcPr>
            <w:tcW w:w="4675" w:type="dxa"/>
          </w:tcPr>
          <w:p w14:paraId="4466388E"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La persona Asignataria, Contratista o Permisionaria de Transporte por ducto, debe mostrar y describir el proyecto que planea desarrollar al amparo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o permiso, y atender las dudas y cuestionamientos del propietario o titular del terreno, bien o derecho de que se trate, de manera que entienda sus alcances, así como las posibles consecuencias y afectaciones que se pueden generar por su ejecución y, en su caso, los beneficios que le representa en lo personal y/o en su comunidad o localidad;</w:t>
            </w:r>
          </w:p>
        </w:tc>
        <w:tc>
          <w:tcPr>
            <w:tcW w:w="4675" w:type="dxa"/>
          </w:tcPr>
          <w:p w14:paraId="7FC928CF" w14:textId="6DE16B42"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Assignee, Contractor or Permit Holder for Pipeline Transportation must show and describe the project that he plans to develop under the Assignment, Contract for the exploration and extraction, or permit, and address the doubts and questions of the owner or holder of the land, property or right in question, so that he or she understands its scope, as well as the possible consequences and effects that may be generated by its execution and, where appropriate, the benefits that it represents for him personally and/or in his community or locality;</w:t>
            </w:r>
          </w:p>
        </w:tc>
      </w:tr>
      <w:tr w:rsidR="003B20AD" w:rsidRPr="00475A0C" w14:paraId="768D1EC8" w14:textId="3C9FE3FF" w:rsidTr="007B36AB">
        <w:tc>
          <w:tcPr>
            <w:tcW w:w="4675" w:type="dxa"/>
          </w:tcPr>
          <w:p w14:paraId="7AFA7CA7"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prever la participación de Testigos Sociales en los procesos de mediación, en los términos que señalen las disposiciones jurídicas aplicables;</w:t>
            </w:r>
          </w:p>
        </w:tc>
        <w:tc>
          <w:tcPr>
            <w:tcW w:w="4675" w:type="dxa"/>
          </w:tcPr>
          <w:p w14:paraId="5CFA7258" w14:textId="4C39EF63"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Secretary of Energy may provide for the participation of Social Witnesses in the mediation processes, under the terms indicated by the applicable legal provisions;</w:t>
            </w:r>
          </w:p>
        </w:tc>
      </w:tr>
      <w:tr w:rsidR="003B20AD" w:rsidRPr="00475A0C" w14:paraId="7EA98564" w14:textId="2066D7CE" w:rsidTr="007B36AB">
        <w:tc>
          <w:tcPr>
            <w:tcW w:w="4675" w:type="dxa"/>
          </w:tcPr>
          <w:p w14:paraId="1EE2D246"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 xml:space="preserve">Las personas Asignatarias, Contratistas o Permisionarias de Transporte por ducto deben notificar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de Desarrollo Agrario, Territorial y Urbano del inicio de las negociaciones a que </w:t>
            </w:r>
            <w:r w:rsidRPr="00475A0C">
              <w:rPr>
                <w:rFonts w:ascii="Verdana" w:hAnsi="Verdana"/>
                <w:sz w:val="16"/>
                <w:szCs w:val="16"/>
              </w:rPr>
              <w:lastRenderedPageBreak/>
              <w:t>se refiere este artículo, en los términos señalados en su Reglamento y demás disposiciones aplicables;</w:t>
            </w:r>
          </w:p>
        </w:tc>
        <w:tc>
          <w:tcPr>
            <w:tcW w:w="4675" w:type="dxa"/>
          </w:tcPr>
          <w:p w14:paraId="2471C13F" w14:textId="28B70B51"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lastRenderedPageBreak/>
              <w:t xml:space="preserve">IV. </w:t>
            </w:r>
            <w:r w:rsidRPr="00E3602D">
              <w:rPr>
                <w:rFonts w:ascii="Verdana" w:hAnsi="Verdana"/>
                <w:sz w:val="16"/>
                <w:szCs w:val="16"/>
                <w:lang w:val="en-US"/>
              </w:rPr>
              <w:tab/>
              <w:t xml:space="preserve">The Assignees, Contractors or Permit Holders of pipeline transportation must notify the Secretary of Energy and Agrarian, Territorial and Urban Development of the start of the negotiations referred to </w:t>
            </w:r>
            <w:r w:rsidRPr="00E3602D">
              <w:rPr>
                <w:rFonts w:ascii="Verdana" w:hAnsi="Verdana"/>
                <w:sz w:val="16"/>
                <w:szCs w:val="16"/>
                <w:lang w:val="en-US"/>
              </w:rPr>
              <w:lastRenderedPageBreak/>
              <w:t>in this article, under the terms indicated in its Regulation and other applicable provisions;</w:t>
            </w:r>
          </w:p>
        </w:tc>
      </w:tr>
      <w:tr w:rsidR="003B20AD" w:rsidRPr="00475A0C" w14:paraId="723D3DDF" w14:textId="62077419" w:rsidTr="007B36AB">
        <w:tc>
          <w:tcPr>
            <w:tcW w:w="4675" w:type="dxa"/>
          </w:tcPr>
          <w:p w14:paraId="486F55D9"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La forma o modalidad de uso, goce, afectación, en su caso, adquisición que se pacte debe ser idónea para el desarrollo del proyecto en cuestión, según sus características, la cual será determinada por las personas Asignatarias, Contratistas o Permisionarias de Transporte por ducto. Al efecto, pueden</w:t>
            </w:r>
            <w:r w:rsidRPr="00475A0C">
              <w:rPr>
                <w:rFonts w:ascii="Verdana" w:hAnsi="Verdana"/>
                <w:b/>
                <w:sz w:val="16"/>
                <w:szCs w:val="16"/>
              </w:rPr>
              <w:t xml:space="preserve"> </w:t>
            </w:r>
            <w:r w:rsidRPr="00475A0C">
              <w:rPr>
                <w:rFonts w:ascii="Verdana" w:hAnsi="Verdana"/>
                <w:sz w:val="16"/>
                <w:szCs w:val="16"/>
              </w:rPr>
              <w:t>emplearse las figuras de arrendamiento, servidumbre voluntaria, ocupación superficial, ocupación temporal, compraventa, permuta y cualquier otra que no contravenga la ley;</w:t>
            </w:r>
          </w:p>
        </w:tc>
        <w:tc>
          <w:tcPr>
            <w:tcW w:w="4675" w:type="dxa"/>
          </w:tcPr>
          <w:p w14:paraId="52FDC52A" w14:textId="0AC24FCF"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The form or modality of use, enjoyment, assignment, where applicable, acquisition that is agreed upon must be suitable for the development of the project in question, according to its characteristics, which will be determined by the Assignees, Contractors or Permit Holders of Pipeline Transportation. To this end, the following figures may be used: lease, voluntary easement, surface occupation, temporary occupation, sale, exchange and any other form that does not contravene the law;</w:t>
            </w:r>
          </w:p>
        </w:tc>
      </w:tr>
      <w:tr w:rsidR="003B20AD" w:rsidRPr="00475A0C" w14:paraId="46A799B2" w14:textId="6208C296" w:rsidTr="007B36AB">
        <w:tc>
          <w:tcPr>
            <w:tcW w:w="4675" w:type="dxa"/>
          </w:tcPr>
          <w:p w14:paraId="327B7E43"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VI.</w:t>
            </w:r>
            <w:r w:rsidRPr="00475A0C">
              <w:rPr>
                <w:rFonts w:ascii="Verdana" w:hAnsi="Verdana"/>
                <w:b/>
                <w:sz w:val="16"/>
                <w:szCs w:val="16"/>
              </w:rPr>
              <w:tab/>
            </w:r>
            <w:r w:rsidRPr="00475A0C">
              <w:rPr>
                <w:rFonts w:ascii="Verdana" w:hAnsi="Verdana"/>
                <w:sz w:val="16"/>
                <w:szCs w:val="16"/>
              </w:rPr>
              <w:t xml:space="preserve">La contraprestación que se acuerde debe ser proporcional a los requerimientos de la persona Asignataria, Contratista o Permisionaria de Transporte por ducto, conforme a las actividades que se realicen al amparo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Contrato o Permiso.</w:t>
            </w:r>
          </w:p>
        </w:tc>
        <w:tc>
          <w:tcPr>
            <w:tcW w:w="4675" w:type="dxa"/>
          </w:tcPr>
          <w:p w14:paraId="051DE9D5" w14:textId="1C23E08A"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VI. </w:t>
            </w:r>
            <w:r w:rsidRPr="00E3602D">
              <w:rPr>
                <w:rFonts w:ascii="Verdana" w:hAnsi="Verdana"/>
                <w:b/>
                <w:sz w:val="16"/>
                <w:szCs w:val="16"/>
                <w:lang w:val="en-US"/>
              </w:rPr>
              <w:tab/>
            </w:r>
            <w:r w:rsidRPr="00E3602D">
              <w:rPr>
                <w:rFonts w:ascii="Verdana" w:hAnsi="Verdana"/>
                <w:sz w:val="16"/>
                <w:szCs w:val="16"/>
                <w:lang w:val="en-US"/>
              </w:rPr>
              <w:t>The agreed compensation must be proportional to the requirements of the Assignee, Contractor or Pipeline Transportation Permit Holder, in accordance with the activities carried out under the Assignment, Contract or Permit.</w:t>
            </w:r>
          </w:p>
        </w:tc>
      </w:tr>
      <w:tr w:rsidR="003B20AD" w:rsidRPr="00475A0C" w14:paraId="31EC210C" w14:textId="7F6AA5AC" w:rsidTr="007B36AB">
        <w:tc>
          <w:tcPr>
            <w:tcW w:w="4675" w:type="dxa"/>
          </w:tcPr>
          <w:p w14:paraId="26C014D6"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De acuerdo con las distintas formas o modalidades de uso, goce, afectación o, en su caso, adquisición que se pacte, los titulares de los terrenos, bienes o derechos tienen derecho a que la contraprestación cubra, según sea el caso:</w:t>
            </w:r>
          </w:p>
        </w:tc>
        <w:tc>
          <w:tcPr>
            <w:tcW w:w="4675" w:type="dxa"/>
          </w:tcPr>
          <w:p w14:paraId="3962B584" w14:textId="0AD1C076" w:rsidR="003B20AD" w:rsidRPr="00E3602D" w:rsidRDefault="003B20AD" w:rsidP="003B20AD">
            <w:pPr>
              <w:pStyle w:val="Texto"/>
              <w:spacing w:line="219" w:lineRule="exact"/>
              <w:ind w:firstLine="0"/>
              <w:rPr>
                <w:rFonts w:ascii="Verdana" w:hAnsi="Verdana"/>
                <w:sz w:val="16"/>
                <w:szCs w:val="16"/>
                <w:lang w:val="en-US"/>
              </w:rPr>
            </w:pPr>
            <w:r w:rsidRPr="00E3602D">
              <w:rPr>
                <w:rFonts w:ascii="Verdana" w:hAnsi="Verdana"/>
                <w:sz w:val="16"/>
                <w:szCs w:val="16"/>
                <w:lang w:val="en-US"/>
              </w:rPr>
              <w:tab/>
              <w:t>In accordance with the different forms or modalities of use, enjoyment, assignment or, where appropriate, acquisition agreed upon, the owners of the land, assets or rights have the right to the consideration covering, as the case may be:</w:t>
            </w:r>
          </w:p>
        </w:tc>
      </w:tr>
      <w:tr w:rsidR="003B20AD" w:rsidRPr="00475A0C" w14:paraId="3F35AB13" w14:textId="37940FF1" w:rsidTr="007B36AB">
        <w:tc>
          <w:tcPr>
            <w:tcW w:w="4675" w:type="dxa"/>
          </w:tcPr>
          <w:p w14:paraId="4ABC91E4"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El pago de las afectaciones de bienes o derechos distintos de la tierra, así como la previsión de los daños y perjuicios, que se pueden sufrir con motivo del proyecto a desarrollar. El cálculo debe realizarse en función de la actividad habitual de dicha propiedad al momento de la negociación, y</w:t>
            </w:r>
          </w:p>
        </w:tc>
        <w:tc>
          <w:tcPr>
            <w:tcW w:w="4675" w:type="dxa"/>
          </w:tcPr>
          <w:p w14:paraId="46345017" w14:textId="1BF1F381"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Payment for any damages to assets or rights other than land, as well as the provision for damages, which may be incurred as a result of the project to be developed. The calculation must be made based on the usual activity of said property at the time of negotiation, and</w:t>
            </w:r>
          </w:p>
        </w:tc>
      </w:tr>
      <w:tr w:rsidR="003B20AD" w:rsidRPr="00475A0C" w14:paraId="1888E4C3" w14:textId="031B7863" w:rsidTr="007B36AB">
        <w:tc>
          <w:tcPr>
            <w:tcW w:w="4675" w:type="dxa"/>
          </w:tcPr>
          <w:p w14:paraId="08F0CA2D" w14:textId="77777777" w:rsidR="003B20AD" w:rsidRPr="00475A0C" w:rsidRDefault="003B20AD" w:rsidP="003B20AD">
            <w:pPr>
              <w:pStyle w:val="Texto"/>
              <w:spacing w:line="219"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El pago por concepto de uso, goce o adquisición de los terrenos, bienes o derechos.</w:t>
            </w:r>
          </w:p>
        </w:tc>
        <w:tc>
          <w:tcPr>
            <w:tcW w:w="4675" w:type="dxa"/>
          </w:tcPr>
          <w:p w14:paraId="4FE61BD2" w14:textId="2C1762AC" w:rsidR="003B20AD" w:rsidRPr="00E3602D" w:rsidRDefault="003B20AD" w:rsidP="003B20AD">
            <w:pPr>
              <w:pStyle w:val="Texto"/>
              <w:spacing w:line="219"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Payment for the use, enjoyment or acquisition of land, property or rights.</w:t>
            </w:r>
          </w:p>
        </w:tc>
      </w:tr>
      <w:tr w:rsidR="003B20AD" w:rsidRPr="00475A0C" w14:paraId="213C1FD5" w14:textId="180623E6" w:rsidTr="007B36AB">
        <w:tc>
          <w:tcPr>
            <w:tcW w:w="4675" w:type="dxa"/>
          </w:tcPr>
          <w:p w14:paraId="56BCBA1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En lo dispuesto en los incisos a) y b) anteriores, se debe considerar el valor comercial que determine el Instituto al momento de la negociación.</w:t>
            </w:r>
          </w:p>
        </w:tc>
        <w:tc>
          <w:tcPr>
            <w:tcW w:w="4675" w:type="dxa"/>
          </w:tcPr>
          <w:p w14:paraId="3E9BF6B6" w14:textId="18312CEA"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ab/>
              <w:t>In the provisions of paragraphs a) and b) above, the commercial value determined by the Institute at the time of negotiation must be considered.</w:t>
            </w:r>
          </w:p>
        </w:tc>
      </w:tr>
      <w:tr w:rsidR="003B20AD" w:rsidRPr="00475A0C" w14:paraId="3B21445A" w14:textId="12AD5DB9" w:rsidTr="007B36AB">
        <w:tc>
          <w:tcPr>
            <w:tcW w:w="4675" w:type="dxa"/>
          </w:tcPr>
          <w:p w14:paraId="1A9E048D"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Para el caso de proyectos de extracción de hidrocarburos, la contraprestación a que se refieren los incisos a) y b) anteriores se debe evaluar a lo largo del tiempo, conforme a la metodología que para tales efectos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1FF14F76" w14:textId="6FF63868"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ab/>
              <w:t>In the case of hydrocarbon extraction projects, the consideration referred to in sections a) and b) above must be evaluated over time, in accordance with the methodology established for such purposes by the Secretary of Energy.</w:t>
            </w:r>
          </w:p>
        </w:tc>
      </w:tr>
      <w:tr w:rsidR="003B20AD" w:rsidRPr="00475A0C" w14:paraId="163BCAC3" w14:textId="499CC5C5" w:rsidTr="007B36AB">
        <w:tc>
          <w:tcPr>
            <w:tcW w:w="4675" w:type="dxa"/>
          </w:tcPr>
          <w:p w14:paraId="0648143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VII.</w:t>
            </w:r>
            <w:r w:rsidRPr="00475A0C">
              <w:rPr>
                <w:rFonts w:ascii="Verdana" w:hAnsi="Verdana"/>
                <w:b/>
                <w:sz w:val="16"/>
                <w:szCs w:val="16"/>
              </w:rPr>
              <w:tab/>
            </w:r>
            <w:r w:rsidRPr="00475A0C">
              <w:rPr>
                <w:rFonts w:ascii="Verdana" w:hAnsi="Verdana"/>
                <w:sz w:val="16"/>
                <w:szCs w:val="16"/>
              </w:rPr>
              <w:t>Los pagos de las contraprestaciones que se pacten pueden cubrirse en efectivo y, en su caso, mediante cualquiera de las siguientes modalidades, o las que indique la legislación aplicable:</w:t>
            </w:r>
          </w:p>
        </w:tc>
        <w:tc>
          <w:tcPr>
            <w:tcW w:w="4675" w:type="dxa"/>
          </w:tcPr>
          <w:p w14:paraId="1E5BF281" w14:textId="343B949D"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VII. </w:t>
            </w:r>
            <w:r w:rsidRPr="00E3602D">
              <w:rPr>
                <w:rFonts w:ascii="Verdana" w:hAnsi="Verdana"/>
                <w:b/>
                <w:sz w:val="16"/>
                <w:szCs w:val="16"/>
                <w:lang w:val="en-US"/>
              </w:rPr>
              <w:tab/>
            </w:r>
            <w:r w:rsidRPr="00E3602D">
              <w:rPr>
                <w:rFonts w:ascii="Verdana" w:hAnsi="Verdana"/>
                <w:sz w:val="16"/>
                <w:szCs w:val="16"/>
                <w:lang w:val="en-US"/>
              </w:rPr>
              <w:t>Payments of the agreed consideration may be made in cash and, where appropriate, by any of the following methods, or those indicated by applicable legislation:</w:t>
            </w:r>
          </w:p>
        </w:tc>
      </w:tr>
      <w:tr w:rsidR="003B20AD" w:rsidRPr="00475A0C" w14:paraId="022FE270" w14:textId="23DAF350" w:rsidTr="007B36AB">
        <w:tc>
          <w:tcPr>
            <w:tcW w:w="4675" w:type="dxa"/>
          </w:tcPr>
          <w:p w14:paraId="0EDE5357"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Compromisos para ejecutar proyectos de desarrollo en beneficio de la comunidad o localidad afectada;</w:t>
            </w:r>
          </w:p>
        </w:tc>
        <w:tc>
          <w:tcPr>
            <w:tcW w:w="4675" w:type="dxa"/>
          </w:tcPr>
          <w:p w14:paraId="21B4F9F1" w14:textId="6CC122EC"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Commitments to carry out development projects for the benefit of the affected community or locality;</w:t>
            </w:r>
          </w:p>
        </w:tc>
      </w:tr>
      <w:tr w:rsidR="003B20AD" w:rsidRPr="00475A0C" w14:paraId="037008C6" w14:textId="06D2E439" w:rsidTr="007B36AB">
        <w:tc>
          <w:tcPr>
            <w:tcW w:w="4675" w:type="dxa"/>
          </w:tcPr>
          <w:p w14:paraId="020E8E26"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Cualquier otra prestación que no sea contraria a la ley, o</w:t>
            </w:r>
          </w:p>
        </w:tc>
        <w:tc>
          <w:tcPr>
            <w:tcW w:w="4675" w:type="dxa"/>
          </w:tcPr>
          <w:p w14:paraId="638A066B" w14:textId="4865BA69"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Any other benefit that is not contrary to the law, or</w:t>
            </w:r>
          </w:p>
        </w:tc>
      </w:tr>
      <w:tr w:rsidR="003B20AD" w:rsidRPr="00475A0C" w14:paraId="24F1BF08" w14:textId="51041EAF" w:rsidTr="007B36AB">
        <w:tc>
          <w:tcPr>
            <w:tcW w:w="4675" w:type="dxa"/>
          </w:tcPr>
          <w:p w14:paraId="7C0D4A8B"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Una combinación de las anteriores.</w:t>
            </w:r>
          </w:p>
        </w:tc>
        <w:tc>
          <w:tcPr>
            <w:tcW w:w="4675" w:type="dxa"/>
          </w:tcPr>
          <w:p w14:paraId="2619FB23" w14:textId="01AD1F99"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A combination of the above.</w:t>
            </w:r>
          </w:p>
        </w:tc>
      </w:tr>
      <w:tr w:rsidR="003B20AD" w:rsidRPr="00475A0C" w14:paraId="7F42E20F" w14:textId="35C31F56" w:rsidTr="007B36AB">
        <w:tc>
          <w:tcPr>
            <w:tcW w:w="4675" w:type="dxa"/>
          </w:tcPr>
          <w:p w14:paraId="693A5E5C"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Sin perjuicio de las modalidades de contraprestación a que se refiere esta fracción, las personas Asignatarias, Contratistas o Permisionarias de Transporte por ducto, pueden</w:t>
            </w:r>
            <w:r w:rsidRPr="00475A0C">
              <w:rPr>
                <w:rFonts w:ascii="Verdana" w:hAnsi="Verdana"/>
                <w:sz w:val="16"/>
                <w:szCs w:val="16"/>
                <w:lang w:val="es-ES_tradnl"/>
              </w:rPr>
              <w:t xml:space="preserve"> </w:t>
            </w:r>
            <w:r w:rsidRPr="00475A0C">
              <w:rPr>
                <w:rFonts w:ascii="Verdana" w:hAnsi="Verdana"/>
                <w:sz w:val="16"/>
                <w:szCs w:val="16"/>
              </w:rPr>
              <w:t xml:space="preserve">proponer al propietario, </w:t>
            </w:r>
            <w:r w:rsidRPr="00475A0C">
              <w:rPr>
                <w:rFonts w:ascii="Verdana" w:hAnsi="Verdana"/>
                <w:sz w:val="16"/>
                <w:szCs w:val="16"/>
              </w:rPr>
              <w:lastRenderedPageBreak/>
              <w:t>titular del derecho o miembros de la comunidad o localidad a las que pertenezcan, la adquisición de bienes o insumos, o los servicios fabricados, suministrados o prestados por dichas personas, cuando esto sea compatible con el proyecto;</w:t>
            </w:r>
          </w:p>
        </w:tc>
        <w:tc>
          <w:tcPr>
            <w:tcW w:w="4675" w:type="dxa"/>
          </w:tcPr>
          <w:p w14:paraId="1995EDCD" w14:textId="798A2E10"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lastRenderedPageBreak/>
              <w:tab/>
              <w:t xml:space="preserve">Without prejudice to the forms of compensation referred to in this section, the Assignees, Contractors or Permit Holders of pipeline transportation may propose to the owner, rights holder or members of </w:t>
            </w:r>
            <w:r w:rsidRPr="00E3602D">
              <w:rPr>
                <w:rFonts w:ascii="Verdana" w:hAnsi="Verdana"/>
                <w:sz w:val="16"/>
                <w:szCs w:val="16"/>
                <w:lang w:val="en-US"/>
              </w:rPr>
              <w:lastRenderedPageBreak/>
              <w:t>the community or locality to which they belong, the acquisition of goods or inputs, or services manufactured, supplied or provided by said persons, when this is compatible with the project;</w:t>
            </w:r>
          </w:p>
        </w:tc>
      </w:tr>
      <w:tr w:rsidR="003B20AD" w:rsidRPr="00475A0C" w14:paraId="1CE2F35E" w14:textId="6EBE3288" w:rsidTr="007B36AB">
        <w:tc>
          <w:tcPr>
            <w:tcW w:w="4675" w:type="dxa"/>
          </w:tcPr>
          <w:p w14:paraId="43E7563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VIII.</w:t>
            </w:r>
            <w:r w:rsidRPr="00475A0C">
              <w:rPr>
                <w:rFonts w:ascii="Verdana" w:hAnsi="Verdana"/>
                <w:sz w:val="16"/>
                <w:szCs w:val="16"/>
              </w:rPr>
              <w:tab/>
              <w:t xml:space="preserve">La contraprestación, así como los demás términos y condiciones que se pacten para la adquisición, uso, goce o afectación de los terrenos, bienes o derechos deben constar invariablemente en un contrato por escrito, y sujetarse a los lineamientos y a los modelos de contratos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w:t>
            </w:r>
          </w:p>
        </w:tc>
        <w:tc>
          <w:tcPr>
            <w:tcW w:w="4675" w:type="dxa"/>
          </w:tcPr>
          <w:p w14:paraId="11A58CD0" w14:textId="2E3FEF55"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VIII. </w:t>
            </w:r>
            <w:r w:rsidRPr="00E3602D">
              <w:rPr>
                <w:rFonts w:ascii="Verdana" w:hAnsi="Verdana"/>
                <w:sz w:val="16"/>
                <w:szCs w:val="16"/>
                <w:lang w:val="en-US"/>
              </w:rPr>
              <w:tab/>
              <w:t>The payments, as well as other terms and conditions agreed upon for the acquisition, use, enjoyment or assignment of the land, assets or rights must invariably be included in a written contract and be subject to the guidelines and contract models issued by the Secretary of Energy.</w:t>
            </w:r>
          </w:p>
        </w:tc>
      </w:tr>
      <w:tr w:rsidR="003B20AD" w:rsidRPr="00475A0C" w14:paraId="76F1746C" w14:textId="081A42C9" w:rsidTr="007B36AB">
        <w:tc>
          <w:tcPr>
            <w:tcW w:w="4675" w:type="dxa"/>
          </w:tcPr>
          <w:p w14:paraId="499F14E5"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El contrato debe contener, al menos, los derechos y obligaciones de las partes, así como posibles mecanismos de solución de controversias, y</w:t>
            </w:r>
          </w:p>
        </w:tc>
        <w:tc>
          <w:tcPr>
            <w:tcW w:w="4675" w:type="dxa"/>
          </w:tcPr>
          <w:p w14:paraId="7280D32A" w14:textId="791CE3D0"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ab/>
              <w:t>The contract must contain, at least, the rights and obligations of the parties, as well as possible dispute resolution mechanisms, and</w:t>
            </w:r>
          </w:p>
        </w:tc>
      </w:tr>
      <w:tr w:rsidR="003B20AD" w:rsidRPr="00475A0C" w14:paraId="7B236A6E" w14:textId="09562F1E" w:rsidTr="007B36AB">
        <w:tc>
          <w:tcPr>
            <w:tcW w:w="4675" w:type="dxa"/>
          </w:tcPr>
          <w:p w14:paraId="280C4E45"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IX.</w:t>
            </w:r>
            <w:r w:rsidRPr="00475A0C">
              <w:rPr>
                <w:rFonts w:ascii="Verdana" w:hAnsi="Verdana"/>
                <w:sz w:val="16"/>
                <w:szCs w:val="16"/>
              </w:rPr>
              <w:tab/>
              <w:t>Los contratos en los que consten los acuerdos alcanzados no pueden prever cláusulas de confidencialidad sobre los términos, montos y condiciones de la contraprestación, que penalicen a las partes por su divulgación.</w:t>
            </w:r>
          </w:p>
        </w:tc>
        <w:tc>
          <w:tcPr>
            <w:tcW w:w="4675" w:type="dxa"/>
          </w:tcPr>
          <w:p w14:paraId="4A5A4B85" w14:textId="645C967A"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IX. </w:t>
            </w:r>
            <w:r w:rsidRPr="00E3602D">
              <w:rPr>
                <w:rFonts w:ascii="Verdana" w:hAnsi="Verdana"/>
                <w:sz w:val="16"/>
                <w:szCs w:val="16"/>
                <w:lang w:val="en-US"/>
              </w:rPr>
              <w:tab/>
              <w:t>Contracts containing the agreements reached cannot include confidentiality clauses regarding the terms, amounts, and conditions of the consideration, which would penalize the parties for disclosing them.</w:t>
            </w:r>
          </w:p>
        </w:tc>
      </w:tr>
      <w:tr w:rsidR="003B20AD" w:rsidRPr="00475A0C" w14:paraId="3DE592BA" w14:textId="0CB5471B" w:rsidTr="007B36AB">
        <w:tc>
          <w:tcPr>
            <w:tcW w:w="4675" w:type="dxa"/>
          </w:tcPr>
          <w:p w14:paraId="18B6F51A"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Los Hidrocarburos en el Subsuelo son propiedad de </w:t>
            </w:r>
            <w:smartTag w:uri="urn:schemas-microsoft-com:office:smarttags" w:element="PersonName">
              <w:smartTagPr>
                <w:attr w:name="ProductID" w:val="la Nación"/>
              </w:smartTagPr>
              <w:r w:rsidRPr="00475A0C">
                <w:rPr>
                  <w:rFonts w:ascii="Verdana" w:hAnsi="Verdana"/>
                  <w:sz w:val="16"/>
                  <w:szCs w:val="16"/>
                </w:rPr>
                <w:t>la Nación</w:t>
              </w:r>
            </w:smartTag>
            <w:r w:rsidRPr="00475A0C">
              <w:rPr>
                <w:rFonts w:ascii="Verdana" w:hAnsi="Verdana"/>
                <w:sz w:val="16"/>
                <w:szCs w:val="16"/>
              </w:rPr>
              <w:t>, por lo que en ningún caso se puede</w:t>
            </w:r>
            <w:r w:rsidRPr="00475A0C">
              <w:rPr>
                <w:rFonts w:ascii="Verdana" w:hAnsi="Verdana"/>
                <w:sz w:val="16"/>
                <w:szCs w:val="16"/>
                <w:lang w:val="es-ES_tradnl"/>
              </w:rPr>
              <w:t xml:space="preserve"> </w:t>
            </w:r>
            <w:r w:rsidRPr="00475A0C">
              <w:rPr>
                <w:rFonts w:ascii="Verdana" w:hAnsi="Verdana"/>
                <w:sz w:val="16"/>
                <w:szCs w:val="16"/>
              </w:rPr>
              <w:t>pactar una contraprestación asociada a una parte de la producción de Hidrocarburos del proyecto.</w:t>
            </w:r>
          </w:p>
        </w:tc>
        <w:tc>
          <w:tcPr>
            <w:tcW w:w="4675" w:type="dxa"/>
          </w:tcPr>
          <w:p w14:paraId="21758E55" w14:textId="6F9D50AF"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 xml:space="preserve">The hydrocarbons in the subsoil are property of the Nation, for which in no case can an agreement be made for a consideration associated to one part of the production of hydrocarbons from the project. </w:t>
            </w:r>
          </w:p>
        </w:tc>
      </w:tr>
      <w:tr w:rsidR="003B20AD" w:rsidRPr="00475A0C" w14:paraId="0A69EDAC" w14:textId="69C5E1F9" w:rsidTr="007B36AB">
        <w:tc>
          <w:tcPr>
            <w:tcW w:w="4675" w:type="dxa"/>
          </w:tcPr>
          <w:p w14:paraId="2B3AD0D3"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134.-</w:t>
            </w:r>
            <w:r w:rsidRPr="00475A0C">
              <w:rPr>
                <w:rFonts w:ascii="Verdana" w:hAnsi="Verdana"/>
                <w:sz w:val="16"/>
                <w:szCs w:val="16"/>
              </w:rPr>
              <w:t xml:space="preserve"> Cuando estén involucrados terrenos, bienes o derechos sujetos a los regímenes previstos en </w:t>
            </w:r>
            <w:smartTag w:uri="urn:schemas-microsoft-com:office:smarttags" w:element="PersonName">
              <w:smartTagPr>
                <w:attr w:name="ProductID" w:val="la Ley Agraria"/>
              </w:smartTagPr>
              <w:r w:rsidRPr="00475A0C">
                <w:rPr>
                  <w:rFonts w:ascii="Verdana" w:hAnsi="Verdana"/>
                  <w:sz w:val="16"/>
                  <w:szCs w:val="16"/>
                </w:rPr>
                <w:t>la Ley Agraria</w:t>
              </w:r>
            </w:smartTag>
            <w:r w:rsidRPr="00475A0C">
              <w:rPr>
                <w:rFonts w:ascii="Verdana" w:hAnsi="Verdana"/>
                <w:sz w:val="16"/>
                <w:szCs w:val="16"/>
              </w:rPr>
              <w:t>, además de las disposiciones de dicha ley y las demás contenidas en el presente Capítulo, debe observarse</w:t>
            </w:r>
            <w:r w:rsidRPr="00475A0C">
              <w:rPr>
                <w:rFonts w:ascii="Verdana" w:hAnsi="Verdana"/>
                <w:sz w:val="16"/>
                <w:szCs w:val="16"/>
                <w:lang w:val="es-ES_tradnl"/>
              </w:rPr>
              <w:t xml:space="preserve"> </w:t>
            </w:r>
            <w:r w:rsidRPr="00475A0C">
              <w:rPr>
                <w:rFonts w:ascii="Verdana" w:hAnsi="Verdana"/>
                <w:sz w:val="16"/>
                <w:szCs w:val="16"/>
              </w:rPr>
              <w:t>lo siguiente:</w:t>
            </w:r>
          </w:p>
        </w:tc>
        <w:tc>
          <w:tcPr>
            <w:tcW w:w="4675" w:type="dxa"/>
          </w:tcPr>
          <w:p w14:paraId="677B0138" w14:textId="6C5CFC98"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134.- </w:t>
            </w:r>
            <w:r w:rsidRPr="00E3602D">
              <w:rPr>
                <w:rFonts w:ascii="Verdana" w:hAnsi="Verdana"/>
                <w:sz w:val="16"/>
                <w:szCs w:val="16"/>
                <w:lang w:val="en-US"/>
              </w:rPr>
              <w:t>When land, property or rights subject to the regimes provided for in the Agrarian Law are involved, in addition to the provisions of said law and the others contained in this Chapter, the following must be observed:</w:t>
            </w:r>
          </w:p>
        </w:tc>
      </w:tr>
      <w:tr w:rsidR="003B20AD" w:rsidRPr="00475A0C" w14:paraId="60E428F2" w14:textId="090F8652" w:rsidTr="007B36AB">
        <w:tc>
          <w:tcPr>
            <w:tcW w:w="4675" w:type="dxa"/>
          </w:tcPr>
          <w:p w14:paraId="1CCF89BF"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El ejido, los ejidatarios, comunidades o comuneros pueden</w:t>
            </w:r>
            <w:r w:rsidRPr="00475A0C">
              <w:rPr>
                <w:rFonts w:ascii="Verdana" w:hAnsi="Verdana"/>
                <w:sz w:val="16"/>
                <w:szCs w:val="16"/>
                <w:lang w:val="es-ES_tradnl"/>
              </w:rPr>
              <w:t xml:space="preserve"> </w:t>
            </w:r>
            <w:r w:rsidRPr="00475A0C">
              <w:rPr>
                <w:rFonts w:ascii="Verdana" w:hAnsi="Verdana"/>
                <w:sz w:val="16"/>
                <w:szCs w:val="16"/>
              </w:rPr>
              <w:t xml:space="preserve">solicitar la asesoría y, en su caso, representación de </w:t>
            </w:r>
            <w:smartTag w:uri="urn:schemas-microsoft-com:office:smarttags" w:element="PersonName">
              <w:smartTagPr>
                <w:attr w:name="ProductID" w:val="la Procuraduría Agraria"/>
              </w:smartTagPr>
              <w:r w:rsidRPr="00475A0C">
                <w:rPr>
                  <w:rFonts w:ascii="Verdana" w:hAnsi="Verdana"/>
                  <w:sz w:val="16"/>
                  <w:szCs w:val="16"/>
                </w:rPr>
                <w:t>la Procuraduría Agraria</w:t>
              </w:r>
            </w:smartTag>
            <w:r w:rsidRPr="00475A0C">
              <w:rPr>
                <w:rFonts w:ascii="Verdana" w:hAnsi="Verdana"/>
                <w:sz w:val="16"/>
                <w:szCs w:val="16"/>
              </w:rPr>
              <w:t xml:space="preserve"> en las negociaciones a que se refiere el presente Capítulo;</w:t>
            </w:r>
          </w:p>
        </w:tc>
        <w:tc>
          <w:tcPr>
            <w:tcW w:w="4675" w:type="dxa"/>
          </w:tcPr>
          <w:p w14:paraId="33A0AD5D" w14:textId="40E47008"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The ejido</w:t>
            </w:r>
            <w:r w:rsidRPr="00E3602D">
              <w:rPr>
                <w:rStyle w:val="FootnoteReference"/>
                <w:rFonts w:ascii="Verdana" w:hAnsi="Verdana"/>
                <w:sz w:val="16"/>
                <w:szCs w:val="16"/>
                <w:lang w:val="en-US"/>
              </w:rPr>
              <w:footnoteReference w:id="3"/>
            </w:r>
            <w:r w:rsidRPr="00E3602D">
              <w:rPr>
                <w:rFonts w:ascii="Verdana" w:hAnsi="Verdana"/>
                <w:sz w:val="16"/>
                <w:szCs w:val="16"/>
                <w:lang w:val="en-US"/>
              </w:rPr>
              <w:t>, the ejidatarios, communities or communal workers may request advice and, where appropriate, representation from the Agrarian Prosecutor in the negotiations referred to in this Chapter;</w:t>
            </w:r>
          </w:p>
        </w:tc>
      </w:tr>
      <w:tr w:rsidR="003B20AD" w:rsidRPr="00475A0C" w14:paraId="2422C177" w14:textId="1382799C" w:rsidTr="007B36AB">
        <w:tc>
          <w:tcPr>
            <w:tcW w:w="4675" w:type="dxa"/>
          </w:tcPr>
          <w:p w14:paraId="2C03AD7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La autorización para el uso, goce o afectación y demás actos de disposición permitidos, debe sujetarse a lo establecido en </w:t>
            </w:r>
            <w:smartTag w:uri="urn:schemas-microsoft-com:office:smarttags" w:element="PersonName">
              <w:smartTagPr>
                <w:attr w:name="ProductID" w:val="la Ley Agraria"/>
              </w:smartTagPr>
              <w:r w:rsidRPr="00475A0C">
                <w:rPr>
                  <w:rFonts w:ascii="Verdana" w:hAnsi="Verdana"/>
                  <w:sz w:val="16"/>
                  <w:szCs w:val="16"/>
                </w:rPr>
                <w:t>la Ley Agraria</w:t>
              </w:r>
            </w:smartTag>
            <w:r w:rsidRPr="00475A0C">
              <w:rPr>
                <w:rFonts w:ascii="Verdana" w:hAnsi="Verdana"/>
                <w:sz w:val="16"/>
                <w:szCs w:val="16"/>
              </w:rPr>
              <w:t>, y</w:t>
            </w:r>
          </w:p>
        </w:tc>
        <w:tc>
          <w:tcPr>
            <w:tcW w:w="4675" w:type="dxa"/>
          </w:tcPr>
          <w:p w14:paraId="0F800B8C" w14:textId="6A1D9B73"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authorization for the use, enjoyment or assignment and other permitted acts of disposal must be subject to the provisions of the Agrarian Law, and</w:t>
            </w:r>
          </w:p>
        </w:tc>
      </w:tr>
      <w:tr w:rsidR="003B20AD" w:rsidRPr="00475A0C" w14:paraId="09858542" w14:textId="66AF1FD4" w:rsidTr="007B36AB">
        <w:tc>
          <w:tcPr>
            <w:tcW w:w="4675" w:type="dxa"/>
          </w:tcPr>
          <w:p w14:paraId="6464C925"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Tratándose de ejidatarios o comuneros que, conforme a las disposiciones aplicables, tengan reconocidos derechos de manera individual, se les debe entregar directamente la contraprestación respectiva por el uso, goce o afectación de tales derechos.</w:t>
            </w:r>
          </w:p>
        </w:tc>
        <w:tc>
          <w:tcPr>
            <w:tcW w:w="4675" w:type="dxa"/>
          </w:tcPr>
          <w:p w14:paraId="6764FC87" w14:textId="77E72F8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In the case of ejidatarios or communal workers who, in accordance with applicable provisions, have recognized rights individually, they must be directly paid the respective compensation for the use, enjoyment or affectation of such rights.</w:t>
            </w:r>
          </w:p>
        </w:tc>
      </w:tr>
      <w:tr w:rsidR="003B20AD" w:rsidRPr="00475A0C" w14:paraId="15C9100C" w14:textId="2D394510" w:rsidTr="007B36AB">
        <w:tc>
          <w:tcPr>
            <w:tcW w:w="4675" w:type="dxa"/>
          </w:tcPr>
          <w:p w14:paraId="6255EF45"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135.-</w:t>
            </w:r>
            <w:r w:rsidRPr="00475A0C">
              <w:rPr>
                <w:rFonts w:ascii="Verdana" w:hAnsi="Verdana"/>
                <w:sz w:val="16"/>
                <w:szCs w:val="16"/>
              </w:rPr>
              <w:t xml:space="preserve"> El Instituto debe elaborar y mantener actualizados tabuladores sobre los valores promedio de la tierra y, en su caso, de sus accesorios, para uso, ocupación o adquisición, según sus características, así </w:t>
            </w:r>
            <w:r w:rsidRPr="00475A0C">
              <w:rPr>
                <w:rFonts w:ascii="Verdana" w:hAnsi="Verdana"/>
                <w:sz w:val="16"/>
                <w:szCs w:val="16"/>
              </w:rPr>
              <w:lastRenderedPageBreak/>
              <w:t>como demás tabuladores y mecanismos de referencia que determine. Dichos tabuladores deben servir de base para el inicio de las negociaciones que se realicen conforme a los artículos anteriores.</w:t>
            </w:r>
          </w:p>
        </w:tc>
        <w:tc>
          <w:tcPr>
            <w:tcW w:w="4675" w:type="dxa"/>
          </w:tcPr>
          <w:p w14:paraId="091B4EDB" w14:textId="6C0D56F6"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135.- </w:t>
            </w:r>
            <w:r w:rsidRPr="00E3602D">
              <w:rPr>
                <w:rFonts w:ascii="Verdana" w:hAnsi="Verdana"/>
                <w:sz w:val="16"/>
                <w:szCs w:val="16"/>
                <w:lang w:val="en-US"/>
              </w:rPr>
              <w:t xml:space="preserve">The Institute must prepare and maintain updated tables of average land values and, where applicable, land accessories, for use, occupation, or acquisition, according to their characteristics, as well as </w:t>
            </w:r>
            <w:r w:rsidRPr="00E3602D">
              <w:rPr>
                <w:rFonts w:ascii="Verdana" w:hAnsi="Verdana"/>
                <w:sz w:val="16"/>
                <w:szCs w:val="16"/>
                <w:lang w:val="en-US"/>
              </w:rPr>
              <w:lastRenderedPageBreak/>
              <w:t>other tables and reference mechanisms it determines. These tables must serve as the basis for initiating negotiations conducted pursuant to the preceding articles.</w:t>
            </w:r>
          </w:p>
        </w:tc>
      </w:tr>
      <w:tr w:rsidR="003B20AD" w:rsidRPr="00475A0C" w14:paraId="1331E852" w14:textId="5935C212" w:rsidTr="007B36AB">
        <w:tc>
          <w:tcPr>
            <w:tcW w:w="4675" w:type="dxa"/>
          </w:tcPr>
          <w:p w14:paraId="5D795800"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La persona Asignataria, Contratista o Permisionaria de Transporte por ducto debe acompañar al escrito a que se refiere la fracción I del artículo 133, con los tabuladores señalados en el párrafo anterior, según corresponda a su propuesta, para lo cual debe solicitarlos directamente al Instituto.</w:t>
            </w:r>
          </w:p>
        </w:tc>
        <w:tc>
          <w:tcPr>
            <w:tcW w:w="4675" w:type="dxa"/>
          </w:tcPr>
          <w:p w14:paraId="7E63070D" w14:textId="7DF527B1"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Assignee, Contractor or Pipeline Transportation Permit Holder must accompany the document referred to in Section I of Article 133 with the tables indicated in the preceding paragraph, as appropriate to their proposal, for which they must request them directly from the Institute.</w:t>
            </w:r>
          </w:p>
        </w:tc>
      </w:tr>
      <w:tr w:rsidR="003B20AD" w:rsidRPr="00475A0C" w14:paraId="2CCB20E2" w14:textId="16BCD531" w:rsidTr="007B36AB">
        <w:tc>
          <w:tcPr>
            <w:tcW w:w="4675" w:type="dxa"/>
          </w:tcPr>
          <w:p w14:paraId="7CAA4FFA"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Artículo 136.-</w:t>
            </w:r>
            <w:r w:rsidRPr="00475A0C">
              <w:rPr>
                <w:rFonts w:ascii="Verdana" w:hAnsi="Verdana"/>
                <w:sz w:val="16"/>
                <w:szCs w:val="16"/>
              </w:rPr>
              <w:t xml:space="preserve"> Las partes pueden acordar la práctica de avalúos por el Instituto, instituciones de crédito del país que se encuentren autorizadas, corredores públicos o personas profesionistas con postgrado en valuación, siempre que formen parte del padrón nacional de peritos valuadores que se establezca en los términos del Reglamento de esta Ley.</w:t>
            </w:r>
          </w:p>
        </w:tc>
        <w:tc>
          <w:tcPr>
            <w:tcW w:w="4675" w:type="dxa"/>
          </w:tcPr>
          <w:p w14:paraId="654B8719" w14:textId="0F4B0726"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Article 136.- </w:t>
            </w:r>
            <w:r w:rsidRPr="00E3602D">
              <w:rPr>
                <w:rFonts w:ascii="Verdana" w:hAnsi="Verdana"/>
                <w:sz w:val="16"/>
                <w:szCs w:val="16"/>
                <w:lang w:val="en-US"/>
              </w:rPr>
              <w:t>The parties may agree to the practice of appraisals by the Institute, authorized credit institutions in the country, public brokers, or professionals with postgraduate degrees in valuation, provided that they are part of the national registry of appraisers established under the terms of the Regulation of this Law.</w:t>
            </w:r>
          </w:p>
        </w:tc>
      </w:tr>
      <w:tr w:rsidR="003B20AD" w:rsidRPr="00475A0C" w14:paraId="6A4D62CB" w14:textId="6C7AF993" w:rsidTr="007B36AB">
        <w:tc>
          <w:tcPr>
            <w:tcW w:w="4675" w:type="dxa"/>
          </w:tcPr>
          <w:p w14:paraId="07B949B5"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rPr>
              <w:t>Los avalúos citados deben</w:t>
            </w:r>
            <w:r w:rsidRPr="00475A0C">
              <w:rPr>
                <w:rFonts w:ascii="Verdana" w:hAnsi="Verdana"/>
                <w:b/>
                <w:sz w:val="16"/>
                <w:szCs w:val="16"/>
              </w:rPr>
              <w:t xml:space="preserve"> </w:t>
            </w:r>
            <w:r w:rsidRPr="00475A0C">
              <w:rPr>
                <w:rFonts w:ascii="Verdana" w:hAnsi="Verdana"/>
                <w:sz w:val="16"/>
                <w:szCs w:val="16"/>
              </w:rPr>
              <w:t>considerar, entre otros factores:</w:t>
            </w:r>
          </w:p>
        </w:tc>
        <w:tc>
          <w:tcPr>
            <w:tcW w:w="4675" w:type="dxa"/>
          </w:tcPr>
          <w:p w14:paraId="44C573EA" w14:textId="04FAF616"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The appraisals cited must</w:t>
            </w:r>
            <w:r w:rsidRPr="00E3602D">
              <w:rPr>
                <w:rFonts w:ascii="Verdana" w:hAnsi="Verdana"/>
                <w:b/>
                <w:sz w:val="16"/>
                <w:szCs w:val="16"/>
                <w:lang w:val="en-US"/>
              </w:rPr>
              <w:t xml:space="preserve"> </w:t>
            </w:r>
            <w:r w:rsidRPr="00E3602D">
              <w:rPr>
                <w:rFonts w:ascii="Verdana" w:hAnsi="Verdana"/>
                <w:sz w:val="16"/>
                <w:szCs w:val="16"/>
                <w:lang w:val="en-US"/>
              </w:rPr>
              <w:t>consider, among other factors:</w:t>
            </w:r>
          </w:p>
        </w:tc>
      </w:tr>
      <w:tr w:rsidR="003B20AD" w:rsidRPr="00475A0C" w14:paraId="1E7FB4C9" w14:textId="5ED4D4FF" w:rsidTr="007B36AB">
        <w:tc>
          <w:tcPr>
            <w:tcW w:w="4675" w:type="dxa"/>
          </w:tcPr>
          <w:p w14:paraId="35D3EEDF"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previsión de que el proyecto a desarrollar genere, dentro de su zona de influencia, una plusvalía de los terrenos, bienes o derechos de que se trate;</w:t>
            </w:r>
          </w:p>
        </w:tc>
        <w:tc>
          <w:tcPr>
            <w:tcW w:w="4675" w:type="dxa"/>
          </w:tcPr>
          <w:p w14:paraId="25FC1FA4" w14:textId="2ABF4A96"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forecast that the project to be developed will generate, within its area of influence, a capital gain on the land, assets or rights in question;</w:t>
            </w:r>
          </w:p>
        </w:tc>
      </w:tr>
      <w:tr w:rsidR="003B20AD" w:rsidRPr="00475A0C" w14:paraId="5B6FB2E5" w14:textId="0811A033" w:rsidTr="007B36AB">
        <w:tc>
          <w:tcPr>
            <w:tcW w:w="4675" w:type="dxa"/>
          </w:tcPr>
          <w:p w14:paraId="24473958"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 existencia de características en los inmuebles, bienes o derechos que, sin reflejarse en su valor comercial, los hace técnicamente idóneos para el desarrollo del proyecto de que se trate;</w:t>
            </w:r>
          </w:p>
        </w:tc>
        <w:tc>
          <w:tcPr>
            <w:tcW w:w="4675" w:type="dxa"/>
          </w:tcPr>
          <w:p w14:paraId="273B7648" w14:textId="079D36DC"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existence of characteristics in the real estate, assets or rights that, without being reflected in their commercial value, make them technically suitable for the development of the project in question;</w:t>
            </w:r>
          </w:p>
        </w:tc>
      </w:tr>
      <w:tr w:rsidR="003B20AD" w:rsidRPr="00475A0C" w14:paraId="0A256BCA" w14:textId="390F26F5" w:rsidTr="007B36AB">
        <w:tc>
          <w:tcPr>
            <w:tcW w:w="4675" w:type="dxa"/>
          </w:tcPr>
          <w:p w14:paraId="672ED16F"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III.</w:t>
            </w:r>
            <w:r w:rsidRPr="00475A0C">
              <w:rPr>
                <w:rFonts w:ascii="Verdana" w:hAnsi="Verdana"/>
                <w:b/>
                <w:sz w:val="16"/>
                <w:szCs w:val="16"/>
              </w:rPr>
              <w:tab/>
            </w:r>
            <w:r w:rsidRPr="00475A0C">
              <w:rPr>
                <w:rFonts w:ascii="Verdana" w:hAnsi="Verdana"/>
                <w:sz w:val="16"/>
                <w:szCs w:val="16"/>
              </w:rPr>
              <w:t>La afectación en la porción remanente de los inmuebles del cual forme parte la fracción por adquirir, usar o gozar;</w:t>
            </w:r>
          </w:p>
        </w:tc>
        <w:tc>
          <w:tcPr>
            <w:tcW w:w="4675" w:type="dxa"/>
          </w:tcPr>
          <w:p w14:paraId="15565508" w14:textId="23B5D56E"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
                <w:sz w:val="16"/>
                <w:szCs w:val="16"/>
                <w:lang w:val="en-US"/>
              </w:rPr>
              <w:tab/>
            </w:r>
            <w:r w:rsidRPr="00E3602D">
              <w:rPr>
                <w:rFonts w:ascii="Verdana" w:hAnsi="Verdana"/>
                <w:sz w:val="16"/>
                <w:szCs w:val="16"/>
                <w:lang w:val="en-US"/>
              </w:rPr>
              <w:t xml:space="preserve">The affectation of the remaining portion of the properties of which the </w:t>
            </w:r>
            <w:r w:rsidRPr="00E3602D">
              <w:rPr>
                <w:rFonts w:ascii="Verdana" w:hAnsi="Verdana"/>
                <w:sz w:val="16"/>
                <w:szCs w:val="16"/>
                <w:lang w:val="en-US"/>
              </w:rPr>
              <w:t>sectio</w:t>
            </w:r>
            <w:r w:rsidRPr="00E3602D">
              <w:rPr>
                <w:rFonts w:ascii="Verdana" w:hAnsi="Verdana"/>
                <w:sz w:val="16"/>
                <w:szCs w:val="16"/>
                <w:lang w:val="en-US"/>
              </w:rPr>
              <w:t>n to be acquired, used or enjoyed forms part;</w:t>
            </w:r>
          </w:p>
        </w:tc>
      </w:tr>
      <w:tr w:rsidR="003B20AD" w:rsidRPr="00475A0C" w14:paraId="47CE9B06" w14:textId="56F0CB41" w:rsidTr="007B36AB">
        <w:tc>
          <w:tcPr>
            <w:tcW w:w="4675" w:type="dxa"/>
          </w:tcPr>
          <w:p w14:paraId="58A4DD67"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Los gastos complementarios no previstos en el valor comercial, para que los afectados sustituyan los terrenos, bienes o derechos por adquirir, cuando sea necesaria la emigración de los afectados, y</w:t>
            </w:r>
          </w:p>
        </w:tc>
        <w:tc>
          <w:tcPr>
            <w:tcW w:w="4675" w:type="dxa"/>
          </w:tcPr>
          <w:p w14:paraId="6EB26FB3" w14:textId="17B8DBD9"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Additional expenses not provided for in the commercial value, so that those affected can replace the land, goods or rights to be acquired, when the emigration of those affected is necessary, and</w:t>
            </w:r>
          </w:p>
        </w:tc>
      </w:tr>
      <w:tr w:rsidR="003B20AD" w:rsidRPr="00475A0C" w14:paraId="086C81E8" w14:textId="5C480011" w:rsidTr="007B36AB">
        <w:tc>
          <w:tcPr>
            <w:tcW w:w="4675" w:type="dxa"/>
          </w:tcPr>
          <w:p w14:paraId="5C1E1084"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V.</w:t>
            </w:r>
            <w:r w:rsidRPr="00475A0C">
              <w:rPr>
                <w:rFonts w:ascii="Verdana" w:hAnsi="Verdana"/>
                <w:sz w:val="16"/>
                <w:szCs w:val="16"/>
              </w:rPr>
              <w:tab/>
              <w:t>En los casos de otorgamiento del uso o goce de los terrenos, bienes o derechos, la previsión de los daños y perjuicios, las molestias o afectaciones que sus titulares pueden</w:t>
            </w:r>
            <w:r w:rsidRPr="00475A0C">
              <w:rPr>
                <w:rFonts w:ascii="Verdana" w:hAnsi="Verdana"/>
                <w:b/>
                <w:sz w:val="16"/>
                <w:szCs w:val="16"/>
              </w:rPr>
              <w:t xml:space="preserve"> </w:t>
            </w:r>
            <w:r w:rsidRPr="00475A0C">
              <w:rPr>
                <w:rFonts w:ascii="Verdana" w:hAnsi="Verdana"/>
                <w:sz w:val="16"/>
                <w:szCs w:val="16"/>
              </w:rPr>
              <w:t>sufrir con motivo del proyecto a desarrollar, incluyendo aquéllos correspondientes a bienes o derechos distintos de la tierra, o el eventual perjuicio por el tiempo que la propiedad es afectada, calculado en función de la actividad habitual de dicha propiedad.</w:t>
            </w:r>
          </w:p>
        </w:tc>
        <w:tc>
          <w:tcPr>
            <w:tcW w:w="4675" w:type="dxa"/>
          </w:tcPr>
          <w:p w14:paraId="51377CA4" w14:textId="29D6E4AE"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V. </w:t>
            </w:r>
            <w:r w:rsidRPr="00E3602D">
              <w:rPr>
                <w:rFonts w:ascii="Verdana" w:hAnsi="Verdana"/>
                <w:sz w:val="16"/>
                <w:szCs w:val="16"/>
                <w:lang w:val="en-US"/>
              </w:rPr>
              <w:tab/>
              <w:t>In cases of granting the use or enjoyment of land, property or rights, the provision of damages, inconveniences or effects that their owners may suffer.</w:t>
            </w:r>
            <w:r w:rsidRPr="00E3602D">
              <w:rPr>
                <w:rFonts w:ascii="Verdana" w:hAnsi="Verdana"/>
                <w:b/>
                <w:sz w:val="16"/>
                <w:szCs w:val="16"/>
                <w:lang w:val="en-US"/>
              </w:rPr>
              <w:t xml:space="preserve"> </w:t>
            </w:r>
            <w:r w:rsidRPr="00E3602D">
              <w:rPr>
                <w:rFonts w:ascii="Verdana" w:hAnsi="Verdana"/>
                <w:sz w:val="16"/>
                <w:szCs w:val="16"/>
                <w:lang w:val="en-US"/>
              </w:rPr>
              <w:t>suffer due to the project to be developed, including those corresponding to assets or rights other than land, or the eventual damage for the time that the property is affected, calculated based on the usual activity of said property.</w:t>
            </w:r>
          </w:p>
        </w:tc>
      </w:tr>
      <w:tr w:rsidR="003B20AD" w:rsidRPr="00475A0C" w14:paraId="7D94B2C0" w14:textId="5D47F6EA" w:rsidTr="007B36AB">
        <w:tc>
          <w:tcPr>
            <w:tcW w:w="4675" w:type="dxa"/>
          </w:tcPr>
          <w:p w14:paraId="45C04E9D"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rPr>
              <w:t>Para el caso de adquisiciones, en ningún caso el valor debe</w:t>
            </w:r>
            <w:r w:rsidRPr="00475A0C">
              <w:rPr>
                <w:rFonts w:ascii="Verdana" w:hAnsi="Verdana"/>
                <w:b/>
                <w:sz w:val="16"/>
                <w:szCs w:val="16"/>
              </w:rPr>
              <w:t xml:space="preserve"> </w:t>
            </w:r>
            <w:r w:rsidRPr="00475A0C">
              <w:rPr>
                <w:rFonts w:ascii="Verdana" w:hAnsi="Verdana"/>
                <w:sz w:val="16"/>
                <w:szCs w:val="16"/>
              </w:rPr>
              <w:t>ser inferior al comercial.</w:t>
            </w:r>
          </w:p>
        </w:tc>
        <w:tc>
          <w:tcPr>
            <w:tcW w:w="4675" w:type="dxa"/>
          </w:tcPr>
          <w:p w14:paraId="2CD84567" w14:textId="340FC0AD"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In the case of acquisitions, in no case should the value</w:t>
            </w:r>
            <w:r w:rsidRPr="00E3602D">
              <w:rPr>
                <w:rFonts w:ascii="Verdana" w:hAnsi="Verdana"/>
                <w:b/>
                <w:sz w:val="16"/>
                <w:szCs w:val="16"/>
                <w:lang w:val="en-US"/>
              </w:rPr>
              <w:t xml:space="preserve"> </w:t>
            </w:r>
            <w:r w:rsidRPr="00E3602D">
              <w:rPr>
                <w:rFonts w:ascii="Verdana" w:hAnsi="Verdana"/>
                <w:sz w:val="16"/>
                <w:szCs w:val="16"/>
                <w:lang w:val="en-US"/>
              </w:rPr>
              <w:t>be inferior to the commercial one.</w:t>
            </w:r>
          </w:p>
        </w:tc>
      </w:tr>
      <w:tr w:rsidR="003B20AD" w:rsidRPr="00475A0C" w14:paraId="5A9AC2D6" w14:textId="4E74C696" w:rsidTr="007B36AB">
        <w:tc>
          <w:tcPr>
            <w:tcW w:w="4675" w:type="dxa"/>
          </w:tcPr>
          <w:p w14:paraId="4C9A6829"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rPr>
              <w:t>Los avalúos que se practiquen pueden considerar los demás elementos que a juicio del Instituto resulten convenientes, o estén establecidos en la normatividad aplicable.</w:t>
            </w:r>
          </w:p>
        </w:tc>
        <w:tc>
          <w:tcPr>
            <w:tcW w:w="4675" w:type="dxa"/>
          </w:tcPr>
          <w:p w14:paraId="70F343D4" w14:textId="5B5F820A"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The appraisals carried out may consider other elements that the Institute deems appropriate or are established in the applicable regulations.</w:t>
            </w:r>
          </w:p>
        </w:tc>
      </w:tr>
      <w:tr w:rsidR="003B20AD" w:rsidRPr="00475A0C" w14:paraId="4A09E02B" w14:textId="00CAF310" w:rsidTr="007B36AB">
        <w:tc>
          <w:tcPr>
            <w:tcW w:w="4675" w:type="dxa"/>
          </w:tcPr>
          <w:p w14:paraId="7E3172B1"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 xml:space="preserve">Artículo 137.- </w:t>
            </w:r>
            <w:r w:rsidRPr="00475A0C">
              <w:rPr>
                <w:rFonts w:ascii="Verdana" w:hAnsi="Verdana"/>
                <w:sz w:val="16"/>
                <w:szCs w:val="16"/>
              </w:rPr>
              <w:t xml:space="preserve">El acuerdo alcanzado en cualquier tiempo entre las partes debe presentarse por la persona </w:t>
            </w:r>
            <w:r w:rsidRPr="00475A0C">
              <w:rPr>
                <w:rFonts w:ascii="Verdana" w:hAnsi="Verdana"/>
                <w:sz w:val="16"/>
                <w:szCs w:val="16"/>
              </w:rPr>
              <w:lastRenderedPageBreak/>
              <w:t>Asignataria, Contratista o Permisionaria de Transporte por ducto ante el Juez de Distrito en materia civil o Tribunal Unitario Agrario competente, con el fin de que sea validado, dándole el carácter de cosa juzgada.</w:t>
            </w:r>
          </w:p>
        </w:tc>
        <w:tc>
          <w:tcPr>
            <w:tcW w:w="4675" w:type="dxa"/>
          </w:tcPr>
          <w:p w14:paraId="04DB5042" w14:textId="3663A15F"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137.- </w:t>
            </w:r>
            <w:r w:rsidRPr="00E3602D">
              <w:rPr>
                <w:rFonts w:ascii="Verdana" w:hAnsi="Verdana"/>
                <w:sz w:val="16"/>
                <w:szCs w:val="16"/>
                <w:lang w:val="en-US"/>
              </w:rPr>
              <w:t xml:space="preserve">The agreement reached at any time between the parties must be submitted by the Assignee, </w:t>
            </w:r>
            <w:r w:rsidRPr="00E3602D">
              <w:rPr>
                <w:rFonts w:ascii="Verdana" w:hAnsi="Verdana"/>
                <w:sz w:val="16"/>
                <w:szCs w:val="16"/>
                <w:lang w:val="en-US"/>
              </w:rPr>
              <w:lastRenderedPageBreak/>
              <w:t>Contractor or Permit Holder of pipeline transportation before the District Judge in civil matters or the appropriate Agrarian Unitary Court, in order for it to be validated, giving it the character of res judicata.</w:t>
            </w:r>
          </w:p>
        </w:tc>
      </w:tr>
      <w:tr w:rsidR="003B20AD" w:rsidRPr="00475A0C" w14:paraId="5B7D52DD" w14:textId="669BEFE8" w:rsidTr="007B36AB">
        <w:tc>
          <w:tcPr>
            <w:tcW w:w="4675" w:type="dxa"/>
          </w:tcPr>
          <w:p w14:paraId="77E9B2CD"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rPr>
              <w:t>Para lo anterior, el Juez o Tribunal Unitario Agrario debe proceder a:</w:t>
            </w:r>
          </w:p>
        </w:tc>
        <w:tc>
          <w:tcPr>
            <w:tcW w:w="4675" w:type="dxa"/>
          </w:tcPr>
          <w:p w14:paraId="074F8594" w14:textId="528797D7"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To do so, the Agrarian Judge or Unitary Court must proceed to:</w:t>
            </w:r>
          </w:p>
        </w:tc>
      </w:tr>
      <w:tr w:rsidR="003B20AD" w:rsidRPr="00475A0C" w14:paraId="592A78C6" w14:textId="40093090" w:rsidTr="007B36AB">
        <w:tc>
          <w:tcPr>
            <w:tcW w:w="4675" w:type="dxa"/>
          </w:tcPr>
          <w:p w14:paraId="71E0D3CE"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Verificar si se cumplieron las formalidades exigidas tanto en la presente Ley como, en su caso, en </w:t>
            </w:r>
            <w:smartTag w:uri="urn:schemas-microsoft-com:office:smarttags" w:element="PersonName">
              <w:smartTagPr>
                <w:attr w:name="ProductID" w:val="la Ley Agraria"/>
              </w:smartTagPr>
              <w:r w:rsidRPr="00475A0C">
                <w:rPr>
                  <w:rFonts w:ascii="Verdana" w:hAnsi="Verdana"/>
                  <w:sz w:val="16"/>
                  <w:szCs w:val="16"/>
                </w:rPr>
                <w:t>la Ley Agraria</w:t>
              </w:r>
            </w:smartTag>
            <w:r w:rsidRPr="00475A0C">
              <w:rPr>
                <w:rFonts w:ascii="Verdana" w:hAnsi="Verdana"/>
                <w:sz w:val="16"/>
                <w:szCs w:val="16"/>
              </w:rPr>
              <w:t xml:space="preserve"> y demás disposiciones aplicables, y</w:t>
            </w:r>
          </w:p>
        </w:tc>
        <w:tc>
          <w:tcPr>
            <w:tcW w:w="4675" w:type="dxa"/>
          </w:tcPr>
          <w:p w14:paraId="3B98CDBE" w14:textId="5089CBE0"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Verify whether the formalities required by this Law and, where applicable, by the Agrarian Law and other applicable provisions have been complied with, and</w:t>
            </w:r>
          </w:p>
        </w:tc>
      </w:tr>
      <w:tr w:rsidR="003B20AD" w:rsidRPr="00475A0C" w14:paraId="31F9B5D2" w14:textId="09946E1C" w:rsidTr="007B36AB">
        <w:tc>
          <w:tcPr>
            <w:tcW w:w="4675" w:type="dxa"/>
          </w:tcPr>
          <w:p w14:paraId="4D683658"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Ordenar la publicación de un extracto del acuerdo alcanzado, a costa de la persona Asignataria, Contratista o Permisionaria de Transporte por ducto, en un periódico de circulación local y, en su caso, en los lugares más visibles del ejido respectivo.</w:t>
            </w:r>
          </w:p>
        </w:tc>
        <w:tc>
          <w:tcPr>
            <w:tcW w:w="4675" w:type="dxa"/>
          </w:tcPr>
          <w:p w14:paraId="1E50DF79" w14:textId="3B90CB61"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Order the publication of an extract of the agreement reached, at the expense of the Assignee, Contractor or Pipeline Transportation Permit Holder, in a local circulation newspaper and, where appropriate, in the most visible places in the respective ejido.</w:t>
            </w:r>
          </w:p>
        </w:tc>
      </w:tr>
      <w:tr w:rsidR="003B20AD" w:rsidRPr="00475A0C" w14:paraId="2F9D7AF5" w14:textId="13613030" w:rsidTr="007B36AB">
        <w:tc>
          <w:tcPr>
            <w:tcW w:w="4675" w:type="dxa"/>
          </w:tcPr>
          <w:p w14:paraId="53C109B0"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El Juez de Distrito o Tribunal Unitario Agrario debe emitir su resolución, que tiene el carácter de sentencia, dentro de los quince días siguientes a la primera publicación a que se refiere la fracción II anterior, siempre que no tenga conocimiento de la existencia de un juicio pendiente que involucre los terrenos, bienes o derechos en cuestión.</w:t>
            </w:r>
          </w:p>
        </w:tc>
        <w:tc>
          <w:tcPr>
            <w:tcW w:w="4675" w:type="dxa"/>
          </w:tcPr>
          <w:p w14:paraId="1282531E" w14:textId="3CD71BA2"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ab/>
              <w:t>The District Judge or Agrarian Unitary Court must issue its resolution, which has the character of a judgment, within fifteen days following the first publication referred to in Section II above, provided that it is not aware of the existence of a pending trial involving the land, property or rights in question.</w:t>
            </w:r>
          </w:p>
        </w:tc>
      </w:tr>
      <w:tr w:rsidR="003B20AD" w:rsidRPr="00475A0C" w14:paraId="0087E9B3" w14:textId="2AC62F4E" w:rsidTr="007B36AB">
        <w:tc>
          <w:tcPr>
            <w:tcW w:w="4675" w:type="dxa"/>
          </w:tcPr>
          <w:p w14:paraId="4782D08F"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En contra de la resolución emitida sólo procede el juicio de amparo.</w:t>
            </w:r>
          </w:p>
        </w:tc>
        <w:tc>
          <w:tcPr>
            <w:tcW w:w="4675" w:type="dxa"/>
          </w:tcPr>
          <w:p w14:paraId="101196E2" w14:textId="09CCE6E9"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ab/>
              <w:t>Only an amparo promotion</w:t>
            </w:r>
            <w:r w:rsidRPr="00E3602D">
              <w:rPr>
                <w:rStyle w:val="FootnoteReference"/>
                <w:rFonts w:ascii="Verdana" w:hAnsi="Verdana"/>
                <w:sz w:val="16"/>
                <w:szCs w:val="16"/>
                <w:lang w:val="en-US"/>
              </w:rPr>
              <w:footnoteReference w:id="4"/>
            </w:r>
            <w:r w:rsidRPr="00E3602D">
              <w:rPr>
                <w:rFonts w:ascii="Verdana" w:hAnsi="Verdana"/>
                <w:sz w:val="16"/>
                <w:szCs w:val="16"/>
                <w:lang w:val="en-US"/>
              </w:rPr>
              <w:t xml:space="preserve"> may be filed against the issued resolution.</w:t>
            </w:r>
          </w:p>
        </w:tc>
      </w:tr>
      <w:tr w:rsidR="003B20AD" w:rsidRPr="00475A0C" w14:paraId="703FF858" w14:textId="7C5D2471" w:rsidTr="007B36AB">
        <w:tc>
          <w:tcPr>
            <w:tcW w:w="4675" w:type="dxa"/>
          </w:tcPr>
          <w:p w14:paraId="791D3325"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Artículo 138.-</w:t>
            </w:r>
            <w:r w:rsidRPr="00475A0C">
              <w:rPr>
                <w:rFonts w:ascii="Verdana" w:hAnsi="Verdana"/>
                <w:sz w:val="16"/>
                <w:szCs w:val="16"/>
              </w:rPr>
              <w:t xml:space="preserve"> En caso de no existir un acuerdo entre las partes, transcurridos treinta días hábiles contados a partir de la fecha de recepción del escrito referido en la fracción I del artículo 133 de esta Ley, extracto del acuerdo alcanzado, a costa de la persona Asignataria, Contratista o Permisionaria de Transporte por ducto puede:</w:t>
            </w:r>
          </w:p>
        </w:tc>
        <w:tc>
          <w:tcPr>
            <w:tcW w:w="4675" w:type="dxa"/>
          </w:tcPr>
          <w:p w14:paraId="1C4C1071" w14:textId="342B7FFB"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Article 138.- </w:t>
            </w:r>
            <w:r w:rsidRPr="00E3602D">
              <w:rPr>
                <w:rFonts w:ascii="Verdana" w:hAnsi="Verdana"/>
                <w:sz w:val="16"/>
                <w:szCs w:val="16"/>
                <w:lang w:val="en-US"/>
              </w:rPr>
              <w:t>In the event that there is no agreement between the parties, after thirty business days from the date of receipt of the document referred to in Section I of Article 133 of this Law, an extract of the agreement reached, at the expense of the Assignee, Contractor or Permit Holder of Transportation by pipeline, may:</w:t>
            </w:r>
          </w:p>
        </w:tc>
      </w:tr>
      <w:tr w:rsidR="003B20AD" w:rsidRPr="00475A0C" w14:paraId="37317DF6" w14:textId="3384A173" w:rsidTr="007B36AB">
        <w:tc>
          <w:tcPr>
            <w:tcW w:w="4675" w:type="dxa"/>
          </w:tcPr>
          <w:p w14:paraId="61272E8B"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Promover ante el Juez de Distrito en materia civil o Tribunal Unitario Agrario competente la constitución de la servidumbre legal de Hidrocarburos a que se refiere el artículo 141 de esta Ley, o</w:t>
            </w:r>
          </w:p>
        </w:tc>
        <w:tc>
          <w:tcPr>
            <w:tcW w:w="4675" w:type="dxa"/>
          </w:tcPr>
          <w:p w14:paraId="02327EEA" w14:textId="0858E467"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Promote before the District Judge in civil matters or the appropriate Agrarian Unitary Court the constitution of the legal easement for hydrocarbons referred to in article 141 of this Law, or</w:t>
            </w:r>
          </w:p>
        </w:tc>
      </w:tr>
      <w:tr w:rsidR="003B20AD" w:rsidRPr="00475A0C" w14:paraId="7EEB4900" w14:textId="40893A5D" w:rsidTr="007B36AB">
        <w:tc>
          <w:tcPr>
            <w:tcW w:w="4675" w:type="dxa"/>
          </w:tcPr>
          <w:p w14:paraId="00BA1CB0"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en su caso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una mediación que debe versar sobre las formas o modalidades de adquisición, uso, goce o </w:t>
            </w:r>
            <w:r w:rsidRPr="00475A0C">
              <w:rPr>
                <w:rFonts w:ascii="Verdana" w:hAnsi="Verdana"/>
                <w:sz w:val="16"/>
                <w:szCs w:val="16"/>
              </w:rPr>
              <w:lastRenderedPageBreak/>
              <w:t>afectación de los terrenos, bienes o derechos, así como la contraprestación que corresponda.</w:t>
            </w:r>
          </w:p>
        </w:tc>
        <w:tc>
          <w:tcPr>
            <w:tcW w:w="4675" w:type="dxa"/>
          </w:tcPr>
          <w:p w14:paraId="6B90C9F0" w14:textId="7D0FE3DB"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lastRenderedPageBreak/>
              <w:t xml:space="preserve">II. </w:t>
            </w:r>
            <w:r w:rsidRPr="00E3602D">
              <w:rPr>
                <w:rFonts w:ascii="Verdana" w:hAnsi="Verdana"/>
                <w:sz w:val="16"/>
                <w:szCs w:val="16"/>
                <w:lang w:val="en-US"/>
              </w:rPr>
              <w:tab/>
            </w:r>
            <w:r w:rsidRPr="00E3602D">
              <w:rPr>
                <w:rFonts w:ascii="Verdana" w:hAnsi="Verdana"/>
                <w:sz w:val="16"/>
                <w:szCs w:val="16"/>
                <w:lang w:val="en-US"/>
              </w:rPr>
              <w:t xml:space="preserve">Request mediation from the </w:t>
            </w:r>
            <w:r w:rsidRPr="00E3602D">
              <w:rPr>
                <w:rFonts w:ascii="Verdana" w:hAnsi="Verdana"/>
                <w:sz w:val="16"/>
                <w:szCs w:val="16"/>
                <w:lang w:val="en-US"/>
              </w:rPr>
              <w:t>Secretary</w:t>
            </w:r>
            <w:r w:rsidRPr="00E3602D">
              <w:rPr>
                <w:rFonts w:ascii="Verdana" w:hAnsi="Verdana"/>
                <w:sz w:val="16"/>
                <w:szCs w:val="16"/>
                <w:lang w:val="en-US"/>
              </w:rPr>
              <w:t xml:space="preserve"> of Agrarian, Territorial and Urban Development, or, where appropriate, the </w:t>
            </w:r>
            <w:r w:rsidRPr="00E3602D">
              <w:rPr>
                <w:rFonts w:ascii="Verdana" w:hAnsi="Verdana"/>
                <w:sz w:val="16"/>
                <w:szCs w:val="16"/>
                <w:lang w:val="en-US"/>
              </w:rPr>
              <w:t>Secretary</w:t>
            </w:r>
            <w:r w:rsidRPr="00E3602D">
              <w:rPr>
                <w:rFonts w:ascii="Verdana" w:hAnsi="Verdana"/>
                <w:sz w:val="16"/>
                <w:szCs w:val="16"/>
                <w:lang w:val="en-US"/>
              </w:rPr>
              <w:t xml:space="preserve"> of Energy, which must address the forms or modalities of acquisition, use, </w:t>
            </w:r>
            <w:r w:rsidRPr="00E3602D">
              <w:rPr>
                <w:rFonts w:ascii="Verdana" w:hAnsi="Verdana"/>
                <w:sz w:val="16"/>
                <w:szCs w:val="16"/>
                <w:lang w:val="en-US"/>
              </w:rPr>
              <w:lastRenderedPageBreak/>
              <w:t>enjoyment, or allocation of land, assets, or rights, as well as the corresponding compensation.</w:t>
            </w:r>
          </w:p>
        </w:tc>
      </w:tr>
      <w:tr w:rsidR="003B20AD" w:rsidRPr="00475A0C" w14:paraId="2FA596A5" w14:textId="1622559E" w:rsidTr="007B36AB">
        <w:tc>
          <w:tcPr>
            <w:tcW w:w="4675" w:type="dxa"/>
          </w:tcPr>
          <w:p w14:paraId="235C86A1"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 xml:space="preserve">Si dentro de los cuarenta días naturales siguientes a la presentación de la solicitud a la que se refiere el párrafo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no inicia el procedimiento de mediación, la persona Asignataria, Contratista o Permisionaria de Transporte por ducto puede solicitar a </w:t>
            </w:r>
            <w:smartTag w:uri="urn:schemas-microsoft-com:office:smarttags" w:element="PersonName">
              <w:smartTagPr>
                <w:attr w:name="ProductID" w:val="la Secretaría Energía"/>
              </w:smartTagPr>
              <w:r w:rsidRPr="00475A0C">
                <w:rPr>
                  <w:rFonts w:ascii="Verdana" w:hAnsi="Verdana"/>
                  <w:sz w:val="16"/>
                  <w:szCs w:val="16"/>
                </w:rPr>
                <w:t>la Secretaría Energía</w:t>
              </w:r>
            </w:smartTag>
            <w:r w:rsidRPr="00475A0C">
              <w:rPr>
                <w:rFonts w:ascii="Verdana" w:hAnsi="Verdana"/>
                <w:sz w:val="16"/>
                <w:szCs w:val="16"/>
              </w:rPr>
              <w:t xml:space="preserve"> la realización de la mediación, la cual la realizará con el apoyo de Testigos Sociales.</w:t>
            </w:r>
          </w:p>
        </w:tc>
        <w:tc>
          <w:tcPr>
            <w:tcW w:w="4675" w:type="dxa"/>
          </w:tcPr>
          <w:p w14:paraId="3E3B4506" w14:textId="06E79491"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ab/>
              <w:t>If within forty calendar days following the submission of the application referred to in the preceding paragraph, the Secretary of the Agrarian, Territorial and Urban Development does not initiate the mediation procedure, the Assignee, Contractor or Pipeline Transportation Permit Holder may request mediation by the Secretary of Energy, which will be carried out with the support of Social Witnesses.</w:t>
            </w:r>
          </w:p>
        </w:tc>
      </w:tr>
      <w:tr w:rsidR="003B20AD" w:rsidRPr="00475A0C" w14:paraId="1DEE1CA2" w14:textId="2EF1AD7F" w:rsidTr="007B36AB">
        <w:tc>
          <w:tcPr>
            <w:tcW w:w="4675" w:type="dxa"/>
          </w:tcPr>
          <w:p w14:paraId="7E910EB4" w14:textId="77777777" w:rsidR="003B20AD" w:rsidRPr="00475A0C" w:rsidRDefault="003B20AD" w:rsidP="003B20AD">
            <w:pPr>
              <w:pStyle w:val="Texto"/>
              <w:spacing w:line="223" w:lineRule="exact"/>
              <w:ind w:firstLine="0"/>
              <w:rPr>
                <w:rFonts w:ascii="Verdana" w:hAnsi="Verdana"/>
                <w:b/>
                <w:sz w:val="16"/>
                <w:szCs w:val="16"/>
              </w:rPr>
            </w:pPr>
            <w:r w:rsidRPr="00475A0C">
              <w:rPr>
                <w:rFonts w:ascii="Verdana" w:hAnsi="Verdana"/>
                <w:b/>
                <w:sz w:val="16"/>
                <w:szCs w:val="16"/>
              </w:rPr>
              <w:t xml:space="preserve">Artículo 139.- </w:t>
            </w:r>
            <w:r w:rsidRPr="00475A0C">
              <w:rPr>
                <w:rFonts w:ascii="Verdana" w:hAnsi="Verdana"/>
                <w:sz w:val="16"/>
                <w:szCs w:val="16"/>
              </w:rPr>
              <w:t>La mediación a que se refiere el artículo anterior debe desarrollarse, al menos, conforme a las siguientes bases:</w:t>
            </w:r>
          </w:p>
        </w:tc>
        <w:tc>
          <w:tcPr>
            <w:tcW w:w="4675" w:type="dxa"/>
          </w:tcPr>
          <w:p w14:paraId="0899A314" w14:textId="5EB1F03D"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Article 139.- </w:t>
            </w:r>
            <w:r w:rsidRPr="00E3602D">
              <w:rPr>
                <w:rFonts w:ascii="Verdana" w:hAnsi="Verdana"/>
                <w:sz w:val="16"/>
                <w:szCs w:val="16"/>
                <w:lang w:val="en-US"/>
              </w:rPr>
              <w:t>The mediation referred to in the preceding article must be carried out, at least, in accordance with the following criteria:</w:t>
            </w:r>
          </w:p>
        </w:tc>
      </w:tr>
      <w:tr w:rsidR="003B20AD" w:rsidRPr="00475A0C" w14:paraId="2588DC11" w14:textId="533741CD" w:rsidTr="007B36AB">
        <w:tc>
          <w:tcPr>
            <w:tcW w:w="4675" w:type="dxa"/>
          </w:tcPr>
          <w:p w14:paraId="52CD3576"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el apoyo de Testigos Sociales, debe</w:t>
            </w:r>
            <w:r w:rsidRPr="00475A0C">
              <w:rPr>
                <w:rFonts w:ascii="Verdana" w:hAnsi="Verdana"/>
                <w:b/>
                <w:sz w:val="16"/>
                <w:szCs w:val="16"/>
              </w:rPr>
              <w:t xml:space="preserve"> </w:t>
            </w:r>
            <w:r w:rsidRPr="00475A0C">
              <w:rPr>
                <w:rFonts w:ascii="Verdana" w:hAnsi="Verdana"/>
                <w:sz w:val="16"/>
                <w:szCs w:val="16"/>
              </w:rPr>
              <w:t>escuchar a las partes y sugerir la forma o modalidad de adquisición, uso, goce o afectación que concilie sus intereses y pretensiones, según las características del proyecto y buscar que las partes alcancen una solución aceptable y voluntaria, procurando mejorar su comunicación y futura relación;</w:t>
            </w:r>
          </w:p>
        </w:tc>
        <w:tc>
          <w:tcPr>
            <w:tcW w:w="4675" w:type="dxa"/>
          </w:tcPr>
          <w:p w14:paraId="09E42C18" w14:textId="006F4779"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Secretary of Agrarian, Territorial and Urban Development or the Secretary of Energy, with the support of Social Witnesses, must</w:t>
            </w:r>
            <w:r w:rsidRPr="00E3602D">
              <w:rPr>
                <w:rFonts w:ascii="Verdana" w:hAnsi="Verdana"/>
                <w:b/>
                <w:sz w:val="16"/>
                <w:szCs w:val="16"/>
                <w:lang w:val="en-US"/>
              </w:rPr>
              <w:t xml:space="preserve"> </w:t>
            </w:r>
            <w:r w:rsidRPr="00E3602D">
              <w:rPr>
                <w:rFonts w:ascii="Verdana" w:hAnsi="Verdana"/>
                <w:sz w:val="16"/>
                <w:szCs w:val="16"/>
                <w:lang w:val="en-US"/>
              </w:rPr>
              <w:t>listen to the parties and suggest the form or method of acquisition, use, enjoyment or assignment that reconciles their interests and claims, according to the characteristics of the project and seek that the parties reach an acceptable and voluntary solution, seeking to improve their communication and future relationship;</w:t>
            </w:r>
          </w:p>
        </w:tc>
      </w:tr>
      <w:tr w:rsidR="003B20AD" w:rsidRPr="00475A0C" w14:paraId="5B93E433" w14:textId="7DB72F71" w:rsidTr="007B36AB">
        <w:tc>
          <w:tcPr>
            <w:tcW w:w="4675" w:type="dxa"/>
          </w:tcPr>
          <w:p w14:paraId="0E6F36BF" w14:textId="77777777" w:rsidR="003B20AD" w:rsidRPr="00475A0C" w:rsidRDefault="003B20AD" w:rsidP="003B20AD">
            <w:pPr>
              <w:pStyle w:val="Texto"/>
              <w:spacing w:line="223" w:lineRule="exact"/>
              <w:ind w:firstLine="0"/>
              <w:rPr>
                <w:rFonts w:ascii="Verdana" w:hAnsi="Verdana"/>
                <w:strike/>
                <w:sz w:val="16"/>
                <w:szCs w:val="16"/>
              </w:rPr>
            </w:pPr>
            <w:r w:rsidRPr="00475A0C">
              <w:rPr>
                <w:rFonts w:ascii="Verdana" w:hAnsi="Verdana"/>
                <w:b/>
                <w:sz w:val="16"/>
                <w:szCs w:val="16"/>
              </w:rPr>
              <w:t>II.</w:t>
            </w:r>
            <w:r w:rsidRPr="00475A0C">
              <w:rPr>
                <w:rFonts w:ascii="Verdana" w:hAnsi="Verdana"/>
                <w:sz w:val="16"/>
                <w:szCs w:val="16"/>
              </w:rPr>
              <w:tab/>
              <w:t>A fin de sugerir el monto de la contraprestación, se debe estar a lo siguiente:</w:t>
            </w:r>
          </w:p>
        </w:tc>
        <w:tc>
          <w:tcPr>
            <w:tcW w:w="4675" w:type="dxa"/>
          </w:tcPr>
          <w:p w14:paraId="77A3F224" w14:textId="4BD6E064"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In order to suggest the amount of the consideration, the following must be observed:</w:t>
            </w:r>
          </w:p>
        </w:tc>
      </w:tr>
      <w:tr w:rsidR="003B20AD" w:rsidRPr="00475A0C" w14:paraId="2F36EBDF" w14:textId="70A29325" w:rsidTr="007B36AB">
        <w:tc>
          <w:tcPr>
            <w:tcW w:w="4675" w:type="dxa"/>
          </w:tcPr>
          <w:p w14:paraId="53A655D0"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Si previo a la mediación, las partes hubieran practicado avalúos encargados por cada una de ellas, conforme al artículo 136 de esta Ley:</w:t>
            </w:r>
          </w:p>
        </w:tc>
        <w:tc>
          <w:tcPr>
            <w:tcW w:w="4675" w:type="dxa"/>
          </w:tcPr>
          <w:p w14:paraId="27F3D653" w14:textId="0D6B278F"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If prior to mediation, the parties have carried out appraisals commissioned by each of them, in accordance with article 136 of this Law:</w:t>
            </w:r>
          </w:p>
        </w:tc>
      </w:tr>
      <w:tr w:rsidR="003B20AD" w:rsidRPr="00475A0C" w14:paraId="4BF6B0C3" w14:textId="7D18DE10" w:rsidTr="007B36AB">
        <w:tc>
          <w:tcPr>
            <w:tcW w:w="4675" w:type="dxa"/>
          </w:tcPr>
          <w:p w14:paraId="6903A5A6"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1.</w:t>
            </w:r>
            <w:r w:rsidRPr="00475A0C">
              <w:rPr>
                <w:rFonts w:ascii="Verdana" w:hAnsi="Verdana"/>
                <w:b/>
                <w:sz w:val="16"/>
                <w:szCs w:val="16"/>
              </w:rPr>
              <w:tab/>
            </w:r>
            <w:r w:rsidRPr="00475A0C">
              <w:rPr>
                <w:rFonts w:ascii="Verdana" w:hAnsi="Verdana"/>
                <w:sz w:val="16"/>
                <w:szCs w:val="16"/>
              </w:rPr>
              <w:t xml:space="preserve">Dichos avalúos deben ser tomados en cuenta siempre que coincidan con la forma o modalidad de adquisición, uso, goce o afectación que sugiera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el apoyo de Testigos Sociales. De lo contrario, se debe</w:t>
            </w:r>
            <w:r w:rsidRPr="00475A0C">
              <w:rPr>
                <w:rFonts w:ascii="Verdana" w:hAnsi="Verdana"/>
                <w:b/>
                <w:sz w:val="16"/>
                <w:szCs w:val="16"/>
              </w:rPr>
              <w:t xml:space="preserve"> </w:t>
            </w:r>
            <w:r w:rsidRPr="00475A0C">
              <w:rPr>
                <w:rFonts w:ascii="Verdana" w:hAnsi="Verdana"/>
                <w:sz w:val="16"/>
                <w:szCs w:val="16"/>
              </w:rPr>
              <w:t>proceder conforme al inciso b) siguiente;</w:t>
            </w:r>
          </w:p>
        </w:tc>
        <w:tc>
          <w:tcPr>
            <w:tcW w:w="4675" w:type="dxa"/>
          </w:tcPr>
          <w:p w14:paraId="3E0C1921" w14:textId="66055112"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1. </w:t>
            </w:r>
            <w:r w:rsidRPr="00E3602D">
              <w:rPr>
                <w:rFonts w:ascii="Verdana" w:hAnsi="Verdana"/>
                <w:b/>
                <w:sz w:val="16"/>
                <w:szCs w:val="16"/>
                <w:lang w:val="en-US"/>
              </w:rPr>
              <w:tab/>
            </w:r>
            <w:r w:rsidRPr="00E3602D">
              <w:rPr>
                <w:rFonts w:ascii="Verdana" w:hAnsi="Verdana"/>
                <w:sz w:val="16"/>
                <w:szCs w:val="16"/>
                <w:lang w:val="en-US"/>
              </w:rPr>
              <w:t>These appraisals must be taken into account whenever they coincide with the form or modality of acquisition, use, enjoyment or assignment that suggested by the Secretary of Agrarian, Territorial and Urban Development or the Secretary of Energy, with the support of Social Witnesses. Otherwise, they must be</w:t>
            </w:r>
            <w:r w:rsidRPr="00E3602D">
              <w:rPr>
                <w:rFonts w:ascii="Verdana" w:hAnsi="Verdana"/>
                <w:b/>
                <w:sz w:val="16"/>
                <w:szCs w:val="16"/>
                <w:lang w:val="en-US"/>
              </w:rPr>
              <w:t xml:space="preserve"> </w:t>
            </w:r>
            <w:r w:rsidRPr="00E3602D">
              <w:rPr>
                <w:rFonts w:ascii="Verdana" w:hAnsi="Verdana"/>
                <w:sz w:val="16"/>
                <w:szCs w:val="16"/>
                <w:lang w:val="en-US"/>
              </w:rPr>
              <w:t>proceed in accordance with the following paragraph b);</w:t>
            </w:r>
          </w:p>
        </w:tc>
      </w:tr>
      <w:tr w:rsidR="003B20AD" w:rsidRPr="00475A0C" w14:paraId="4F1743B9" w14:textId="2AD03F18" w:rsidTr="007B36AB">
        <w:tc>
          <w:tcPr>
            <w:tcW w:w="4675" w:type="dxa"/>
          </w:tcPr>
          <w:p w14:paraId="51E8126A"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2.</w:t>
            </w:r>
            <w:r w:rsidRPr="00475A0C">
              <w:rPr>
                <w:rFonts w:ascii="Verdana" w:hAnsi="Verdana"/>
                <w:b/>
                <w:sz w:val="16"/>
                <w:szCs w:val="16"/>
              </w:rPr>
              <w:tab/>
            </w:r>
            <w:r w:rsidRPr="00475A0C">
              <w:rPr>
                <w:rFonts w:ascii="Verdana" w:hAnsi="Verdana"/>
                <w:sz w:val="16"/>
                <w:szCs w:val="16"/>
              </w:rPr>
              <w:t xml:space="preserve">En caso de que la diferencia entre los avalúos de los dos peritos sea inferior a 15%,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el apoyo de Testigos Sociales, debe</w:t>
            </w:r>
            <w:r w:rsidRPr="00475A0C">
              <w:rPr>
                <w:rFonts w:ascii="Verdana" w:hAnsi="Verdana"/>
                <w:b/>
                <w:sz w:val="16"/>
                <w:szCs w:val="16"/>
              </w:rPr>
              <w:t xml:space="preserve"> </w:t>
            </w:r>
            <w:r w:rsidRPr="00475A0C">
              <w:rPr>
                <w:rFonts w:ascii="Verdana" w:hAnsi="Verdana"/>
                <w:sz w:val="16"/>
                <w:szCs w:val="16"/>
              </w:rPr>
              <w:t>tomar el promedio simple de los avalúos y el resultado debe</w:t>
            </w:r>
            <w:r w:rsidRPr="00475A0C">
              <w:rPr>
                <w:rFonts w:ascii="Verdana" w:hAnsi="Verdana"/>
                <w:b/>
                <w:sz w:val="16"/>
                <w:szCs w:val="16"/>
              </w:rPr>
              <w:t xml:space="preserve"> </w:t>
            </w:r>
            <w:r w:rsidRPr="00475A0C">
              <w:rPr>
                <w:rFonts w:ascii="Verdana" w:hAnsi="Verdana"/>
                <w:sz w:val="16"/>
                <w:szCs w:val="16"/>
              </w:rPr>
              <w:t>servir de base para formular la propuesta de contraprestación de las referidas Secretarías, y</w:t>
            </w:r>
          </w:p>
        </w:tc>
        <w:tc>
          <w:tcPr>
            <w:tcW w:w="4675" w:type="dxa"/>
          </w:tcPr>
          <w:p w14:paraId="121153B0" w14:textId="0E930758"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2. </w:t>
            </w:r>
            <w:r w:rsidRPr="00E3602D">
              <w:rPr>
                <w:rFonts w:ascii="Verdana" w:hAnsi="Verdana"/>
                <w:b/>
                <w:sz w:val="16"/>
                <w:szCs w:val="16"/>
                <w:lang w:val="en-US"/>
              </w:rPr>
              <w:tab/>
            </w:r>
            <w:r w:rsidRPr="00E3602D">
              <w:rPr>
                <w:rFonts w:ascii="Verdana" w:hAnsi="Verdana"/>
                <w:sz w:val="16"/>
                <w:szCs w:val="16"/>
                <w:lang w:val="en-US"/>
              </w:rPr>
              <w:t>In the event that the difference between the appraisals of the two experts is less than 15%, the Secretary of Agrarian, Territorial and Urban Development or the Secretary of Energy, with the support of Social Witnesses, must</w:t>
            </w:r>
            <w:r w:rsidRPr="00E3602D">
              <w:rPr>
                <w:rFonts w:ascii="Verdana" w:hAnsi="Verdana"/>
                <w:b/>
                <w:sz w:val="16"/>
                <w:szCs w:val="16"/>
                <w:lang w:val="en-US"/>
              </w:rPr>
              <w:t xml:space="preserve"> </w:t>
            </w:r>
            <w:r w:rsidRPr="00E3602D">
              <w:rPr>
                <w:rFonts w:ascii="Verdana" w:hAnsi="Verdana"/>
                <w:sz w:val="16"/>
                <w:szCs w:val="16"/>
                <w:lang w:val="en-US"/>
              </w:rPr>
              <w:t>take the simple average of the appraisals and the result should</w:t>
            </w:r>
            <w:r w:rsidRPr="00E3602D">
              <w:rPr>
                <w:rFonts w:ascii="Verdana" w:hAnsi="Verdana"/>
                <w:b/>
                <w:sz w:val="16"/>
                <w:szCs w:val="16"/>
                <w:lang w:val="en-US"/>
              </w:rPr>
              <w:t xml:space="preserve"> </w:t>
            </w:r>
            <w:r w:rsidRPr="00E3602D">
              <w:rPr>
                <w:rFonts w:ascii="Verdana" w:hAnsi="Verdana"/>
                <w:sz w:val="16"/>
                <w:szCs w:val="16"/>
                <w:lang w:val="en-US"/>
              </w:rPr>
              <w:t>serve as a basis for formulating the compensation proposal of the aforementioned Secretaries, and</w:t>
            </w:r>
          </w:p>
        </w:tc>
      </w:tr>
      <w:tr w:rsidR="003B20AD" w:rsidRPr="00475A0C" w14:paraId="43D10394" w14:textId="21C4CA53" w:rsidTr="007B36AB">
        <w:tc>
          <w:tcPr>
            <w:tcW w:w="4675" w:type="dxa"/>
          </w:tcPr>
          <w:p w14:paraId="4A8DFA88"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3.</w:t>
            </w:r>
            <w:r w:rsidRPr="00475A0C">
              <w:rPr>
                <w:rFonts w:ascii="Verdana" w:hAnsi="Verdana"/>
                <w:b/>
                <w:sz w:val="16"/>
                <w:szCs w:val="16"/>
              </w:rPr>
              <w:tab/>
            </w:r>
            <w:r w:rsidRPr="00475A0C">
              <w:rPr>
                <w:rFonts w:ascii="Verdana" w:hAnsi="Verdana"/>
                <w:sz w:val="16"/>
                <w:szCs w:val="16"/>
              </w:rPr>
              <w:t xml:space="preserve">En caso de que la diferencia entre los avalúos de los dos peritos sea superior a 15%,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con el apoyo de Testigos Sociales, debe</w:t>
            </w:r>
            <w:r w:rsidRPr="00475A0C">
              <w:rPr>
                <w:rFonts w:ascii="Verdana" w:hAnsi="Verdana"/>
                <w:b/>
                <w:sz w:val="16"/>
                <w:szCs w:val="16"/>
              </w:rPr>
              <w:t xml:space="preserve"> </w:t>
            </w:r>
            <w:r w:rsidRPr="00475A0C">
              <w:rPr>
                <w:rFonts w:ascii="Verdana" w:hAnsi="Verdana"/>
                <w:sz w:val="16"/>
                <w:szCs w:val="16"/>
              </w:rPr>
              <w:t>solicitar al Instituto o a un perito que aleatoriamente seleccione del padrón a que se refiere el artículo 136 de esta Ley, la práctica de un avalúo, cuyo resultado debe</w:t>
            </w:r>
            <w:r w:rsidRPr="00475A0C">
              <w:rPr>
                <w:rFonts w:ascii="Verdana" w:hAnsi="Verdana"/>
                <w:b/>
                <w:sz w:val="16"/>
                <w:szCs w:val="16"/>
              </w:rPr>
              <w:t xml:space="preserve"> </w:t>
            </w:r>
            <w:r w:rsidRPr="00475A0C">
              <w:rPr>
                <w:rFonts w:ascii="Verdana" w:hAnsi="Verdana"/>
                <w:sz w:val="16"/>
                <w:szCs w:val="16"/>
              </w:rPr>
              <w:t>servir de base para formular la propuesta de contraprestación de las referidas Secretarías, y</w:t>
            </w:r>
          </w:p>
        </w:tc>
        <w:tc>
          <w:tcPr>
            <w:tcW w:w="4675" w:type="dxa"/>
          </w:tcPr>
          <w:p w14:paraId="1592A939" w14:textId="1AFD3A8D"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3. </w:t>
            </w:r>
            <w:r w:rsidRPr="00E3602D">
              <w:rPr>
                <w:rFonts w:ascii="Verdana" w:hAnsi="Verdana"/>
                <w:b/>
                <w:sz w:val="16"/>
                <w:szCs w:val="16"/>
                <w:lang w:val="en-US"/>
              </w:rPr>
              <w:tab/>
            </w:r>
            <w:r w:rsidRPr="00E3602D">
              <w:rPr>
                <w:rFonts w:ascii="Verdana" w:hAnsi="Verdana"/>
                <w:sz w:val="16"/>
                <w:szCs w:val="16"/>
                <w:lang w:val="en-US"/>
              </w:rPr>
              <w:t>In the event that the difference between the appraisals of the two experts is greater than 15%, la Secretary of Agrarian, Territorial and Urban Development or the Secretary of Energy, with the support of Social Witnesses, must</w:t>
            </w:r>
            <w:r w:rsidRPr="00E3602D">
              <w:rPr>
                <w:rFonts w:ascii="Verdana" w:hAnsi="Verdana"/>
                <w:b/>
                <w:sz w:val="16"/>
                <w:szCs w:val="16"/>
                <w:lang w:val="en-US"/>
              </w:rPr>
              <w:t xml:space="preserve"> </w:t>
            </w:r>
            <w:r w:rsidRPr="00E3602D">
              <w:rPr>
                <w:rFonts w:ascii="Verdana" w:hAnsi="Verdana"/>
                <w:sz w:val="16"/>
                <w:szCs w:val="16"/>
                <w:lang w:val="en-US"/>
              </w:rPr>
              <w:t>request the Institute or an expert who randomly selects from the register referred to in article 136 of this Law, to carry out an appraisal, the result of which must</w:t>
            </w:r>
            <w:r w:rsidRPr="00E3602D">
              <w:rPr>
                <w:rFonts w:ascii="Verdana" w:hAnsi="Verdana"/>
                <w:b/>
                <w:sz w:val="16"/>
                <w:szCs w:val="16"/>
                <w:lang w:val="en-US"/>
              </w:rPr>
              <w:t xml:space="preserve"> </w:t>
            </w:r>
            <w:r w:rsidRPr="00E3602D">
              <w:rPr>
                <w:rFonts w:ascii="Verdana" w:hAnsi="Verdana"/>
                <w:sz w:val="16"/>
                <w:szCs w:val="16"/>
                <w:lang w:val="en-US"/>
              </w:rPr>
              <w:t>serve as a basis for formulating the compensation proposal of the aforementioned Secretaries, and</w:t>
            </w:r>
          </w:p>
        </w:tc>
      </w:tr>
      <w:tr w:rsidR="003B20AD" w:rsidRPr="00475A0C" w14:paraId="77451A71" w14:textId="08BB7010" w:rsidTr="007B36AB">
        <w:tc>
          <w:tcPr>
            <w:tcW w:w="4675" w:type="dxa"/>
          </w:tcPr>
          <w:p w14:paraId="44832C3E"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lastRenderedPageBreak/>
              <w:t>b)</w:t>
            </w:r>
            <w:r w:rsidRPr="00475A0C">
              <w:rPr>
                <w:rFonts w:ascii="Verdana" w:hAnsi="Verdana"/>
                <w:b/>
                <w:sz w:val="16"/>
                <w:szCs w:val="16"/>
              </w:rPr>
              <w:tab/>
            </w:r>
            <w:r w:rsidRPr="00475A0C">
              <w:rPr>
                <w:rFonts w:ascii="Verdana" w:hAnsi="Verdana"/>
                <w:sz w:val="16"/>
                <w:szCs w:val="16"/>
              </w:rPr>
              <w:t xml:space="preserve">En caso de que las partes no hayan practicado avalúos en términos del artículo 136 de esta Ley,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deben solicitar al Instituto seleccione a un perito del padrón a que se refiere el artículo 136 de esta Ley, y realice la práctica de un avalúo que debe servir de base para la propuesta de contraprestación que formulen las Secretarías.</w:t>
            </w:r>
          </w:p>
        </w:tc>
        <w:tc>
          <w:tcPr>
            <w:tcW w:w="4675" w:type="dxa"/>
          </w:tcPr>
          <w:p w14:paraId="19C6CA6A" w14:textId="1AEECCDD"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In the event that the parties have not carried out appraisals in accordance with Article 136 of this Law, the Secretary of Agrarian, Territorial and Urban Development or the Secretary of Energy, must request the Institute to select an expert from the register referred to in Article 136 of this Law, and carry out an appraisal that must serve as the basis for the compensation proposal formulated by the Secretaries.</w:t>
            </w:r>
          </w:p>
        </w:tc>
      </w:tr>
      <w:tr w:rsidR="003B20AD" w:rsidRPr="00475A0C" w14:paraId="72A7F19A" w14:textId="35C7AD17" w:rsidTr="007B36AB">
        <w:tc>
          <w:tcPr>
            <w:tcW w:w="4675" w:type="dxa"/>
          </w:tcPr>
          <w:p w14:paraId="31144BAD"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En el desarrollo de la mediación debe atenderse a lo dispuesto en el artículo 133, fracciones V a VII, de la presente Ley.</w:t>
            </w:r>
          </w:p>
        </w:tc>
        <w:tc>
          <w:tcPr>
            <w:tcW w:w="4675" w:type="dxa"/>
          </w:tcPr>
          <w:p w14:paraId="484808B9" w14:textId="1BB9B810" w:rsidR="003B20AD" w:rsidRPr="00E3602D" w:rsidRDefault="003B20AD" w:rsidP="003B20AD">
            <w:pPr>
              <w:pStyle w:val="Texto"/>
              <w:spacing w:line="223" w:lineRule="exact"/>
              <w:ind w:firstLine="0"/>
              <w:rPr>
                <w:rFonts w:ascii="Verdana" w:hAnsi="Verdana"/>
                <w:sz w:val="16"/>
                <w:szCs w:val="16"/>
                <w:lang w:val="en-US"/>
              </w:rPr>
            </w:pPr>
            <w:r w:rsidRPr="00E3602D">
              <w:rPr>
                <w:rFonts w:ascii="Verdana" w:hAnsi="Verdana"/>
                <w:sz w:val="16"/>
                <w:szCs w:val="16"/>
                <w:lang w:val="en-US"/>
              </w:rPr>
              <w:tab/>
              <w:t>In the development of mediation, the provisions of article 133, sections V to VII, of this Law must be observed.</w:t>
            </w:r>
          </w:p>
        </w:tc>
      </w:tr>
      <w:tr w:rsidR="003B20AD" w:rsidRPr="00475A0C" w14:paraId="248D1984" w14:textId="3793F887" w:rsidTr="007B36AB">
        <w:tc>
          <w:tcPr>
            <w:tcW w:w="4675" w:type="dxa"/>
          </w:tcPr>
          <w:p w14:paraId="2FECA545"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Artículo 140.-</w:t>
            </w:r>
            <w:r w:rsidRPr="00475A0C">
              <w:rPr>
                <w:rFonts w:ascii="Verdana" w:hAnsi="Verdana"/>
                <w:sz w:val="16"/>
                <w:szCs w:val="16"/>
              </w:rPr>
              <w:t xml:space="preserve"> Si dentro de los treinta días naturales contados a partir de la sugerencia de contraprestación a que se refiere la fracción II del artículo anterior, las partes no alcanzaren un acuerdo, y no se haya promovido la servidumbre legal de Hidrocarburos vía jurisdiccional, la persona Asignataria, Contratista o Permisionaria de Transporte por ducto puede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Desarrollo Agrario, Territorial y Urbano que dé trámite ante la persona Titular del Ejecutivo Federal para la constitución de una servidumbre legal de Hidrocarburos por vía administrativa.</w:t>
            </w:r>
          </w:p>
        </w:tc>
        <w:tc>
          <w:tcPr>
            <w:tcW w:w="4675" w:type="dxa"/>
          </w:tcPr>
          <w:p w14:paraId="42B21A4D" w14:textId="71CFC448"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Article 140.- </w:t>
            </w:r>
            <w:r w:rsidRPr="00E3602D">
              <w:rPr>
                <w:rFonts w:ascii="Verdana" w:hAnsi="Verdana"/>
                <w:sz w:val="16"/>
                <w:szCs w:val="16"/>
                <w:lang w:val="en-US"/>
              </w:rPr>
              <w:t>If within thirty calendar days counted from the suggestion of consideration referred to in section II of the preceding article, the parties do not reach an agreement, and the legal easement of hydrocarbons has not been promoted through jurisdictional means, the Assignee, Contractor or Permit Holder of pipeline transportation may request the Secretary of Agrarian, Territorial and Urban Development to process before the Head of the Federal Executive for the constitution of a legal easement of hydrocarbons through administrative means.</w:t>
            </w:r>
          </w:p>
        </w:tc>
      </w:tr>
      <w:tr w:rsidR="003B20AD" w:rsidRPr="00475A0C" w14:paraId="4FF62046" w14:textId="3B10F9BB" w:rsidTr="007B36AB">
        <w:tc>
          <w:tcPr>
            <w:tcW w:w="4675" w:type="dxa"/>
          </w:tcPr>
          <w:p w14:paraId="5418A170"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b/>
                <w:sz w:val="16"/>
                <w:szCs w:val="16"/>
              </w:rPr>
              <w:t>Artículo 141.-</w:t>
            </w:r>
            <w:r w:rsidRPr="00475A0C">
              <w:rPr>
                <w:rFonts w:ascii="Verdana" w:hAnsi="Verdana"/>
                <w:sz w:val="16"/>
                <w:szCs w:val="16"/>
              </w:rPr>
              <w:t xml:space="preserve"> La servidumbre legal de Hidrocarburos comprende el derecho de tránsito de personas; el de transporte, conducción y almacenamiento de materiales para la construcción, vehículos, maquinaria y bienes de todo tipo; el de construcción, instalación o mantenimiento de la infraestructura o realización de obras y trabajos necesarios para el adecuado desarrollo y vigilancia de las actividades amparadas por virtud de un Contrato, Asignación o permiso de transporte por ducto, así como todos aquéllos que sean necesarios para tal fin. En todo caso, la servidumbre legal de Hidrocarburos no puede exceder el plazo del Contrato, Asignación o permiso respectivo.</w:t>
            </w:r>
          </w:p>
        </w:tc>
        <w:tc>
          <w:tcPr>
            <w:tcW w:w="4675" w:type="dxa"/>
          </w:tcPr>
          <w:p w14:paraId="15493DB3" w14:textId="5874A439" w:rsidR="003B20AD" w:rsidRPr="00E3602D" w:rsidRDefault="003B20AD" w:rsidP="003B20AD">
            <w:pPr>
              <w:pStyle w:val="Texto"/>
              <w:spacing w:line="223" w:lineRule="exact"/>
              <w:ind w:firstLine="0"/>
              <w:rPr>
                <w:rFonts w:ascii="Verdana" w:hAnsi="Verdana"/>
                <w:b/>
                <w:sz w:val="16"/>
                <w:szCs w:val="16"/>
                <w:lang w:val="en-US"/>
              </w:rPr>
            </w:pPr>
            <w:r w:rsidRPr="00E3602D">
              <w:rPr>
                <w:rFonts w:ascii="Verdana" w:hAnsi="Verdana"/>
                <w:b/>
                <w:sz w:val="16"/>
                <w:szCs w:val="16"/>
                <w:lang w:val="en-US"/>
              </w:rPr>
              <w:t xml:space="preserve">Article 141.- </w:t>
            </w:r>
            <w:r w:rsidRPr="00E3602D">
              <w:rPr>
                <w:rFonts w:ascii="Verdana" w:hAnsi="Verdana"/>
                <w:sz w:val="16"/>
                <w:szCs w:val="16"/>
                <w:lang w:val="en-US"/>
              </w:rPr>
              <w:t>The legal easement for hydrocarbons includes the right of transit for persons; the right to transport, convey, and store construction materials, vehicles, machinery, and goods of all kinds; the right to construct, install, or maintain infrastructure; or the execution of works and jobs necessary for the proper development and oversight of activities covered by a pipeline transportation contract, assignment, or permit, as well as all other rights necessary for such purposes. In any case, the legal easement for hydrocarbons may not exceed the term of the respective contract, assignment, or permit.</w:t>
            </w:r>
          </w:p>
        </w:tc>
      </w:tr>
      <w:tr w:rsidR="003B20AD" w:rsidRPr="00475A0C" w14:paraId="4AD31BC7" w14:textId="3A381504" w:rsidTr="007B36AB">
        <w:tc>
          <w:tcPr>
            <w:tcW w:w="4675" w:type="dxa"/>
          </w:tcPr>
          <w:p w14:paraId="30410E6C"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sz w:val="16"/>
                <w:szCs w:val="16"/>
              </w:rPr>
              <w:t>Las servidumbres legales de Hidrocarburos deben decretarse a favor de la persona Asignataria, Contratista o Permisionaria de Transporte por ducto y se rigen por las disposiciones del derecho común federal y las controversias relacionadas con las mismas, cualquiera que sea su naturaleza, son</w:t>
            </w:r>
            <w:r w:rsidRPr="00475A0C">
              <w:rPr>
                <w:rFonts w:ascii="Verdana" w:hAnsi="Verdana"/>
                <w:b/>
                <w:sz w:val="16"/>
                <w:szCs w:val="16"/>
              </w:rPr>
              <w:t xml:space="preserve"> </w:t>
            </w:r>
            <w:r w:rsidRPr="00475A0C">
              <w:rPr>
                <w:rFonts w:ascii="Verdana" w:hAnsi="Verdana"/>
                <w:sz w:val="16"/>
                <w:szCs w:val="16"/>
              </w:rPr>
              <w:t>competencia de los tribunales federales.</w:t>
            </w:r>
          </w:p>
        </w:tc>
        <w:tc>
          <w:tcPr>
            <w:tcW w:w="4675" w:type="dxa"/>
          </w:tcPr>
          <w:p w14:paraId="148B10B3" w14:textId="0DCD0F54" w:rsidR="003B20AD" w:rsidRPr="00E3602D" w:rsidRDefault="003B20AD" w:rsidP="003B20AD">
            <w:pPr>
              <w:pStyle w:val="Texto"/>
              <w:spacing w:line="223" w:lineRule="exact"/>
              <w:ind w:firstLine="0"/>
              <w:rPr>
                <w:rFonts w:ascii="Verdana" w:hAnsi="Verdana"/>
                <w:sz w:val="16"/>
                <w:szCs w:val="16"/>
                <w:lang w:val="en-US"/>
              </w:rPr>
            </w:pPr>
            <w:r w:rsidRPr="00E3602D">
              <w:rPr>
                <w:rFonts w:ascii="Verdana" w:hAnsi="Verdana"/>
                <w:sz w:val="16"/>
                <w:szCs w:val="16"/>
                <w:lang w:val="en-US"/>
              </w:rPr>
              <w:t>Legal easements of Hydrocarbons must be decreed in favor of the Assignee, Contractor or Permit Holder of Transportation by pipeline and are governed by the provisions of federal common law and the disputes related to them, whatever their nature, are</w:t>
            </w:r>
            <w:r w:rsidRPr="00E3602D">
              <w:rPr>
                <w:rFonts w:ascii="Verdana" w:hAnsi="Verdana"/>
                <w:b/>
                <w:sz w:val="16"/>
                <w:szCs w:val="16"/>
                <w:lang w:val="en-US"/>
              </w:rPr>
              <w:t xml:space="preserve"> </w:t>
            </w:r>
            <w:r w:rsidRPr="00E3602D">
              <w:rPr>
                <w:rFonts w:ascii="Verdana" w:hAnsi="Verdana"/>
                <w:sz w:val="16"/>
                <w:szCs w:val="16"/>
                <w:lang w:val="en-US"/>
              </w:rPr>
              <w:t>jurisdiction of the federal courts.</w:t>
            </w:r>
          </w:p>
        </w:tc>
      </w:tr>
      <w:tr w:rsidR="003B20AD" w:rsidRPr="00475A0C" w14:paraId="0D9BC69B" w14:textId="04412F56" w:rsidTr="007B36AB">
        <w:tc>
          <w:tcPr>
            <w:tcW w:w="4675" w:type="dxa"/>
          </w:tcPr>
          <w:p w14:paraId="1FDD7344" w14:textId="77777777" w:rsidR="003B20AD" w:rsidRPr="00475A0C" w:rsidRDefault="003B20AD" w:rsidP="003B20AD">
            <w:pPr>
              <w:pStyle w:val="Texto"/>
              <w:spacing w:line="223" w:lineRule="exact"/>
              <w:ind w:firstLine="0"/>
              <w:rPr>
                <w:rFonts w:ascii="Verdana" w:hAnsi="Verdana"/>
                <w:sz w:val="16"/>
                <w:szCs w:val="16"/>
              </w:rPr>
            </w:pPr>
            <w:r w:rsidRPr="00475A0C">
              <w:rPr>
                <w:rFonts w:ascii="Verdana" w:hAnsi="Verdana"/>
                <w:sz w:val="16"/>
                <w:szCs w:val="16"/>
              </w:rPr>
              <w:t>Las servidumbres legales de Hidrocarburos se pueden decretar por vía jurisdiccional o administrativa, en términos de esta Ley y las demás disposiciones aplicables.</w:t>
            </w:r>
          </w:p>
        </w:tc>
        <w:tc>
          <w:tcPr>
            <w:tcW w:w="4675" w:type="dxa"/>
          </w:tcPr>
          <w:p w14:paraId="53C1AB37" w14:textId="0ED1BD38" w:rsidR="003B20AD" w:rsidRPr="00E3602D" w:rsidRDefault="003B20AD" w:rsidP="003B20AD">
            <w:pPr>
              <w:pStyle w:val="Texto"/>
              <w:spacing w:line="223" w:lineRule="exact"/>
              <w:ind w:firstLine="0"/>
              <w:rPr>
                <w:rFonts w:ascii="Verdana" w:hAnsi="Verdana"/>
                <w:sz w:val="16"/>
                <w:szCs w:val="16"/>
                <w:lang w:val="en-US"/>
              </w:rPr>
            </w:pPr>
            <w:r w:rsidRPr="00E3602D">
              <w:rPr>
                <w:rFonts w:ascii="Verdana" w:hAnsi="Verdana"/>
                <w:sz w:val="16"/>
                <w:szCs w:val="16"/>
                <w:lang w:val="en-US"/>
              </w:rPr>
              <w:t>Legal easements for hydrocarbons may be decreed through judicial or administrative means, in accordance with this Law and other applicable provisions.</w:t>
            </w:r>
          </w:p>
        </w:tc>
      </w:tr>
      <w:tr w:rsidR="003B20AD" w:rsidRPr="00475A0C" w14:paraId="386C4DF9" w14:textId="0A2B9041" w:rsidTr="007B36AB">
        <w:tc>
          <w:tcPr>
            <w:tcW w:w="4675" w:type="dxa"/>
          </w:tcPr>
          <w:p w14:paraId="2C1EE60D" w14:textId="77777777" w:rsidR="003B20AD" w:rsidRPr="00475A0C" w:rsidRDefault="003B20AD" w:rsidP="003B20AD">
            <w:pPr>
              <w:pStyle w:val="Texto"/>
              <w:spacing w:line="223" w:lineRule="exact"/>
              <w:ind w:firstLine="0"/>
              <w:rPr>
                <w:rFonts w:ascii="Verdana" w:hAnsi="Verdana"/>
                <w:strike/>
                <w:sz w:val="16"/>
                <w:szCs w:val="16"/>
              </w:rPr>
            </w:pPr>
            <w:r w:rsidRPr="00475A0C">
              <w:rPr>
                <w:rFonts w:ascii="Verdana" w:hAnsi="Verdana"/>
                <w:sz w:val="16"/>
                <w:szCs w:val="16"/>
              </w:rPr>
              <w:t>Los peritos que se designen por la autoridad jurisdiccional deben observar lo dispuesto en el artículo 136 de la presente Ley y, en lo conducente, lo señalado en las fracciones V a VII del artículo 133 de esta Ley.</w:t>
            </w:r>
          </w:p>
        </w:tc>
        <w:tc>
          <w:tcPr>
            <w:tcW w:w="4675" w:type="dxa"/>
          </w:tcPr>
          <w:p w14:paraId="4449B94C" w14:textId="1F54CD8F" w:rsidR="003B20AD" w:rsidRPr="00E3602D" w:rsidRDefault="003B20AD" w:rsidP="003B20AD">
            <w:pPr>
              <w:pStyle w:val="Texto"/>
              <w:spacing w:line="223" w:lineRule="exact"/>
              <w:ind w:firstLine="0"/>
              <w:rPr>
                <w:rFonts w:ascii="Verdana" w:hAnsi="Verdana"/>
                <w:sz w:val="16"/>
                <w:szCs w:val="16"/>
                <w:lang w:val="en-US"/>
              </w:rPr>
            </w:pPr>
            <w:r w:rsidRPr="00E3602D">
              <w:rPr>
                <w:rFonts w:ascii="Verdana" w:hAnsi="Verdana"/>
                <w:sz w:val="16"/>
                <w:szCs w:val="16"/>
                <w:lang w:val="en-US"/>
              </w:rPr>
              <w:t>The experts appointed by the jurisdictional authority must observe the provisions of Article 136 of this Law and, where applicable, the provisions of Sections V to VII of Article 133 of this Law.</w:t>
            </w:r>
          </w:p>
        </w:tc>
      </w:tr>
      <w:tr w:rsidR="003B20AD" w:rsidRPr="00475A0C" w14:paraId="24FE7A4F" w14:textId="2D6C63F7" w:rsidTr="007B36AB">
        <w:tc>
          <w:tcPr>
            <w:tcW w:w="4675" w:type="dxa"/>
          </w:tcPr>
          <w:p w14:paraId="2DF82DB6"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142.-</w:t>
            </w:r>
            <w:r w:rsidRPr="00475A0C">
              <w:rPr>
                <w:rFonts w:ascii="Verdana" w:hAnsi="Verdana"/>
                <w:sz w:val="16"/>
                <w:szCs w:val="16"/>
              </w:rPr>
              <w:t xml:space="preserve"> La contraprestación que corresponda por la servidumbre legal de Hidrocarburos que se decrete por vía administrativa, se determina con base </w:t>
            </w:r>
            <w:r w:rsidRPr="00475A0C">
              <w:rPr>
                <w:rFonts w:ascii="Verdana" w:hAnsi="Verdana"/>
                <w:sz w:val="16"/>
                <w:szCs w:val="16"/>
              </w:rPr>
              <w:lastRenderedPageBreak/>
              <w:t>en las propuestas que se hayan formulado conforme a la fracción II del artículo 139 de la presente Ley.</w:t>
            </w:r>
          </w:p>
        </w:tc>
        <w:tc>
          <w:tcPr>
            <w:tcW w:w="4675" w:type="dxa"/>
          </w:tcPr>
          <w:p w14:paraId="3243B51A" w14:textId="764F8FD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lastRenderedPageBreak/>
              <w:t xml:space="preserve">Article 142.- </w:t>
            </w:r>
            <w:r w:rsidRPr="00E3602D">
              <w:rPr>
                <w:rFonts w:ascii="Verdana" w:hAnsi="Verdana"/>
                <w:sz w:val="16"/>
                <w:szCs w:val="16"/>
                <w:lang w:val="en-US"/>
              </w:rPr>
              <w:t xml:space="preserve">The corresponding consideration for the legal easement of hydrocarbons that is decreed by administrative means, is determined based on the </w:t>
            </w:r>
            <w:r w:rsidRPr="00E3602D">
              <w:rPr>
                <w:rFonts w:ascii="Verdana" w:hAnsi="Verdana"/>
                <w:sz w:val="16"/>
                <w:szCs w:val="16"/>
                <w:lang w:val="en-US"/>
              </w:rPr>
              <w:lastRenderedPageBreak/>
              <w:t>proposals that have been formulated in accordance with section II of article 139 of this Law.</w:t>
            </w:r>
          </w:p>
        </w:tc>
      </w:tr>
      <w:tr w:rsidR="003B20AD" w:rsidRPr="00475A0C" w14:paraId="09ACD846" w14:textId="72B4DD49" w:rsidTr="007B36AB">
        <w:tc>
          <w:tcPr>
            <w:tcW w:w="4675" w:type="dxa"/>
          </w:tcPr>
          <w:p w14:paraId="51A6DE5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Tratándose de las demás modalidades de adquisición o afectación por figuras de derecho público, la indemnización respectiva se determina considerando lo dispuesto en el artículo 136 y, en su caso, los valores de los avalúos que se obtengan conforme a la fracción II del artículo 139 de esta Ley.</w:t>
            </w:r>
          </w:p>
        </w:tc>
        <w:tc>
          <w:tcPr>
            <w:tcW w:w="4675" w:type="dxa"/>
          </w:tcPr>
          <w:p w14:paraId="1F9A40EB" w14:textId="094D90AD"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In the case of other forms of acquisition or assignment by public law figures, the respective compensation is determined by considering the provisions of Article 136 and, where applicable, the values of the appraisals obtained in accordance with Section II of Article 139 of this Law.</w:t>
            </w:r>
          </w:p>
        </w:tc>
      </w:tr>
      <w:tr w:rsidR="003B20AD" w:rsidRPr="00475A0C" w14:paraId="3F2EC65C" w14:textId="5BA861B8" w:rsidTr="007B36AB">
        <w:tc>
          <w:tcPr>
            <w:tcW w:w="4675" w:type="dxa"/>
          </w:tcPr>
          <w:p w14:paraId="46F1A40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143.-</w:t>
            </w:r>
            <w:r w:rsidRPr="00475A0C">
              <w:rPr>
                <w:rFonts w:ascii="Verdana" w:hAnsi="Verdana"/>
                <w:sz w:val="16"/>
                <w:szCs w:val="16"/>
              </w:rPr>
              <w:t xml:space="preserve"> Lo dispuesto en los artículos anteriores no es</w:t>
            </w:r>
            <w:r w:rsidRPr="00475A0C">
              <w:rPr>
                <w:rFonts w:ascii="Verdana" w:hAnsi="Verdana"/>
                <w:b/>
                <w:sz w:val="16"/>
                <w:szCs w:val="16"/>
              </w:rPr>
              <w:t xml:space="preserve"> </w:t>
            </w:r>
            <w:r w:rsidRPr="00475A0C">
              <w:rPr>
                <w:rFonts w:ascii="Verdana" w:hAnsi="Verdana"/>
                <w:sz w:val="16"/>
                <w:szCs w:val="16"/>
              </w:rPr>
              <w:t>impedimento para que las partes continúen sus negociaciones y alcancen un acuerdo en cualquier momento, debiendo cumplir con lo dispuesto en el artículo 137 de esta Ley.</w:t>
            </w:r>
          </w:p>
        </w:tc>
        <w:tc>
          <w:tcPr>
            <w:tcW w:w="4675" w:type="dxa"/>
          </w:tcPr>
          <w:p w14:paraId="65B9B119" w14:textId="6707D165"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143.- </w:t>
            </w:r>
            <w:r w:rsidRPr="00E3602D">
              <w:rPr>
                <w:rFonts w:ascii="Verdana" w:hAnsi="Verdana"/>
                <w:sz w:val="16"/>
                <w:szCs w:val="16"/>
                <w:lang w:val="en-US"/>
              </w:rPr>
              <w:t>The provisions of the preceding articles are not</w:t>
            </w:r>
            <w:r w:rsidRPr="00E3602D">
              <w:rPr>
                <w:rFonts w:ascii="Verdana" w:hAnsi="Verdana"/>
                <w:b/>
                <w:sz w:val="16"/>
                <w:szCs w:val="16"/>
                <w:lang w:val="en-US"/>
              </w:rPr>
              <w:t xml:space="preserve"> </w:t>
            </w:r>
            <w:r w:rsidRPr="00E3602D">
              <w:rPr>
                <w:rFonts w:ascii="Verdana" w:hAnsi="Verdana"/>
                <w:sz w:val="16"/>
                <w:szCs w:val="16"/>
                <w:lang w:val="en-US"/>
              </w:rPr>
              <w:t>an impediment so that the parties may continue their negotiations and reaching an agreement at any time, and must comply with the provisions of Article 137 of this Law.</w:t>
            </w:r>
          </w:p>
        </w:tc>
      </w:tr>
      <w:tr w:rsidR="003B20AD" w:rsidRPr="00475A0C" w14:paraId="45B26AF4" w14:textId="351E4818" w:rsidTr="007B36AB">
        <w:tc>
          <w:tcPr>
            <w:tcW w:w="4675" w:type="dxa"/>
          </w:tcPr>
          <w:p w14:paraId="007C902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144.-</w:t>
            </w:r>
            <w:r w:rsidRPr="00475A0C">
              <w:rPr>
                <w:rFonts w:ascii="Verdana" w:hAnsi="Verdana"/>
                <w:sz w:val="16"/>
                <w:szCs w:val="16"/>
              </w:rPr>
              <w:t xml:space="preserve"> La persona Asignataria, Contratista o Permisionaria de Transporte por ducto debe entregar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una copia de los documentos en los que consten los acuerdos alcanzados mediante negociación o las medidas decretadas por el Ejecutivo Federal o los tribunales competentes, conforme a este Capítulo.</w:t>
            </w:r>
          </w:p>
        </w:tc>
        <w:tc>
          <w:tcPr>
            <w:tcW w:w="4675" w:type="dxa"/>
          </w:tcPr>
          <w:p w14:paraId="65C0892C" w14:textId="71FDF4AB"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144.- </w:t>
            </w:r>
            <w:r w:rsidRPr="00E3602D">
              <w:rPr>
                <w:rFonts w:ascii="Verdana" w:hAnsi="Verdana"/>
                <w:sz w:val="16"/>
                <w:szCs w:val="16"/>
                <w:lang w:val="en-US"/>
              </w:rPr>
              <w:t>The Assignee, Contractor or Permit Holder of Transportation by pipeline must deliver to the Secretary of Energy a copy of the documents in which the agreements reached through negotiation or the measures decreed by the Federal Executive or the appropriate courts, in accordance with this Chapter, are recorded.</w:t>
            </w:r>
          </w:p>
        </w:tc>
      </w:tr>
      <w:tr w:rsidR="003B20AD" w:rsidRPr="00475A0C" w14:paraId="56D8C255" w14:textId="66644959" w:rsidTr="007B36AB">
        <w:tc>
          <w:tcPr>
            <w:tcW w:w="4675" w:type="dxa"/>
          </w:tcPr>
          <w:p w14:paraId="68BDDD1E"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Las dependencias mencionadas en el presente Capítulo pueden celebrar los convenios de colaboración y coordinación que requieran para el cumplimiento de sus atribuciones.</w:t>
            </w:r>
          </w:p>
        </w:tc>
        <w:tc>
          <w:tcPr>
            <w:tcW w:w="4675" w:type="dxa"/>
          </w:tcPr>
          <w:p w14:paraId="305ED8D7" w14:textId="11111D84"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agencies mentioned in this Chapter may enter into the collaboration and coordination agreements required for the fulfillment of their duties.</w:t>
            </w:r>
          </w:p>
        </w:tc>
      </w:tr>
      <w:tr w:rsidR="003B20AD" w:rsidRPr="00475A0C" w14:paraId="33FD01B5" w14:textId="4ABA45FA" w:rsidTr="007B36AB">
        <w:tc>
          <w:tcPr>
            <w:tcW w:w="4675" w:type="dxa"/>
          </w:tcPr>
          <w:p w14:paraId="54A40913"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145.-</w:t>
            </w:r>
            <w:r w:rsidRPr="00475A0C">
              <w:rPr>
                <w:rFonts w:ascii="Verdana" w:hAnsi="Verdana"/>
                <w:sz w:val="16"/>
                <w:szCs w:val="16"/>
              </w:rPr>
              <w:t xml:space="preserve"> Los avalúos que se practiquen en términos de este Capítulo, así como los honorarios que, en su caso, se causen por la participación de Testigos Sociales, deben ser cubiertos por las personas Asignatarias, Contratistas o Permisionarias de Transporte por ducto, conforme a lo que señale el Reglamento.</w:t>
            </w:r>
          </w:p>
        </w:tc>
        <w:tc>
          <w:tcPr>
            <w:tcW w:w="4675" w:type="dxa"/>
          </w:tcPr>
          <w:p w14:paraId="671B5F42" w14:textId="318F9721"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145.- </w:t>
            </w:r>
            <w:r w:rsidRPr="00E3602D">
              <w:rPr>
                <w:rFonts w:ascii="Verdana" w:hAnsi="Verdana"/>
                <w:sz w:val="16"/>
                <w:szCs w:val="16"/>
                <w:lang w:val="en-US"/>
              </w:rPr>
              <w:t>The appraisals carried out in accordance with this Chapter, as well as the fees, where applicable, incurred by the participation of Social Witnesses, must be covered by the Assignees, Contractors or Permit Holders of pipeline transportation, in accordance with what is indicated in the Regulation.</w:t>
            </w:r>
          </w:p>
        </w:tc>
      </w:tr>
      <w:tr w:rsidR="003B20AD" w:rsidRPr="00475A0C" w14:paraId="41B15A83" w14:textId="3EC3256A" w:rsidTr="007B36AB">
        <w:tc>
          <w:tcPr>
            <w:tcW w:w="4675" w:type="dxa"/>
          </w:tcPr>
          <w:p w14:paraId="0C375480"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146.-</w:t>
            </w:r>
            <w:r w:rsidRPr="00475A0C">
              <w:rPr>
                <w:rFonts w:ascii="Verdana" w:hAnsi="Verdana"/>
                <w:sz w:val="16"/>
                <w:szCs w:val="16"/>
              </w:rPr>
              <w:t xml:space="preserve"> Las personas Asignatarias, Contratistas o Permisionarias de Transporte por ducto deben abstenerse de realizar, directa o indirectamente, conductas o prácticas abusivas, discriminatorias o que busquen influir indebidamente en la decisión de los propietarios o titulares de los terrenos, bienes o derechos, durante las negociaciones y los procedimientos a que se refiere el presente Capítulo.</w:t>
            </w:r>
          </w:p>
        </w:tc>
        <w:tc>
          <w:tcPr>
            <w:tcW w:w="4675" w:type="dxa"/>
          </w:tcPr>
          <w:p w14:paraId="5F7F1CDC" w14:textId="294BACB5"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146.- </w:t>
            </w:r>
            <w:r w:rsidRPr="00E3602D">
              <w:rPr>
                <w:rFonts w:ascii="Verdana" w:hAnsi="Verdana"/>
                <w:sz w:val="16"/>
                <w:szCs w:val="16"/>
                <w:lang w:val="en-US"/>
              </w:rPr>
              <w:t>Assignees, Contractors or Permit Holders of pipeline transportation must refrain from engaging in, directly or indirectly, abusive or discriminatory conduct or practices or practices that seek to unduly influence the decision of the owners or holders of land, property or rights, during the negotiations and procedures referred to in this Chapter.</w:t>
            </w:r>
          </w:p>
        </w:tc>
      </w:tr>
      <w:tr w:rsidR="003B20AD" w:rsidRPr="00475A0C" w14:paraId="71D7E6E4" w14:textId="45DCB9BB" w:rsidTr="007B36AB">
        <w:tc>
          <w:tcPr>
            <w:tcW w:w="4675" w:type="dxa"/>
          </w:tcPr>
          <w:p w14:paraId="4BEA2D47"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 xml:space="preserve">En los casos en que se acredite que la persona Asignataria, Contratista o Permisionaria de Transporte por ducto incurra en las conductas señaladas en este artículo en más de una ocasión,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y, en su caso, permisos o autorizaciones pueden ser revocados o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rescindido, según corresponda.</w:t>
            </w:r>
          </w:p>
        </w:tc>
        <w:tc>
          <w:tcPr>
            <w:tcW w:w="4675" w:type="dxa"/>
          </w:tcPr>
          <w:p w14:paraId="3FCE0E2E" w14:textId="3B5C0FDD"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In cases where it is proven that the Assignee, Contractor or pipeline transportation Permit Holder engages in the conduct indicated in this article on more than one occasion, the Assignment and, where applicable, permits or authorizations may be revoked or the exploration and extraction Contract terminated, as appropriate.</w:t>
            </w:r>
          </w:p>
        </w:tc>
      </w:tr>
      <w:tr w:rsidR="003B20AD" w:rsidRPr="00475A0C" w14:paraId="584F6E6B" w14:textId="18D5BE0F" w:rsidTr="007B36AB">
        <w:tc>
          <w:tcPr>
            <w:tcW w:w="4675" w:type="dxa"/>
          </w:tcPr>
          <w:p w14:paraId="02C19A77"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147.-</w:t>
            </w:r>
            <w:r w:rsidRPr="00475A0C">
              <w:rPr>
                <w:rFonts w:ascii="Verdana" w:hAnsi="Verdana"/>
                <w:sz w:val="16"/>
                <w:szCs w:val="16"/>
              </w:rPr>
              <w:t xml:space="preserve"> Sin perjuicio de las demás disposiciones y de las sanciones previstas en esta Ley y en otras aplicables, así como de las acciones legales que procedan:</w:t>
            </w:r>
          </w:p>
        </w:tc>
        <w:tc>
          <w:tcPr>
            <w:tcW w:w="4675" w:type="dxa"/>
          </w:tcPr>
          <w:p w14:paraId="5AE9141F" w14:textId="4578F41C"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147.- </w:t>
            </w:r>
            <w:r w:rsidRPr="00E3602D">
              <w:rPr>
                <w:rFonts w:ascii="Verdana" w:hAnsi="Verdana"/>
                <w:sz w:val="16"/>
                <w:szCs w:val="16"/>
                <w:lang w:val="en-US"/>
              </w:rPr>
              <w:t>Without prejudice to the other provisions and sanctions provided for in this Law and other applicable laws, as well as any legal actions that may be appropriate:</w:t>
            </w:r>
          </w:p>
        </w:tc>
      </w:tr>
      <w:tr w:rsidR="003B20AD" w:rsidRPr="00475A0C" w14:paraId="4AC2C6EC" w14:textId="13BFF9D6" w:rsidTr="007B36AB">
        <w:tc>
          <w:tcPr>
            <w:tcW w:w="4675" w:type="dxa"/>
          </w:tcPr>
          <w:p w14:paraId="7A4BD8A2"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w:t>
            </w:r>
            <w:r w:rsidRPr="00475A0C">
              <w:rPr>
                <w:rFonts w:ascii="Verdana" w:hAnsi="Verdana"/>
                <w:b/>
                <w:sz w:val="16"/>
                <w:szCs w:val="16"/>
              </w:rPr>
              <w:tab/>
            </w:r>
            <w:r w:rsidRPr="00475A0C">
              <w:rPr>
                <w:rFonts w:ascii="Verdana" w:hAnsi="Verdana"/>
                <w:sz w:val="16"/>
                <w:szCs w:val="16"/>
              </w:rPr>
              <w:t>El acuerdo alcanzado entre las partes es nulo cuando:</w:t>
            </w:r>
          </w:p>
        </w:tc>
        <w:tc>
          <w:tcPr>
            <w:tcW w:w="4675" w:type="dxa"/>
          </w:tcPr>
          <w:p w14:paraId="46E04635" w14:textId="4C39B1E2"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b/>
                <w:sz w:val="16"/>
                <w:szCs w:val="16"/>
                <w:lang w:val="en-US"/>
              </w:rPr>
              <w:tab/>
            </w:r>
            <w:r w:rsidRPr="00E3602D">
              <w:rPr>
                <w:rFonts w:ascii="Verdana" w:hAnsi="Verdana"/>
                <w:sz w:val="16"/>
                <w:szCs w:val="16"/>
                <w:lang w:val="en-US"/>
              </w:rPr>
              <w:t>The agreement reached between the parties is void when:</w:t>
            </w:r>
          </w:p>
        </w:tc>
      </w:tr>
      <w:tr w:rsidR="003B20AD" w:rsidRPr="00475A0C" w14:paraId="5C1D5362" w14:textId="11E43F24" w:rsidTr="007B36AB">
        <w:tc>
          <w:tcPr>
            <w:tcW w:w="4675" w:type="dxa"/>
          </w:tcPr>
          <w:p w14:paraId="2D56202E"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lastRenderedPageBreak/>
              <w:t>a)</w:t>
            </w:r>
            <w:r w:rsidRPr="00475A0C">
              <w:rPr>
                <w:rFonts w:ascii="Verdana" w:hAnsi="Verdana"/>
                <w:b/>
                <w:sz w:val="16"/>
                <w:szCs w:val="16"/>
              </w:rPr>
              <w:tab/>
            </w:r>
            <w:r w:rsidRPr="00475A0C">
              <w:rPr>
                <w:rFonts w:ascii="Verdana" w:hAnsi="Verdana"/>
                <w:sz w:val="16"/>
                <w:szCs w:val="16"/>
              </w:rPr>
              <w:t>Se acredite la contravención a lo dispuesto en el primer párrafo del artículo 146, o</w:t>
            </w:r>
          </w:p>
        </w:tc>
        <w:tc>
          <w:tcPr>
            <w:tcW w:w="4675" w:type="dxa"/>
          </w:tcPr>
          <w:p w14:paraId="7C56F974" w14:textId="5C6A1187"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violation of the provisions of the first paragraph of article 146 is proven, or</w:t>
            </w:r>
          </w:p>
        </w:tc>
      </w:tr>
      <w:tr w:rsidR="003B20AD" w:rsidRPr="00475A0C" w14:paraId="74E940DF" w14:textId="5A1E0F70" w:rsidTr="007B36AB">
        <w:tc>
          <w:tcPr>
            <w:tcW w:w="4675" w:type="dxa"/>
          </w:tcPr>
          <w:p w14:paraId="6C14CC29"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Se pacte una contraprestación en contravención a lo señalado en el último párrafo del artículo 133 de esta Ley, y</w:t>
            </w:r>
          </w:p>
        </w:tc>
        <w:tc>
          <w:tcPr>
            <w:tcW w:w="4675" w:type="dxa"/>
          </w:tcPr>
          <w:p w14:paraId="4E431514" w14:textId="6C2F4D7E"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A consideration is agreed upon in contravention of the provisions of the last paragraph of article 133 of this Law, and</w:t>
            </w:r>
          </w:p>
        </w:tc>
      </w:tr>
      <w:tr w:rsidR="003B20AD" w:rsidRPr="00475A0C" w14:paraId="19DBE0E9" w14:textId="44C93E18" w:rsidTr="007B36AB">
        <w:tc>
          <w:tcPr>
            <w:tcW w:w="4675" w:type="dxa"/>
          </w:tcPr>
          <w:p w14:paraId="336A8E25"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II.</w:t>
            </w:r>
            <w:r w:rsidRPr="00475A0C">
              <w:rPr>
                <w:rFonts w:ascii="Verdana" w:hAnsi="Verdana"/>
                <w:b/>
                <w:sz w:val="16"/>
                <w:szCs w:val="16"/>
              </w:rPr>
              <w:tab/>
            </w:r>
            <w:r w:rsidRPr="00475A0C">
              <w:rPr>
                <w:rFonts w:ascii="Verdana" w:hAnsi="Verdana"/>
                <w:sz w:val="16"/>
                <w:szCs w:val="16"/>
              </w:rPr>
              <w:t>Es causal de rescisión del contrato a que se refiere este Capítulo cuando:</w:t>
            </w:r>
          </w:p>
        </w:tc>
        <w:tc>
          <w:tcPr>
            <w:tcW w:w="4675" w:type="dxa"/>
          </w:tcPr>
          <w:p w14:paraId="776006A4" w14:textId="6DBCD8BA"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b/>
                <w:sz w:val="16"/>
                <w:szCs w:val="16"/>
                <w:lang w:val="en-US"/>
              </w:rPr>
              <w:tab/>
            </w:r>
            <w:r w:rsidRPr="00E3602D">
              <w:rPr>
                <w:rFonts w:ascii="Verdana" w:hAnsi="Verdana"/>
                <w:sz w:val="16"/>
                <w:szCs w:val="16"/>
                <w:lang w:val="en-US"/>
              </w:rPr>
              <w:t>It is a cause for termination of the contract referred to in this Chapter when:</w:t>
            </w:r>
          </w:p>
        </w:tc>
      </w:tr>
      <w:tr w:rsidR="003B20AD" w:rsidRPr="00475A0C" w14:paraId="4DF766E4" w14:textId="232A7442" w:rsidTr="007B36AB">
        <w:tc>
          <w:tcPr>
            <w:tcW w:w="4675" w:type="dxa"/>
          </w:tcPr>
          <w:p w14:paraId="234FF85A"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 xml:space="preserve">Las obras o trabajos por desarrollar no se inicien dentro de los plazos establecidos en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el Permiso para Transporte por ducto o en las autorizaciones de las autoridades y sus modificaciones autorizadas;</w:t>
            </w:r>
          </w:p>
        </w:tc>
        <w:tc>
          <w:tcPr>
            <w:tcW w:w="4675" w:type="dxa"/>
          </w:tcPr>
          <w:p w14:paraId="2EBAC199" w14:textId="248038DC"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works or jobs to be developed do not start within the deadlines established in the Contract for the exploration and extraction, the Assignment or the Permit for Transportation by pipeline or in the authorizations of the authorities and their authorized modifications;</w:t>
            </w:r>
          </w:p>
        </w:tc>
      </w:tr>
      <w:tr w:rsidR="003B20AD" w:rsidRPr="00475A0C" w14:paraId="6EDE4A97" w14:textId="2153357F" w:rsidTr="007B36AB">
        <w:tc>
          <w:tcPr>
            <w:tcW w:w="4675" w:type="dxa"/>
          </w:tcPr>
          <w:p w14:paraId="27331CA2" w14:textId="77777777" w:rsidR="003B20AD" w:rsidRPr="00475A0C" w:rsidRDefault="003B20AD" w:rsidP="003B20AD">
            <w:pPr>
              <w:pStyle w:val="Texto"/>
              <w:spacing w:line="226" w:lineRule="exact"/>
              <w:ind w:firstLine="0"/>
              <w:rPr>
                <w:rFonts w:ascii="Verdana" w:hAnsi="Verdana"/>
                <w:sz w:val="16"/>
                <w:szCs w:val="16"/>
                <w:lang w:val="es-ES_tradnl"/>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lang w:val="es-ES_tradnl"/>
              </w:rPr>
              <w:t>El terreno objeto de estas sea destinado a un uso distinto de aquel que justificó la afectación;</w:t>
            </w:r>
          </w:p>
        </w:tc>
        <w:tc>
          <w:tcPr>
            <w:tcW w:w="4675" w:type="dxa"/>
          </w:tcPr>
          <w:p w14:paraId="103800A9" w14:textId="32994E89"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 land subject to these is intended for a use other than that which justified the assignment;</w:t>
            </w:r>
          </w:p>
        </w:tc>
      </w:tr>
      <w:tr w:rsidR="003B20AD" w:rsidRPr="00475A0C" w14:paraId="1E58DC0F" w14:textId="281FBD9E" w:rsidTr="007B36AB">
        <w:tc>
          <w:tcPr>
            <w:tcW w:w="4675" w:type="dxa"/>
          </w:tcPr>
          <w:p w14:paraId="60E0779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lang w:val="es-ES_tradnl"/>
              </w:rPr>
              <w:t xml:space="preserve">Se revoque o se rescinda, según corresponda, </w:t>
            </w:r>
            <w:smartTag w:uri="urn:schemas-microsoft-com:office:smarttags" w:element="PersonName">
              <w:smartTagPr>
                <w:attr w:name="ProductID" w:val="la Asignación"/>
              </w:smartTagPr>
              <w:r w:rsidRPr="00475A0C">
                <w:rPr>
                  <w:rFonts w:ascii="Verdana" w:hAnsi="Verdana"/>
                  <w:sz w:val="16"/>
                  <w:szCs w:val="16"/>
                  <w:lang w:val="es-ES_tradnl"/>
                </w:rPr>
                <w:t>la Asignación</w:t>
              </w:r>
            </w:smartTag>
            <w:r w:rsidRPr="00475A0C">
              <w:rPr>
                <w:rFonts w:ascii="Verdana" w:hAnsi="Verdana"/>
                <w:sz w:val="16"/>
                <w:szCs w:val="16"/>
                <w:lang w:val="es-ES_tradnl"/>
              </w:rPr>
              <w:t xml:space="preserve">, Contrato para </w:t>
            </w:r>
            <w:smartTag w:uri="urn:schemas-microsoft-com:office:smarttags" w:element="PersonName">
              <w:smartTagPr>
                <w:attr w:name="ProductID" w:val="la Exploración"/>
              </w:smartTagPr>
              <w:r w:rsidRPr="00475A0C">
                <w:rPr>
                  <w:rFonts w:ascii="Verdana" w:hAnsi="Verdana"/>
                  <w:sz w:val="16"/>
                  <w:szCs w:val="16"/>
                  <w:lang w:val="es-ES_tradnl"/>
                </w:rPr>
                <w:t>la Exploración</w:t>
              </w:r>
            </w:smartTag>
            <w:r w:rsidRPr="00475A0C">
              <w:rPr>
                <w:rFonts w:ascii="Verdana" w:hAnsi="Verdana"/>
                <w:sz w:val="16"/>
                <w:szCs w:val="16"/>
                <w:lang w:val="es-ES_tradnl"/>
              </w:rPr>
              <w:t xml:space="preserve"> y Extracción o Permiso para Transporte por ducto con base en el cual se ejerció el derecho para obtenerle, y</w:t>
            </w:r>
          </w:p>
        </w:tc>
        <w:tc>
          <w:tcPr>
            <w:tcW w:w="4675" w:type="dxa"/>
          </w:tcPr>
          <w:p w14:paraId="64BA23CC" w14:textId="5A7BF963"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The Contract for the exploration and extraction or Permit for transportation by pipeline on the basis of which the right to obtain it was exercised is revoked or terminated, as appropriate, and</w:t>
            </w:r>
          </w:p>
        </w:tc>
      </w:tr>
      <w:tr w:rsidR="003B20AD" w:rsidRPr="00475A0C" w14:paraId="3E4167A7" w14:textId="3E4AD322" w:rsidTr="007B36AB">
        <w:tc>
          <w:tcPr>
            <w:tcW w:w="4675" w:type="dxa"/>
          </w:tcPr>
          <w:p w14:paraId="51FEFD1F" w14:textId="77777777" w:rsidR="003B20AD" w:rsidRPr="00475A0C" w:rsidRDefault="003B20AD" w:rsidP="003B20AD">
            <w:pPr>
              <w:pStyle w:val="Texto"/>
              <w:spacing w:line="226" w:lineRule="exact"/>
              <w:ind w:firstLine="0"/>
              <w:rPr>
                <w:rFonts w:ascii="Verdana" w:hAnsi="Verdana"/>
                <w:b/>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lang w:val="es-ES_tradnl"/>
              </w:rPr>
              <w:t>Se actualice algún supuesto que se establezca en las disposiciones aplicables o en las cláusulas del contrato.</w:t>
            </w:r>
          </w:p>
        </w:tc>
        <w:tc>
          <w:tcPr>
            <w:tcW w:w="4675" w:type="dxa"/>
          </w:tcPr>
          <w:p w14:paraId="5792943F" w14:textId="2A97334A"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Any assumption established in the applicable provisions or in the clauses of the contract is updated.</w:t>
            </w:r>
          </w:p>
        </w:tc>
      </w:tr>
      <w:tr w:rsidR="003B20AD" w:rsidRPr="00475A0C" w14:paraId="18C9FFF2" w14:textId="496ED42D" w:rsidTr="007B36AB">
        <w:tc>
          <w:tcPr>
            <w:tcW w:w="4675" w:type="dxa"/>
          </w:tcPr>
          <w:p w14:paraId="6E323FE4"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sz w:val="16"/>
                <w:szCs w:val="16"/>
              </w:rPr>
              <w:t>Lo dispuesto en el presente artículo debe ser determinado por las autoridades jurisdiccionales competentes.</w:t>
            </w:r>
          </w:p>
        </w:tc>
        <w:tc>
          <w:tcPr>
            <w:tcW w:w="4675" w:type="dxa"/>
          </w:tcPr>
          <w:p w14:paraId="3BCE9059" w14:textId="41F2008C" w:rsidR="003B20AD" w:rsidRPr="00E3602D" w:rsidRDefault="003B20AD" w:rsidP="003B20AD">
            <w:pPr>
              <w:pStyle w:val="Texto"/>
              <w:spacing w:line="226" w:lineRule="exact"/>
              <w:ind w:firstLine="0"/>
              <w:rPr>
                <w:rFonts w:ascii="Verdana" w:hAnsi="Verdana"/>
                <w:sz w:val="16"/>
                <w:szCs w:val="16"/>
                <w:lang w:val="en-US"/>
              </w:rPr>
            </w:pPr>
            <w:r w:rsidRPr="00E3602D">
              <w:rPr>
                <w:rFonts w:ascii="Verdana" w:hAnsi="Verdana"/>
                <w:sz w:val="16"/>
                <w:szCs w:val="16"/>
                <w:lang w:val="en-US"/>
              </w:rPr>
              <w:t>The provisions of this article must be determined by the appropriate jurisdictional authorities.</w:t>
            </w:r>
          </w:p>
        </w:tc>
      </w:tr>
      <w:tr w:rsidR="003B20AD" w:rsidRPr="00475A0C" w14:paraId="1D1A9595" w14:textId="5DB24893" w:rsidTr="007B36AB">
        <w:tc>
          <w:tcPr>
            <w:tcW w:w="4675" w:type="dxa"/>
          </w:tcPr>
          <w:p w14:paraId="186CB2F8" w14:textId="77777777" w:rsidR="003B20AD" w:rsidRPr="00475A0C" w:rsidRDefault="003B20AD" w:rsidP="003B20AD">
            <w:pPr>
              <w:pStyle w:val="Texto"/>
              <w:spacing w:line="226" w:lineRule="exact"/>
              <w:ind w:firstLine="0"/>
              <w:rPr>
                <w:rFonts w:ascii="Verdana" w:hAnsi="Verdana"/>
                <w:sz w:val="16"/>
                <w:szCs w:val="16"/>
              </w:rPr>
            </w:pPr>
            <w:r w:rsidRPr="00475A0C">
              <w:rPr>
                <w:rFonts w:ascii="Verdana" w:hAnsi="Verdana"/>
                <w:b/>
                <w:sz w:val="16"/>
                <w:szCs w:val="16"/>
              </w:rPr>
              <w:t>Artículo 148.-</w:t>
            </w:r>
            <w:r w:rsidRPr="00475A0C">
              <w:rPr>
                <w:rFonts w:ascii="Verdana" w:hAnsi="Verdana"/>
                <w:sz w:val="16"/>
                <w:szCs w:val="16"/>
              </w:rPr>
              <w:t xml:space="preserve"> La regulación que emita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debe prever, al menos, los mecanismos financieros que deben adoptar las personas Asignatarias y Contratistas para asegurar que el desmantelamiento de sus instalaciones y abandono de los terrenos que hayan ocupado, usado, gozado o afectado por virtud de sus actividades, se realice atendiendo a los compromisos pactados con los propietarios de los terrenos, bienes o derechos y a las mejores prácticas restableciéndolos en el pleno goce de sus derechos.</w:t>
            </w:r>
          </w:p>
        </w:tc>
        <w:tc>
          <w:tcPr>
            <w:tcW w:w="4675" w:type="dxa"/>
          </w:tcPr>
          <w:p w14:paraId="1B971575" w14:textId="469B613E" w:rsidR="003B20AD" w:rsidRPr="00E3602D" w:rsidRDefault="003B20AD" w:rsidP="003B20AD">
            <w:pPr>
              <w:pStyle w:val="Texto"/>
              <w:spacing w:line="226" w:lineRule="exact"/>
              <w:ind w:firstLine="0"/>
              <w:rPr>
                <w:rFonts w:ascii="Verdana" w:hAnsi="Verdana"/>
                <w:b/>
                <w:sz w:val="16"/>
                <w:szCs w:val="16"/>
                <w:lang w:val="en-US"/>
              </w:rPr>
            </w:pPr>
            <w:r w:rsidRPr="00E3602D">
              <w:rPr>
                <w:rFonts w:ascii="Verdana" w:hAnsi="Verdana"/>
                <w:b/>
                <w:sz w:val="16"/>
                <w:szCs w:val="16"/>
                <w:lang w:val="en-US"/>
              </w:rPr>
              <w:t xml:space="preserve">Article 148.- </w:t>
            </w:r>
            <w:r w:rsidRPr="00E3602D">
              <w:rPr>
                <w:rFonts w:ascii="Verdana" w:hAnsi="Verdana"/>
                <w:sz w:val="16"/>
                <w:szCs w:val="16"/>
                <w:lang w:val="en-US"/>
              </w:rPr>
              <w:t>The regulations issued by the Agency must provide, at least, the financial mechanisms that the Assignees and Contractors must adopt to ensure that the dismantling of their facilities and abandonment of the lands that they have occupied, used, enjoyed or affected by virtue of their activities, is carried out in accordance with the commitments agreed upon with the owners of the lands, assets or rights and with the best practices, restoring them to the full enjoyment of their rights.</w:t>
            </w:r>
          </w:p>
        </w:tc>
      </w:tr>
      <w:tr w:rsidR="003B20AD" w:rsidRPr="00475A0C" w14:paraId="531D220F" w14:textId="7F09EADC" w:rsidTr="007B36AB">
        <w:tc>
          <w:tcPr>
            <w:tcW w:w="4675" w:type="dxa"/>
          </w:tcPr>
          <w:p w14:paraId="1FE94587"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La regulación señalada en el párrafo anterior también debe prever, al menos, mecanismos financieros para que las personas Asignatarias y Contratistas cubran los daños y perjuicios no previstos en la contraprestación que se acuerde conforme a este Capítulo, que sus actividades y operaciones puedan ocasionar a los propietarios o titulares de terrenos, bienes y derechos.</w:t>
            </w:r>
          </w:p>
        </w:tc>
        <w:tc>
          <w:tcPr>
            <w:tcW w:w="4675" w:type="dxa"/>
          </w:tcPr>
          <w:p w14:paraId="3A83ED76" w14:textId="173096CC"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regulation indicated in the preceding paragraph must also provide, at least, financial mechanisms so that the Assignees and Contractors cover the damages and losses not foreseen in the consideration agreed upon in accordance with this Chapter, which their activities and operations may cause the owners or holders of land, property and rights.</w:t>
            </w:r>
          </w:p>
        </w:tc>
      </w:tr>
      <w:tr w:rsidR="003B20AD" w:rsidRPr="00475A0C" w14:paraId="52460CE5" w14:textId="6DB5FFE3" w:rsidTr="007B36AB">
        <w:tc>
          <w:tcPr>
            <w:tcW w:w="4675" w:type="dxa"/>
          </w:tcPr>
          <w:p w14:paraId="1FB0875F"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La Secretaría de Energía 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en el ámbito de sus competencias, pueden imponer las sanciones que establece la fracción II, incisos e) y f), del artículo 120 de la presente Ley, así como revocar o rescindir, según corresponda,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el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o el Permiso de Transporte por ducto en caso de comprobarse la conducta a que se refiere el artículo 146 de la presente Ley; o decretar la nulidad o rescisión del contrato en caso de comprobarse algún supuesto </w:t>
            </w:r>
            <w:r w:rsidRPr="00475A0C">
              <w:rPr>
                <w:rFonts w:ascii="Verdana" w:hAnsi="Verdana"/>
                <w:sz w:val="16"/>
                <w:szCs w:val="16"/>
              </w:rPr>
              <w:lastRenderedPageBreak/>
              <w:t>establecido en el artículo 147 de la presente Ley, en términos del Reglamento respectivo.</w:t>
            </w:r>
          </w:p>
        </w:tc>
        <w:tc>
          <w:tcPr>
            <w:tcW w:w="4675" w:type="dxa"/>
          </w:tcPr>
          <w:p w14:paraId="7A26959B" w14:textId="1F136F5C"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lastRenderedPageBreak/>
              <w:t>The Secretary of Energy or the National Commission of Energy, within the scope of their powers, may impose the sanctions established in Section II, paragraphs e) and f), of Article 120 of this Law, as well as revoke or terminate, as appropriate, the Assignment, the Contract for the exploration and extraction or the Pipeline Transportation Permit if the conduct referred to in Article 146 of this Law is proven; or declare the nullity or termination of the contract if any of the assumptions established in Article 147 of this Law are proven, in accordance with the respective Regulation.</w:t>
            </w:r>
          </w:p>
        </w:tc>
      </w:tr>
      <w:tr w:rsidR="003B20AD" w:rsidRPr="00475A0C" w14:paraId="40934263" w14:textId="63954CB9" w:rsidTr="007B36AB">
        <w:tc>
          <w:tcPr>
            <w:tcW w:w="4675" w:type="dxa"/>
          </w:tcPr>
          <w:p w14:paraId="64698EAC" w14:textId="77777777" w:rsidR="003B20AD" w:rsidRPr="00475A0C" w:rsidRDefault="003B20AD" w:rsidP="003B20AD">
            <w:pPr>
              <w:pStyle w:val="Texto"/>
              <w:spacing w:line="218" w:lineRule="exact"/>
              <w:ind w:firstLine="0"/>
              <w:jc w:val="center"/>
              <w:rPr>
                <w:rFonts w:ascii="Verdana" w:hAnsi="Verdana"/>
                <w:b/>
                <w:sz w:val="16"/>
                <w:szCs w:val="16"/>
              </w:rPr>
            </w:pPr>
            <w:r w:rsidRPr="00475A0C">
              <w:rPr>
                <w:rFonts w:ascii="Verdana" w:hAnsi="Verdana"/>
                <w:b/>
                <w:sz w:val="16"/>
                <w:szCs w:val="16"/>
              </w:rPr>
              <w:t>Capítulo V</w:t>
            </w:r>
          </w:p>
        </w:tc>
        <w:tc>
          <w:tcPr>
            <w:tcW w:w="4675" w:type="dxa"/>
          </w:tcPr>
          <w:p w14:paraId="71AD48AB" w14:textId="286049E4" w:rsidR="003B20AD" w:rsidRPr="00E3602D" w:rsidRDefault="003B20AD" w:rsidP="003B20AD">
            <w:pPr>
              <w:pStyle w:val="Texto"/>
              <w:spacing w:line="218" w:lineRule="exact"/>
              <w:ind w:firstLine="0"/>
              <w:jc w:val="center"/>
              <w:rPr>
                <w:rFonts w:ascii="Verdana" w:hAnsi="Verdana"/>
                <w:b/>
                <w:sz w:val="16"/>
                <w:szCs w:val="16"/>
                <w:lang w:val="en-US"/>
              </w:rPr>
            </w:pPr>
            <w:r w:rsidRPr="00E3602D">
              <w:rPr>
                <w:rFonts w:ascii="Verdana" w:hAnsi="Verdana"/>
                <w:b/>
                <w:sz w:val="16"/>
                <w:szCs w:val="16"/>
                <w:lang w:val="en-US"/>
              </w:rPr>
              <w:t>Chapter V</w:t>
            </w:r>
          </w:p>
        </w:tc>
      </w:tr>
      <w:tr w:rsidR="003B20AD" w:rsidRPr="00475A0C" w14:paraId="39BB1370" w14:textId="1A27AC2F" w:rsidTr="007B36AB">
        <w:tc>
          <w:tcPr>
            <w:tcW w:w="4675" w:type="dxa"/>
          </w:tcPr>
          <w:p w14:paraId="6C66AB00" w14:textId="77777777" w:rsidR="003B20AD" w:rsidRPr="00475A0C" w:rsidRDefault="003B20AD" w:rsidP="003B20AD">
            <w:pPr>
              <w:pStyle w:val="Texto"/>
              <w:spacing w:line="218" w:lineRule="exact"/>
              <w:ind w:firstLine="0"/>
              <w:jc w:val="center"/>
              <w:rPr>
                <w:rFonts w:ascii="Verdana" w:hAnsi="Verdana"/>
                <w:b/>
                <w:sz w:val="16"/>
                <w:szCs w:val="16"/>
              </w:rPr>
            </w:pPr>
            <w:r w:rsidRPr="00475A0C">
              <w:rPr>
                <w:rFonts w:ascii="Verdana" w:hAnsi="Verdana"/>
                <w:b/>
                <w:sz w:val="16"/>
                <w:szCs w:val="16"/>
              </w:rPr>
              <w:t>Del Impacto Social</w:t>
            </w:r>
          </w:p>
        </w:tc>
        <w:tc>
          <w:tcPr>
            <w:tcW w:w="4675" w:type="dxa"/>
          </w:tcPr>
          <w:p w14:paraId="7F0543B0" w14:textId="47A3DA50" w:rsidR="003B20AD" w:rsidRPr="00E3602D" w:rsidRDefault="003B20AD" w:rsidP="003B20AD">
            <w:pPr>
              <w:pStyle w:val="Texto"/>
              <w:spacing w:line="218" w:lineRule="exact"/>
              <w:ind w:firstLine="0"/>
              <w:jc w:val="center"/>
              <w:rPr>
                <w:rFonts w:ascii="Verdana" w:hAnsi="Verdana"/>
                <w:b/>
                <w:sz w:val="16"/>
                <w:szCs w:val="16"/>
                <w:lang w:val="en-US"/>
              </w:rPr>
            </w:pPr>
            <w:r w:rsidRPr="00E3602D">
              <w:rPr>
                <w:rFonts w:ascii="Verdana" w:hAnsi="Verdana"/>
                <w:b/>
                <w:sz w:val="16"/>
                <w:szCs w:val="16"/>
                <w:lang w:val="en-US"/>
              </w:rPr>
              <w:t>Social Impact</w:t>
            </w:r>
          </w:p>
        </w:tc>
      </w:tr>
      <w:tr w:rsidR="003B20AD" w:rsidRPr="00475A0C" w14:paraId="7A6C3F9B" w14:textId="579AC117" w:rsidTr="007B36AB">
        <w:tc>
          <w:tcPr>
            <w:tcW w:w="4675" w:type="dxa"/>
          </w:tcPr>
          <w:p w14:paraId="58E59404"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149.-</w:t>
            </w:r>
            <w:r w:rsidRPr="00475A0C">
              <w:rPr>
                <w:rFonts w:ascii="Verdana" w:hAnsi="Verdana"/>
                <w:sz w:val="16"/>
                <w:szCs w:val="16"/>
              </w:rPr>
              <w:t xml:space="preserve"> Los proyectos de infraestructura de los sectores público y privado en la industria de Hidrocarburos deben atender los principios de sostenibilidad y respeto de los derechos humanos de las comunidades y de los pueblos indígenas y afromexicanos de las regiones en los que se pretendan desarrollar.</w:t>
            </w:r>
          </w:p>
        </w:tc>
        <w:tc>
          <w:tcPr>
            <w:tcW w:w="4675" w:type="dxa"/>
          </w:tcPr>
          <w:p w14:paraId="66EE79FA" w14:textId="35A1DEAF"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149.- </w:t>
            </w:r>
            <w:r w:rsidRPr="00E3602D">
              <w:rPr>
                <w:rFonts w:ascii="Verdana" w:hAnsi="Verdana"/>
                <w:sz w:val="16"/>
                <w:szCs w:val="16"/>
                <w:lang w:val="en-US"/>
              </w:rPr>
              <w:t>Public and private sector infrastructure projects in the hydrocarbon industry must adhere to the principles of sustainability and respect for the human rights of the indigenous and Afro-Mexican communities and peoples of the regions where they are intended to be developed.</w:t>
            </w:r>
          </w:p>
        </w:tc>
      </w:tr>
      <w:tr w:rsidR="003B20AD" w:rsidRPr="00475A0C" w14:paraId="621B3FB3" w14:textId="0A008700" w:rsidTr="007B36AB">
        <w:tc>
          <w:tcPr>
            <w:tcW w:w="4675" w:type="dxa"/>
          </w:tcPr>
          <w:p w14:paraId="25D11B9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150.-</w:t>
            </w:r>
            <w:r w:rsidRPr="00475A0C">
              <w:rPr>
                <w:rFonts w:ascii="Verdana" w:hAnsi="Verdana"/>
                <w:sz w:val="16"/>
                <w:szCs w:val="16"/>
              </w:rPr>
              <w:t xml:space="preserve"> Previo al otorgamiento de una Asignación, o de la publicación de una convocatoria para la licitación de un Contrato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realizar un estudio de impacto social respecto del área objeto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xml:space="preserve"> o el Contrato.</w:t>
            </w:r>
          </w:p>
        </w:tc>
        <w:tc>
          <w:tcPr>
            <w:tcW w:w="4675" w:type="dxa"/>
          </w:tcPr>
          <w:p w14:paraId="5147C12C" w14:textId="1C7A5ED9"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150.- </w:t>
            </w:r>
            <w:r w:rsidRPr="00E3602D">
              <w:rPr>
                <w:rFonts w:ascii="Verdana" w:hAnsi="Verdana"/>
                <w:sz w:val="16"/>
                <w:szCs w:val="16"/>
                <w:lang w:val="en-US"/>
              </w:rPr>
              <w:t xml:space="preserve">Prior to granting an Assignment or publishing a call for tenders for an </w:t>
            </w:r>
            <w:r w:rsidRPr="00E3602D">
              <w:rPr>
                <w:rFonts w:ascii="Verdana" w:hAnsi="Verdana"/>
                <w:sz w:val="16"/>
                <w:szCs w:val="16"/>
                <w:lang w:val="en-US"/>
              </w:rPr>
              <w:t>e</w:t>
            </w:r>
            <w:r w:rsidRPr="00E3602D">
              <w:rPr>
                <w:rFonts w:ascii="Verdana" w:hAnsi="Verdana"/>
                <w:sz w:val="16"/>
                <w:szCs w:val="16"/>
                <w:lang w:val="en-US"/>
              </w:rPr>
              <w:t xml:space="preserve">xploration and </w:t>
            </w:r>
            <w:r w:rsidRPr="00E3602D">
              <w:rPr>
                <w:rFonts w:ascii="Verdana" w:hAnsi="Verdana"/>
                <w:sz w:val="16"/>
                <w:szCs w:val="16"/>
                <w:lang w:val="en-US"/>
              </w:rPr>
              <w:t>e</w:t>
            </w:r>
            <w:r w:rsidRPr="00E3602D">
              <w:rPr>
                <w:rFonts w:ascii="Verdana" w:hAnsi="Verdana"/>
                <w:sz w:val="16"/>
                <w:szCs w:val="16"/>
                <w:lang w:val="en-US"/>
              </w:rPr>
              <w:t xml:space="preserve">xtraction Contract, the </w:t>
            </w:r>
            <w:r w:rsidRPr="00E3602D">
              <w:rPr>
                <w:rFonts w:ascii="Verdana" w:hAnsi="Verdana"/>
                <w:sz w:val="16"/>
                <w:szCs w:val="16"/>
                <w:lang w:val="en-US"/>
              </w:rPr>
              <w:t>Secretary</w:t>
            </w:r>
            <w:r w:rsidRPr="00E3602D">
              <w:rPr>
                <w:rFonts w:ascii="Verdana" w:hAnsi="Verdana"/>
                <w:sz w:val="16"/>
                <w:szCs w:val="16"/>
                <w:lang w:val="en-US"/>
              </w:rPr>
              <w:t xml:space="preserve"> of Energy must conduct a social impact study on the area covered by the Assignment or</w:t>
            </w:r>
            <w:r w:rsidRPr="00E3602D">
              <w:rPr>
                <w:rFonts w:ascii="Verdana" w:hAnsi="Verdana"/>
                <w:sz w:val="16"/>
                <w:szCs w:val="16"/>
                <w:lang w:val="en-US"/>
              </w:rPr>
              <w:t xml:space="preserve"> the</w:t>
            </w:r>
            <w:r w:rsidRPr="00E3602D">
              <w:rPr>
                <w:rFonts w:ascii="Verdana" w:hAnsi="Verdana"/>
                <w:sz w:val="16"/>
                <w:szCs w:val="16"/>
                <w:lang w:val="en-US"/>
              </w:rPr>
              <w:t xml:space="preserve"> Contract.</w:t>
            </w:r>
          </w:p>
        </w:tc>
      </w:tr>
      <w:tr w:rsidR="003B20AD" w:rsidRPr="00475A0C" w14:paraId="01D06BC8" w14:textId="26AC8B49" w:rsidTr="007B36AB">
        <w:tc>
          <w:tcPr>
            <w:tcW w:w="4675" w:type="dxa"/>
          </w:tcPr>
          <w:p w14:paraId="4A678E71"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Los resultados del estudio se deben poner a disposición de la persona Asignataria y de las personas participantes en los procesos de licitación de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sujeto a las disposiciones en materia de transparencia, acceso a la información pública y protección de datos personales.</w:t>
            </w:r>
          </w:p>
        </w:tc>
        <w:tc>
          <w:tcPr>
            <w:tcW w:w="4675" w:type="dxa"/>
          </w:tcPr>
          <w:p w14:paraId="44682F95" w14:textId="2EC361B8"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results of the study must be made available to the Assignee and to the participants in the bidding processes for the exploration and extraction Contracts, subject to the provisions regarding transparency, access to public information, and protection of personal data.</w:t>
            </w:r>
          </w:p>
        </w:tc>
      </w:tr>
      <w:tr w:rsidR="003B20AD" w:rsidRPr="00475A0C" w14:paraId="6FE88715" w14:textId="7DCEC4B8" w:rsidTr="007B36AB">
        <w:tc>
          <w:tcPr>
            <w:tcW w:w="4675" w:type="dxa"/>
          </w:tcPr>
          <w:p w14:paraId="33C38C42"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 xml:space="preserve">La Secretaría de Energía debe informar a las personas Asignatarias o Contratistas sobre la presencia de </w:t>
            </w:r>
            <w:r w:rsidRPr="00475A0C">
              <w:rPr>
                <w:rFonts w:ascii="Verdana" w:hAnsi="Verdana"/>
                <w:sz w:val="16"/>
                <w:szCs w:val="16"/>
                <w:lang w:val="es-ES_tradnl"/>
              </w:rPr>
              <w:t xml:space="preserve">pueblos y comunidades indígenas y afromexicanas </w:t>
            </w:r>
            <w:r w:rsidRPr="00475A0C">
              <w:rPr>
                <w:rFonts w:ascii="Verdana" w:hAnsi="Verdana"/>
                <w:sz w:val="16"/>
                <w:szCs w:val="16"/>
              </w:rPr>
              <w:t>en las áreas en que se lleven a cabo las actividades al amparo de Asignaciones y Contratos, con el fin de que se implementen las acciones necesarias para salvaguardar sus derechos.</w:t>
            </w:r>
          </w:p>
        </w:tc>
        <w:tc>
          <w:tcPr>
            <w:tcW w:w="4675" w:type="dxa"/>
          </w:tcPr>
          <w:p w14:paraId="005DAFBF" w14:textId="334A1D2C"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Secretary of Energy must inform the Assignees or Contractors about the presence of Indigenous and Afro-Mexican peoples and communities in the areas where activities are carried out under Assignments and Contracts, so that the necessary actions can be implemented to safeguard their rights.</w:t>
            </w:r>
          </w:p>
        </w:tc>
      </w:tr>
      <w:tr w:rsidR="003B20AD" w:rsidRPr="00475A0C" w14:paraId="17A2AEAE" w14:textId="38B21E29" w:rsidTr="007B36AB">
        <w:tc>
          <w:tcPr>
            <w:tcW w:w="4675" w:type="dxa"/>
          </w:tcPr>
          <w:p w14:paraId="46932FEF" w14:textId="77777777" w:rsidR="003B20AD" w:rsidRPr="00475A0C" w:rsidRDefault="003B20AD" w:rsidP="003B20AD">
            <w:pPr>
              <w:pStyle w:val="Texto"/>
              <w:spacing w:line="218" w:lineRule="exact"/>
              <w:ind w:firstLine="0"/>
              <w:rPr>
                <w:rFonts w:ascii="Verdana" w:hAnsi="Verdana"/>
                <w:sz w:val="16"/>
                <w:szCs w:val="16"/>
                <w:lang w:val="es-ES_tradnl"/>
              </w:rPr>
            </w:pPr>
            <w:r w:rsidRPr="00475A0C">
              <w:rPr>
                <w:rFonts w:ascii="Verdana" w:hAnsi="Verdana"/>
                <w:b/>
                <w:sz w:val="16"/>
                <w:szCs w:val="16"/>
              </w:rPr>
              <w:t>Artículo 151.-</w:t>
            </w:r>
            <w:r w:rsidRPr="00475A0C">
              <w:rPr>
                <w:rFonts w:ascii="Verdana" w:hAnsi="Verdana"/>
                <w:sz w:val="16"/>
                <w:szCs w:val="16"/>
              </w:rPr>
              <w:t xml:space="preserve"> </w:t>
            </w:r>
            <w:r w:rsidRPr="00475A0C">
              <w:rPr>
                <w:rFonts w:ascii="Verdana" w:hAnsi="Verdana"/>
                <w:sz w:val="16"/>
                <w:szCs w:val="16"/>
                <w:lang w:val="es-ES_tradnl"/>
              </w:rPr>
              <w:t xml:space="preserve">Con la finalidad de tomar en cuenta los intereses y derechos de los pueblos y comunidades indígenas y afromexicanas en los que se desarrollen proyectos de la industria de Hidrocarburos,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debe llevar a cabo los procedimientos de consulta previa, libre e informada necesarios y cualquier otra actividad necesaria para su salvaguarda, en coordinación con las dependencias</w:t>
            </w:r>
            <w:r w:rsidRPr="00475A0C">
              <w:rPr>
                <w:rFonts w:ascii="Verdana" w:hAnsi="Verdana"/>
                <w:sz w:val="16"/>
                <w:szCs w:val="16"/>
              </w:rPr>
              <w:t>, las Empresas Públicas del Estado, o Contratistas y personas Permisionarias de los proyectos, según el caso y conforme a la normatividad aplicable</w:t>
            </w:r>
            <w:r w:rsidRPr="00475A0C">
              <w:rPr>
                <w:rFonts w:ascii="Verdana" w:hAnsi="Verdana"/>
                <w:sz w:val="16"/>
                <w:szCs w:val="16"/>
                <w:lang w:val="es-ES_tradnl"/>
              </w:rPr>
              <w:t>.</w:t>
            </w:r>
          </w:p>
        </w:tc>
        <w:tc>
          <w:tcPr>
            <w:tcW w:w="4675" w:type="dxa"/>
          </w:tcPr>
          <w:p w14:paraId="243BE6E9" w14:textId="48AC3D35"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Article 151.-</w:t>
            </w:r>
            <w:r w:rsidRPr="00E3602D">
              <w:rPr>
                <w:rFonts w:ascii="Verdana" w:hAnsi="Verdana"/>
                <w:sz w:val="16"/>
                <w:szCs w:val="16"/>
                <w:lang w:val="en-US"/>
              </w:rPr>
              <w:t xml:space="preserve"> In order to take into account the interests and rights of indigenous and Afro-Mexican peoples and communities in which hydrocarbon industry projects are developed, the Secretary of Energy must carry out the necessary prior, free and informed consultation procedures and any other activity necessary for their safeguard, in coordination with the agencies, State Public Companies, or Contractors and Permit Holders of the projects, as the case may be and in accordance with applicable regulations.</w:t>
            </w:r>
          </w:p>
        </w:tc>
      </w:tr>
      <w:tr w:rsidR="003B20AD" w:rsidRPr="00475A0C" w14:paraId="37753F38" w14:textId="0CA4A928" w:rsidTr="007B36AB">
        <w:tc>
          <w:tcPr>
            <w:tcW w:w="4675" w:type="dxa"/>
          </w:tcPr>
          <w:p w14:paraId="57140E4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152.-</w:t>
            </w:r>
            <w:r w:rsidRPr="00475A0C">
              <w:rPr>
                <w:rFonts w:ascii="Verdana" w:hAnsi="Verdana"/>
                <w:sz w:val="16"/>
                <w:szCs w:val="16"/>
              </w:rPr>
              <w:t xml:space="preserve"> Las personas interesadas en obtener un permiso o una autorización para desarrollar proyectos en materia de Hidrocarburos, así como las personas Asignatarias y Contratistas, deben presentar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para su autorización, una Manifestación de Impacto Social del Sector Energético que deben elaborar con un enfoque participativo, aplicando de manera transversal una perspectiva de género y respetando y protegiendo los derechos humanos.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debe contener al menos:</w:t>
            </w:r>
          </w:p>
        </w:tc>
        <w:tc>
          <w:tcPr>
            <w:tcW w:w="4675" w:type="dxa"/>
          </w:tcPr>
          <w:p w14:paraId="23FA15E3" w14:textId="12181622"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152.- </w:t>
            </w:r>
            <w:r w:rsidRPr="00E3602D">
              <w:rPr>
                <w:rFonts w:ascii="Verdana" w:hAnsi="Verdana"/>
                <w:sz w:val="16"/>
                <w:szCs w:val="16"/>
                <w:lang w:val="en-US"/>
              </w:rPr>
              <w:t>Persons interested in obtaining a permit or authorization to develop hydrocarbon projects, as well as assignees and contractors, must submit to la Secretary of Energy, for authorization, a Social Impact Statement for the Energy Sector. This statement must be prepared using a participatory approach, applying a gender perspective across the board, and respecting and protecting human rights. The Statement must contain at least:</w:t>
            </w:r>
          </w:p>
        </w:tc>
      </w:tr>
      <w:tr w:rsidR="003B20AD" w:rsidRPr="00475A0C" w14:paraId="33184AB0" w14:textId="49368B99" w:rsidTr="007B36AB">
        <w:tc>
          <w:tcPr>
            <w:tcW w:w="4675" w:type="dxa"/>
          </w:tcPr>
          <w:p w14:paraId="2807175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descripción de las etapas y actividades del proyecto y delimitación de su área de influencia directa e indirecta, así como el área núcleo;</w:t>
            </w:r>
          </w:p>
        </w:tc>
        <w:tc>
          <w:tcPr>
            <w:tcW w:w="4675" w:type="dxa"/>
          </w:tcPr>
          <w:p w14:paraId="4C9646DF" w14:textId="71DDD569"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description of the stages and activities of the project and delimitation of its direct and indirect area of influence, as well as the core area;</w:t>
            </w:r>
          </w:p>
        </w:tc>
      </w:tr>
      <w:tr w:rsidR="003B20AD" w:rsidRPr="00475A0C" w14:paraId="0DED8EF6" w14:textId="6AEEDCEC" w:rsidTr="007B36AB">
        <w:tc>
          <w:tcPr>
            <w:tcW w:w="4675" w:type="dxa"/>
          </w:tcPr>
          <w:p w14:paraId="45F61E19"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lastRenderedPageBreak/>
              <w:t>II.</w:t>
            </w:r>
            <w:r w:rsidRPr="00475A0C">
              <w:rPr>
                <w:rFonts w:ascii="Verdana" w:hAnsi="Verdana"/>
                <w:sz w:val="16"/>
                <w:szCs w:val="16"/>
              </w:rPr>
              <w:tab/>
              <w:t>La identificación y caracterización de las comunidades y pueblos que se ubican en el área de influencia del proyecto;</w:t>
            </w:r>
          </w:p>
        </w:tc>
        <w:tc>
          <w:tcPr>
            <w:tcW w:w="4675" w:type="dxa"/>
          </w:tcPr>
          <w:p w14:paraId="689E4D15" w14:textId="66510871"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identification and characterization of the communities and towns located in the area of influence of the project;</w:t>
            </w:r>
          </w:p>
        </w:tc>
      </w:tr>
      <w:tr w:rsidR="003B20AD" w:rsidRPr="00475A0C" w14:paraId="18F1F4C6" w14:textId="34A3BFB2" w:rsidTr="007B36AB">
        <w:tc>
          <w:tcPr>
            <w:tcW w:w="4675" w:type="dxa"/>
          </w:tcPr>
          <w:p w14:paraId="6D9219BA"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La identificación, caracterización, predicción y valoración de los posibles impactos sociales positivos y negativos que podrían derivarse del proyecto, y</w:t>
            </w:r>
          </w:p>
        </w:tc>
        <w:tc>
          <w:tcPr>
            <w:tcW w:w="4675" w:type="dxa"/>
          </w:tcPr>
          <w:p w14:paraId="08FDE157" w14:textId="4DBDB516"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The identification, characterization, prediction and assessment of the possible positive and negative social impacts that could arise from the project, and</w:t>
            </w:r>
          </w:p>
        </w:tc>
      </w:tr>
      <w:tr w:rsidR="003B20AD" w:rsidRPr="00475A0C" w14:paraId="0B40CA35" w14:textId="7B646D04" w:rsidTr="007B36AB">
        <w:tc>
          <w:tcPr>
            <w:tcW w:w="4675" w:type="dxa"/>
          </w:tcPr>
          <w:p w14:paraId="154821A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Las medidas de prevención y mitigación, y los planes de gestión social elaborados de forma participativa y propuestos por los interesados en desarrollar el proyecto.</w:t>
            </w:r>
          </w:p>
        </w:tc>
        <w:tc>
          <w:tcPr>
            <w:tcW w:w="4675" w:type="dxa"/>
          </w:tcPr>
          <w:p w14:paraId="56B724CB" w14:textId="01D8E543"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Prevention and mitigation measures, and social management plans developed in a participatory manner and proposed by those interested in developing the project.</w:t>
            </w:r>
          </w:p>
        </w:tc>
      </w:tr>
      <w:tr w:rsidR="003B20AD" w:rsidRPr="00475A0C" w14:paraId="66651E8C" w14:textId="42335727" w:rsidTr="007B36AB">
        <w:tc>
          <w:tcPr>
            <w:tcW w:w="4675" w:type="dxa"/>
          </w:tcPr>
          <w:p w14:paraId="4F9A1D5B"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sz w:val="16"/>
                <w:szCs w:val="16"/>
              </w:rPr>
              <w:t>En el Reglamento y las Disposiciones administrativas de carácter general se deben establecer los elementos para definir el monto de inversión anual de los planes de gestión social, así como los contenidos específicos, características y las modalidades de las manifestaciones de impacto social, así como el pago del derecho o aprovechamiento correspondiente, conforme a la normatividad aplicable.</w:t>
            </w:r>
          </w:p>
        </w:tc>
        <w:tc>
          <w:tcPr>
            <w:tcW w:w="4675" w:type="dxa"/>
          </w:tcPr>
          <w:p w14:paraId="46A33EFF" w14:textId="3F43E030" w:rsidR="003B20AD" w:rsidRPr="00E3602D" w:rsidRDefault="003B20AD" w:rsidP="003B20AD">
            <w:pPr>
              <w:pStyle w:val="Texto"/>
              <w:spacing w:line="218" w:lineRule="exact"/>
              <w:ind w:firstLine="0"/>
              <w:rPr>
                <w:rFonts w:ascii="Verdana" w:hAnsi="Verdana"/>
                <w:sz w:val="16"/>
                <w:szCs w:val="16"/>
                <w:lang w:val="en-US"/>
              </w:rPr>
            </w:pPr>
            <w:r w:rsidRPr="00E3602D">
              <w:rPr>
                <w:rFonts w:ascii="Verdana" w:hAnsi="Verdana"/>
                <w:sz w:val="16"/>
                <w:szCs w:val="16"/>
                <w:lang w:val="en-US"/>
              </w:rPr>
              <w:t>The Regulation and the General Administrative Provisions must establish the elements for defining the annual investment amount for social management plans, as well as the specific content, characteristics, and modalities of the social impact statements, as well as the payment of the corresponding fee or use, in accordance with applicable regulations.</w:t>
            </w:r>
          </w:p>
        </w:tc>
      </w:tr>
      <w:tr w:rsidR="003B20AD" w:rsidRPr="00475A0C" w14:paraId="6D99127C" w14:textId="736EB6DE" w:rsidTr="007B36AB">
        <w:tc>
          <w:tcPr>
            <w:tcW w:w="4675" w:type="dxa"/>
          </w:tcPr>
          <w:p w14:paraId="5051CFAD"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Artículo 153.-</w:t>
            </w:r>
            <w:r w:rsidRPr="00475A0C">
              <w:rPr>
                <w:rFonts w:ascii="Verdana" w:hAnsi="Verdana"/>
                <w:sz w:val="16"/>
                <w:szCs w:val="16"/>
              </w:rPr>
              <w:t xml:space="preserve"> Las personas interesadas en obtener un permiso o una autorización para desarrollar proyectos en materia de Hidrocarburos, así como las personas Asignatarias y Contratistas deben presentar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 solicitud de autorización de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 a que se refiere el artículo 152 de esta Ley, salvo en los casos siguientes:</w:t>
            </w:r>
          </w:p>
        </w:tc>
        <w:tc>
          <w:tcPr>
            <w:tcW w:w="4675" w:type="dxa"/>
          </w:tcPr>
          <w:p w14:paraId="796A6911" w14:textId="016CB12B"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Article 153.- </w:t>
            </w:r>
            <w:r w:rsidRPr="00E3602D">
              <w:rPr>
                <w:rFonts w:ascii="Verdana" w:hAnsi="Verdana"/>
                <w:sz w:val="16"/>
                <w:szCs w:val="16"/>
                <w:lang w:val="en-US"/>
              </w:rPr>
              <w:t>Persons interested in obtaining a permit or authorization to develop hydrocarbon projects, as well as Assignees and Contractors, must submit to the Secretary of Energy, the application for authorization of the Statement of Social Impact of the Energy Sector referred to in Article 152 of this Law, except in the following cases:</w:t>
            </w:r>
          </w:p>
        </w:tc>
      </w:tr>
      <w:tr w:rsidR="003B20AD" w:rsidRPr="00475A0C" w14:paraId="22A271F3" w14:textId="72772E57" w:rsidTr="007B36AB">
        <w:tc>
          <w:tcPr>
            <w:tcW w:w="4675" w:type="dxa"/>
          </w:tcPr>
          <w:p w14:paraId="24671BCE" w14:textId="77777777" w:rsidR="003B20AD" w:rsidRPr="00475A0C" w:rsidRDefault="003B20AD" w:rsidP="003B20AD">
            <w:pPr>
              <w:pStyle w:val="Texto"/>
              <w:spacing w:line="218"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Los permisos de importación y exportación de Hidrocarburos y Petrolíferos se otorgan con base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Comercio Exterior;</w:t>
            </w:r>
          </w:p>
        </w:tc>
        <w:tc>
          <w:tcPr>
            <w:tcW w:w="4675" w:type="dxa"/>
          </w:tcPr>
          <w:p w14:paraId="6139ADAC" w14:textId="2608AE4E" w:rsidR="003B20AD" w:rsidRPr="00E3602D" w:rsidRDefault="003B20AD" w:rsidP="003B20AD">
            <w:pPr>
              <w:pStyle w:val="Texto"/>
              <w:spacing w:line="218"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Import and export permits for Hydrocarbons and petroleum products are granted based on the Law of Foreign Commerce;</w:t>
            </w:r>
          </w:p>
        </w:tc>
      </w:tr>
      <w:tr w:rsidR="003B20AD" w:rsidRPr="00475A0C" w14:paraId="34EAD86A" w14:textId="75E74B76" w:rsidTr="007B36AB">
        <w:tc>
          <w:tcPr>
            <w:tcW w:w="4675" w:type="dxa"/>
          </w:tcPr>
          <w:p w14:paraId="4CFA2F06"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Las autorizaciones que soliciten las personas Asignatarias y Contratistas para realizar actividades en materia de Hidrocarburos dentro del Área de Asignación o el Área Contractual que se encuentren asociadas al desarrollo de sus planes y programas autorizados;</w:t>
            </w:r>
          </w:p>
        </w:tc>
        <w:tc>
          <w:tcPr>
            <w:tcW w:w="4675" w:type="dxa"/>
          </w:tcPr>
          <w:p w14:paraId="4546E89A" w14:textId="39AFAE6F"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authorizations requested by the Assignees and Contractors to carry out activities related to hydrocarbons within the Assignment Area or the Contractual Area that are associated with the development of their authorized plans and programs;</w:t>
            </w:r>
          </w:p>
        </w:tc>
      </w:tr>
      <w:tr w:rsidR="003B20AD" w:rsidRPr="00475A0C" w14:paraId="4D87B4ED" w14:textId="172DE6EF" w:rsidTr="007B36AB">
        <w:tc>
          <w:tcPr>
            <w:tcW w:w="4675" w:type="dxa"/>
          </w:tcPr>
          <w:p w14:paraId="307D2F2E"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Las personas interesadas en obtener un permiso para realizar las actividades de Comercialización de Hidrocarburos, Petrolíferos y Petroquímicos, y</w:t>
            </w:r>
          </w:p>
        </w:tc>
        <w:tc>
          <w:tcPr>
            <w:tcW w:w="4675" w:type="dxa"/>
          </w:tcPr>
          <w:p w14:paraId="57011FDC" w14:textId="3E4A82EC"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Persons interested in obtaining a permit to carry out the activities of Commercial distribution of hydrocarbons, petroleum products and petrochemicals, and</w:t>
            </w:r>
          </w:p>
        </w:tc>
      </w:tr>
      <w:tr w:rsidR="003B20AD" w:rsidRPr="00475A0C" w14:paraId="074E2B5A" w14:textId="65EA73CE" w:rsidTr="007B36AB">
        <w:tc>
          <w:tcPr>
            <w:tcW w:w="4675" w:type="dxa"/>
          </w:tcPr>
          <w:p w14:paraId="6A34D14B"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IV.</w:t>
            </w:r>
            <w:r w:rsidRPr="00475A0C">
              <w:rPr>
                <w:rFonts w:ascii="Verdana" w:hAnsi="Verdana"/>
                <w:sz w:val="16"/>
                <w:szCs w:val="16"/>
              </w:rPr>
              <w:tab/>
              <w:t>Cualquier otro definido en el Reglamento o en otras disposiciones derivadas de esta Ley.</w:t>
            </w:r>
          </w:p>
        </w:tc>
        <w:tc>
          <w:tcPr>
            <w:tcW w:w="4675" w:type="dxa"/>
          </w:tcPr>
          <w:p w14:paraId="6E698059" w14:textId="1D545E42"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IV. </w:t>
            </w:r>
            <w:r w:rsidRPr="00E3602D">
              <w:rPr>
                <w:rFonts w:ascii="Verdana" w:hAnsi="Verdana"/>
                <w:sz w:val="16"/>
                <w:szCs w:val="16"/>
                <w:lang w:val="en-US"/>
              </w:rPr>
              <w:tab/>
              <w:t>Any other defined in the Regulation or in other provisions derived from this Law.</w:t>
            </w:r>
          </w:p>
        </w:tc>
      </w:tr>
      <w:tr w:rsidR="003B20AD" w:rsidRPr="00475A0C" w14:paraId="5DA4BEDA" w14:textId="5F4493AC" w:rsidTr="007B36AB">
        <w:tc>
          <w:tcPr>
            <w:tcW w:w="4675" w:type="dxa"/>
          </w:tcPr>
          <w:p w14:paraId="5CE1CDE5"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Artículo 154.-</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poner a disposición del público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 en los términos establecidos en el Reglamento y las Disposiciones Administrativas de Carácter General, y demás regulación aplicable.</w:t>
            </w:r>
          </w:p>
        </w:tc>
        <w:tc>
          <w:tcPr>
            <w:tcW w:w="4675" w:type="dxa"/>
          </w:tcPr>
          <w:p w14:paraId="64E2224C" w14:textId="7AB711E1"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Article 154.-</w:t>
            </w:r>
            <w:r w:rsidRPr="00E3602D">
              <w:rPr>
                <w:rFonts w:ascii="Verdana" w:hAnsi="Verdana"/>
                <w:sz w:val="16"/>
                <w:szCs w:val="16"/>
                <w:lang w:val="en-US"/>
              </w:rPr>
              <w:t xml:space="preserve"> The Secretary of Energy must make available to the public the Statement of Social Impact of the Energy Sector under the terms established in the Regulation and the General Administrative Provisions, and other applicable regulations.</w:t>
            </w:r>
          </w:p>
        </w:tc>
      </w:tr>
      <w:tr w:rsidR="003B20AD" w:rsidRPr="00475A0C" w14:paraId="29A35404" w14:textId="750A0137" w:rsidTr="007B36AB">
        <w:tc>
          <w:tcPr>
            <w:tcW w:w="4675" w:type="dxa"/>
          </w:tcPr>
          <w:p w14:paraId="143AAA48"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sz w:val="16"/>
                <w:szCs w:val="16"/>
              </w:rPr>
              <w:t xml:space="preserve">Las personas interesadas en obtener un permiso o una autorización para desarrollar proyectos en materia de Hidrocarburos, así como las personas Asignatarias y Contratistas deben incluir en la solicitud de autorización, la versión pública de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 la cual debe mantener en reserva la información en los términos de la legislación aplicable en materia de transparencia y acceso a la información.</w:t>
            </w:r>
          </w:p>
        </w:tc>
        <w:tc>
          <w:tcPr>
            <w:tcW w:w="4675" w:type="dxa"/>
          </w:tcPr>
          <w:p w14:paraId="1BDD8B4D" w14:textId="438887EA" w:rsidR="003B20AD" w:rsidRPr="00E3602D" w:rsidRDefault="003B20AD" w:rsidP="003B20AD">
            <w:pPr>
              <w:pStyle w:val="Texto"/>
              <w:spacing w:after="76"/>
              <w:ind w:firstLine="0"/>
              <w:rPr>
                <w:rFonts w:ascii="Verdana" w:hAnsi="Verdana"/>
                <w:sz w:val="16"/>
                <w:szCs w:val="16"/>
                <w:lang w:val="en-US"/>
              </w:rPr>
            </w:pPr>
            <w:r w:rsidRPr="00E3602D">
              <w:rPr>
                <w:rFonts w:ascii="Verdana" w:hAnsi="Verdana"/>
                <w:sz w:val="16"/>
                <w:szCs w:val="16"/>
                <w:lang w:val="en-US"/>
              </w:rPr>
              <w:t>Those interested in obtaining a permit or authorization to develop hydrocarbon projects, as well as Assignees and Contractors, must include in their authorization application the public version of the Statement of Social Impact of the Energy Sector, which must keep the information confidential in accordance with the applicable legislation on transparency and access to information.</w:t>
            </w:r>
          </w:p>
        </w:tc>
      </w:tr>
      <w:tr w:rsidR="003B20AD" w:rsidRPr="00475A0C" w14:paraId="5BAA9F54" w14:textId="518EFA6C" w:rsidTr="007B36AB">
        <w:tc>
          <w:tcPr>
            <w:tcW w:w="4675" w:type="dxa"/>
          </w:tcPr>
          <w:p w14:paraId="79DAD858"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lastRenderedPageBreak/>
              <w:t>Artículo 155.-</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emitir la autorización de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 en un término no mayor a noventa días hábiles y, en su caso, los términos, condicionantes y recomendaciones para la autorización total o parcial del proyecto, en los términos previstos en esta Ley, su reglamento y en las disposiciones administrativas de carácter general.</w:t>
            </w:r>
          </w:p>
        </w:tc>
        <w:tc>
          <w:tcPr>
            <w:tcW w:w="4675" w:type="dxa"/>
          </w:tcPr>
          <w:p w14:paraId="7529DF0B" w14:textId="248F6A87"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Article 155.-</w:t>
            </w:r>
            <w:r w:rsidRPr="00E3602D">
              <w:rPr>
                <w:rFonts w:ascii="Verdana" w:hAnsi="Verdana"/>
                <w:sz w:val="16"/>
                <w:szCs w:val="16"/>
                <w:lang w:val="en-US"/>
              </w:rPr>
              <w:t xml:space="preserve"> La Secretary of Energy must issue the authorization for the Statement of Social Impact of the Energy Sector within a period of no more than ninety business days and, where applicable, the terms, conditions and recommendations for the total or partial authorization of the project, under the terms provided in this Law, its regulation and in the general administrative provisions.</w:t>
            </w:r>
          </w:p>
        </w:tc>
      </w:tr>
      <w:tr w:rsidR="003B20AD" w:rsidRPr="00475A0C" w14:paraId="4D5D2431" w14:textId="0A63D135" w:rsidTr="007B36AB">
        <w:tc>
          <w:tcPr>
            <w:tcW w:w="4675" w:type="dxa"/>
          </w:tcPr>
          <w:p w14:paraId="3BAF40FE" w14:textId="77777777" w:rsidR="003B20AD" w:rsidRPr="00475A0C" w:rsidRDefault="003B20AD" w:rsidP="003B20AD">
            <w:pPr>
              <w:pStyle w:val="Texto"/>
              <w:spacing w:after="76"/>
              <w:ind w:firstLine="0"/>
              <w:rPr>
                <w:rFonts w:ascii="Verdana" w:hAnsi="Verdana"/>
                <w:b/>
                <w:sz w:val="16"/>
                <w:szCs w:val="16"/>
              </w:rPr>
            </w:pPr>
            <w:r w:rsidRPr="00475A0C">
              <w:rPr>
                <w:rFonts w:ascii="Verdana" w:hAnsi="Verdana"/>
                <w:sz w:val="16"/>
                <w:szCs w:val="16"/>
              </w:rPr>
              <w:t>La autorización correspondiente puede</w:t>
            </w:r>
            <w:r w:rsidRPr="00475A0C">
              <w:rPr>
                <w:rFonts w:ascii="Verdana" w:hAnsi="Verdana"/>
                <w:b/>
                <w:sz w:val="16"/>
                <w:szCs w:val="16"/>
              </w:rPr>
              <w:t>:</w:t>
            </w:r>
          </w:p>
        </w:tc>
        <w:tc>
          <w:tcPr>
            <w:tcW w:w="4675" w:type="dxa"/>
          </w:tcPr>
          <w:p w14:paraId="325D88D0" w14:textId="2CF68593" w:rsidR="003B20AD" w:rsidRPr="00E3602D" w:rsidRDefault="003B20AD" w:rsidP="003B20AD">
            <w:pPr>
              <w:pStyle w:val="Texto"/>
              <w:spacing w:after="76"/>
              <w:ind w:firstLine="0"/>
              <w:rPr>
                <w:rFonts w:ascii="Verdana" w:hAnsi="Verdana"/>
                <w:sz w:val="16"/>
                <w:szCs w:val="16"/>
                <w:lang w:val="en-US"/>
              </w:rPr>
            </w:pPr>
            <w:r w:rsidRPr="00E3602D">
              <w:rPr>
                <w:rFonts w:ascii="Verdana" w:hAnsi="Verdana"/>
                <w:sz w:val="16"/>
                <w:szCs w:val="16"/>
                <w:lang w:val="en-US"/>
              </w:rPr>
              <w:t>The corresponding authorization may</w:t>
            </w:r>
            <w:r w:rsidRPr="00E3602D">
              <w:rPr>
                <w:rFonts w:ascii="Verdana" w:hAnsi="Verdana"/>
                <w:b/>
                <w:sz w:val="16"/>
                <w:szCs w:val="16"/>
                <w:lang w:val="en-US"/>
              </w:rPr>
              <w:t>:</w:t>
            </w:r>
          </w:p>
        </w:tc>
      </w:tr>
      <w:tr w:rsidR="003B20AD" w:rsidRPr="00475A0C" w14:paraId="50FA5948" w14:textId="4482E420" w:rsidTr="007B36AB">
        <w:tc>
          <w:tcPr>
            <w:tcW w:w="4675" w:type="dxa"/>
          </w:tcPr>
          <w:p w14:paraId="0942566D"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Autorizar definitivamente la realización del proyecto de que se trate, en los términos solicitados;</w:t>
            </w:r>
          </w:p>
        </w:tc>
        <w:tc>
          <w:tcPr>
            <w:tcW w:w="4675" w:type="dxa"/>
          </w:tcPr>
          <w:p w14:paraId="6C766874" w14:textId="5E3A3D34"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Definitively authorize the execution of the project in question, under the requested terms;</w:t>
            </w:r>
          </w:p>
        </w:tc>
      </w:tr>
      <w:tr w:rsidR="003B20AD" w:rsidRPr="00475A0C" w14:paraId="43D2E539" w14:textId="47CF54C4" w:rsidTr="007B36AB">
        <w:tc>
          <w:tcPr>
            <w:tcW w:w="4675" w:type="dxa"/>
          </w:tcPr>
          <w:p w14:paraId="2F3FF626"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Autorizar de manera condicionada el proyecto de que se trate, a la modificación del proyecto o al establecimiento de medidas adicionales de prevención y mitigación o del plan de gestión social, así como cualquier otra que sea contemplada en el Reglamento o normatividad aplicable a fin de que se eviten, atenúen o compensen los impactos sociales adversos susceptibles de ser producidos en cualquier fase del proyecto. Cuando se trate de autorizaciones condicionadas,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señalará los requerimientos que deben observarse en la realización de la obra o actividad prevista. El interesado cuenta con un plazo no mayor a treinta días hábiles, contados a partir del día siguiente al que se haya recibido la notificación de la prevención para subsanar las omisiones, o</w:t>
            </w:r>
          </w:p>
        </w:tc>
        <w:tc>
          <w:tcPr>
            <w:tcW w:w="4675" w:type="dxa"/>
          </w:tcPr>
          <w:p w14:paraId="77F3CAFA" w14:textId="381919B8"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Conditionally authorize the project in question, the modification of the project or the establishment of additional prevention and mitigation measures or the social management plan, as well as any other measures contemplated in the Regulation or applicable regulations in order to avoid, mitigate or compensate for adverse social impacts that may occur at any stage of the project. In the case of conditional authorizations, the Secretary of Energy will indicate the requirements that must be observed in the execution of the planned work or activity. The interested party has a period of no more than thirty business days, counted from the day after receiving the notification of the prevention, to correct the omissions, or</w:t>
            </w:r>
          </w:p>
        </w:tc>
      </w:tr>
      <w:tr w:rsidR="003B20AD" w:rsidRPr="00475A0C" w14:paraId="6DCD68DF" w14:textId="5323CA87" w:rsidTr="007B36AB">
        <w:tc>
          <w:tcPr>
            <w:tcW w:w="4675" w:type="dxa"/>
          </w:tcPr>
          <w:p w14:paraId="0CB0983F"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Negar la autorización solicitada, cuando:</w:t>
            </w:r>
          </w:p>
        </w:tc>
        <w:tc>
          <w:tcPr>
            <w:tcW w:w="4675" w:type="dxa"/>
          </w:tcPr>
          <w:p w14:paraId="1F1D8C50" w14:textId="01B1BA5E"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sz w:val="16"/>
                <w:szCs w:val="16"/>
                <w:lang w:val="en-US"/>
              </w:rPr>
              <w:tab/>
              <w:t>Deny the requested authorization when:</w:t>
            </w:r>
          </w:p>
        </w:tc>
      </w:tr>
      <w:tr w:rsidR="003B20AD" w:rsidRPr="00475A0C" w14:paraId="5394CEB5" w14:textId="3A28B802" w:rsidTr="007B36AB">
        <w:tc>
          <w:tcPr>
            <w:tcW w:w="4675" w:type="dxa"/>
          </w:tcPr>
          <w:p w14:paraId="7C3D37DB"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Se contravenga lo establecido en esta Ley, sus reglamentos, las disposiciones administrativas de carácter general y demás disposiciones aplicables, o</w:t>
            </w:r>
          </w:p>
        </w:tc>
        <w:tc>
          <w:tcPr>
            <w:tcW w:w="4675" w:type="dxa"/>
          </w:tcPr>
          <w:p w14:paraId="4727E6BD" w14:textId="1A47490B"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The provisions of this Law, its regulations, general administrative provisions and other applicable provisions are contravened, or</w:t>
            </w:r>
          </w:p>
        </w:tc>
      </w:tr>
      <w:tr w:rsidR="003B20AD" w:rsidRPr="00475A0C" w14:paraId="187BEA03" w14:textId="7D8DDBF3" w:rsidTr="007B36AB">
        <w:tc>
          <w:tcPr>
            <w:tcW w:w="4675" w:type="dxa"/>
          </w:tcPr>
          <w:p w14:paraId="0ECAE33A"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Exista falsedad en la información proporcionada por los promoventes, respecto de los impactos sociales de la obra o actividad de que se trate.</w:t>
            </w:r>
          </w:p>
        </w:tc>
        <w:tc>
          <w:tcPr>
            <w:tcW w:w="4675" w:type="dxa"/>
          </w:tcPr>
          <w:p w14:paraId="463BF2BD" w14:textId="3BC9FADF"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There is falsehood in the information provided by the promoters regarding the social impacts of the work or activity in question.</w:t>
            </w:r>
          </w:p>
        </w:tc>
      </w:tr>
      <w:tr w:rsidR="003B20AD" w:rsidRPr="00475A0C" w14:paraId="2CB41EB2" w14:textId="0A3EFD31" w:rsidTr="007B36AB">
        <w:tc>
          <w:tcPr>
            <w:tcW w:w="4675" w:type="dxa"/>
          </w:tcPr>
          <w:p w14:paraId="64CD2292"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sz w:val="16"/>
                <w:szCs w:val="16"/>
              </w:rPr>
              <w:t>Para el inicio del desarrollo de infraestructura vinculada al proyecto es necesaria la autorización definitiva en materia de Manifestación de Impacto Social del Sector Energético, sin menoscabo del cumplimiento de requisitos de otras autoridades.</w:t>
            </w:r>
          </w:p>
        </w:tc>
        <w:tc>
          <w:tcPr>
            <w:tcW w:w="4675" w:type="dxa"/>
          </w:tcPr>
          <w:p w14:paraId="2D83F028" w14:textId="472BFEB7" w:rsidR="003B20AD" w:rsidRPr="00E3602D" w:rsidRDefault="003B20AD" w:rsidP="003B20AD">
            <w:pPr>
              <w:pStyle w:val="Texto"/>
              <w:spacing w:after="76"/>
              <w:ind w:firstLine="0"/>
              <w:rPr>
                <w:rFonts w:ascii="Verdana" w:hAnsi="Verdana"/>
                <w:sz w:val="16"/>
                <w:szCs w:val="16"/>
                <w:lang w:val="en-US"/>
              </w:rPr>
            </w:pPr>
            <w:r w:rsidRPr="00E3602D">
              <w:rPr>
                <w:rFonts w:ascii="Verdana" w:hAnsi="Verdana"/>
                <w:sz w:val="16"/>
                <w:szCs w:val="16"/>
                <w:lang w:val="en-US"/>
              </w:rPr>
              <w:t>For the start of infrastructure development related to the project, final authorization is required for the Statement of Social Impact of the energy sector, without prejudice to compliance with the requirements of other authorities.</w:t>
            </w:r>
          </w:p>
        </w:tc>
      </w:tr>
      <w:tr w:rsidR="003B20AD" w:rsidRPr="00475A0C" w14:paraId="498A3E36" w14:textId="45B83DD6" w:rsidTr="007B36AB">
        <w:tc>
          <w:tcPr>
            <w:tcW w:w="4675" w:type="dxa"/>
          </w:tcPr>
          <w:p w14:paraId="150A5C79"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Artículo 156.-</w:t>
            </w:r>
            <w:r w:rsidRPr="00475A0C">
              <w:rPr>
                <w:rFonts w:ascii="Verdana" w:hAnsi="Verdana"/>
                <w:sz w:val="16"/>
                <w:szCs w:val="16"/>
              </w:rPr>
              <w:t xml:space="preserve"> Los términos y condicionantes a que se refiere el artículo anterior deben incluir al menos lo siguiente:</w:t>
            </w:r>
          </w:p>
        </w:tc>
        <w:tc>
          <w:tcPr>
            <w:tcW w:w="4675" w:type="dxa"/>
          </w:tcPr>
          <w:p w14:paraId="48290871" w14:textId="40B10E9E"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Article 156.- </w:t>
            </w:r>
            <w:r w:rsidRPr="00E3602D">
              <w:rPr>
                <w:rFonts w:ascii="Verdana" w:hAnsi="Verdana"/>
                <w:sz w:val="16"/>
                <w:szCs w:val="16"/>
                <w:lang w:val="en-US"/>
              </w:rPr>
              <w:t>The terms and conditions referred to in the preceding article must include at least the following:</w:t>
            </w:r>
          </w:p>
        </w:tc>
      </w:tr>
      <w:tr w:rsidR="003B20AD" w:rsidRPr="00475A0C" w14:paraId="1CAE16BB" w14:textId="339349AA" w:rsidTr="007B36AB">
        <w:tc>
          <w:tcPr>
            <w:tcW w:w="4675" w:type="dxa"/>
          </w:tcPr>
          <w:p w14:paraId="5781768E"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Dar aviso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cuando se realicen cambios o modificaciones al proyecto autorizado;</w:t>
            </w:r>
          </w:p>
        </w:tc>
        <w:tc>
          <w:tcPr>
            <w:tcW w:w="4675" w:type="dxa"/>
          </w:tcPr>
          <w:p w14:paraId="347DC591" w14:textId="3686F7D2"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Notify the Secretary of Energy when changes or modifications are made to the authorized project;</w:t>
            </w:r>
          </w:p>
        </w:tc>
      </w:tr>
      <w:tr w:rsidR="003B20AD" w:rsidRPr="00475A0C" w14:paraId="7AE33673" w14:textId="1A3D6B17" w:rsidTr="007B36AB">
        <w:tc>
          <w:tcPr>
            <w:tcW w:w="4675" w:type="dxa"/>
          </w:tcPr>
          <w:p w14:paraId="5DAAC20C"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 xml:space="preserve">Presentar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un informe anual de la implementación del Plan de Gestión Social, y</w:t>
            </w:r>
          </w:p>
        </w:tc>
        <w:tc>
          <w:tcPr>
            <w:tcW w:w="4675" w:type="dxa"/>
          </w:tcPr>
          <w:p w14:paraId="414202E2" w14:textId="7D1DD55C"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Submit to the Secretary of Energy an annual report on the implementation of the Social Management Plan, and</w:t>
            </w:r>
          </w:p>
        </w:tc>
      </w:tr>
      <w:tr w:rsidR="003B20AD" w:rsidRPr="00475A0C" w14:paraId="75AC5584" w14:textId="520C967D" w:rsidTr="007B36AB">
        <w:tc>
          <w:tcPr>
            <w:tcW w:w="4675" w:type="dxa"/>
          </w:tcPr>
          <w:p w14:paraId="79ACCFC9"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Conservar para los fines que establezca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por un periodo de cinco años, la información actualizada del proyecto y presentarla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cuando ésta así lo requiera.</w:t>
            </w:r>
          </w:p>
        </w:tc>
        <w:tc>
          <w:tcPr>
            <w:tcW w:w="4675" w:type="dxa"/>
          </w:tcPr>
          <w:p w14:paraId="47F61400" w14:textId="72FAC6EB"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t xml:space="preserve">III. </w:t>
            </w:r>
            <w:r w:rsidRPr="00E3602D">
              <w:rPr>
                <w:rFonts w:ascii="Verdana" w:hAnsi="Verdana"/>
                <w:bCs/>
                <w:sz w:val="16"/>
                <w:szCs w:val="16"/>
                <w:lang w:val="en-US"/>
              </w:rPr>
              <w:t>Retain</w:t>
            </w:r>
            <w:r w:rsidRPr="00E3602D">
              <w:rPr>
                <w:rFonts w:ascii="Verdana" w:hAnsi="Verdana"/>
                <w:b/>
                <w:sz w:val="16"/>
                <w:szCs w:val="16"/>
                <w:lang w:val="en-US"/>
              </w:rPr>
              <w:t xml:space="preserve"> </w:t>
            </w:r>
            <w:r w:rsidRPr="00E3602D">
              <w:rPr>
                <w:rFonts w:ascii="Verdana" w:hAnsi="Verdana"/>
                <w:sz w:val="16"/>
                <w:szCs w:val="16"/>
                <w:lang w:val="en-US"/>
              </w:rPr>
              <w:t>updated project information for the purposes established by the Secretary of Energy, and for a period of five years the updated information of the project and present it to the Secretary of Energy when requested.</w:t>
            </w:r>
          </w:p>
        </w:tc>
      </w:tr>
      <w:tr w:rsidR="003B20AD" w:rsidRPr="00475A0C" w14:paraId="5C7943C3" w14:textId="7BC0BDE0" w:rsidTr="007B36AB">
        <w:tc>
          <w:tcPr>
            <w:tcW w:w="4675" w:type="dxa"/>
          </w:tcPr>
          <w:p w14:paraId="6F59A0C3"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b/>
                <w:sz w:val="16"/>
                <w:szCs w:val="16"/>
              </w:rPr>
              <w:t>Artículo 157.-</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verificar el cumplimiento de los términos y condicionantes de las </w:t>
            </w:r>
            <w:r w:rsidRPr="00475A0C">
              <w:rPr>
                <w:rFonts w:ascii="Verdana" w:hAnsi="Verdana"/>
                <w:sz w:val="16"/>
                <w:szCs w:val="16"/>
              </w:rPr>
              <w:lastRenderedPageBreak/>
              <w:t>autorizaciones de Manifestación de Impacto Social del Sector Energético y las obligaciones establecidas en la normatividad aplicable en la materia.</w:t>
            </w:r>
          </w:p>
        </w:tc>
        <w:tc>
          <w:tcPr>
            <w:tcW w:w="4675" w:type="dxa"/>
          </w:tcPr>
          <w:p w14:paraId="2C412FCA" w14:textId="2DEB17AF" w:rsidR="003B20AD" w:rsidRPr="00E3602D" w:rsidRDefault="003B20AD" w:rsidP="003B20AD">
            <w:pPr>
              <w:pStyle w:val="Texto"/>
              <w:spacing w:after="76"/>
              <w:ind w:firstLine="0"/>
              <w:rPr>
                <w:rFonts w:ascii="Verdana" w:hAnsi="Verdana"/>
                <w:b/>
                <w:sz w:val="16"/>
                <w:szCs w:val="16"/>
                <w:lang w:val="en-US"/>
              </w:rPr>
            </w:pPr>
            <w:r w:rsidRPr="00E3602D">
              <w:rPr>
                <w:rFonts w:ascii="Verdana" w:hAnsi="Verdana"/>
                <w:b/>
                <w:sz w:val="16"/>
                <w:szCs w:val="16"/>
                <w:lang w:val="en-US"/>
              </w:rPr>
              <w:lastRenderedPageBreak/>
              <w:t>Article 157.-</w:t>
            </w:r>
            <w:r w:rsidRPr="00E3602D">
              <w:rPr>
                <w:rFonts w:ascii="Verdana" w:hAnsi="Verdana"/>
                <w:sz w:val="16"/>
                <w:szCs w:val="16"/>
                <w:lang w:val="en-US"/>
              </w:rPr>
              <w:t xml:space="preserve"> The Secretary of Energy must verify compliance with the terms and conditions of the </w:t>
            </w:r>
            <w:r w:rsidRPr="00E3602D">
              <w:rPr>
                <w:rFonts w:ascii="Verdana" w:hAnsi="Verdana"/>
                <w:sz w:val="16"/>
                <w:szCs w:val="16"/>
                <w:lang w:val="en-US"/>
              </w:rPr>
              <w:lastRenderedPageBreak/>
              <w:t xml:space="preserve">authorizations for the </w:t>
            </w:r>
            <w:r w:rsidRPr="00E3602D">
              <w:rPr>
                <w:rFonts w:ascii="Verdana" w:hAnsi="Verdana"/>
                <w:sz w:val="16"/>
                <w:szCs w:val="16"/>
                <w:lang w:val="en-US"/>
              </w:rPr>
              <w:t>Statement</w:t>
            </w:r>
            <w:r w:rsidRPr="00E3602D">
              <w:rPr>
                <w:rFonts w:ascii="Verdana" w:hAnsi="Verdana"/>
                <w:sz w:val="16"/>
                <w:szCs w:val="16"/>
                <w:lang w:val="en-US"/>
              </w:rPr>
              <w:t xml:space="preserve"> of Social Impact of the Energy Sector and the obligations established in the applicable regulations on the matter.</w:t>
            </w:r>
          </w:p>
        </w:tc>
      </w:tr>
      <w:tr w:rsidR="003B20AD" w:rsidRPr="00475A0C" w14:paraId="57F2FC6F" w14:textId="748C4D2E" w:rsidTr="007B36AB">
        <w:tc>
          <w:tcPr>
            <w:tcW w:w="4675" w:type="dxa"/>
          </w:tcPr>
          <w:p w14:paraId="33297179" w14:textId="77777777" w:rsidR="003B20AD" w:rsidRPr="00475A0C" w:rsidRDefault="003B20AD" w:rsidP="003B20AD">
            <w:pPr>
              <w:pStyle w:val="Texto"/>
              <w:spacing w:after="76"/>
              <w:ind w:firstLine="0"/>
              <w:rPr>
                <w:rFonts w:ascii="Verdana" w:hAnsi="Verdana"/>
                <w:sz w:val="16"/>
                <w:szCs w:val="16"/>
              </w:rPr>
            </w:pPr>
            <w:r w:rsidRPr="00475A0C">
              <w:rPr>
                <w:rFonts w:ascii="Verdana" w:hAnsi="Verdana"/>
                <w:sz w:val="16"/>
                <w:szCs w:val="16"/>
              </w:rPr>
              <w:t>En caso de incumplimiento a las obligaciones derivadas de las autorizaciones de Manifestación de Impacto Social se deben imponer las sanciones que se establecen en la presente Ley.</w:t>
            </w:r>
          </w:p>
        </w:tc>
        <w:tc>
          <w:tcPr>
            <w:tcW w:w="4675" w:type="dxa"/>
          </w:tcPr>
          <w:p w14:paraId="4579D898" w14:textId="6FEDE429" w:rsidR="003B20AD" w:rsidRPr="00E3602D" w:rsidRDefault="003B20AD" w:rsidP="003B20AD">
            <w:pPr>
              <w:pStyle w:val="Texto"/>
              <w:spacing w:after="76"/>
              <w:ind w:firstLine="0"/>
              <w:rPr>
                <w:rFonts w:ascii="Verdana" w:hAnsi="Verdana"/>
                <w:sz w:val="16"/>
                <w:szCs w:val="16"/>
                <w:lang w:val="en-US"/>
              </w:rPr>
            </w:pPr>
            <w:r w:rsidRPr="00E3602D">
              <w:rPr>
                <w:rFonts w:ascii="Verdana" w:hAnsi="Verdana"/>
                <w:sz w:val="16"/>
                <w:szCs w:val="16"/>
                <w:lang w:val="en-US"/>
              </w:rPr>
              <w:t xml:space="preserve">In the event of non-compliance with the obligations arising from the </w:t>
            </w:r>
            <w:r w:rsidRPr="00E3602D">
              <w:rPr>
                <w:rFonts w:ascii="Verdana" w:hAnsi="Verdana"/>
                <w:sz w:val="16"/>
                <w:szCs w:val="16"/>
                <w:lang w:val="en-US"/>
              </w:rPr>
              <w:t>Statement</w:t>
            </w:r>
            <w:r w:rsidRPr="00E3602D">
              <w:rPr>
                <w:rFonts w:ascii="Verdana" w:hAnsi="Verdana"/>
                <w:sz w:val="16"/>
                <w:szCs w:val="16"/>
                <w:lang w:val="en-US"/>
              </w:rPr>
              <w:t xml:space="preserve"> of Social Impact authorizations, the sanctions established in this Law must be imposed.</w:t>
            </w:r>
          </w:p>
        </w:tc>
      </w:tr>
      <w:tr w:rsidR="003B20AD" w:rsidRPr="00475A0C" w14:paraId="49F6D116" w14:textId="5CA122EC" w:rsidTr="007B36AB">
        <w:tc>
          <w:tcPr>
            <w:tcW w:w="4675" w:type="dxa"/>
          </w:tcPr>
          <w:p w14:paraId="1FCB011F"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 xml:space="preserve">La autorización que emita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materia de Manifestación de Impacto Social del Sector Energético debe permanecer vigente durante el tiempo de vida de </w:t>
            </w:r>
            <w:smartTag w:uri="urn:schemas-microsoft-com:office:smarttags" w:element="PersonName">
              <w:smartTagPr>
                <w:attr w:name="ProductID" w:val="la Asignación"/>
              </w:smartTagPr>
              <w:r w:rsidRPr="00475A0C">
                <w:rPr>
                  <w:rFonts w:ascii="Verdana" w:hAnsi="Verdana"/>
                  <w:sz w:val="16"/>
                  <w:szCs w:val="16"/>
                </w:rPr>
                <w:t>la Asignación</w:t>
              </w:r>
            </w:smartTag>
            <w:r w:rsidRPr="00475A0C">
              <w:rPr>
                <w:rFonts w:ascii="Verdana" w:hAnsi="Verdana"/>
                <w:sz w:val="16"/>
                <w:szCs w:val="16"/>
              </w:rPr>
              <w:t>, Contrato o Permiso</w:t>
            </w:r>
            <w:r w:rsidRPr="00475A0C">
              <w:rPr>
                <w:rFonts w:ascii="Verdana" w:hAnsi="Verdana"/>
                <w:b/>
                <w:sz w:val="16"/>
                <w:szCs w:val="16"/>
              </w:rPr>
              <w:t>.</w:t>
            </w:r>
          </w:p>
        </w:tc>
        <w:tc>
          <w:tcPr>
            <w:tcW w:w="4675" w:type="dxa"/>
          </w:tcPr>
          <w:p w14:paraId="2CC5A548" w14:textId="4A58D72C"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 xml:space="preserve">The authorization issued by the Secretary of Energy regarding the </w:t>
            </w:r>
            <w:r w:rsidRPr="00E3602D">
              <w:rPr>
                <w:rFonts w:ascii="Verdana" w:hAnsi="Verdana"/>
                <w:sz w:val="16"/>
                <w:szCs w:val="16"/>
                <w:lang w:val="en-US"/>
              </w:rPr>
              <w:t>Statement</w:t>
            </w:r>
            <w:r w:rsidRPr="00E3602D">
              <w:rPr>
                <w:rFonts w:ascii="Verdana" w:hAnsi="Verdana"/>
                <w:sz w:val="16"/>
                <w:szCs w:val="16"/>
                <w:lang w:val="en-US"/>
              </w:rPr>
              <w:t xml:space="preserve"> of Social Impact of the Energy Sector must remain in force for the duration of the Assignment, Contract or Permit.</w:t>
            </w:r>
          </w:p>
        </w:tc>
      </w:tr>
      <w:tr w:rsidR="003B20AD" w:rsidRPr="00475A0C" w14:paraId="101DC15D" w14:textId="535350CC" w:rsidTr="007B36AB">
        <w:tc>
          <w:tcPr>
            <w:tcW w:w="4675" w:type="dxa"/>
          </w:tcPr>
          <w:p w14:paraId="1CC01621" w14:textId="77777777" w:rsidR="003B20AD" w:rsidRPr="00475A0C" w:rsidRDefault="003B20AD" w:rsidP="003B20AD">
            <w:pPr>
              <w:pStyle w:val="Texto"/>
              <w:spacing w:line="230" w:lineRule="exact"/>
              <w:ind w:firstLine="0"/>
              <w:jc w:val="center"/>
              <w:rPr>
                <w:rFonts w:ascii="Verdana" w:hAnsi="Verdana"/>
                <w:b/>
                <w:sz w:val="16"/>
                <w:szCs w:val="16"/>
              </w:rPr>
            </w:pPr>
            <w:r w:rsidRPr="00475A0C">
              <w:rPr>
                <w:rFonts w:ascii="Verdana" w:hAnsi="Verdana"/>
                <w:b/>
                <w:sz w:val="16"/>
                <w:szCs w:val="16"/>
              </w:rPr>
              <w:t>Capítulo VI</w:t>
            </w:r>
          </w:p>
        </w:tc>
        <w:tc>
          <w:tcPr>
            <w:tcW w:w="4675" w:type="dxa"/>
          </w:tcPr>
          <w:p w14:paraId="3E4F8EC1" w14:textId="75569FC2" w:rsidR="003B20AD" w:rsidRPr="00E3602D" w:rsidRDefault="003B20AD" w:rsidP="003B20AD">
            <w:pPr>
              <w:pStyle w:val="Texto"/>
              <w:spacing w:line="230" w:lineRule="exact"/>
              <w:ind w:firstLine="0"/>
              <w:jc w:val="center"/>
              <w:rPr>
                <w:rFonts w:ascii="Verdana" w:hAnsi="Verdana"/>
                <w:b/>
                <w:sz w:val="16"/>
                <w:szCs w:val="16"/>
                <w:lang w:val="en-US"/>
              </w:rPr>
            </w:pPr>
            <w:r w:rsidRPr="00E3602D">
              <w:rPr>
                <w:rFonts w:ascii="Verdana" w:hAnsi="Verdana"/>
                <w:b/>
                <w:sz w:val="16"/>
                <w:szCs w:val="16"/>
                <w:lang w:val="en-US"/>
              </w:rPr>
              <w:t>Chapter VI</w:t>
            </w:r>
          </w:p>
        </w:tc>
      </w:tr>
      <w:tr w:rsidR="003B20AD" w:rsidRPr="00475A0C" w14:paraId="0750CAB0" w14:textId="6FAC223D" w:rsidTr="007B36AB">
        <w:tc>
          <w:tcPr>
            <w:tcW w:w="4675" w:type="dxa"/>
          </w:tcPr>
          <w:p w14:paraId="608FCA4D" w14:textId="77777777" w:rsidR="003B20AD" w:rsidRPr="00475A0C" w:rsidRDefault="003B20AD" w:rsidP="003B20AD">
            <w:pPr>
              <w:pStyle w:val="Texto"/>
              <w:spacing w:line="230" w:lineRule="exact"/>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Cobertura Social"/>
              </w:smartTagPr>
              <w:r w:rsidRPr="00475A0C">
                <w:rPr>
                  <w:rFonts w:ascii="Verdana" w:hAnsi="Verdana"/>
                  <w:b/>
                  <w:sz w:val="16"/>
                  <w:szCs w:val="16"/>
                </w:rPr>
                <w:t>la Cobertura Social</w:t>
              </w:r>
            </w:smartTag>
            <w:r w:rsidRPr="00475A0C">
              <w:rPr>
                <w:rFonts w:ascii="Verdana" w:hAnsi="Verdana"/>
                <w:b/>
                <w:sz w:val="16"/>
                <w:szCs w:val="16"/>
              </w:rPr>
              <w:t xml:space="preserve"> y el Desarrollo de la Industria Nacional</w:t>
            </w:r>
          </w:p>
        </w:tc>
        <w:tc>
          <w:tcPr>
            <w:tcW w:w="4675" w:type="dxa"/>
          </w:tcPr>
          <w:p w14:paraId="39AA6EB4" w14:textId="510EF970" w:rsidR="003B20AD" w:rsidRPr="00E3602D" w:rsidRDefault="003B20AD" w:rsidP="003B20AD">
            <w:pPr>
              <w:pStyle w:val="Texto"/>
              <w:spacing w:line="230" w:lineRule="exact"/>
              <w:ind w:firstLine="0"/>
              <w:jc w:val="center"/>
              <w:rPr>
                <w:rFonts w:ascii="Verdana" w:hAnsi="Verdana"/>
                <w:b/>
                <w:sz w:val="16"/>
                <w:szCs w:val="16"/>
                <w:lang w:val="en-US"/>
              </w:rPr>
            </w:pPr>
            <w:r w:rsidRPr="00E3602D">
              <w:rPr>
                <w:rFonts w:ascii="Verdana" w:hAnsi="Verdana"/>
                <w:b/>
                <w:sz w:val="16"/>
                <w:szCs w:val="16"/>
                <w:lang w:val="en-US"/>
              </w:rPr>
              <w:t>Social Coverage and the Development of the National Industry</w:t>
            </w:r>
          </w:p>
        </w:tc>
      </w:tr>
      <w:tr w:rsidR="003B20AD" w:rsidRPr="00475A0C" w14:paraId="5C5B5014" w14:textId="5720B4D2" w:rsidTr="007B36AB">
        <w:tc>
          <w:tcPr>
            <w:tcW w:w="4675" w:type="dxa"/>
          </w:tcPr>
          <w:p w14:paraId="417C65D4"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 xml:space="preserve">Artículo 158.-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es responsable de fomentar y vigilar un adecuado suministro de energéticos en el territorio nacional, para lo cual puede instruir, previa opinión favorable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Hacienda y Crédito Público, a Petróleos Mexicanos y al Centro Nacional de Control del Gas Natural llevar a cabo aquellos proyectos que considere necesarios para la generación de beneficios sociales y como mecanismos de promoción de desarrollo económico, en términos de esta Ley y de la política pública en materia energética del país. En el caso de proyectos que requieran permiso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solicitar su opinión.</w:t>
            </w:r>
          </w:p>
        </w:tc>
        <w:tc>
          <w:tcPr>
            <w:tcW w:w="4675" w:type="dxa"/>
          </w:tcPr>
          <w:p w14:paraId="1CC5AFE9" w14:textId="18FC8DF9"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158. </w:t>
            </w:r>
            <w:r w:rsidRPr="00E3602D">
              <w:rPr>
                <w:rFonts w:ascii="Verdana" w:hAnsi="Verdana"/>
                <w:sz w:val="16"/>
                <w:szCs w:val="16"/>
                <w:lang w:val="en-US"/>
              </w:rPr>
              <w:t>The Secretary of Energy is responsible for promoting and monitoring an adequate energy supply within the national territory. To this end, it may, upon receiving a favorable opinion from the Secretary of the Secretary of Finance and Public Credit, Petróleos Mexicanos and the National Center for Natural Gas Control to carry out those projects it deems necessary to generate social benefits and as mechanisms for promoting economic development, in accordance with this Law and the country's energy public policy. In the case of projects that require a permit from the National Commission of Energy, the Secretary of Energy must request its opinion.</w:t>
            </w:r>
          </w:p>
        </w:tc>
      </w:tr>
      <w:tr w:rsidR="003B20AD" w:rsidRPr="00475A0C" w14:paraId="69B32C7E" w14:textId="73C8916A" w:rsidTr="007B36AB">
        <w:tc>
          <w:tcPr>
            <w:tcW w:w="4675" w:type="dxa"/>
          </w:tcPr>
          <w:p w14:paraId="361BF5D8"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Para lo anterior las Secretarías de Energía y de Hacienda y Crédito Público deben determinar los mecanismos de inversión que correspondan. Lo anterior, con independencia de la regulación tarifaria que, en su caso, establezca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para la prestación de servicios permisionados.</w:t>
            </w:r>
          </w:p>
        </w:tc>
        <w:tc>
          <w:tcPr>
            <w:tcW w:w="4675" w:type="dxa"/>
          </w:tcPr>
          <w:p w14:paraId="707F7303" w14:textId="662CC3E7"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To this end, the Secretaries of Energy and Finance and Public Credit must determine the appropriate investment mechanisms. This is independent of any tariff regulations established by the National Commission of Energy for the provision of licensed services.</w:t>
            </w:r>
          </w:p>
        </w:tc>
      </w:tr>
      <w:tr w:rsidR="003B20AD" w:rsidRPr="00475A0C" w14:paraId="48C42399" w14:textId="3CCA1C5E" w:rsidTr="007B36AB">
        <w:tc>
          <w:tcPr>
            <w:tcW w:w="4675" w:type="dxa"/>
          </w:tcPr>
          <w:p w14:paraId="19BED37D"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Los proyectos que instruya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a Petróleos Mexicanos o al Centro Nacional de Control del Gas Natural, conforme a lo establecido en el presente artículo, deben ser financiados con base en lo que para tal efecto determine </w:t>
            </w:r>
            <w:smartTag w:uri="urn:schemas-microsoft-com:office:smarttags" w:element="PersonName">
              <w:smartTagPr>
                <w:attr w:name="ProductID" w:val="La Cámara"/>
              </w:smartTagPr>
              <w:r w:rsidRPr="00475A0C">
                <w:rPr>
                  <w:rFonts w:ascii="Verdana" w:hAnsi="Verdana"/>
                  <w:sz w:val="16"/>
                  <w:szCs w:val="16"/>
                </w:rPr>
                <w:t>la Cámara</w:t>
              </w:r>
            </w:smartTag>
            <w:r w:rsidRPr="00475A0C">
              <w:rPr>
                <w:rFonts w:ascii="Verdana" w:hAnsi="Verdana"/>
                <w:sz w:val="16"/>
                <w:szCs w:val="16"/>
              </w:rPr>
              <w:t xml:space="preserve"> de Diputados dentro del Presupuesto de Egresos de la Federación.</w:t>
            </w:r>
          </w:p>
        </w:tc>
        <w:tc>
          <w:tcPr>
            <w:tcW w:w="4675" w:type="dxa"/>
          </w:tcPr>
          <w:p w14:paraId="30AF0FDA" w14:textId="6609C4FE"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The projects that the Secretary of Energy instructs to Petróleos Mexicanos or the National Center for Natural Gas Control, in accordance with the provisions of this article, must be financed based on what the Chamber of Deputies determine for such purposes within the Federal Expenditure Budget.</w:t>
            </w:r>
          </w:p>
        </w:tc>
      </w:tr>
      <w:tr w:rsidR="003B20AD" w:rsidRPr="00475A0C" w14:paraId="53A50518" w14:textId="6EB2AEB1" w:rsidTr="007B36AB">
        <w:tc>
          <w:tcPr>
            <w:tcW w:w="4675" w:type="dxa"/>
          </w:tcPr>
          <w:p w14:paraId="27967F79"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Tratándose de proyectos de infraestructura de Transporte por ductos y de Almacenamiento de Gas Natural, a que se refiere el presente artículo la participación se debe realizar a través del Centro Nacional de Control del Gas Natural.</w:t>
            </w:r>
          </w:p>
        </w:tc>
        <w:tc>
          <w:tcPr>
            <w:tcW w:w="4675" w:type="dxa"/>
          </w:tcPr>
          <w:p w14:paraId="57E4A978" w14:textId="65CAE21C"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In the case of pipeline transportation and natural gas storage infrastructure projects referred to in this article, participation must be carried out through the National Natural Gas Control Center.</w:t>
            </w:r>
          </w:p>
        </w:tc>
      </w:tr>
      <w:tr w:rsidR="003B20AD" w:rsidRPr="00475A0C" w14:paraId="2012768D" w14:textId="53CB8882" w:rsidTr="007B36AB">
        <w:tc>
          <w:tcPr>
            <w:tcW w:w="4675" w:type="dxa"/>
          </w:tcPr>
          <w:p w14:paraId="7CC1562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La Comisión Nacional de Energía debe tomar en cuenta, en la regulación tarifaria respectiva, los recursos que se destinen a dicho financiamiento para el desarrollo de los proyectos permisionados cuando aquellos provengan de recursos públicos.</w:t>
            </w:r>
          </w:p>
        </w:tc>
        <w:tc>
          <w:tcPr>
            <w:tcW w:w="4675" w:type="dxa"/>
          </w:tcPr>
          <w:p w14:paraId="4240BB91" w14:textId="198169C2"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The National Commission of Energy must take into account, in the respective tariff regulation, the resources allocated to financing the development of permitted projects when they come from public resources.</w:t>
            </w:r>
          </w:p>
        </w:tc>
      </w:tr>
      <w:tr w:rsidR="003B20AD" w:rsidRPr="00475A0C" w14:paraId="578BB76B" w14:textId="1432F0E1" w:rsidTr="007B36AB">
        <w:tc>
          <w:tcPr>
            <w:tcW w:w="4675" w:type="dxa"/>
          </w:tcPr>
          <w:p w14:paraId="7F5AC02F"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Sin perjuicio de lo anterior,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puede instruir la aplicación de mecanismos de </w:t>
            </w:r>
            <w:r w:rsidRPr="00475A0C">
              <w:rPr>
                <w:rFonts w:ascii="Verdana" w:hAnsi="Verdana"/>
                <w:sz w:val="16"/>
                <w:szCs w:val="16"/>
              </w:rPr>
              <w:lastRenderedPageBreak/>
              <w:t>asociación público-privada para la realización de proyectos a los que se refiere este artículo.</w:t>
            </w:r>
          </w:p>
        </w:tc>
        <w:tc>
          <w:tcPr>
            <w:tcW w:w="4675" w:type="dxa"/>
          </w:tcPr>
          <w:p w14:paraId="014FAD33" w14:textId="5879CC6F"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lastRenderedPageBreak/>
              <w:t xml:space="preserve">Without prejudice to the foregoing, the Secretary of Energy may instruct the application of public-private </w:t>
            </w:r>
            <w:r w:rsidRPr="00E3602D">
              <w:rPr>
                <w:rFonts w:ascii="Verdana" w:hAnsi="Verdana"/>
                <w:sz w:val="16"/>
                <w:szCs w:val="16"/>
                <w:lang w:val="en-US"/>
              </w:rPr>
              <w:lastRenderedPageBreak/>
              <w:t>partnership mechanisms for the implementation of projects referred to in this article.</w:t>
            </w:r>
          </w:p>
        </w:tc>
      </w:tr>
      <w:tr w:rsidR="003B20AD" w:rsidRPr="00475A0C" w14:paraId="2DC5B556" w14:textId="27DE77CE" w:rsidTr="007B36AB">
        <w:tc>
          <w:tcPr>
            <w:tcW w:w="4675" w:type="dxa"/>
          </w:tcPr>
          <w:p w14:paraId="260876E3"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Artículo 159.-</w:t>
            </w:r>
            <w:r w:rsidRPr="00475A0C">
              <w:rPr>
                <w:rFonts w:ascii="Verdana" w:hAnsi="Verdana"/>
                <w:sz w:val="16"/>
                <w:szCs w:val="16"/>
              </w:rPr>
              <w:t xml:space="preserve"> Cuando el Centro Nacional de Control del Gas Natural cuente con la indicación prevista en el artículo anterior, las Empresas Públicas del Estado pueden participar en los proyectos de infraestructura para el Transporte por ducto y el Almacenamiento de Gas Natural vinculado a ductos, que estén sujetos a reglas de acceso abierto, a través de contratos de reserva de capacidad vinculados a dicha infraestructura.</w:t>
            </w:r>
          </w:p>
        </w:tc>
        <w:tc>
          <w:tcPr>
            <w:tcW w:w="4675" w:type="dxa"/>
          </w:tcPr>
          <w:p w14:paraId="1CA6DC60" w14:textId="0A2F95F2"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159.- </w:t>
            </w:r>
            <w:r w:rsidRPr="00E3602D">
              <w:rPr>
                <w:rFonts w:ascii="Verdana" w:hAnsi="Verdana"/>
                <w:sz w:val="16"/>
                <w:szCs w:val="16"/>
                <w:lang w:val="en-US"/>
              </w:rPr>
              <w:t>When the National Natural Gas Control Center has the indication provided in the preceding article, State Public Companies may participate in infrastructure projects for the transportation by pipeline and storage of natural gas linked to pipelines, which are subject to open access rules, through capacity reservation contracts linked to said infrastructure.</w:t>
            </w:r>
          </w:p>
        </w:tc>
      </w:tr>
      <w:tr w:rsidR="003B20AD" w:rsidRPr="00475A0C" w14:paraId="36B88449" w14:textId="45B0B6EB" w:rsidTr="007B36AB">
        <w:tc>
          <w:tcPr>
            <w:tcW w:w="4675" w:type="dxa"/>
          </w:tcPr>
          <w:p w14:paraId="14CA7A0A"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 xml:space="preserve">Para el desarrollo de los proyectos a que se refiere este artículo,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 emitir opinión favorable respecto de las bases de licitación o concurso, así como del impacto económico del proyecto, que realice el Centro Nacional de Control del Gas Natural, a fin de cuidar que no se establezcan condiciones que incrementen los costos de las tarifas en perjuicio de las personas Usuarias.</w:t>
            </w:r>
          </w:p>
        </w:tc>
        <w:tc>
          <w:tcPr>
            <w:tcW w:w="4675" w:type="dxa"/>
          </w:tcPr>
          <w:p w14:paraId="2766362E" w14:textId="37E35E23"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For the development of the projects referred to in this article, the National Commission of Energy must issue a favorable opinion regarding the bidding or competition rules, as well as the economic impact of the project, carried out by the National Center for Natural Gas Control, in order to ensure that conditions are not established that increase tariff costs to the detriment of users.</w:t>
            </w:r>
          </w:p>
        </w:tc>
      </w:tr>
      <w:tr w:rsidR="003B20AD" w:rsidRPr="00475A0C" w14:paraId="25D82F10" w14:textId="14497A84" w:rsidTr="007B36AB">
        <w:tc>
          <w:tcPr>
            <w:tcW w:w="4675" w:type="dxa"/>
          </w:tcPr>
          <w:p w14:paraId="5FB7B644"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Artículo 160.-</w:t>
            </w:r>
            <w:r w:rsidRPr="00475A0C">
              <w:rPr>
                <w:rFonts w:ascii="Verdana" w:hAnsi="Verdana"/>
                <w:sz w:val="16"/>
                <w:szCs w:val="16"/>
              </w:rPr>
              <w:t xml:space="preserve"> Las Secretarías de Hacienda y Crédito Público, de Energía y de Bienestar deben evaluar la conveniencia y, en su caso, instrumentar programas de apoyos focalizados que tengan como objeto coadyuvar con el suministro adecuado y oportuno, a precios asequibles, de combustibles de consumo básico en zonas rurales y zonas urbanas marginadas.</w:t>
            </w:r>
          </w:p>
        </w:tc>
        <w:tc>
          <w:tcPr>
            <w:tcW w:w="4675" w:type="dxa"/>
          </w:tcPr>
          <w:p w14:paraId="61EDD119" w14:textId="36F441B7"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Article 160.- </w:t>
            </w:r>
            <w:r w:rsidRPr="00E3602D">
              <w:rPr>
                <w:rFonts w:ascii="Verdana" w:hAnsi="Verdana"/>
                <w:sz w:val="16"/>
                <w:szCs w:val="16"/>
                <w:lang w:val="en-US"/>
              </w:rPr>
              <w:t>The Secretaries of Finance and Public Credit, Energy, and Welfare must evaluate the appropriateness and, where appropriate, implement targeted support programs aimed at assisting with the adequate and timely supply, at affordable prices, of basic consumption fuels in rural areas and marginalized urban areas.</w:t>
            </w:r>
          </w:p>
        </w:tc>
      </w:tr>
      <w:tr w:rsidR="003B20AD" w:rsidRPr="00475A0C" w14:paraId="131DFD80" w14:textId="239588D6" w:rsidTr="007B36AB">
        <w:tc>
          <w:tcPr>
            <w:tcW w:w="4675" w:type="dxa"/>
          </w:tcPr>
          <w:p w14:paraId="719242EA"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sz w:val="16"/>
                <w:szCs w:val="16"/>
              </w:rPr>
              <w:t>La Comisión Nacional de Energía y el Instituto Nacional de Estadística y Geografía deben prestar el apoyo técnico que se requiera para los fines previstos en el presente artículo.</w:t>
            </w:r>
          </w:p>
        </w:tc>
        <w:tc>
          <w:tcPr>
            <w:tcW w:w="4675" w:type="dxa"/>
          </w:tcPr>
          <w:p w14:paraId="3AAF4053" w14:textId="1693DD79" w:rsidR="003B20AD" w:rsidRPr="00E3602D" w:rsidRDefault="003B20AD" w:rsidP="003B20AD">
            <w:pPr>
              <w:pStyle w:val="Texto"/>
              <w:spacing w:line="230" w:lineRule="exact"/>
              <w:ind w:firstLine="0"/>
              <w:rPr>
                <w:rFonts w:ascii="Verdana" w:hAnsi="Verdana"/>
                <w:sz w:val="16"/>
                <w:szCs w:val="16"/>
                <w:lang w:val="en-US"/>
              </w:rPr>
            </w:pPr>
            <w:r w:rsidRPr="00E3602D">
              <w:rPr>
                <w:rFonts w:ascii="Verdana" w:hAnsi="Verdana"/>
                <w:sz w:val="16"/>
                <w:szCs w:val="16"/>
                <w:lang w:val="en-US"/>
              </w:rPr>
              <w:t>The National Commission of Energy and the National Institute of Statistics and Geography shall provide the technical support required for the purposes set forth in this article.</w:t>
            </w:r>
          </w:p>
        </w:tc>
      </w:tr>
      <w:tr w:rsidR="003B20AD" w:rsidRPr="00475A0C" w14:paraId="1DA68649" w14:textId="0518C167" w:rsidTr="007B36AB">
        <w:tc>
          <w:tcPr>
            <w:tcW w:w="4675" w:type="dxa"/>
          </w:tcPr>
          <w:p w14:paraId="0092DFF6"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Artículo 161.-</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con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debe definir las estrategias para el fomento industrial de Cadenas Productivas locales y para el fomento de la inversión directa en la industria de Hidrocarburos, con especial atención a las pequeñas y medianas empresas, conforme a lo siguiente:</w:t>
            </w:r>
          </w:p>
        </w:tc>
        <w:tc>
          <w:tcPr>
            <w:tcW w:w="4675" w:type="dxa"/>
          </w:tcPr>
          <w:p w14:paraId="21C04883" w14:textId="6C5A35D5"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Article 161.-</w:t>
            </w:r>
            <w:r w:rsidRPr="00E3602D">
              <w:rPr>
                <w:rFonts w:ascii="Verdana" w:hAnsi="Verdana"/>
                <w:sz w:val="16"/>
                <w:szCs w:val="16"/>
                <w:lang w:val="en-US"/>
              </w:rPr>
              <w:t xml:space="preserve"> The Secretary of Economy, with the opinion of the Secretary of Energy, must define strategies for the industrial promotion of local production chains and for the promotion of direct investment in the hydrocarbon industry, with special attention to small and medium-sized enterprises, as follows:</w:t>
            </w:r>
          </w:p>
        </w:tc>
      </w:tr>
      <w:tr w:rsidR="003B20AD" w:rsidRPr="00475A0C" w14:paraId="272446C3" w14:textId="11E06A65" w:rsidTr="007B36AB">
        <w:tc>
          <w:tcPr>
            <w:tcW w:w="4675" w:type="dxa"/>
          </w:tcPr>
          <w:p w14:paraId="187A4E8D"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estrategia para el fomento industrial de Cadenas Productivas locales debe:</w:t>
            </w:r>
          </w:p>
        </w:tc>
        <w:tc>
          <w:tcPr>
            <w:tcW w:w="4675" w:type="dxa"/>
          </w:tcPr>
          <w:p w14:paraId="695E5B29" w14:textId="28B8504F"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strategy for the industrial promotion of local production chains must:</w:t>
            </w:r>
          </w:p>
        </w:tc>
      </w:tr>
      <w:tr w:rsidR="003B20AD" w:rsidRPr="00475A0C" w14:paraId="714F2278" w14:textId="4D44148D" w:rsidTr="007B36AB">
        <w:tc>
          <w:tcPr>
            <w:tcW w:w="4675" w:type="dxa"/>
          </w:tcPr>
          <w:p w14:paraId="35BB6645"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Identificar los sectores industriales y las regiones en que se debe enfocar la estrategia, alineados a la demanda de la industria de Hidrocarburos, para ello puede contratar la realización de estudios que identifiquen los productos y servicios existentes en el mercado, así como a los proveedores que los ofertan;</w:t>
            </w:r>
          </w:p>
        </w:tc>
        <w:tc>
          <w:tcPr>
            <w:tcW w:w="4675" w:type="dxa"/>
          </w:tcPr>
          <w:p w14:paraId="47D53D90" w14:textId="7AD609BE"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Identify the industrial sectors and regions on which the strategy should focus, aligned with the demand of the hydrocarbon industry, for which it can contract the realization of studies that identify the products and services existing in the market, as well as the suppliers that offer them;</w:t>
            </w:r>
          </w:p>
        </w:tc>
      </w:tr>
      <w:tr w:rsidR="003B20AD" w:rsidRPr="00475A0C" w14:paraId="4C32CF96" w14:textId="4ED5B2DB" w:rsidTr="007B36AB">
        <w:tc>
          <w:tcPr>
            <w:tcW w:w="4675" w:type="dxa"/>
          </w:tcPr>
          <w:p w14:paraId="03EA3D00"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Integrar, administrar y actualizar un registro de proveedores nacionales para la industria de Hidrocarburos, en el que se registren las empresas nacionales interesadas en participar en la industria y sus necesidades de desarrollo;</w:t>
            </w:r>
          </w:p>
        </w:tc>
        <w:tc>
          <w:tcPr>
            <w:tcW w:w="4675" w:type="dxa"/>
          </w:tcPr>
          <w:p w14:paraId="773B6761" w14:textId="518F5C35"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Integrate, manage and update a registry of national suppliers for the hydrocarbon industry, in which national companies interested in participating in the industry and their development needs are registered;</w:t>
            </w:r>
          </w:p>
        </w:tc>
      </w:tr>
      <w:tr w:rsidR="003B20AD" w:rsidRPr="00475A0C" w14:paraId="00409579" w14:textId="47B086FF" w:rsidTr="007B36AB">
        <w:tc>
          <w:tcPr>
            <w:tcW w:w="4675" w:type="dxa"/>
          </w:tcPr>
          <w:p w14:paraId="54529C3C" w14:textId="77777777" w:rsidR="003B20AD" w:rsidRPr="00475A0C" w:rsidRDefault="003B20AD" w:rsidP="003B20AD">
            <w:pPr>
              <w:pStyle w:val="Texto"/>
              <w:spacing w:line="230" w:lineRule="exact"/>
              <w:ind w:firstLine="0"/>
              <w:rPr>
                <w:rFonts w:ascii="Verdana" w:hAnsi="Verdana"/>
                <w:sz w:val="16"/>
                <w:szCs w:val="16"/>
              </w:rPr>
            </w:pPr>
            <w:r w:rsidRPr="00475A0C">
              <w:rPr>
                <w:rFonts w:ascii="Verdana" w:hAnsi="Verdana"/>
                <w:b/>
                <w:sz w:val="16"/>
                <w:szCs w:val="16"/>
              </w:rPr>
              <w:lastRenderedPageBreak/>
              <w:t>c)</w:t>
            </w:r>
            <w:r w:rsidRPr="00475A0C">
              <w:rPr>
                <w:rFonts w:ascii="Verdana" w:hAnsi="Verdana"/>
                <w:b/>
                <w:sz w:val="16"/>
                <w:szCs w:val="16"/>
              </w:rPr>
              <w:tab/>
            </w:r>
            <w:r w:rsidRPr="00475A0C">
              <w:rPr>
                <w:rFonts w:ascii="Verdana" w:hAnsi="Verdana"/>
                <w:sz w:val="16"/>
                <w:szCs w:val="16"/>
              </w:rPr>
              <w:t>Implementar programas para el desarrollo de proveedores y contratistas nacionales, a partir de la detección de oportunidades de negocio;</w:t>
            </w:r>
          </w:p>
        </w:tc>
        <w:tc>
          <w:tcPr>
            <w:tcW w:w="4675" w:type="dxa"/>
          </w:tcPr>
          <w:p w14:paraId="5A37CD4F" w14:textId="03D1318D" w:rsidR="003B20AD" w:rsidRPr="00E3602D" w:rsidRDefault="003B20AD" w:rsidP="003B20AD">
            <w:pPr>
              <w:pStyle w:val="Texto"/>
              <w:spacing w:line="230"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Implement programs for the development of national suppliers and contractors, based on the detection of business opportunities;</w:t>
            </w:r>
          </w:p>
        </w:tc>
      </w:tr>
      <w:tr w:rsidR="003B20AD" w:rsidRPr="00475A0C" w14:paraId="14BEB0D6" w14:textId="69A74C21" w:rsidTr="007B36AB">
        <w:tc>
          <w:tcPr>
            <w:tcW w:w="4675" w:type="dxa"/>
          </w:tcPr>
          <w:p w14:paraId="48B2F71B"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Impulsar el cierre de brechas de capacidad técnica y de calidad de las empresas, a través de programas de apoyo para asistencia técnica y financiera, y</w:t>
            </w:r>
          </w:p>
        </w:tc>
        <w:tc>
          <w:tcPr>
            <w:tcW w:w="4675" w:type="dxa"/>
          </w:tcPr>
          <w:p w14:paraId="5220795C" w14:textId="0B66AEF7"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Promote the closing of technical capacity and quality gaps in companies, through support programs for technical and financial assistance, and</w:t>
            </w:r>
          </w:p>
        </w:tc>
      </w:tr>
      <w:tr w:rsidR="003B20AD" w:rsidRPr="00475A0C" w14:paraId="03867CC4" w14:textId="496A3230" w:rsidTr="007B36AB">
        <w:tc>
          <w:tcPr>
            <w:tcW w:w="4675" w:type="dxa"/>
          </w:tcPr>
          <w:p w14:paraId="7292C46D"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e)</w:t>
            </w:r>
            <w:r w:rsidRPr="00475A0C">
              <w:rPr>
                <w:rFonts w:ascii="Verdana" w:hAnsi="Verdana"/>
                <w:b/>
                <w:sz w:val="16"/>
                <w:szCs w:val="16"/>
              </w:rPr>
              <w:tab/>
            </w:r>
            <w:r w:rsidRPr="00475A0C">
              <w:rPr>
                <w:rFonts w:ascii="Verdana" w:hAnsi="Verdana"/>
                <w:sz w:val="16"/>
                <w:szCs w:val="16"/>
              </w:rPr>
              <w:t xml:space="preserve">Integrar un consejo consultivo, encabezado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con personas representantes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personas académicas y personas representantes del sector privado o de la industria, incluyendo al menos tres representantes de las cámaras u organizaciones empresariales que cuenten con presencia a nivel nacional.</w:t>
            </w:r>
          </w:p>
        </w:tc>
        <w:tc>
          <w:tcPr>
            <w:tcW w:w="4675" w:type="dxa"/>
          </w:tcPr>
          <w:p w14:paraId="0A143B20" w14:textId="050387EF"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e) </w:t>
            </w:r>
            <w:r w:rsidRPr="00E3602D">
              <w:rPr>
                <w:rFonts w:ascii="Verdana" w:hAnsi="Verdana"/>
                <w:b/>
                <w:sz w:val="16"/>
                <w:szCs w:val="16"/>
                <w:lang w:val="en-US"/>
              </w:rPr>
              <w:tab/>
            </w:r>
            <w:r w:rsidRPr="00E3602D">
              <w:rPr>
                <w:rFonts w:ascii="Verdana" w:hAnsi="Verdana"/>
                <w:sz w:val="16"/>
                <w:szCs w:val="16"/>
                <w:lang w:val="en-US"/>
              </w:rPr>
              <w:t>To form an advisory council, headed by the Secretary of Economy, with representatives from the Secretary of the Secretary of Energy, the National Commission of Energy,  academics, and representatives from the private sector or industry, including at least three representatives from chambers or business organizations with a national presence.</w:t>
            </w:r>
          </w:p>
        </w:tc>
      </w:tr>
      <w:tr w:rsidR="003B20AD" w:rsidRPr="00475A0C" w14:paraId="4B4CFEBA" w14:textId="10F72DCE" w:rsidTr="007B36AB">
        <w:tc>
          <w:tcPr>
            <w:tcW w:w="4675" w:type="dxa"/>
          </w:tcPr>
          <w:p w14:paraId="596D25B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lang w:val="en-US"/>
              </w:rPr>
              <w:tab/>
            </w:r>
            <w:r w:rsidRPr="00475A0C">
              <w:rPr>
                <w:rFonts w:ascii="Verdana" w:hAnsi="Verdana"/>
                <w:sz w:val="16"/>
                <w:szCs w:val="16"/>
              </w:rPr>
              <w:t>Dicho consejo debe apoyar en la definición de políticas, criterios y metodologías para el diagnóstico de la oferta de productos, bienes y servicios; la promoción de la industria nacional; la formación de Cadenas Productivas regionales y nacionales, y el desarrollo del talento de los recursos humanos, la innovación y la tecnología;</w:t>
            </w:r>
          </w:p>
        </w:tc>
        <w:tc>
          <w:tcPr>
            <w:tcW w:w="4675" w:type="dxa"/>
          </w:tcPr>
          <w:p w14:paraId="75A4FD71" w14:textId="7106E010"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ab/>
              <w:t>This council should support the definition of policies, criteria, and methodologies for diagnosing the supply of products, goods, and services; the promotion of national industry; the formation of regional and national production chains; and the development of human talent, innovation, and technology.</w:t>
            </w:r>
          </w:p>
        </w:tc>
      </w:tr>
      <w:tr w:rsidR="003B20AD" w:rsidRPr="00475A0C" w14:paraId="7CB6380E" w14:textId="4B50253B" w:rsidTr="007B36AB">
        <w:tc>
          <w:tcPr>
            <w:tcW w:w="4675" w:type="dxa"/>
          </w:tcPr>
          <w:p w14:paraId="63D4FB36"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 estrategia para el fomento de la inversión directa debe:</w:t>
            </w:r>
          </w:p>
        </w:tc>
        <w:tc>
          <w:tcPr>
            <w:tcW w:w="4675" w:type="dxa"/>
          </w:tcPr>
          <w:p w14:paraId="5CB1324E" w14:textId="2FCEB023"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strategy for promoting direct investment must:</w:t>
            </w:r>
          </w:p>
        </w:tc>
      </w:tr>
      <w:tr w:rsidR="003B20AD" w:rsidRPr="00475A0C" w14:paraId="67B9B55E" w14:textId="51E6A25C" w:rsidTr="007B36AB">
        <w:tc>
          <w:tcPr>
            <w:tcW w:w="4675" w:type="dxa"/>
          </w:tcPr>
          <w:p w14:paraId="7591716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w:t>
            </w:r>
            <w:r w:rsidRPr="00475A0C">
              <w:rPr>
                <w:rFonts w:ascii="Verdana" w:hAnsi="Verdana"/>
                <w:b/>
                <w:sz w:val="16"/>
                <w:szCs w:val="16"/>
              </w:rPr>
              <w:tab/>
            </w:r>
            <w:r w:rsidRPr="00475A0C">
              <w:rPr>
                <w:rFonts w:ascii="Verdana" w:hAnsi="Verdana"/>
                <w:sz w:val="16"/>
                <w:szCs w:val="16"/>
              </w:rPr>
              <w:t>Fomentar la participación directa de empresas mexicanas para llevar a cabo, por sí mismas, las actividades en la industria de Hidrocarburos;</w:t>
            </w:r>
          </w:p>
        </w:tc>
        <w:tc>
          <w:tcPr>
            <w:tcW w:w="4675" w:type="dxa"/>
          </w:tcPr>
          <w:p w14:paraId="17EF7CD1" w14:textId="2747FEF7"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 </w:t>
            </w:r>
            <w:r w:rsidRPr="00E3602D">
              <w:rPr>
                <w:rFonts w:ascii="Verdana" w:hAnsi="Verdana"/>
                <w:b/>
                <w:sz w:val="16"/>
                <w:szCs w:val="16"/>
                <w:lang w:val="en-US"/>
              </w:rPr>
              <w:tab/>
            </w:r>
            <w:r w:rsidRPr="00E3602D">
              <w:rPr>
                <w:rFonts w:ascii="Verdana" w:hAnsi="Verdana"/>
                <w:sz w:val="16"/>
                <w:szCs w:val="16"/>
                <w:lang w:val="en-US"/>
              </w:rPr>
              <w:t>Promote the direct participation of Mexican companies to carry out, by themselves, activities in the hydrocarbon industry;</w:t>
            </w:r>
          </w:p>
        </w:tc>
      </w:tr>
      <w:tr w:rsidR="003B20AD" w:rsidRPr="00475A0C" w14:paraId="0F662C37" w14:textId="7497211F" w:rsidTr="007B36AB">
        <w:tc>
          <w:tcPr>
            <w:tcW w:w="4675" w:type="dxa"/>
          </w:tcPr>
          <w:p w14:paraId="5A6FD5B3"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b)</w:t>
            </w:r>
            <w:r w:rsidRPr="00475A0C">
              <w:rPr>
                <w:rFonts w:ascii="Verdana" w:hAnsi="Verdana"/>
                <w:b/>
                <w:sz w:val="16"/>
                <w:szCs w:val="16"/>
              </w:rPr>
              <w:tab/>
            </w:r>
            <w:r w:rsidRPr="00475A0C">
              <w:rPr>
                <w:rFonts w:ascii="Verdana" w:hAnsi="Verdana"/>
                <w:sz w:val="16"/>
                <w:szCs w:val="16"/>
              </w:rPr>
              <w:t>Promover la asociación entre empresas mexicanas y extranjeras, para llevar a cabo las actividades en la industria de Hidrocarburos;</w:t>
            </w:r>
          </w:p>
        </w:tc>
        <w:tc>
          <w:tcPr>
            <w:tcW w:w="4675" w:type="dxa"/>
          </w:tcPr>
          <w:p w14:paraId="64DEA96E" w14:textId="100D11D1"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b) </w:t>
            </w:r>
            <w:r w:rsidRPr="00E3602D">
              <w:rPr>
                <w:rFonts w:ascii="Verdana" w:hAnsi="Verdana"/>
                <w:b/>
                <w:sz w:val="16"/>
                <w:szCs w:val="16"/>
                <w:lang w:val="en-US"/>
              </w:rPr>
              <w:tab/>
            </w:r>
            <w:r w:rsidRPr="00E3602D">
              <w:rPr>
                <w:rFonts w:ascii="Verdana" w:hAnsi="Verdana"/>
                <w:sz w:val="16"/>
                <w:szCs w:val="16"/>
                <w:lang w:val="en-US"/>
              </w:rPr>
              <w:t>Promote the association between Mexican and foreign companies to carry out activities in the hydrocarbon industry;</w:t>
            </w:r>
          </w:p>
        </w:tc>
      </w:tr>
      <w:tr w:rsidR="003B20AD" w:rsidRPr="00475A0C" w14:paraId="6939DBE5" w14:textId="6C4182C7" w:rsidTr="007B36AB">
        <w:tc>
          <w:tcPr>
            <w:tcW w:w="4675" w:type="dxa"/>
          </w:tcPr>
          <w:p w14:paraId="5DBAFAF1"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c)</w:t>
            </w:r>
            <w:r w:rsidRPr="00475A0C">
              <w:rPr>
                <w:rFonts w:ascii="Verdana" w:hAnsi="Verdana"/>
                <w:b/>
                <w:sz w:val="16"/>
                <w:szCs w:val="16"/>
              </w:rPr>
              <w:tab/>
            </w:r>
            <w:r w:rsidRPr="00475A0C">
              <w:rPr>
                <w:rFonts w:ascii="Verdana" w:hAnsi="Verdana"/>
                <w:sz w:val="16"/>
                <w:szCs w:val="16"/>
              </w:rPr>
              <w:t>Promover la inversión nacional y extranjera para que se realicen actividades de permanencia en México directamente en la industria de Hidrocarburos, o bien en la fabricación de bienes o prestación de servicios relacionados con esta industria, y</w:t>
            </w:r>
          </w:p>
        </w:tc>
        <w:tc>
          <w:tcPr>
            <w:tcW w:w="4675" w:type="dxa"/>
          </w:tcPr>
          <w:p w14:paraId="2843103E" w14:textId="6071285C"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c) </w:t>
            </w:r>
            <w:r w:rsidRPr="00E3602D">
              <w:rPr>
                <w:rFonts w:ascii="Verdana" w:hAnsi="Verdana"/>
                <w:b/>
                <w:sz w:val="16"/>
                <w:szCs w:val="16"/>
                <w:lang w:val="en-US"/>
              </w:rPr>
              <w:tab/>
            </w:r>
            <w:r w:rsidRPr="00E3602D">
              <w:rPr>
                <w:rFonts w:ascii="Verdana" w:hAnsi="Verdana"/>
                <w:sz w:val="16"/>
                <w:szCs w:val="16"/>
                <w:lang w:val="en-US"/>
              </w:rPr>
              <w:t>Promote national and foreign investment to carry out permanent activities in Mexico directly in the hydrocarbon industry, or in the manufacture of goods or provision of services related to this industry, and</w:t>
            </w:r>
          </w:p>
        </w:tc>
      </w:tr>
      <w:tr w:rsidR="003B20AD" w:rsidRPr="00475A0C" w14:paraId="396EAB62" w14:textId="551AC61C" w:rsidTr="007B36AB">
        <w:tc>
          <w:tcPr>
            <w:tcW w:w="4675" w:type="dxa"/>
          </w:tcPr>
          <w:p w14:paraId="6BB5D30E"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d)</w:t>
            </w:r>
            <w:r w:rsidRPr="00475A0C">
              <w:rPr>
                <w:rFonts w:ascii="Verdana" w:hAnsi="Verdana"/>
                <w:b/>
                <w:sz w:val="16"/>
                <w:szCs w:val="16"/>
              </w:rPr>
              <w:tab/>
            </w:r>
            <w:r w:rsidRPr="00475A0C">
              <w:rPr>
                <w:rFonts w:ascii="Verdana" w:hAnsi="Verdana"/>
                <w:sz w:val="16"/>
                <w:szCs w:val="16"/>
              </w:rPr>
              <w:t>Impulsar la transferencia de tecnología y conocimiento.</w:t>
            </w:r>
          </w:p>
        </w:tc>
        <w:tc>
          <w:tcPr>
            <w:tcW w:w="4675" w:type="dxa"/>
          </w:tcPr>
          <w:p w14:paraId="7F2EFC08" w14:textId="70263C6B"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d) </w:t>
            </w:r>
            <w:r w:rsidRPr="00E3602D">
              <w:rPr>
                <w:rFonts w:ascii="Verdana" w:hAnsi="Verdana"/>
                <w:b/>
                <w:sz w:val="16"/>
                <w:szCs w:val="16"/>
                <w:lang w:val="en-US"/>
              </w:rPr>
              <w:tab/>
            </w:r>
            <w:r w:rsidRPr="00E3602D">
              <w:rPr>
                <w:rFonts w:ascii="Verdana" w:hAnsi="Verdana"/>
                <w:sz w:val="16"/>
                <w:szCs w:val="16"/>
                <w:lang w:val="en-US"/>
              </w:rPr>
              <w:t>Promote the transfer of technology and knowledge.</w:t>
            </w:r>
          </w:p>
        </w:tc>
      </w:tr>
      <w:tr w:rsidR="003B20AD" w:rsidRPr="00475A0C" w14:paraId="6C38C17A" w14:textId="12F2CB02" w:rsidTr="007B36AB">
        <w:tc>
          <w:tcPr>
            <w:tcW w:w="4675" w:type="dxa"/>
          </w:tcPr>
          <w:p w14:paraId="65B1ACA2"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Corresponde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dar seguimiento al avance de las estrategias a que se refiere este artículo, así como elaborar y publicar, de forma anual, un informe sobre los avances en la implementación de dichas estrategias, el cual debe ser presentado al Congreso de </w:t>
            </w:r>
            <w:smartTag w:uri="urn:schemas-microsoft-com:office:smarttags" w:element="PersonName">
              <w:smartTagPr>
                <w:attr w:name="ProductID" w:val="la Unión"/>
              </w:smartTagPr>
              <w:r w:rsidRPr="00475A0C">
                <w:rPr>
                  <w:rFonts w:ascii="Verdana" w:hAnsi="Verdana"/>
                  <w:sz w:val="16"/>
                  <w:szCs w:val="16"/>
                </w:rPr>
                <w:t>la Unión</w:t>
              </w:r>
            </w:smartTag>
            <w:r w:rsidRPr="00475A0C">
              <w:rPr>
                <w:rFonts w:ascii="Verdana" w:hAnsi="Verdana"/>
                <w:sz w:val="16"/>
                <w:szCs w:val="16"/>
              </w:rPr>
              <w:t xml:space="preserve"> a más tardar el treinta de junio de cada año.</w:t>
            </w:r>
          </w:p>
        </w:tc>
        <w:tc>
          <w:tcPr>
            <w:tcW w:w="4675" w:type="dxa"/>
          </w:tcPr>
          <w:p w14:paraId="0762C101" w14:textId="3A2C7377"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It is the responsibility of the Secretary of Economy to monitor the progress of the strategies referred to in this article, as well as to prepare and publish, annually, a report on the progress in the implementation of said strategies, which must be submitted to Congress of the Union no later than June 30 of each year.</w:t>
            </w:r>
          </w:p>
        </w:tc>
      </w:tr>
      <w:tr w:rsidR="003B20AD" w:rsidRPr="00475A0C" w14:paraId="7812593C" w14:textId="777F1C8E" w:rsidTr="007B36AB">
        <w:tc>
          <w:tcPr>
            <w:tcW w:w="4675" w:type="dxa"/>
          </w:tcPr>
          <w:p w14:paraId="58636479"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162.-</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debe establecer la metodología para medir el contenido nacional en la industria de Hidrocarburos, así como su verificación, para lo cual puede contar con el apoyo de un tercero independiente o de las autoridades competentes.</w:t>
            </w:r>
          </w:p>
        </w:tc>
        <w:tc>
          <w:tcPr>
            <w:tcW w:w="4675" w:type="dxa"/>
          </w:tcPr>
          <w:p w14:paraId="627764E0" w14:textId="6B3E638D"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Article 162.-</w:t>
            </w:r>
            <w:r w:rsidRPr="00E3602D">
              <w:rPr>
                <w:rFonts w:ascii="Verdana" w:hAnsi="Verdana"/>
                <w:sz w:val="16"/>
                <w:szCs w:val="16"/>
                <w:lang w:val="en-US"/>
              </w:rPr>
              <w:t xml:space="preserve"> The Secretary of Economy must establish the methodology for measuring national content in the hydrocarbon industry, as well as its verification, for which it may rely on the support of an independent third party or the appropriate authorities.</w:t>
            </w:r>
          </w:p>
        </w:tc>
      </w:tr>
      <w:tr w:rsidR="003B20AD" w:rsidRPr="00475A0C" w14:paraId="6CFAEE44" w14:textId="6C23F631" w:rsidTr="007B36AB">
        <w:tc>
          <w:tcPr>
            <w:tcW w:w="4675" w:type="dxa"/>
          </w:tcPr>
          <w:p w14:paraId="72F6467C"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 xml:space="preserve">Las personas Asignatarias, Contratistas y Permisionarias a que se refiere esta Ley, deben proporcionar información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w:t>
            </w:r>
            <w:r w:rsidRPr="00475A0C">
              <w:rPr>
                <w:rFonts w:ascii="Verdana" w:hAnsi="Verdana"/>
                <w:sz w:val="16"/>
                <w:szCs w:val="16"/>
              </w:rPr>
              <w:lastRenderedPageBreak/>
              <w:t>sobre el contenido nacional en las actividades que realicen, conforme a lo que establezcan las disposiciones que para tal efecto emita.</w:t>
            </w:r>
          </w:p>
        </w:tc>
        <w:tc>
          <w:tcPr>
            <w:tcW w:w="4675" w:type="dxa"/>
          </w:tcPr>
          <w:p w14:paraId="3AA8B242" w14:textId="2CFCCD5B"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lastRenderedPageBreak/>
              <w:t xml:space="preserve">The Assignees, Contractors and Permit Holders referred to in this Law must provide information to the Secretary of Economy regarding the national content in the </w:t>
            </w:r>
            <w:r w:rsidRPr="00E3602D">
              <w:rPr>
                <w:rFonts w:ascii="Verdana" w:hAnsi="Verdana"/>
                <w:sz w:val="16"/>
                <w:szCs w:val="16"/>
                <w:lang w:val="en-US"/>
              </w:rPr>
              <w:lastRenderedPageBreak/>
              <w:t>activities they carry out, in accordance with the provisions issued for this purpose.</w:t>
            </w:r>
          </w:p>
        </w:tc>
      </w:tr>
      <w:tr w:rsidR="003B20AD" w:rsidRPr="00475A0C" w14:paraId="480F68AF" w14:textId="21DB5160" w:rsidTr="007B36AB">
        <w:tc>
          <w:tcPr>
            <w:tcW w:w="4675" w:type="dxa"/>
          </w:tcPr>
          <w:p w14:paraId="7193A435"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163.-</w:t>
            </w:r>
            <w:r w:rsidRPr="00475A0C">
              <w:rPr>
                <w:rFonts w:ascii="Verdana" w:hAnsi="Verdana"/>
                <w:sz w:val="16"/>
                <w:szCs w:val="16"/>
              </w:rPr>
              <w:t xml:space="preserv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con la opinión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deben establecer dentro de las condiciones que se incluyan en las Asignaciones y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así como en los permisos que contempla esta Ley que, bajo las mismas circunstancias, incluyendo igualdad de precios, calidad y entrega oportuna, se debe dar preferencia a:</w:t>
            </w:r>
          </w:p>
        </w:tc>
        <w:tc>
          <w:tcPr>
            <w:tcW w:w="4675" w:type="dxa"/>
          </w:tcPr>
          <w:p w14:paraId="75CD8C44" w14:textId="7E5E2382"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Article 163.-</w:t>
            </w:r>
            <w:r w:rsidRPr="00E3602D">
              <w:rPr>
                <w:rFonts w:ascii="Verdana" w:hAnsi="Verdana"/>
                <w:sz w:val="16"/>
                <w:szCs w:val="16"/>
                <w:lang w:val="en-US"/>
              </w:rPr>
              <w:t xml:space="preserve"> The Secretary of Energy and the National Commission of Energy, with the opinion of the Secretary of Economy, must establish within the conditions included in the Assignments and Contracts for exploration and extraction, as well as in the permits contemplated by this Law that, under the same circumstances, including equality of price, quality and timely delivery, preference must be given to:</w:t>
            </w:r>
          </w:p>
        </w:tc>
      </w:tr>
      <w:tr w:rsidR="003B20AD" w:rsidRPr="00475A0C" w14:paraId="513AC098" w14:textId="3579445C" w:rsidTr="007B36AB">
        <w:tc>
          <w:tcPr>
            <w:tcW w:w="4675" w:type="dxa"/>
          </w:tcPr>
          <w:p w14:paraId="122FDCE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La adquisición de bienes nacionales, y</w:t>
            </w:r>
          </w:p>
        </w:tc>
        <w:tc>
          <w:tcPr>
            <w:tcW w:w="4675" w:type="dxa"/>
          </w:tcPr>
          <w:p w14:paraId="084047FB" w14:textId="69C75FCF"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The acquisition of national assets, and</w:t>
            </w:r>
          </w:p>
        </w:tc>
      </w:tr>
      <w:tr w:rsidR="003B20AD" w:rsidRPr="00475A0C" w14:paraId="26DB98BA" w14:textId="33045E8C" w:rsidTr="007B36AB">
        <w:tc>
          <w:tcPr>
            <w:tcW w:w="4675" w:type="dxa"/>
          </w:tcPr>
          <w:p w14:paraId="55FB5AEA"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La contratación de servicios de origen nacional, incluyendo la capacitación y contratación, a nivel técnico y directivo, de personas de nacionalidad mexicana.</w:t>
            </w:r>
          </w:p>
        </w:tc>
        <w:tc>
          <w:tcPr>
            <w:tcW w:w="4675" w:type="dxa"/>
          </w:tcPr>
          <w:p w14:paraId="49ABE21F" w14:textId="64CE6C51"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The contracting of services of national origin, including the training and hiring, at the technical and managerial levels, of persons with Mexican nationality.</w:t>
            </w:r>
          </w:p>
        </w:tc>
      </w:tr>
      <w:tr w:rsidR="003B20AD" w:rsidRPr="00475A0C" w14:paraId="0CD52845" w14:textId="6E273696" w:rsidTr="007B36AB">
        <w:tc>
          <w:tcPr>
            <w:tcW w:w="4675" w:type="dxa"/>
          </w:tcPr>
          <w:p w14:paraId="517EE99E" w14:textId="77777777" w:rsidR="003B20AD" w:rsidRPr="00475A0C" w:rsidRDefault="003B20AD" w:rsidP="003B20AD">
            <w:pPr>
              <w:pStyle w:val="Texto"/>
              <w:spacing w:line="220" w:lineRule="exact"/>
              <w:ind w:firstLine="0"/>
              <w:jc w:val="center"/>
              <w:rPr>
                <w:rFonts w:ascii="Verdana" w:hAnsi="Verdana"/>
                <w:b/>
                <w:sz w:val="16"/>
                <w:szCs w:val="16"/>
              </w:rPr>
            </w:pPr>
            <w:r w:rsidRPr="00475A0C">
              <w:rPr>
                <w:rFonts w:ascii="Verdana" w:hAnsi="Verdana"/>
                <w:b/>
                <w:sz w:val="16"/>
                <w:szCs w:val="16"/>
              </w:rPr>
              <w:t>Capítulo VII</w:t>
            </w:r>
          </w:p>
        </w:tc>
        <w:tc>
          <w:tcPr>
            <w:tcW w:w="4675" w:type="dxa"/>
          </w:tcPr>
          <w:p w14:paraId="71660ECD" w14:textId="1E575934" w:rsidR="003B20AD" w:rsidRPr="00E3602D" w:rsidRDefault="003B20AD" w:rsidP="003B20AD">
            <w:pPr>
              <w:pStyle w:val="Texto"/>
              <w:spacing w:line="220" w:lineRule="exact"/>
              <w:ind w:firstLine="0"/>
              <w:jc w:val="center"/>
              <w:rPr>
                <w:rFonts w:ascii="Verdana" w:hAnsi="Verdana"/>
                <w:b/>
                <w:sz w:val="16"/>
                <w:szCs w:val="16"/>
                <w:lang w:val="en-US"/>
              </w:rPr>
            </w:pPr>
            <w:r w:rsidRPr="00E3602D">
              <w:rPr>
                <w:rFonts w:ascii="Verdana" w:hAnsi="Verdana"/>
                <w:b/>
                <w:sz w:val="16"/>
                <w:szCs w:val="16"/>
                <w:lang w:val="en-US"/>
              </w:rPr>
              <w:t>Chapter VII</w:t>
            </w:r>
          </w:p>
        </w:tc>
      </w:tr>
      <w:tr w:rsidR="003B20AD" w:rsidRPr="00475A0C" w14:paraId="28CC6591" w14:textId="3E1CB626" w:rsidTr="007B36AB">
        <w:tc>
          <w:tcPr>
            <w:tcW w:w="4675" w:type="dxa"/>
          </w:tcPr>
          <w:p w14:paraId="687698AF" w14:textId="77777777" w:rsidR="003B20AD" w:rsidRPr="00475A0C" w:rsidRDefault="003B20AD" w:rsidP="003B20AD">
            <w:pPr>
              <w:pStyle w:val="Texto"/>
              <w:spacing w:line="220" w:lineRule="exact"/>
              <w:ind w:firstLine="0"/>
              <w:jc w:val="center"/>
              <w:rPr>
                <w:rFonts w:ascii="Verdana" w:hAnsi="Verdana"/>
                <w:sz w:val="16"/>
                <w:szCs w:val="16"/>
              </w:rPr>
            </w:pPr>
            <w:r w:rsidRPr="00475A0C">
              <w:rPr>
                <w:rFonts w:ascii="Verdana" w:hAnsi="Verdana"/>
                <w:b/>
                <w:sz w:val="16"/>
                <w:szCs w:val="16"/>
              </w:rPr>
              <w:t xml:space="preserve">De </w:t>
            </w:r>
            <w:smartTag w:uri="urn:schemas-microsoft-com:office:smarttags" w:element="PersonName">
              <w:smartTagPr>
                <w:attr w:name="ProductID" w:val="la Seguridad Industrial"/>
              </w:smartTagPr>
              <w:r w:rsidRPr="00475A0C">
                <w:rPr>
                  <w:rFonts w:ascii="Verdana" w:hAnsi="Verdana"/>
                  <w:b/>
                  <w:sz w:val="16"/>
                  <w:szCs w:val="16"/>
                </w:rPr>
                <w:t>la Seguridad Industrial</w:t>
              </w:r>
            </w:smartTag>
            <w:r w:rsidRPr="00475A0C">
              <w:rPr>
                <w:rFonts w:ascii="Verdana" w:hAnsi="Verdana"/>
                <w:b/>
                <w:sz w:val="16"/>
                <w:szCs w:val="16"/>
              </w:rPr>
              <w:t xml:space="preserve"> y </w:t>
            </w:r>
            <w:smartTag w:uri="urn:schemas-microsoft-com:office:smarttags" w:element="PersonName">
              <w:smartTagPr>
                <w:attr w:name="ProductID" w:val="la Protección"/>
              </w:smartTagPr>
              <w:r w:rsidRPr="00475A0C">
                <w:rPr>
                  <w:rFonts w:ascii="Verdana" w:hAnsi="Verdana"/>
                  <w:b/>
                  <w:sz w:val="16"/>
                  <w:szCs w:val="16"/>
                </w:rPr>
                <w:t>la Protección</w:t>
              </w:r>
            </w:smartTag>
            <w:r w:rsidRPr="00475A0C">
              <w:rPr>
                <w:rFonts w:ascii="Verdana" w:hAnsi="Verdana"/>
                <w:b/>
                <w:sz w:val="16"/>
                <w:szCs w:val="16"/>
              </w:rPr>
              <w:t xml:space="preserve"> al Medio Ambiente</w:t>
            </w:r>
          </w:p>
        </w:tc>
        <w:tc>
          <w:tcPr>
            <w:tcW w:w="4675" w:type="dxa"/>
          </w:tcPr>
          <w:p w14:paraId="6E84A346" w14:textId="10FF10E3" w:rsidR="003B20AD" w:rsidRPr="00E3602D" w:rsidRDefault="003B20AD" w:rsidP="003B20AD">
            <w:pPr>
              <w:pStyle w:val="Texto"/>
              <w:spacing w:line="220" w:lineRule="exact"/>
              <w:ind w:firstLine="0"/>
              <w:jc w:val="center"/>
              <w:rPr>
                <w:rFonts w:ascii="Verdana" w:hAnsi="Verdana"/>
                <w:b/>
                <w:sz w:val="16"/>
                <w:szCs w:val="16"/>
                <w:lang w:val="en-US"/>
              </w:rPr>
            </w:pPr>
            <w:r w:rsidRPr="00E3602D">
              <w:rPr>
                <w:rFonts w:ascii="Verdana" w:hAnsi="Verdana"/>
                <w:b/>
                <w:sz w:val="16"/>
                <w:szCs w:val="16"/>
                <w:lang w:val="en-US"/>
              </w:rPr>
              <w:t>Industrial Safety and Protection of the Environment</w:t>
            </w:r>
          </w:p>
        </w:tc>
      </w:tr>
      <w:tr w:rsidR="003B20AD" w:rsidRPr="00475A0C" w14:paraId="5DFD60F1" w14:textId="19F8B289" w:rsidTr="007B36AB">
        <w:tc>
          <w:tcPr>
            <w:tcW w:w="4675" w:type="dxa"/>
          </w:tcPr>
          <w:p w14:paraId="4461260C" w14:textId="77777777" w:rsidR="003B20AD" w:rsidRPr="00475A0C" w:rsidRDefault="003B20AD" w:rsidP="003B20AD">
            <w:pPr>
              <w:pStyle w:val="Texto"/>
              <w:spacing w:line="220" w:lineRule="exact"/>
              <w:ind w:firstLine="0"/>
              <w:rPr>
                <w:rFonts w:ascii="Verdana" w:hAnsi="Verdana"/>
                <w:b/>
                <w:sz w:val="16"/>
                <w:szCs w:val="16"/>
              </w:rPr>
            </w:pPr>
            <w:r w:rsidRPr="00475A0C">
              <w:rPr>
                <w:rFonts w:ascii="Verdana" w:hAnsi="Verdana"/>
                <w:b/>
                <w:sz w:val="16"/>
                <w:szCs w:val="16"/>
              </w:rPr>
              <w:t>Artículo 164.-</w:t>
            </w:r>
            <w:r w:rsidRPr="00475A0C">
              <w:rPr>
                <w:rFonts w:ascii="Verdana" w:hAnsi="Verdana"/>
                <w:sz w:val="16"/>
                <w:szCs w:val="16"/>
              </w:rPr>
              <w:t xml:space="preserve"> Corresponde a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emitir la regulación y la normatividad aplicable en materia de seguridad industrial y operativa, así como de protección al medio ambiente en la industria de Hidrocarburos, a fin de promover, aprovechar y desarrollar de manera sustentable las actividades de la industria de Hidrocarburos.</w:t>
            </w:r>
          </w:p>
        </w:tc>
        <w:tc>
          <w:tcPr>
            <w:tcW w:w="4675" w:type="dxa"/>
          </w:tcPr>
          <w:p w14:paraId="74E5F8CC" w14:textId="0C108FBA"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164.- </w:t>
            </w:r>
            <w:r w:rsidRPr="00E3602D">
              <w:rPr>
                <w:rFonts w:ascii="Verdana" w:hAnsi="Verdana"/>
                <w:sz w:val="16"/>
                <w:szCs w:val="16"/>
                <w:lang w:val="en-US"/>
              </w:rPr>
              <w:t>It is the responsibility of the Agency to issue the regulation and applicable standards regarding industrial and operational safety, as well as environmental protection in the hydrocarbon industry, in order to promote, utilize and sustainably develop the activities of the hydrocarbon industry.</w:t>
            </w:r>
          </w:p>
        </w:tc>
      </w:tr>
      <w:tr w:rsidR="003B20AD" w:rsidRPr="00475A0C" w14:paraId="3CFB2204" w14:textId="7D81929F" w:rsidTr="007B36AB">
        <w:tc>
          <w:tcPr>
            <w:tcW w:w="4675" w:type="dxa"/>
          </w:tcPr>
          <w:p w14:paraId="5C7CDB6F"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sz w:val="16"/>
                <w:szCs w:val="16"/>
              </w:rPr>
              <w:t>La Agencia debe aportar los elementos técnicos para el diseño y la definición de la política pública en materia energética, de protección al medio ambiente y recursos naturales, así como para la formulación de los programas sectoriales en la materia, que se relacionen con su objeto.</w:t>
            </w:r>
          </w:p>
        </w:tc>
        <w:tc>
          <w:tcPr>
            <w:tcW w:w="4675" w:type="dxa"/>
          </w:tcPr>
          <w:p w14:paraId="6EE2CD54" w14:textId="556F2685"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The Agency must provide the technical elements for the design and definition of public policy on energy, environmental protection, and natural resources, as well as for the formulation of sectoral programs related to its purpose.</w:t>
            </w:r>
          </w:p>
        </w:tc>
      </w:tr>
      <w:tr w:rsidR="003B20AD" w:rsidRPr="00475A0C" w14:paraId="16687B81" w14:textId="56B5462C" w:rsidTr="007B36AB">
        <w:tc>
          <w:tcPr>
            <w:tcW w:w="4675" w:type="dxa"/>
          </w:tcPr>
          <w:p w14:paraId="0954D47D" w14:textId="77777777" w:rsidR="003B20AD" w:rsidRPr="00475A0C" w:rsidRDefault="003B20AD" w:rsidP="003B20AD">
            <w:pPr>
              <w:pStyle w:val="Texto"/>
              <w:spacing w:line="220" w:lineRule="exact"/>
              <w:ind w:firstLine="0"/>
              <w:rPr>
                <w:rFonts w:ascii="Verdana" w:hAnsi="Verdana"/>
                <w:b/>
                <w:sz w:val="16"/>
                <w:szCs w:val="16"/>
              </w:rPr>
            </w:pPr>
            <w:r w:rsidRPr="00475A0C">
              <w:rPr>
                <w:rFonts w:ascii="Verdana" w:hAnsi="Verdana"/>
                <w:sz w:val="16"/>
                <w:szCs w:val="16"/>
              </w:rPr>
              <w:t>La Agencia se rige</w:t>
            </w:r>
            <w:r w:rsidRPr="00475A0C">
              <w:rPr>
                <w:rFonts w:ascii="Verdana" w:hAnsi="Verdana"/>
                <w:b/>
                <w:sz w:val="16"/>
                <w:szCs w:val="16"/>
              </w:rPr>
              <w:t xml:space="preserve"> </w:t>
            </w:r>
            <w:r w:rsidRPr="00475A0C">
              <w:rPr>
                <w:rFonts w:ascii="Verdana" w:hAnsi="Verdana"/>
                <w:sz w:val="16"/>
                <w:szCs w:val="16"/>
              </w:rPr>
              <w:t>por lo dispuesto en su propia ley.</w:t>
            </w:r>
          </w:p>
        </w:tc>
        <w:tc>
          <w:tcPr>
            <w:tcW w:w="4675" w:type="dxa"/>
          </w:tcPr>
          <w:p w14:paraId="0351DC88" w14:textId="2425A72B" w:rsidR="003B20AD" w:rsidRPr="00E3602D" w:rsidRDefault="003B20AD" w:rsidP="003B20AD">
            <w:pPr>
              <w:pStyle w:val="Texto"/>
              <w:spacing w:line="220" w:lineRule="exact"/>
              <w:ind w:firstLine="0"/>
              <w:rPr>
                <w:rFonts w:ascii="Verdana" w:hAnsi="Verdana"/>
                <w:sz w:val="16"/>
                <w:szCs w:val="16"/>
                <w:lang w:val="en-US"/>
              </w:rPr>
            </w:pPr>
            <w:r w:rsidRPr="00E3602D">
              <w:rPr>
                <w:rFonts w:ascii="Verdana" w:hAnsi="Verdana"/>
                <w:sz w:val="16"/>
                <w:szCs w:val="16"/>
                <w:lang w:val="en-US"/>
              </w:rPr>
              <w:t>The Agency is governed</w:t>
            </w:r>
            <w:r w:rsidRPr="00E3602D">
              <w:rPr>
                <w:rFonts w:ascii="Verdana" w:hAnsi="Verdana"/>
                <w:b/>
                <w:sz w:val="16"/>
                <w:szCs w:val="16"/>
                <w:lang w:val="en-US"/>
              </w:rPr>
              <w:t xml:space="preserve"> </w:t>
            </w:r>
            <w:r w:rsidRPr="00E3602D">
              <w:rPr>
                <w:rFonts w:ascii="Verdana" w:hAnsi="Verdana"/>
                <w:sz w:val="16"/>
                <w:szCs w:val="16"/>
                <w:lang w:val="en-US"/>
              </w:rPr>
              <w:t>as provided in its own law.</w:t>
            </w:r>
          </w:p>
        </w:tc>
      </w:tr>
      <w:tr w:rsidR="003B20AD" w:rsidRPr="00475A0C" w14:paraId="3AA6E988" w14:textId="2B6EC0CE" w:rsidTr="007B36AB">
        <w:tc>
          <w:tcPr>
            <w:tcW w:w="4675" w:type="dxa"/>
          </w:tcPr>
          <w:p w14:paraId="4156D144" w14:textId="77777777" w:rsidR="003B20AD" w:rsidRPr="00475A0C" w:rsidRDefault="003B20AD" w:rsidP="003B20AD">
            <w:pPr>
              <w:pStyle w:val="Texto"/>
              <w:spacing w:line="220" w:lineRule="exact"/>
              <w:ind w:firstLine="0"/>
              <w:rPr>
                <w:rFonts w:ascii="Verdana" w:hAnsi="Verdana"/>
                <w:sz w:val="16"/>
                <w:szCs w:val="16"/>
              </w:rPr>
            </w:pPr>
            <w:r w:rsidRPr="00475A0C">
              <w:rPr>
                <w:rFonts w:ascii="Verdana" w:hAnsi="Verdana"/>
                <w:b/>
                <w:sz w:val="16"/>
                <w:szCs w:val="16"/>
              </w:rPr>
              <w:t>Artículo 165.-</w:t>
            </w:r>
            <w:r w:rsidRPr="00475A0C">
              <w:rPr>
                <w:rFonts w:ascii="Verdana" w:hAnsi="Verdana"/>
                <w:sz w:val="16"/>
                <w:szCs w:val="16"/>
              </w:rPr>
              <w:t xml:space="preserve"> Las personas Asignatarias, Contratistas, Autorizadas y Permisionarias deben ejecutar las acciones de prevención y de reparación de daños al medio ambiente o al equilibrio ecológico que ocasionen con sus actividades y están obligados a sufragar los costos inherentes a dicha reparación, cuando sean declarados responsables por resolución de la autoridad competente, en términos de las disposiciones aplicables.</w:t>
            </w:r>
          </w:p>
        </w:tc>
        <w:tc>
          <w:tcPr>
            <w:tcW w:w="4675" w:type="dxa"/>
          </w:tcPr>
          <w:p w14:paraId="52E76305" w14:textId="64A47E48" w:rsidR="003B20AD" w:rsidRPr="00E3602D" w:rsidRDefault="003B20AD" w:rsidP="003B20AD">
            <w:pPr>
              <w:pStyle w:val="Texto"/>
              <w:spacing w:line="220" w:lineRule="exact"/>
              <w:ind w:firstLine="0"/>
              <w:rPr>
                <w:rFonts w:ascii="Verdana" w:hAnsi="Verdana"/>
                <w:b/>
                <w:sz w:val="16"/>
                <w:szCs w:val="16"/>
                <w:lang w:val="en-US"/>
              </w:rPr>
            </w:pPr>
            <w:r w:rsidRPr="00E3602D">
              <w:rPr>
                <w:rFonts w:ascii="Verdana" w:hAnsi="Verdana"/>
                <w:b/>
                <w:sz w:val="16"/>
                <w:szCs w:val="16"/>
                <w:lang w:val="en-US"/>
              </w:rPr>
              <w:t xml:space="preserve">Article 165.- </w:t>
            </w:r>
            <w:r w:rsidRPr="00E3602D">
              <w:rPr>
                <w:rFonts w:ascii="Verdana" w:hAnsi="Verdana"/>
                <w:bCs/>
                <w:sz w:val="16"/>
                <w:szCs w:val="16"/>
                <w:lang w:val="en-US"/>
              </w:rPr>
              <w:t>The</w:t>
            </w:r>
            <w:r w:rsidRPr="00E3602D">
              <w:rPr>
                <w:rFonts w:ascii="Verdana" w:hAnsi="Verdana"/>
                <w:b/>
                <w:sz w:val="16"/>
                <w:szCs w:val="16"/>
                <w:lang w:val="en-US"/>
              </w:rPr>
              <w:t xml:space="preserve"> </w:t>
            </w:r>
            <w:r w:rsidRPr="00E3602D">
              <w:rPr>
                <w:rFonts w:ascii="Verdana" w:hAnsi="Verdana"/>
                <w:sz w:val="16"/>
                <w:szCs w:val="16"/>
                <w:lang w:val="en-US"/>
              </w:rPr>
              <w:t>Assignees, Contractors, Authorized Persons and Permit Holders must carry out actions to prevent and repair damage to the environment or the ecological balance caused by their activities and are obligated to cover the costs inherent to said repair, when they are declared responsible by a resolution of the appropriate authority, in terms of the applicable provisions.</w:t>
            </w:r>
          </w:p>
        </w:tc>
      </w:tr>
      <w:tr w:rsidR="003B20AD" w:rsidRPr="00475A0C" w14:paraId="01F42E76" w14:textId="246A3462" w:rsidTr="007B36AB">
        <w:tc>
          <w:tcPr>
            <w:tcW w:w="4675" w:type="dxa"/>
          </w:tcPr>
          <w:p w14:paraId="3059D95A" w14:textId="77777777" w:rsidR="003B20AD" w:rsidRPr="00475A0C" w:rsidRDefault="003B20AD" w:rsidP="003B20AD">
            <w:pPr>
              <w:pStyle w:val="Texto"/>
              <w:spacing w:line="222" w:lineRule="exact"/>
              <w:ind w:firstLine="0"/>
              <w:jc w:val="center"/>
              <w:rPr>
                <w:rFonts w:ascii="Verdana" w:hAnsi="Verdana"/>
                <w:b/>
                <w:sz w:val="16"/>
                <w:szCs w:val="16"/>
              </w:rPr>
            </w:pPr>
            <w:r w:rsidRPr="00475A0C">
              <w:rPr>
                <w:rFonts w:ascii="Verdana" w:hAnsi="Verdana"/>
                <w:b/>
                <w:sz w:val="16"/>
                <w:szCs w:val="16"/>
              </w:rPr>
              <w:t>Capítulo VIII</w:t>
            </w:r>
          </w:p>
        </w:tc>
        <w:tc>
          <w:tcPr>
            <w:tcW w:w="4675" w:type="dxa"/>
          </w:tcPr>
          <w:p w14:paraId="19684D4D" w14:textId="0F7ADF77" w:rsidR="003B20AD" w:rsidRPr="00E3602D" w:rsidRDefault="003B20AD" w:rsidP="003B20AD">
            <w:pPr>
              <w:pStyle w:val="Texto"/>
              <w:spacing w:line="222" w:lineRule="exact"/>
              <w:ind w:firstLine="0"/>
              <w:jc w:val="center"/>
              <w:rPr>
                <w:rFonts w:ascii="Verdana" w:hAnsi="Verdana"/>
                <w:b/>
                <w:sz w:val="16"/>
                <w:szCs w:val="16"/>
                <w:lang w:val="en-US"/>
              </w:rPr>
            </w:pPr>
            <w:r w:rsidRPr="00E3602D">
              <w:rPr>
                <w:rFonts w:ascii="Verdana" w:hAnsi="Verdana"/>
                <w:b/>
                <w:sz w:val="16"/>
                <w:szCs w:val="16"/>
                <w:lang w:val="en-US"/>
              </w:rPr>
              <w:t>Chapter VIII</w:t>
            </w:r>
          </w:p>
        </w:tc>
      </w:tr>
      <w:tr w:rsidR="003B20AD" w:rsidRPr="00475A0C" w14:paraId="17A0022E" w14:textId="63F83FD2" w:rsidTr="007B36AB">
        <w:tc>
          <w:tcPr>
            <w:tcW w:w="4675" w:type="dxa"/>
          </w:tcPr>
          <w:p w14:paraId="0FA71367" w14:textId="77777777" w:rsidR="003B20AD" w:rsidRPr="00475A0C" w:rsidRDefault="003B20AD" w:rsidP="003B20AD">
            <w:pPr>
              <w:pStyle w:val="Texto"/>
              <w:spacing w:line="222" w:lineRule="exact"/>
              <w:ind w:firstLine="0"/>
              <w:jc w:val="center"/>
              <w:rPr>
                <w:rFonts w:ascii="Verdana" w:hAnsi="Verdana"/>
                <w:b/>
                <w:sz w:val="16"/>
                <w:szCs w:val="16"/>
              </w:rPr>
            </w:pPr>
            <w:r w:rsidRPr="00475A0C">
              <w:rPr>
                <w:rFonts w:ascii="Verdana" w:hAnsi="Verdana"/>
                <w:b/>
                <w:sz w:val="16"/>
                <w:szCs w:val="16"/>
              </w:rPr>
              <w:t xml:space="preserve">De </w:t>
            </w:r>
            <w:smartTag w:uri="urn:schemas-microsoft-com:office:smarttags" w:element="PersonName">
              <w:smartTagPr>
                <w:attr w:name="ProductID" w:val="la Aplicación General"/>
              </w:smartTagPr>
              <w:r w:rsidRPr="00475A0C">
                <w:rPr>
                  <w:rFonts w:ascii="Verdana" w:hAnsi="Verdana"/>
                  <w:b/>
                  <w:sz w:val="16"/>
                  <w:szCs w:val="16"/>
                </w:rPr>
                <w:t>la Aplicación General</w:t>
              </w:r>
            </w:smartTag>
            <w:r w:rsidRPr="00475A0C">
              <w:rPr>
                <w:rFonts w:ascii="Verdana" w:hAnsi="Verdana"/>
                <w:b/>
                <w:sz w:val="16"/>
                <w:szCs w:val="16"/>
              </w:rPr>
              <w:t xml:space="preserve"> de esta Ley</w:t>
            </w:r>
          </w:p>
        </w:tc>
        <w:tc>
          <w:tcPr>
            <w:tcW w:w="4675" w:type="dxa"/>
          </w:tcPr>
          <w:p w14:paraId="45B535BA" w14:textId="2C770C83" w:rsidR="003B20AD" w:rsidRPr="00E3602D" w:rsidRDefault="003B20AD" w:rsidP="003B20AD">
            <w:pPr>
              <w:pStyle w:val="Texto"/>
              <w:spacing w:line="222" w:lineRule="exact"/>
              <w:ind w:firstLine="0"/>
              <w:jc w:val="center"/>
              <w:rPr>
                <w:rFonts w:ascii="Verdana" w:hAnsi="Verdana"/>
                <w:b/>
                <w:sz w:val="16"/>
                <w:szCs w:val="16"/>
                <w:lang w:val="en-US"/>
              </w:rPr>
            </w:pPr>
            <w:r w:rsidRPr="00E3602D">
              <w:rPr>
                <w:rFonts w:ascii="Verdana" w:hAnsi="Verdana"/>
                <w:b/>
                <w:sz w:val="16"/>
                <w:szCs w:val="16"/>
                <w:lang w:val="en-US"/>
              </w:rPr>
              <w:t>General Application of this Law</w:t>
            </w:r>
          </w:p>
        </w:tc>
      </w:tr>
      <w:tr w:rsidR="003B20AD" w:rsidRPr="00475A0C" w14:paraId="09C3403D" w14:textId="34CE8EDE" w:rsidTr="007B36AB">
        <w:tc>
          <w:tcPr>
            <w:tcW w:w="4675" w:type="dxa"/>
          </w:tcPr>
          <w:p w14:paraId="70806C2F"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Artículo 166.-</w:t>
            </w:r>
            <w:r w:rsidRPr="00475A0C">
              <w:rPr>
                <w:rFonts w:ascii="Verdana" w:hAnsi="Verdana"/>
                <w:sz w:val="16"/>
                <w:szCs w:val="16"/>
              </w:rPr>
              <w:t xml:space="preserve"> La aplicación y la interpretación para efectos administrativos de esta Ley corresponde, en el ámbito de sus atribuciones, a las Secretarías de Energía, de Hacienda y Crédito Público y de Economía, 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w:t>
            </w:r>
            <w:r w:rsidRPr="00475A0C">
              <w:rPr>
                <w:rFonts w:ascii="Verdana" w:hAnsi="Verdana"/>
                <w:b/>
                <w:sz w:val="16"/>
                <w:szCs w:val="16"/>
              </w:rPr>
              <w:t xml:space="preserve"> </w:t>
            </w:r>
            <w:r w:rsidRPr="00475A0C">
              <w:rPr>
                <w:rFonts w:ascii="Verdana" w:hAnsi="Verdana"/>
                <w:sz w:val="16"/>
                <w:szCs w:val="16"/>
              </w:rPr>
              <w:t xml:space="preserve">y a </w:t>
            </w:r>
            <w:smartTag w:uri="urn:schemas-microsoft-com:office:smarttags" w:element="PersonName">
              <w:smartTagPr>
                <w:attr w:name="ProductID" w:val="la Agencia Nacional"/>
              </w:smartTagPr>
              <w:r w:rsidRPr="00475A0C">
                <w:rPr>
                  <w:rFonts w:ascii="Verdana" w:hAnsi="Verdana"/>
                  <w:sz w:val="16"/>
                  <w:szCs w:val="16"/>
                </w:rPr>
                <w:t>la Agencia Nacional</w:t>
              </w:r>
            </w:smartTag>
            <w:r w:rsidRPr="00475A0C">
              <w:rPr>
                <w:rFonts w:ascii="Verdana" w:hAnsi="Verdana"/>
                <w:sz w:val="16"/>
                <w:szCs w:val="16"/>
              </w:rPr>
              <w:t xml:space="preserve"> de Seguridad Industrial y de Protección al Medio Ambiente del Sector Hidrocarburos.</w:t>
            </w:r>
          </w:p>
        </w:tc>
        <w:tc>
          <w:tcPr>
            <w:tcW w:w="4675" w:type="dxa"/>
          </w:tcPr>
          <w:p w14:paraId="734BB097" w14:textId="6A3B18B7"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Article 166.- </w:t>
            </w:r>
            <w:r w:rsidRPr="00E3602D">
              <w:rPr>
                <w:rFonts w:ascii="Verdana" w:hAnsi="Verdana"/>
                <w:sz w:val="16"/>
                <w:szCs w:val="16"/>
                <w:lang w:val="en-US"/>
              </w:rPr>
              <w:t>The application and interpretation for administrative purposes of this Law corresponds, within the scope of their powers, to the Secretaries of Energy, Finance and Public Credit and Economy, and the National Commission of Energy and the National Agency of Industrial Safety and Protection of the Environment of the Hydrocarbon Sector.</w:t>
            </w:r>
            <w:r w:rsidRPr="00E3602D">
              <w:rPr>
                <w:rFonts w:ascii="Verdana" w:hAnsi="Verdana"/>
                <w:b/>
                <w:sz w:val="16"/>
                <w:szCs w:val="16"/>
                <w:lang w:val="en-US"/>
              </w:rPr>
              <w:t xml:space="preserve"> </w:t>
            </w:r>
          </w:p>
        </w:tc>
      </w:tr>
      <w:tr w:rsidR="003B20AD" w:rsidRPr="00475A0C" w14:paraId="3EE7ECC5" w14:textId="2F35DF3E" w:rsidTr="007B36AB">
        <w:tc>
          <w:tcPr>
            <w:tcW w:w="4675" w:type="dxa"/>
          </w:tcPr>
          <w:p w14:paraId="22840CB3" w14:textId="77777777" w:rsidR="003B20AD" w:rsidRPr="00475A0C" w:rsidRDefault="003B20AD" w:rsidP="003B20AD">
            <w:pPr>
              <w:pStyle w:val="Texto"/>
              <w:spacing w:line="222" w:lineRule="exact"/>
              <w:ind w:firstLine="0"/>
              <w:jc w:val="center"/>
              <w:rPr>
                <w:rFonts w:ascii="Verdana" w:hAnsi="Verdana"/>
                <w:b/>
                <w:sz w:val="16"/>
                <w:szCs w:val="16"/>
              </w:rPr>
            </w:pPr>
            <w:r w:rsidRPr="00475A0C">
              <w:rPr>
                <w:rFonts w:ascii="Verdana" w:hAnsi="Verdana"/>
                <w:b/>
                <w:sz w:val="16"/>
                <w:szCs w:val="16"/>
              </w:rPr>
              <w:t>Transitorios</w:t>
            </w:r>
          </w:p>
        </w:tc>
        <w:tc>
          <w:tcPr>
            <w:tcW w:w="4675" w:type="dxa"/>
          </w:tcPr>
          <w:p w14:paraId="40C2087E" w14:textId="791CB437" w:rsidR="003B20AD" w:rsidRPr="00E3602D" w:rsidRDefault="003B20AD" w:rsidP="003B20AD">
            <w:pPr>
              <w:pStyle w:val="Texto"/>
              <w:spacing w:line="222" w:lineRule="exact"/>
              <w:ind w:firstLine="0"/>
              <w:jc w:val="center"/>
              <w:rPr>
                <w:rFonts w:ascii="Verdana" w:hAnsi="Verdana"/>
                <w:b/>
                <w:sz w:val="16"/>
                <w:szCs w:val="16"/>
                <w:lang w:val="en-US"/>
              </w:rPr>
            </w:pPr>
            <w:r w:rsidRPr="00E3602D">
              <w:rPr>
                <w:rFonts w:ascii="Verdana" w:hAnsi="Verdana"/>
                <w:b/>
                <w:sz w:val="16"/>
                <w:szCs w:val="16"/>
                <w:lang w:val="en-US"/>
              </w:rPr>
              <w:t>Transitional Articles</w:t>
            </w:r>
          </w:p>
        </w:tc>
      </w:tr>
      <w:tr w:rsidR="003B20AD" w:rsidRPr="00475A0C" w14:paraId="730C4C2D" w14:textId="478E94F4" w:rsidTr="007B36AB">
        <w:tc>
          <w:tcPr>
            <w:tcW w:w="4675" w:type="dxa"/>
          </w:tcPr>
          <w:p w14:paraId="62730ED1" w14:textId="77777777" w:rsidR="003B20AD" w:rsidRPr="00475A0C" w:rsidRDefault="003B20AD" w:rsidP="003B20AD">
            <w:pPr>
              <w:pStyle w:val="Texto"/>
              <w:spacing w:line="222" w:lineRule="exact"/>
              <w:ind w:firstLine="0"/>
              <w:rPr>
                <w:rFonts w:ascii="Verdana" w:hAnsi="Verdana"/>
                <w:b/>
                <w:sz w:val="16"/>
                <w:szCs w:val="16"/>
              </w:rPr>
            </w:pPr>
            <w:r w:rsidRPr="00475A0C">
              <w:rPr>
                <w:rFonts w:ascii="Verdana" w:hAnsi="Verdana"/>
                <w:b/>
                <w:sz w:val="16"/>
                <w:szCs w:val="16"/>
              </w:rPr>
              <w:lastRenderedPageBreak/>
              <w:t xml:space="preserve">Primero.- </w:t>
            </w:r>
            <w:r w:rsidRPr="00475A0C">
              <w:rPr>
                <w:rFonts w:ascii="Verdana" w:hAnsi="Verdana"/>
                <w:sz w:val="16"/>
                <w:szCs w:val="16"/>
              </w:rPr>
              <w:t>La presente Ley entrará en vigor al día siguiente de su publicación en el Diario Oficial de la Federación.</w:t>
            </w:r>
          </w:p>
        </w:tc>
        <w:tc>
          <w:tcPr>
            <w:tcW w:w="4675" w:type="dxa"/>
          </w:tcPr>
          <w:p w14:paraId="43F52078" w14:textId="75E17145"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First.- </w:t>
            </w:r>
            <w:r w:rsidRPr="00E3602D">
              <w:rPr>
                <w:rFonts w:ascii="Verdana" w:hAnsi="Verdana"/>
                <w:sz w:val="16"/>
                <w:szCs w:val="16"/>
                <w:lang w:val="en-US"/>
              </w:rPr>
              <w:t>This Law shall enter into force on the day following its publication in the Official Daily of the Federation.</w:t>
            </w:r>
          </w:p>
        </w:tc>
      </w:tr>
      <w:tr w:rsidR="003B20AD" w:rsidRPr="00475A0C" w14:paraId="7C7962A3" w14:textId="60E9A615" w:rsidTr="007B36AB">
        <w:tc>
          <w:tcPr>
            <w:tcW w:w="4675" w:type="dxa"/>
          </w:tcPr>
          <w:p w14:paraId="39D35BE6"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Segundo.- </w:t>
            </w:r>
            <w:r w:rsidRPr="00475A0C">
              <w:rPr>
                <w:rFonts w:ascii="Verdana" w:hAnsi="Verdana"/>
                <w:sz w:val="16"/>
                <w:szCs w:val="16"/>
              </w:rPr>
              <w:t xml:space="preserve">Se abroga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Hidrocarburos, publicada en el Diario Oficial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 xml:space="preserve"> el 11 de agosto de 2014. Todas las referencias a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Hidrocarburos que se encuentren en otras leyes se entienden referenciadas a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del Sector Hidrocarburos.</w:t>
            </w:r>
          </w:p>
        </w:tc>
        <w:tc>
          <w:tcPr>
            <w:tcW w:w="4675" w:type="dxa"/>
          </w:tcPr>
          <w:p w14:paraId="7E956C1C" w14:textId="635D163E"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Second.- </w:t>
            </w:r>
            <w:r w:rsidRPr="00E3602D">
              <w:rPr>
                <w:rFonts w:ascii="Verdana" w:hAnsi="Verdana"/>
                <w:sz w:val="16"/>
                <w:szCs w:val="16"/>
                <w:lang w:val="en-US"/>
              </w:rPr>
              <w:t>The Law of Hydrocarbons, published in the Official Daily of the Federation on August 11, 2014. All the references to the Law of Hydrocarbons that are found in other laws are understood as referring to the Law of the Hydrocarbons Sector.</w:t>
            </w:r>
          </w:p>
        </w:tc>
      </w:tr>
      <w:tr w:rsidR="003B20AD" w:rsidRPr="00475A0C" w14:paraId="7DE735E4" w14:textId="327481BF" w:rsidTr="007B36AB">
        <w:tc>
          <w:tcPr>
            <w:tcW w:w="4675" w:type="dxa"/>
          </w:tcPr>
          <w:p w14:paraId="57CA107B"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Tercero.- </w:t>
            </w:r>
            <w:r w:rsidRPr="00475A0C">
              <w:rPr>
                <w:rFonts w:ascii="Verdana" w:hAnsi="Verdana"/>
                <w:sz w:val="16"/>
                <w:szCs w:val="16"/>
              </w:rPr>
              <w:t>Se derogan todas aquellas disposiciones que se opongan a lo dispuesto en la presente Ley.</w:t>
            </w:r>
          </w:p>
        </w:tc>
        <w:tc>
          <w:tcPr>
            <w:tcW w:w="4675" w:type="dxa"/>
          </w:tcPr>
          <w:p w14:paraId="3AA2557A" w14:textId="0D405819"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Third.- </w:t>
            </w:r>
            <w:r w:rsidRPr="00E3602D">
              <w:rPr>
                <w:rFonts w:ascii="Verdana" w:hAnsi="Verdana"/>
                <w:sz w:val="16"/>
                <w:szCs w:val="16"/>
                <w:lang w:val="en-US"/>
              </w:rPr>
              <w:t>All provisions that conflict with the provisions of this Law are hereby repealed.</w:t>
            </w:r>
          </w:p>
        </w:tc>
      </w:tr>
      <w:tr w:rsidR="003B20AD" w:rsidRPr="00475A0C" w14:paraId="132DE161" w14:textId="778918B4" w:rsidTr="007B36AB">
        <w:tc>
          <w:tcPr>
            <w:tcW w:w="4675" w:type="dxa"/>
          </w:tcPr>
          <w:p w14:paraId="2A0B6BA8" w14:textId="77777777" w:rsidR="003B20AD" w:rsidRPr="00475A0C" w:rsidRDefault="003B20AD" w:rsidP="003B20AD">
            <w:pPr>
              <w:pStyle w:val="Texto"/>
              <w:spacing w:line="222" w:lineRule="exact"/>
              <w:ind w:firstLine="0"/>
              <w:rPr>
                <w:rFonts w:ascii="Verdana" w:hAnsi="Verdana"/>
                <w:b/>
                <w:sz w:val="16"/>
                <w:szCs w:val="16"/>
              </w:rPr>
            </w:pPr>
            <w:r w:rsidRPr="00475A0C">
              <w:rPr>
                <w:rFonts w:ascii="Verdana" w:hAnsi="Verdana"/>
                <w:b/>
                <w:sz w:val="16"/>
                <w:szCs w:val="16"/>
              </w:rPr>
              <w:t xml:space="preserve">Cuarto.- </w:t>
            </w:r>
            <w:r w:rsidRPr="00475A0C">
              <w:rPr>
                <w:rFonts w:ascii="Verdana" w:hAnsi="Verdana"/>
                <w:sz w:val="16"/>
                <w:szCs w:val="16"/>
              </w:rPr>
              <w:t xml:space="preserve">Se abrogan las disposiciones administrativas en materia de licitaciones de contratos para la exploración y extracción de hidrocarburos publicadas en el Diario Oficial de </w:t>
            </w:r>
            <w:smartTag w:uri="urn:schemas-microsoft-com:office:smarttags" w:element="PersonName">
              <w:smartTagPr>
                <w:attr w:name="ProductID" w:val="la Federación"/>
              </w:smartTagPr>
              <w:r w:rsidRPr="00475A0C">
                <w:rPr>
                  <w:rFonts w:ascii="Verdana" w:hAnsi="Verdana"/>
                  <w:sz w:val="16"/>
                  <w:szCs w:val="16"/>
                </w:rPr>
                <w:t>la Federación</w:t>
              </w:r>
            </w:smartTag>
            <w:r w:rsidRPr="00475A0C">
              <w:rPr>
                <w:rFonts w:ascii="Verdana" w:hAnsi="Verdana"/>
                <w:sz w:val="16"/>
                <w:szCs w:val="16"/>
              </w:rPr>
              <w:t xml:space="preserve"> el 28 de noviembre de 2014 y quedan sin efecto todas las bases de licitación para la adjudicación de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emitidas con anterioridad a la entrada en vigor de la presente Ley.</w:t>
            </w:r>
          </w:p>
        </w:tc>
        <w:tc>
          <w:tcPr>
            <w:tcW w:w="4675" w:type="dxa"/>
          </w:tcPr>
          <w:p w14:paraId="6185ABD2" w14:textId="703973BC"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Fourth.- </w:t>
            </w:r>
            <w:r w:rsidRPr="00E3602D">
              <w:rPr>
                <w:rFonts w:ascii="Verdana" w:hAnsi="Verdana"/>
                <w:sz w:val="16"/>
                <w:szCs w:val="16"/>
                <w:lang w:val="en-US"/>
              </w:rPr>
              <w:t>The administrative provisions regarding tenders for Contracts for exploration and extraction of hydrocarbons published in the Official Daily of the Federation (DOF) of November 28, 2014 are hereby repealed, and all bidding criteria for the awarding of contracts for the exploration and extraction of hydrocarbons issued prior to the entry into force of this Law are hereby rendered null and void.</w:t>
            </w:r>
          </w:p>
        </w:tc>
      </w:tr>
      <w:tr w:rsidR="003B20AD" w:rsidRPr="00475A0C" w14:paraId="4B73DA86" w14:textId="0F6927BE" w:rsidTr="007B36AB">
        <w:tc>
          <w:tcPr>
            <w:tcW w:w="4675" w:type="dxa"/>
          </w:tcPr>
          <w:p w14:paraId="622BF571"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Quinto.- </w:t>
            </w:r>
            <w:r w:rsidRPr="00475A0C">
              <w:rPr>
                <w:rFonts w:ascii="Verdana" w:hAnsi="Verdana"/>
                <w:sz w:val="16"/>
                <w:szCs w:val="16"/>
              </w:rPr>
              <w:t xml:space="preserve">En tanto se emite nueva regulación o se modifica la regulación correspondiente, la normatividad y regulación emitidas con anterioridad a la entrada en vigor de la presente Ley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las Comisiones Reguladora de Energía y Nacional de Hidrocarburos, continuarán en vigor, en tanto no se opongan a la presente Ley.</w:t>
            </w:r>
          </w:p>
        </w:tc>
        <w:tc>
          <w:tcPr>
            <w:tcW w:w="4675" w:type="dxa"/>
          </w:tcPr>
          <w:p w14:paraId="50264CC9" w14:textId="50713194"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Fifth.- </w:t>
            </w:r>
            <w:r w:rsidRPr="00E3602D">
              <w:rPr>
                <w:rFonts w:ascii="Verdana" w:hAnsi="Verdana"/>
                <w:sz w:val="16"/>
                <w:szCs w:val="16"/>
                <w:lang w:val="en-US"/>
              </w:rPr>
              <w:t>Until a new regulation is issued or the corresponding regulations are modified, the rules and regulations issued prior to the entry into force of this Law by the Secretary of Energy Commission, the Energy Regulatory Commission and the National Hydrocarbons Commission, will continue in force, as long as they do not conflict with this Law.</w:t>
            </w:r>
          </w:p>
        </w:tc>
      </w:tr>
      <w:tr w:rsidR="003B20AD" w:rsidRPr="00475A0C" w14:paraId="45F7389E" w14:textId="2228241B" w:rsidTr="007B36AB">
        <w:tc>
          <w:tcPr>
            <w:tcW w:w="4675" w:type="dxa"/>
          </w:tcPr>
          <w:p w14:paraId="369324CA"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Sexto.-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y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dentro de los ciento ochenta días naturales después de la entrada en vigor de la presente Ley, deben dejar sin efectos la regulación aplicable a las ventas de primera mano y aquella regulación asimétrica aplicables a Petróleos Mexicanos y sus empresas filiales, y establecer las obligaciones para la presentación de información respectiva.</w:t>
            </w:r>
          </w:p>
        </w:tc>
        <w:tc>
          <w:tcPr>
            <w:tcW w:w="4675" w:type="dxa"/>
          </w:tcPr>
          <w:p w14:paraId="78FDF06E" w14:textId="0BCF12F7"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Sixth.- </w:t>
            </w:r>
            <w:r w:rsidRPr="00E3602D">
              <w:rPr>
                <w:rFonts w:ascii="Verdana" w:hAnsi="Verdana"/>
                <w:sz w:val="16"/>
                <w:szCs w:val="16"/>
                <w:lang w:val="en-US"/>
              </w:rPr>
              <w:t>The Secretary of Energy and the National Commission of Energy, within one hundred and eighty calendar days after the entry into force of this Law, must repeal the regulation applicable to first-hand sales and the asymmetric regulation applicable to Petróleos Mexicanos and its subsidiaries, and establish the obligations for the presentation of the respective information.</w:t>
            </w:r>
          </w:p>
        </w:tc>
      </w:tr>
      <w:tr w:rsidR="003B20AD" w:rsidRPr="00475A0C" w14:paraId="1E11A1C2" w14:textId="145722C7" w:rsidTr="007B36AB">
        <w:tc>
          <w:tcPr>
            <w:tcW w:w="4675" w:type="dxa"/>
          </w:tcPr>
          <w:p w14:paraId="3843DA11"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Séptimo.- </w:t>
            </w:r>
            <w:r w:rsidRPr="00475A0C">
              <w:rPr>
                <w:rFonts w:ascii="Verdana" w:hAnsi="Verdana"/>
                <w:sz w:val="16"/>
                <w:szCs w:val="16"/>
              </w:rPr>
              <w:t>Los contratos de venta de primera mano que tengan suscritos Petróleos Mexicanos y sus empresas filiales, deberán migrar a contratos de Comercialización en un plazo no mayor a ciento ochenta días naturales, contados a partir de la fecha de entrada en vigor de esta Ley.</w:t>
            </w:r>
          </w:p>
        </w:tc>
        <w:tc>
          <w:tcPr>
            <w:tcW w:w="4675" w:type="dxa"/>
          </w:tcPr>
          <w:p w14:paraId="6DDDD8B9" w14:textId="0DA19E73"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Seventh.- </w:t>
            </w:r>
            <w:r w:rsidRPr="00E3602D">
              <w:rPr>
                <w:rFonts w:ascii="Verdana" w:hAnsi="Verdana"/>
                <w:sz w:val="16"/>
                <w:szCs w:val="16"/>
                <w:lang w:val="en-US"/>
              </w:rPr>
              <w:t>First-hand sales contracts held by Petróleos Mexicanos and its subsidiaries must be converted into Commercial distribution contracts within a period of no more than one hundred and eighty calendar days, counted from the date this Law comes into force.</w:t>
            </w:r>
          </w:p>
        </w:tc>
      </w:tr>
      <w:tr w:rsidR="003B20AD" w:rsidRPr="00475A0C" w14:paraId="6D9DA1CC" w14:textId="47AE0F76" w:rsidTr="007B36AB">
        <w:tc>
          <w:tcPr>
            <w:tcW w:w="4675" w:type="dxa"/>
          </w:tcPr>
          <w:p w14:paraId="25775251"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Octavo.- </w:t>
            </w:r>
            <w:r w:rsidRPr="00475A0C">
              <w:rPr>
                <w:rFonts w:ascii="Verdana" w:hAnsi="Verdana"/>
                <w:sz w:val="16"/>
                <w:szCs w:val="16"/>
              </w:rPr>
              <w:t xml:space="preserve">La persona Titular del Ejecutivo Federal expedirá el Reglamento de esta Ley dentro de los ciento ochenta días naturales siguientes a la fecha de su entrada en vigor. Los reglamentos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Hidrocarburos continuarán vigentes en lo que no se opongan a esta Ley.</w:t>
            </w:r>
          </w:p>
        </w:tc>
        <w:tc>
          <w:tcPr>
            <w:tcW w:w="4675" w:type="dxa"/>
          </w:tcPr>
          <w:p w14:paraId="7B940CB6" w14:textId="47ADF6A6"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Eighth.- </w:t>
            </w:r>
            <w:r w:rsidRPr="00E3602D">
              <w:rPr>
                <w:rFonts w:ascii="Verdana" w:hAnsi="Verdana"/>
                <w:sz w:val="16"/>
                <w:szCs w:val="16"/>
                <w:lang w:val="en-US"/>
              </w:rPr>
              <w:t>The Head of the Federal Executive Branch shall issue the Regulation of this Law within one hundred and eighty calendar days following the date of its entry into force. The Regulations of the Law of Hydrocarbons will continue in effect to the extent it does not conflict with this Law.</w:t>
            </w:r>
          </w:p>
        </w:tc>
      </w:tr>
      <w:tr w:rsidR="003B20AD" w:rsidRPr="00475A0C" w14:paraId="01086416" w14:textId="3B938C1C" w:rsidTr="007B36AB">
        <w:tc>
          <w:tcPr>
            <w:tcW w:w="4675" w:type="dxa"/>
          </w:tcPr>
          <w:p w14:paraId="53550E09"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Noveno.-</w:t>
            </w:r>
            <w:r w:rsidRPr="00475A0C">
              <w:rPr>
                <w:rFonts w:ascii="Verdana" w:hAnsi="Verdana"/>
                <w:sz w:val="16"/>
                <w:szCs w:val="16"/>
              </w:rPr>
              <w:t xml:space="preserve"> Las solicitudes de autorización, aprobación o permisos que se hayan recibido con anterioridad a la entrada en vigor de esta Ley, se tramitarán conforme a las disposiciones jurídicas vigentes al momento de su presentación.</w:t>
            </w:r>
          </w:p>
        </w:tc>
        <w:tc>
          <w:tcPr>
            <w:tcW w:w="4675" w:type="dxa"/>
          </w:tcPr>
          <w:p w14:paraId="2672E2FE" w14:textId="6D34CCCC"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t xml:space="preserve">Ninth.- </w:t>
            </w:r>
            <w:r w:rsidRPr="00E3602D">
              <w:rPr>
                <w:rFonts w:ascii="Verdana" w:hAnsi="Verdana"/>
                <w:sz w:val="16"/>
                <w:szCs w:val="16"/>
                <w:lang w:val="en-US"/>
              </w:rPr>
              <w:t>Applications for authorization, approval, or permits received prior to the entry into force of this Law shall be processed in accordance with the legal provisions in force at the time of their submission.</w:t>
            </w:r>
          </w:p>
        </w:tc>
      </w:tr>
      <w:tr w:rsidR="003B20AD" w:rsidRPr="00475A0C" w14:paraId="6E38887F" w14:textId="5D2E1E12" w:rsidTr="007B36AB">
        <w:tc>
          <w:tcPr>
            <w:tcW w:w="4675" w:type="dxa"/>
          </w:tcPr>
          <w:p w14:paraId="39F45A49"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b/>
                <w:sz w:val="16"/>
                <w:szCs w:val="16"/>
              </w:rPr>
              <w:t xml:space="preserve">Décimo.- </w:t>
            </w:r>
            <w:r w:rsidRPr="00475A0C">
              <w:rPr>
                <w:rFonts w:ascii="Verdana" w:hAnsi="Verdana"/>
                <w:sz w:val="16"/>
                <w:szCs w:val="16"/>
              </w:rPr>
              <w:t xml:space="preserve">Las Asignaciones y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que se hubieran otorgado o celebrado con anterioridad a la </w:t>
            </w:r>
            <w:r w:rsidRPr="00475A0C">
              <w:rPr>
                <w:rFonts w:ascii="Verdana" w:hAnsi="Verdana"/>
                <w:sz w:val="16"/>
                <w:szCs w:val="16"/>
              </w:rPr>
              <w:lastRenderedPageBreak/>
              <w:t>entrada en vigor de esta Ley, mantendrán su vigencia en los términos y condiciones con que fueron otorgados, conforme a la ley y a las disposiciones aplicables vigentes a su otorgamiento, salvo lo dispuesto en el presente artículo.</w:t>
            </w:r>
          </w:p>
        </w:tc>
        <w:tc>
          <w:tcPr>
            <w:tcW w:w="4675" w:type="dxa"/>
          </w:tcPr>
          <w:p w14:paraId="4D44906D" w14:textId="3B794038" w:rsidR="003B20AD" w:rsidRPr="00E3602D" w:rsidRDefault="003B20AD" w:rsidP="003B20AD">
            <w:pPr>
              <w:pStyle w:val="Texto"/>
              <w:spacing w:line="222" w:lineRule="exact"/>
              <w:ind w:firstLine="0"/>
              <w:rPr>
                <w:rFonts w:ascii="Verdana" w:hAnsi="Verdana"/>
                <w:b/>
                <w:sz w:val="16"/>
                <w:szCs w:val="16"/>
                <w:lang w:val="en-US"/>
              </w:rPr>
            </w:pPr>
            <w:r w:rsidRPr="00E3602D">
              <w:rPr>
                <w:rFonts w:ascii="Verdana" w:hAnsi="Verdana"/>
                <w:b/>
                <w:sz w:val="16"/>
                <w:szCs w:val="16"/>
                <w:lang w:val="en-US"/>
              </w:rPr>
              <w:lastRenderedPageBreak/>
              <w:t xml:space="preserve">Tenth.- </w:t>
            </w:r>
            <w:r w:rsidRPr="00E3602D">
              <w:rPr>
                <w:rFonts w:ascii="Verdana" w:hAnsi="Verdana"/>
                <w:sz w:val="16"/>
                <w:szCs w:val="16"/>
                <w:lang w:val="en-US"/>
              </w:rPr>
              <w:t xml:space="preserve">The Assignments and Contracts for exploration and extraction of hydrocarbons that were granted or entered into prior to the entry into force of this Law, </w:t>
            </w:r>
            <w:r w:rsidRPr="00E3602D">
              <w:rPr>
                <w:rFonts w:ascii="Verdana" w:hAnsi="Verdana"/>
                <w:sz w:val="16"/>
                <w:szCs w:val="16"/>
                <w:lang w:val="en-US"/>
              </w:rPr>
              <w:lastRenderedPageBreak/>
              <w:t>shall remain in force under the terms and conditions with which they were granted, in accordance with the law and the applicable provisions in force at the time of their granting, except as provided in this article.</w:t>
            </w:r>
          </w:p>
        </w:tc>
      </w:tr>
      <w:tr w:rsidR="003B20AD" w:rsidRPr="00475A0C" w14:paraId="72E8EBAE" w14:textId="4E5BE0CE" w:rsidTr="007B36AB">
        <w:tc>
          <w:tcPr>
            <w:tcW w:w="4675" w:type="dxa"/>
          </w:tcPr>
          <w:p w14:paraId="09D95D9C"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 xml:space="preserve">En cuanto a la administración de las Asignaciones y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de Hidrocarburos, los procesos de aprobación, aviso e informes iniciados antes de la entrada en vigor de la presente Ley se tramitarán conforme a las disposiciones jurídicas vigentes al momento de su tramitación.</w:t>
            </w:r>
          </w:p>
        </w:tc>
        <w:tc>
          <w:tcPr>
            <w:tcW w:w="4675" w:type="dxa"/>
          </w:tcPr>
          <w:p w14:paraId="35CC11DC" w14:textId="11B9A695"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Regarding the administration of Hydrocarbon Assignments and Contracts for the exploration and extraction of hydrocarbons, the processes of approval, notification, and reporting processes initiated before the entry into force of this Law shall be processed in accordance with the legal provisions in force at the time of their processing.</w:t>
            </w:r>
          </w:p>
        </w:tc>
      </w:tr>
      <w:tr w:rsidR="003B20AD" w:rsidRPr="00475A0C" w14:paraId="48A57C80" w14:textId="04FCA5E1" w:rsidTr="007B36AB">
        <w:tc>
          <w:tcPr>
            <w:tcW w:w="4675" w:type="dxa"/>
          </w:tcPr>
          <w:p w14:paraId="6CA67363"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Las Asignaciones otorgadas a Petróleos Mexicanos previo a la entrada en vigor de esta Ley, se entenderán como Asignaciones para Desarrollo Propio.</w:t>
            </w:r>
          </w:p>
        </w:tc>
        <w:tc>
          <w:tcPr>
            <w:tcW w:w="4675" w:type="dxa"/>
          </w:tcPr>
          <w:p w14:paraId="6B744F40" w14:textId="01BF8460"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The Assignments granted to Petróleos Mexicanos prior to the entry into force of this Law shall be understood as Assignments for Self-development.</w:t>
            </w:r>
          </w:p>
        </w:tc>
      </w:tr>
      <w:tr w:rsidR="003B20AD" w:rsidRPr="00475A0C" w14:paraId="6F113A2D" w14:textId="3243AD78" w:rsidTr="007B36AB">
        <w:tc>
          <w:tcPr>
            <w:tcW w:w="4675" w:type="dxa"/>
          </w:tcPr>
          <w:p w14:paraId="0FA604C2" w14:textId="77777777" w:rsidR="003B20AD" w:rsidRPr="00475A0C" w:rsidRDefault="003B20AD" w:rsidP="003B20AD">
            <w:pPr>
              <w:pStyle w:val="Texto"/>
              <w:spacing w:line="222" w:lineRule="exact"/>
              <w:ind w:firstLine="0"/>
              <w:rPr>
                <w:rFonts w:ascii="Verdana" w:hAnsi="Verdana"/>
                <w:sz w:val="16"/>
                <w:szCs w:val="16"/>
              </w:rPr>
            </w:pPr>
            <w:r w:rsidRPr="00475A0C">
              <w:rPr>
                <w:rFonts w:ascii="Verdana" w:hAnsi="Verdana"/>
                <w:sz w:val="16"/>
                <w:szCs w:val="16"/>
              </w:rPr>
              <w:t xml:space="preserve">La Secretaría de Energía cuenta con un plazo máximo de ciento ochenta días naturales a partir de la entrada en vigor de la presente Ley, para celebrar los convenios modificatorios respectivos a los Contratos para </w:t>
            </w:r>
            <w:smartTag w:uri="urn:schemas-microsoft-com:office:smarttags" w:element="PersonName">
              <w:smartTagPr>
                <w:attr w:name="ProductID" w:val="la Exploración"/>
              </w:smartTagPr>
              <w:r w:rsidRPr="00475A0C">
                <w:rPr>
                  <w:rFonts w:ascii="Verdana" w:hAnsi="Verdana"/>
                  <w:sz w:val="16"/>
                  <w:szCs w:val="16"/>
                </w:rPr>
                <w:t>la Exploración</w:t>
              </w:r>
            </w:smartTag>
            <w:r w:rsidRPr="00475A0C">
              <w:rPr>
                <w:rFonts w:ascii="Verdana" w:hAnsi="Verdana"/>
                <w:sz w:val="16"/>
                <w:szCs w:val="16"/>
              </w:rPr>
              <w:t xml:space="preserve"> y Extracción celebrados en alianza o de manera individual por Pemex Exploración y Producción derivado del cambio de naturaleza jurídica de Petróleos Mexicanos como empresa pública del Estado, y su consecuente reestructuración; para que sea ésta última la que detente el carácter de Contratista o empresa participante, según sea el caso. Lo anterior sin necesidad de que se presente una solicitud, obtener el consentimiento ni agotar el procedimiento previsto en esta Ley o disposiciones normativas secundarias de cualquier naturaleza, y sin que dé lugar al pago de aprovechamiento alguno, en tanto se lleva a cabo dicha formalización, todas las referencias a Pemex Exploración y Producción se entienden a Petróleos Mexicanos.</w:t>
            </w:r>
          </w:p>
        </w:tc>
        <w:tc>
          <w:tcPr>
            <w:tcW w:w="4675" w:type="dxa"/>
          </w:tcPr>
          <w:p w14:paraId="696297A7" w14:textId="3F4C0797" w:rsidR="003B20AD" w:rsidRPr="00E3602D" w:rsidRDefault="003B20AD" w:rsidP="003B20AD">
            <w:pPr>
              <w:pStyle w:val="Texto"/>
              <w:spacing w:line="222" w:lineRule="exact"/>
              <w:ind w:firstLine="0"/>
              <w:rPr>
                <w:rFonts w:ascii="Verdana" w:hAnsi="Verdana"/>
                <w:sz w:val="16"/>
                <w:szCs w:val="16"/>
                <w:lang w:val="en-US"/>
              </w:rPr>
            </w:pPr>
            <w:r w:rsidRPr="00E3602D">
              <w:rPr>
                <w:rFonts w:ascii="Verdana" w:hAnsi="Verdana"/>
                <w:sz w:val="16"/>
                <w:szCs w:val="16"/>
                <w:lang w:val="en-US"/>
              </w:rPr>
              <w:t>The Secretary of Energy has a maximum period of one hundred and eighty calendar days from the entry into force of this Law to enter into the respective modifying agreements to the exploration and extraction Contracts entered into in alliance or individually by Pemex Exploration and Production resulting from the change in legal nature of Petróleos Mexicanos as a public company of the State, and its consequent restructuring; so that the latter may hold the status of Contractor or participating company, as the case may be. This does not require the submission of an application, obtaining consent, or exhausting the procedure provided for in this Law or secondary regulatory provisions of any nature, and does not give rise to payment of any exploitation fee, while said formalization is carried out. All references to Pemex Exploration and Production are understood to mean Petróleos Mexicanos.</w:t>
            </w:r>
          </w:p>
        </w:tc>
      </w:tr>
      <w:tr w:rsidR="003B20AD" w:rsidRPr="00475A0C" w14:paraId="0E036F34" w14:textId="0C3F1E21" w:rsidTr="007B36AB">
        <w:tc>
          <w:tcPr>
            <w:tcW w:w="4675" w:type="dxa"/>
          </w:tcPr>
          <w:p w14:paraId="02F1B6EE" w14:textId="77777777" w:rsidR="003B20AD" w:rsidRPr="00475A0C" w:rsidRDefault="003B20AD" w:rsidP="003B20AD">
            <w:pPr>
              <w:pStyle w:val="Texto"/>
              <w:spacing w:line="232" w:lineRule="exact"/>
              <w:ind w:firstLine="0"/>
              <w:rPr>
                <w:rFonts w:ascii="Verdana" w:hAnsi="Verdana"/>
                <w:b/>
                <w:sz w:val="16"/>
                <w:szCs w:val="16"/>
              </w:rPr>
            </w:pPr>
            <w:r w:rsidRPr="00475A0C">
              <w:rPr>
                <w:rFonts w:ascii="Verdana" w:hAnsi="Verdana"/>
                <w:b/>
                <w:sz w:val="16"/>
                <w:szCs w:val="16"/>
              </w:rPr>
              <w:t xml:space="preserve">Décimo Primero.- </w:t>
            </w:r>
            <w:r w:rsidRPr="00475A0C">
              <w:rPr>
                <w:rFonts w:ascii="Verdana" w:hAnsi="Verdana"/>
                <w:sz w:val="16"/>
                <w:szCs w:val="16"/>
              </w:rPr>
              <w:t>Los contratos de servicios de Comercialización de los Hidrocarburos correspondientes al Estado que se hayan celebrado antes de la entrada en vigor de la presente Ley mantendrán su vigencia en los términos en los que se hayan acordado.</w:t>
            </w:r>
          </w:p>
        </w:tc>
        <w:tc>
          <w:tcPr>
            <w:tcW w:w="4675" w:type="dxa"/>
          </w:tcPr>
          <w:p w14:paraId="6C73A024" w14:textId="4D3AD8F3"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Eleventh.- </w:t>
            </w:r>
            <w:r w:rsidRPr="00E3602D">
              <w:rPr>
                <w:rFonts w:ascii="Verdana" w:hAnsi="Verdana"/>
                <w:sz w:val="16"/>
                <w:szCs w:val="16"/>
                <w:lang w:val="en-US"/>
              </w:rPr>
              <w:t>Hydrocarbon Commercial distribution service contracts corresponding to the State that were entered into before the entry into force of this Law shall remain in force under the terms agreed upon.</w:t>
            </w:r>
          </w:p>
        </w:tc>
      </w:tr>
      <w:tr w:rsidR="003B20AD" w:rsidRPr="00475A0C" w14:paraId="565ED1E7" w14:textId="4EC524A1" w:rsidTr="007B36AB">
        <w:tc>
          <w:tcPr>
            <w:tcW w:w="4675" w:type="dxa"/>
          </w:tcPr>
          <w:p w14:paraId="34CDCDD9"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Segundo.- </w:t>
            </w:r>
            <w:r w:rsidRPr="00475A0C">
              <w:rPr>
                <w:rFonts w:ascii="Verdana" w:hAnsi="Verdana"/>
                <w:sz w:val="16"/>
                <w:szCs w:val="16"/>
              </w:rPr>
              <w:t>Los convenios de acceso a la información del Centro Nacional de Información de Hidrocarburos que se hayan celebrado antes de la entrada en vigor de la presente Ley, mantendrán su vigencia en los términos en los que se hayan acordado.</w:t>
            </w:r>
          </w:p>
        </w:tc>
        <w:tc>
          <w:tcPr>
            <w:tcW w:w="4675" w:type="dxa"/>
          </w:tcPr>
          <w:p w14:paraId="7C1B1179" w14:textId="4B082186"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Twelfth.- </w:t>
            </w:r>
            <w:r w:rsidRPr="00E3602D">
              <w:rPr>
                <w:rFonts w:ascii="Verdana" w:hAnsi="Verdana"/>
                <w:sz w:val="16"/>
                <w:szCs w:val="16"/>
                <w:lang w:val="en-US"/>
              </w:rPr>
              <w:t>Agreements for access to information from the National Hydrocarbon Information Center that were entered into before the entry into force of this Law shall remain in force under the terms agreed upon.</w:t>
            </w:r>
          </w:p>
        </w:tc>
      </w:tr>
      <w:tr w:rsidR="003B20AD" w:rsidRPr="00475A0C" w14:paraId="45AC0557" w14:textId="2FA74BC2" w:rsidTr="007B36AB">
        <w:tc>
          <w:tcPr>
            <w:tcW w:w="4675" w:type="dxa"/>
          </w:tcPr>
          <w:p w14:paraId="0EA75D1E"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Tercero.- </w:t>
            </w:r>
            <w:r w:rsidRPr="00475A0C">
              <w:rPr>
                <w:rFonts w:ascii="Verdana" w:hAnsi="Verdana"/>
                <w:sz w:val="16"/>
                <w:szCs w:val="16"/>
              </w:rPr>
              <w:t xml:space="preserve">Las autorizaciones y los permisos que se hubieran otorgado por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Hidrocarburos o </w:t>
            </w:r>
            <w:smartTag w:uri="urn:schemas-microsoft-com:office:smarttags" w:element="PersonName">
              <w:smartTagPr>
                <w:attr w:name="ProductID" w:val="la Comisión Reguladora"/>
              </w:smartTagPr>
              <w:r w:rsidRPr="00475A0C">
                <w:rPr>
                  <w:rFonts w:ascii="Verdana" w:hAnsi="Verdana"/>
                  <w:sz w:val="16"/>
                  <w:szCs w:val="16"/>
                </w:rPr>
                <w:t>la Comisión Reguladora</w:t>
              </w:r>
            </w:smartTag>
            <w:r w:rsidRPr="00475A0C">
              <w:rPr>
                <w:rFonts w:ascii="Verdana" w:hAnsi="Verdana"/>
                <w:sz w:val="16"/>
                <w:szCs w:val="16"/>
              </w:rPr>
              <w:t xml:space="preserve"> de Energía para llevar a cabo las actividades de la industria de Hidrocarburos con anterioridad a la entrada en vigor de esta Ley, mantendrán su vigencia en los términos otorgados.</w:t>
            </w:r>
          </w:p>
        </w:tc>
        <w:tc>
          <w:tcPr>
            <w:tcW w:w="4675" w:type="dxa"/>
          </w:tcPr>
          <w:p w14:paraId="401222C6" w14:textId="6C0725CD"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Thirteenth.- </w:t>
            </w:r>
            <w:r w:rsidRPr="00E3602D">
              <w:rPr>
                <w:rFonts w:ascii="Verdana" w:hAnsi="Verdana"/>
                <w:sz w:val="16"/>
                <w:szCs w:val="16"/>
                <w:lang w:val="en-US"/>
              </w:rPr>
              <w:t>Authorizations and permits granted by the Secretary of Energy, the National Commission of Energy or the Regulatory Commission of Energy to carry out hydrocarbon industry activities prior to the entry into force of this Law shall remain in force under the terms granted.</w:t>
            </w:r>
          </w:p>
        </w:tc>
      </w:tr>
      <w:tr w:rsidR="003B20AD" w:rsidRPr="00475A0C" w14:paraId="39A7CEB5" w14:textId="5026A511" w:rsidTr="007B36AB">
        <w:tc>
          <w:tcPr>
            <w:tcW w:w="4675" w:type="dxa"/>
          </w:tcPr>
          <w:p w14:paraId="7355B25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Cuarto.- </w:t>
            </w:r>
            <w:r w:rsidRPr="00475A0C">
              <w:rPr>
                <w:rFonts w:ascii="Verdana" w:hAnsi="Verdana"/>
                <w:sz w:val="16"/>
                <w:szCs w:val="16"/>
              </w:rPr>
              <w:t xml:space="preserve">Las personas que realicen actividades de Transporte por medios distintos a ductos y comercialización de petroquímicos, que a la fecha de </w:t>
            </w:r>
            <w:r w:rsidRPr="00475A0C">
              <w:rPr>
                <w:rFonts w:ascii="Verdana" w:hAnsi="Verdana"/>
                <w:sz w:val="16"/>
                <w:szCs w:val="16"/>
              </w:rPr>
              <w:lastRenderedPageBreak/>
              <w:t xml:space="preserve">entrada en vigor de la presente Ley no cuenten con permiso, deberán solicitar y obtener el permiso correspondiente por parte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dentro de los ciento ochenta días naturales posteriores a la emisión de la regulación aplicable a dicho trámite.</w:t>
            </w:r>
          </w:p>
        </w:tc>
        <w:tc>
          <w:tcPr>
            <w:tcW w:w="4675" w:type="dxa"/>
          </w:tcPr>
          <w:p w14:paraId="75975AC2" w14:textId="698AAE5B"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lastRenderedPageBreak/>
              <w:t xml:space="preserve">Fourteenth.- </w:t>
            </w:r>
            <w:r w:rsidRPr="00E3602D">
              <w:rPr>
                <w:rFonts w:ascii="Verdana" w:hAnsi="Verdana"/>
                <w:sz w:val="16"/>
                <w:szCs w:val="16"/>
                <w:lang w:val="en-US"/>
              </w:rPr>
              <w:t xml:space="preserve">Persons who carry out transportation activities by means other than pipelines and marketing of petrochemicals, who do not have a permit at the date </w:t>
            </w:r>
            <w:r w:rsidRPr="00E3602D">
              <w:rPr>
                <w:rFonts w:ascii="Verdana" w:hAnsi="Verdana"/>
                <w:sz w:val="16"/>
                <w:szCs w:val="16"/>
                <w:lang w:val="en-US"/>
              </w:rPr>
              <w:lastRenderedPageBreak/>
              <w:t>of entry into force of this Law, must request and obtain the corresponding permit from the National Commission of Energy, within one hundred and eighty calendar days after the issuance of the regulation applicable to said procedure.</w:t>
            </w:r>
          </w:p>
        </w:tc>
      </w:tr>
      <w:tr w:rsidR="003B20AD" w:rsidRPr="00475A0C" w14:paraId="4175CBE4" w14:textId="6B50B8D0" w:rsidTr="007B36AB">
        <w:tc>
          <w:tcPr>
            <w:tcW w:w="4675" w:type="dxa"/>
          </w:tcPr>
          <w:p w14:paraId="75B1CF97"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Las personas que realizan actividades de importación de Gas Natural deben solicitar y obtener el permiso correspondiente por parte de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términos del acuerdo que para tales efectos emitan las secretarías de Energía y de Economía.</w:t>
            </w:r>
          </w:p>
        </w:tc>
        <w:tc>
          <w:tcPr>
            <w:tcW w:w="4675" w:type="dxa"/>
          </w:tcPr>
          <w:p w14:paraId="12CF0591" w14:textId="468E7DF5"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Individuals importing natural gas must apply for and obtain the corresponding permit from the Secretary of Energy, in accordance with the agreement issued for such purposes by the Secretaries of Energy and Economy.</w:t>
            </w:r>
          </w:p>
        </w:tc>
      </w:tr>
      <w:tr w:rsidR="003B20AD" w:rsidRPr="00475A0C" w14:paraId="4722C94F" w14:textId="77235D2F" w:rsidTr="007B36AB">
        <w:tc>
          <w:tcPr>
            <w:tcW w:w="4675" w:type="dxa"/>
          </w:tcPr>
          <w:p w14:paraId="5F1BC35E"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 xml:space="preserve">La Comisión Nacional de Energía podrán solicitar a Petróleos Mexicanos y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Economía la información y registros que tengan en sus bases de datos respecto de las personas que realicen las actividades señaladas en el presente artículo.</w:t>
            </w:r>
          </w:p>
        </w:tc>
        <w:tc>
          <w:tcPr>
            <w:tcW w:w="4675" w:type="dxa"/>
          </w:tcPr>
          <w:p w14:paraId="22BABEC6" w14:textId="77495943"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National Commission of Energy may request from Petroleos Mexicanos and the Secretary of  Economy the information and records from Petróleos Mexicanos and the Secretary of Economy regarding persons who carry out the activities described in this article.</w:t>
            </w:r>
          </w:p>
        </w:tc>
      </w:tr>
      <w:tr w:rsidR="003B20AD" w:rsidRPr="00475A0C" w14:paraId="1F556522" w14:textId="11A1EEF2" w:rsidTr="007B36AB">
        <w:tc>
          <w:tcPr>
            <w:tcW w:w="4675" w:type="dxa"/>
          </w:tcPr>
          <w:p w14:paraId="1C91C593"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sz w:val="16"/>
                <w:szCs w:val="16"/>
              </w:rPr>
              <w:t>La Comisión Nacional de Energía, establecerá los mecanismos que faciliten y agilicen la expedición de los permisos a que se refiere este artículo transitorio.</w:t>
            </w:r>
          </w:p>
        </w:tc>
        <w:tc>
          <w:tcPr>
            <w:tcW w:w="4675" w:type="dxa"/>
          </w:tcPr>
          <w:p w14:paraId="0C587A81" w14:textId="78AF8E85"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National Commission of Energy shall establish mechanisms to facilitate and expedite the issuance of the permits referred to in this transitional article.</w:t>
            </w:r>
          </w:p>
        </w:tc>
      </w:tr>
      <w:tr w:rsidR="003B20AD" w:rsidRPr="00475A0C" w14:paraId="1562A2B1" w14:textId="43F4520A" w:rsidTr="007B36AB">
        <w:tc>
          <w:tcPr>
            <w:tcW w:w="4675" w:type="dxa"/>
          </w:tcPr>
          <w:p w14:paraId="2A157CD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Quinto.- </w:t>
            </w:r>
            <w:r w:rsidRPr="00475A0C">
              <w:rPr>
                <w:rFonts w:ascii="Verdana" w:hAnsi="Verdana"/>
                <w:sz w:val="16"/>
                <w:szCs w:val="16"/>
              </w:rPr>
              <w:t>La enajenación que realicen Petróleos Mexicanos o alguna de sus empresas filiales, es considerada como Comercialización en términos de lo establecido por la presente Ley y sus Reglamentos, por lo que se deberán observar los principios de generalidad y no indebida discriminación previstos en la misma.</w:t>
            </w:r>
          </w:p>
        </w:tc>
        <w:tc>
          <w:tcPr>
            <w:tcW w:w="4675" w:type="dxa"/>
          </w:tcPr>
          <w:p w14:paraId="0EFC12EA" w14:textId="2A288762"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Fifteenth.- </w:t>
            </w:r>
            <w:r w:rsidRPr="00E3602D">
              <w:rPr>
                <w:rFonts w:ascii="Verdana" w:hAnsi="Verdana"/>
                <w:sz w:val="16"/>
                <w:szCs w:val="16"/>
                <w:lang w:val="en-US"/>
              </w:rPr>
              <w:t>The transfer carried out by Petróleos Mexicanos or any of its subsidiaries is considered as commercial distribution in terms of the provisions of this Law and its Regulations, so the principles of generality and non-undue discrimination provided for therein must be observed.</w:t>
            </w:r>
          </w:p>
        </w:tc>
      </w:tr>
      <w:tr w:rsidR="003B20AD" w:rsidRPr="00475A0C" w14:paraId="44DA4BBE" w14:textId="2CAA3827" w:rsidTr="007B36AB">
        <w:tc>
          <w:tcPr>
            <w:tcW w:w="4675" w:type="dxa"/>
          </w:tcPr>
          <w:p w14:paraId="04081355"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Sexto.- </w:t>
            </w:r>
            <w:r w:rsidRPr="00475A0C">
              <w:rPr>
                <w:rFonts w:ascii="Verdana" w:hAnsi="Verdana"/>
                <w:sz w:val="16"/>
                <w:szCs w:val="16"/>
              </w:rPr>
              <w:t xml:space="preserve">Los contratos de obras, servicios, proveeduría u operación suscritos por Petróleos Mexicanos, con fundamento en </w:t>
            </w:r>
            <w:smartTag w:uri="urn:schemas-microsoft-com:office:smarttags" w:element="PersonName">
              <w:smartTagPr>
                <w:attr w:name="ProductID" w:val="la Ley Reglamentaria"/>
              </w:smartTagPr>
              <w:r w:rsidRPr="00475A0C">
                <w:rPr>
                  <w:rFonts w:ascii="Verdana" w:hAnsi="Verdana"/>
                  <w:sz w:val="16"/>
                  <w:szCs w:val="16"/>
                </w:rPr>
                <w:t>la Ley Reglamentaria</w:t>
              </w:r>
            </w:smartTag>
            <w:r w:rsidRPr="00475A0C">
              <w:rPr>
                <w:rFonts w:ascii="Verdana" w:hAnsi="Verdana"/>
                <w:sz w:val="16"/>
                <w:szCs w:val="16"/>
              </w:rPr>
              <w:t xml:space="preserve"> del Artículo 27 Constitucional en el Ramo del Petróleo y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Hidrocarburos, continuarán en vigor bajo los términos y condiciones en que hayan sido suscritos.</w:t>
            </w:r>
          </w:p>
        </w:tc>
        <w:tc>
          <w:tcPr>
            <w:tcW w:w="4675" w:type="dxa"/>
          </w:tcPr>
          <w:p w14:paraId="193906F0" w14:textId="7C001A2C"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Sixteenth.- </w:t>
            </w:r>
            <w:r w:rsidRPr="00E3602D">
              <w:rPr>
                <w:rFonts w:ascii="Verdana" w:hAnsi="Verdana"/>
                <w:sz w:val="16"/>
                <w:szCs w:val="16"/>
                <w:lang w:val="en-US"/>
              </w:rPr>
              <w:t>Contracts for works, services, supplies or operations signed by Petróleos Mexicanos, based on the Regulatory Law of Constitutional Article 27 in the Petroleum branch and the Law of Hydrocarbons will continue in force under the terms and conditions under which they were signed.</w:t>
            </w:r>
          </w:p>
        </w:tc>
      </w:tr>
      <w:tr w:rsidR="003B20AD" w:rsidRPr="00475A0C" w14:paraId="47043545" w14:textId="34892554" w:rsidTr="007B36AB">
        <w:tc>
          <w:tcPr>
            <w:tcW w:w="4675" w:type="dxa"/>
          </w:tcPr>
          <w:p w14:paraId="059883C8"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Séptimo.- </w:t>
            </w:r>
            <w:r w:rsidRPr="00475A0C">
              <w:rPr>
                <w:rFonts w:ascii="Verdana" w:hAnsi="Verdana"/>
                <w:sz w:val="16"/>
                <w:szCs w:val="16"/>
              </w:rPr>
              <w:t xml:space="preserve">Respecto a los Permisos de Formulación a que hace referencia el artículo 84, el otorgamiento de estos iniciará hasta en tanto se emitan las Normas Oficiales Mexicanas en materia de especificaciones de calidad de las mezclas permitidas, se cuente con la infraestructura de la calidad necesaria para la evaluación de la conformidad de estas, de acuerdo con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Infraestructura de </w:t>
            </w:r>
            <w:smartTag w:uri="urn:schemas-microsoft-com:office:smarttags" w:element="PersonName">
              <w:smartTagPr>
                <w:attr w:name="ProductID" w:val="la Calidad"/>
              </w:smartTagPr>
              <w:r w:rsidRPr="00475A0C">
                <w:rPr>
                  <w:rFonts w:ascii="Verdana" w:hAnsi="Verdana"/>
                  <w:sz w:val="16"/>
                  <w:szCs w:val="16"/>
                </w:rPr>
                <w:t>la Calidad</w:t>
              </w:r>
            </w:smartTag>
            <w:r w:rsidRPr="00475A0C">
              <w:rPr>
                <w:rFonts w:ascii="Verdana" w:hAnsi="Verdana"/>
                <w:sz w:val="16"/>
                <w:szCs w:val="16"/>
              </w:rPr>
              <w:t xml:space="preserve">, 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emita la declaratoria correspondiente.</w:t>
            </w:r>
          </w:p>
        </w:tc>
        <w:tc>
          <w:tcPr>
            <w:tcW w:w="4675" w:type="dxa"/>
          </w:tcPr>
          <w:p w14:paraId="0C69CA35" w14:textId="15D467B7"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Seventeenth.- </w:t>
            </w:r>
            <w:r w:rsidRPr="00E3602D">
              <w:rPr>
                <w:rFonts w:ascii="Verdana" w:hAnsi="Verdana"/>
                <w:sz w:val="16"/>
                <w:szCs w:val="16"/>
                <w:lang w:val="en-US"/>
              </w:rPr>
              <w:t>Regarding the Formulation Permits referred to in article 84, the granting of these will begin until the Official Mexican Standards are issued regarding the quality specifications of the permitted mixtures, the necessary quality infrastructure is available for the evaluation of their conformity, in accordance with the Law of Quality Infrastructure, and the Secretary of Energy issues the corresponding declaration.</w:t>
            </w:r>
          </w:p>
        </w:tc>
      </w:tr>
      <w:tr w:rsidR="003B20AD" w:rsidRPr="00475A0C" w14:paraId="4D38D6CC" w14:textId="5331EBB9" w:rsidTr="007B36AB">
        <w:tc>
          <w:tcPr>
            <w:tcW w:w="4675" w:type="dxa"/>
          </w:tcPr>
          <w:p w14:paraId="077C78F4"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Octavo.-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se coordinará con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Infraestructura, Comunicaciones y Transportes y con </w:t>
            </w:r>
            <w:smartTag w:uri="urn:schemas-microsoft-com:office:smarttags" w:element="PersonName">
              <w:smartTagPr>
                <w:attr w:name="ProductID" w:val="la Agencia"/>
              </w:smartTagPr>
              <w:r w:rsidRPr="00475A0C">
                <w:rPr>
                  <w:rFonts w:ascii="Verdana" w:hAnsi="Verdana"/>
                  <w:sz w:val="16"/>
                  <w:szCs w:val="16"/>
                </w:rPr>
                <w:t>la Agencia</w:t>
              </w:r>
            </w:smartTag>
            <w:r w:rsidRPr="00475A0C">
              <w:rPr>
                <w:rFonts w:ascii="Verdana" w:hAnsi="Verdana"/>
                <w:sz w:val="16"/>
                <w:szCs w:val="16"/>
              </w:rPr>
              <w:t xml:space="preserve"> para que la regulación del transvase se realice en términos de esta Ley y se revise que los permisos vigentes no afecten el desarrollo eficiente del sector Hidrocarburos.</w:t>
            </w:r>
          </w:p>
        </w:tc>
        <w:tc>
          <w:tcPr>
            <w:tcW w:w="4675" w:type="dxa"/>
          </w:tcPr>
          <w:p w14:paraId="3D2CF1F9" w14:textId="6D7C4F87"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t xml:space="preserve">Eighteenth.- </w:t>
            </w:r>
            <w:r w:rsidRPr="00E3602D">
              <w:rPr>
                <w:rFonts w:ascii="Verdana" w:hAnsi="Verdana"/>
                <w:sz w:val="16"/>
                <w:szCs w:val="16"/>
                <w:lang w:val="en-US"/>
              </w:rPr>
              <w:t>The Secretary of Energy will coordinate with the Secretary of the Secretary of Infrastructure, Communications and Transportation and with the Agency for the regulation of the transfer is carried out in accordance with this Law and that current permits are reviewed to ensure that they do not affect the efficient development of the hydrocarbon sector.</w:t>
            </w:r>
          </w:p>
        </w:tc>
      </w:tr>
      <w:tr w:rsidR="003B20AD" w:rsidRPr="00475A0C" w14:paraId="2CD62831" w14:textId="31BF05A2" w:rsidTr="007B36AB">
        <w:tc>
          <w:tcPr>
            <w:tcW w:w="4675" w:type="dxa"/>
          </w:tcPr>
          <w:p w14:paraId="189525C1" w14:textId="77777777" w:rsidR="003B20AD" w:rsidRPr="00475A0C" w:rsidRDefault="003B20AD" w:rsidP="003B20AD">
            <w:pPr>
              <w:pStyle w:val="Texto"/>
              <w:spacing w:line="232" w:lineRule="exact"/>
              <w:ind w:firstLine="0"/>
              <w:rPr>
                <w:rFonts w:ascii="Verdana" w:hAnsi="Verdana"/>
                <w:sz w:val="16"/>
                <w:szCs w:val="16"/>
              </w:rPr>
            </w:pPr>
            <w:r w:rsidRPr="00475A0C">
              <w:rPr>
                <w:rFonts w:ascii="Verdana" w:hAnsi="Verdana"/>
                <w:b/>
                <w:sz w:val="16"/>
                <w:szCs w:val="16"/>
              </w:rPr>
              <w:t xml:space="preserve">Décimo Noveno.- </w:t>
            </w:r>
            <w:r w:rsidRPr="00475A0C">
              <w:rPr>
                <w:rFonts w:ascii="Verdana" w:hAnsi="Verdana"/>
                <w:sz w:val="16"/>
                <w:szCs w:val="16"/>
              </w:rPr>
              <w:t xml:space="preserve">Los contratos integrales de exploración y producción que se encuentren vigentes, suscritos por Petróleos Mexicanos o sus organismos </w:t>
            </w:r>
            <w:r w:rsidRPr="00475A0C">
              <w:rPr>
                <w:rFonts w:ascii="Verdana" w:hAnsi="Verdana"/>
                <w:sz w:val="16"/>
                <w:szCs w:val="16"/>
              </w:rPr>
              <w:lastRenderedPageBreak/>
              <w:t>subsidiarios previo a la entrada en vigor de esta Ley no sufrirán modificación alguna en sus términos y condiciones como resultado de la publicación de esta.</w:t>
            </w:r>
          </w:p>
        </w:tc>
        <w:tc>
          <w:tcPr>
            <w:tcW w:w="4675" w:type="dxa"/>
          </w:tcPr>
          <w:p w14:paraId="0847F597" w14:textId="0958F1D0" w:rsidR="003B20AD" w:rsidRPr="00E3602D" w:rsidRDefault="003B20AD" w:rsidP="003B20AD">
            <w:pPr>
              <w:pStyle w:val="Texto"/>
              <w:spacing w:line="232" w:lineRule="exact"/>
              <w:ind w:firstLine="0"/>
              <w:rPr>
                <w:rFonts w:ascii="Verdana" w:hAnsi="Verdana"/>
                <w:b/>
                <w:sz w:val="16"/>
                <w:szCs w:val="16"/>
                <w:lang w:val="en-US"/>
              </w:rPr>
            </w:pPr>
            <w:r w:rsidRPr="00E3602D">
              <w:rPr>
                <w:rFonts w:ascii="Verdana" w:hAnsi="Verdana"/>
                <w:b/>
                <w:sz w:val="16"/>
                <w:szCs w:val="16"/>
                <w:lang w:val="en-US"/>
              </w:rPr>
              <w:lastRenderedPageBreak/>
              <w:t xml:space="preserve">Nineteenth.- </w:t>
            </w:r>
            <w:r w:rsidRPr="00E3602D">
              <w:rPr>
                <w:rFonts w:ascii="Verdana" w:hAnsi="Verdana"/>
                <w:sz w:val="16"/>
                <w:szCs w:val="16"/>
                <w:lang w:val="en-US"/>
              </w:rPr>
              <w:t xml:space="preserve">Comprehensive exploration and production contracts in force, signed by Petróleos Mexicanos or its subsidiaries prior to the entry into force </w:t>
            </w:r>
            <w:r w:rsidRPr="00E3602D">
              <w:rPr>
                <w:rFonts w:ascii="Verdana" w:hAnsi="Verdana"/>
                <w:sz w:val="16"/>
                <w:szCs w:val="16"/>
                <w:lang w:val="en-US"/>
              </w:rPr>
              <w:lastRenderedPageBreak/>
              <w:t>of this Law, shall not be subject to any modification in their terms and conditions as a result of its publication.</w:t>
            </w:r>
          </w:p>
        </w:tc>
      </w:tr>
      <w:tr w:rsidR="003B20AD" w:rsidRPr="00475A0C" w14:paraId="187459FE" w14:textId="60CA8699" w:rsidTr="007B36AB">
        <w:tc>
          <w:tcPr>
            <w:tcW w:w="4675" w:type="dxa"/>
          </w:tcPr>
          <w:p w14:paraId="2ED0B9CB" w14:textId="77777777" w:rsidR="003B20AD" w:rsidRPr="00475A0C" w:rsidRDefault="003B20AD" w:rsidP="003B20AD">
            <w:pPr>
              <w:pStyle w:val="Texto"/>
              <w:spacing w:line="232" w:lineRule="exact"/>
              <w:ind w:firstLine="0"/>
              <w:rPr>
                <w:rFonts w:ascii="Verdana" w:hAnsi="Verdana"/>
                <w:sz w:val="16"/>
                <w:szCs w:val="16"/>
                <w:lang w:val="es-ES_tradnl"/>
              </w:rPr>
            </w:pPr>
            <w:r w:rsidRPr="00475A0C">
              <w:rPr>
                <w:rFonts w:ascii="Verdana" w:hAnsi="Verdana"/>
                <w:sz w:val="16"/>
                <w:szCs w:val="16"/>
                <w:lang w:val="es-ES_tradnl"/>
              </w:rPr>
              <w:t xml:space="preserve">Las partes de dichos contratos podrán solicitar conjuntamente a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la migración de </w:t>
            </w:r>
            <w:smartTag w:uri="urn:schemas-microsoft-com:office:smarttags" w:element="PersonName">
              <w:smartTagPr>
                <w:attr w:name="ProductID" w:val="la Asignación"/>
              </w:smartTagPr>
              <w:r w:rsidRPr="00475A0C">
                <w:rPr>
                  <w:rFonts w:ascii="Verdana" w:hAnsi="Verdana"/>
                  <w:sz w:val="16"/>
                  <w:szCs w:val="16"/>
                  <w:lang w:val="es-ES_tradnl"/>
                </w:rPr>
                <w:t>la Asignación</w:t>
              </w:r>
            </w:smartTag>
            <w:r w:rsidRPr="00475A0C">
              <w:rPr>
                <w:rFonts w:ascii="Verdana" w:hAnsi="Verdana"/>
                <w:sz w:val="16"/>
                <w:szCs w:val="16"/>
                <w:lang w:val="es-ES_tradnl"/>
              </w:rPr>
              <w:t xml:space="preserve"> a un Contrato para </w:t>
            </w:r>
            <w:smartTag w:uri="urn:schemas-microsoft-com:office:smarttags" w:element="PersonName">
              <w:smartTagPr>
                <w:attr w:name="ProductID" w:val="la Exploración"/>
              </w:smartTagPr>
              <w:r w:rsidRPr="00475A0C">
                <w:rPr>
                  <w:rFonts w:ascii="Verdana" w:hAnsi="Verdana"/>
                  <w:sz w:val="16"/>
                  <w:szCs w:val="16"/>
                  <w:lang w:val="es-ES_tradnl"/>
                </w:rPr>
                <w:t>la Exploración</w:t>
              </w:r>
            </w:smartTag>
            <w:r w:rsidRPr="00475A0C">
              <w:rPr>
                <w:rFonts w:ascii="Verdana" w:hAnsi="Verdana"/>
                <w:sz w:val="16"/>
                <w:szCs w:val="16"/>
                <w:lang w:val="es-ES_tradnl"/>
              </w:rPr>
              <w:t xml:space="preserve"> y Extracción sin necesidad de agotar el procedimiento de licitación previsto en la presente Ley. Esta migración se realizará con base en los lineamientos técnicos que establezca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y las condiciones económicas relativas a los términos fiscales que, conforme a </w:t>
            </w:r>
            <w:smartTag w:uri="urn:schemas-microsoft-com:office:smarttags" w:element="PersonName">
              <w:smartTagPr>
                <w:attr w:name="ProductID" w:val="la Ley"/>
              </w:smartTagPr>
              <w:r w:rsidRPr="00475A0C">
                <w:rPr>
                  <w:rFonts w:ascii="Verdana" w:hAnsi="Verdana"/>
                  <w:sz w:val="16"/>
                  <w:szCs w:val="16"/>
                  <w:lang w:val="es-ES_tradnl"/>
                </w:rPr>
                <w:t>la Ley</w:t>
              </w:r>
            </w:smartTag>
            <w:r w:rsidRPr="00475A0C">
              <w:rPr>
                <w:rFonts w:ascii="Verdana" w:hAnsi="Verdana"/>
                <w:sz w:val="16"/>
                <w:szCs w:val="16"/>
                <w:lang w:val="es-ES_tradnl"/>
              </w:rPr>
              <w:t xml:space="preserve"> de Ingresos sobre Hidrocarburos, disponga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Hacienda y Crédito Público, siempre y cuando no se afecte el balance de los ingresos esperados para el Estado. En la elaboración de los lineamientos técnicos a que se refiere este artículo,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solicitará opinión a Petróleos Mexicanos.</w:t>
            </w:r>
          </w:p>
        </w:tc>
        <w:tc>
          <w:tcPr>
            <w:tcW w:w="4675" w:type="dxa"/>
          </w:tcPr>
          <w:p w14:paraId="549A9663" w14:textId="45B4B3A5"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parties to such contracts may jointly request the Secretary of Energy to migrate from la Asignaciónone Contract to another for the exploration and extraction and Production without having to complete the bidding process provided for in this Law. This migration will be carried out based on the technical guidelines established by the Secretary of Energy and the economic conditions relating to the fiscal terms that, pursuant to the Law of Revenue from Hydrocarbons, the Secretary of the Treasury and Public Credit have in place, provided that the balance of expected revenue for the State is not affected. In preparing the technical guidelines referred to in this article, the Secretary of Energy will request an opinion from Petróleos Mexicanos.</w:t>
            </w:r>
          </w:p>
        </w:tc>
      </w:tr>
      <w:tr w:rsidR="003B20AD" w:rsidRPr="00475A0C" w14:paraId="0A0D9C36" w14:textId="2C1BBFEE" w:rsidTr="007B36AB">
        <w:tc>
          <w:tcPr>
            <w:tcW w:w="4675" w:type="dxa"/>
          </w:tcPr>
          <w:p w14:paraId="42AD366C" w14:textId="77777777" w:rsidR="003B20AD" w:rsidRPr="00475A0C" w:rsidRDefault="003B20AD" w:rsidP="003B20AD">
            <w:pPr>
              <w:pStyle w:val="Texto"/>
              <w:spacing w:line="232" w:lineRule="exact"/>
              <w:ind w:firstLine="0"/>
              <w:rPr>
                <w:rFonts w:ascii="Verdana" w:hAnsi="Verdana"/>
                <w:sz w:val="16"/>
                <w:szCs w:val="16"/>
                <w:lang w:val="es-ES_tradnl"/>
              </w:rPr>
            </w:pPr>
            <w:r w:rsidRPr="00475A0C">
              <w:rPr>
                <w:rFonts w:ascii="Verdana" w:hAnsi="Verdana"/>
                <w:sz w:val="16"/>
                <w:szCs w:val="16"/>
                <w:lang w:val="es-ES_tradnl"/>
              </w:rPr>
              <w:t>Las Secretarías de Energía y de Hacienda y Crédito Público informarán a las partes los términos contractuales y fiscales que al efecto establezcan. En caso de que los términos contractuales y fiscales propuestos no resulten aceptables a las partes una vez realizada la petición de migración, éstas tendrán el derecho a mantener su relación contractual original bajo los contratos integrales de exploración y producción o contratos de obra pública financiada según corresponda.</w:t>
            </w:r>
          </w:p>
        </w:tc>
        <w:tc>
          <w:tcPr>
            <w:tcW w:w="4675" w:type="dxa"/>
          </w:tcPr>
          <w:p w14:paraId="3F9ECA3A" w14:textId="0F4A16AC" w:rsidR="003B20AD" w:rsidRPr="00E3602D" w:rsidRDefault="003B20AD" w:rsidP="003B20AD">
            <w:pPr>
              <w:pStyle w:val="Texto"/>
              <w:spacing w:line="232" w:lineRule="exact"/>
              <w:ind w:firstLine="0"/>
              <w:rPr>
                <w:rFonts w:ascii="Verdana" w:hAnsi="Verdana"/>
                <w:sz w:val="16"/>
                <w:szCs w:val="16"/>
                <w:lang w:val="en-US"/>
              </w:rPr>
            </w:pPr>
            <w:r w:rsidRPr="00E3602D">
              <w:rPr>
                <w:rFonts w:ascii="Verdana" w:hAnsi="Verdana"/>
                <w:sz w:val="16"/>
                <w:szCs w:val="16"/>
                <w:lang w:val="en-US"/>
              </w:rPr>
              <w:t>The Secretaries of Energy and Finance and Public Credit will inform the parties of the contractual and fiscal terms established for this purpose. If the proposed contractual and fiscal terms are not acceptable to the parties once the migration request has been submitted, they will have the right to maintain their original contractual relationship under comprehensive exploration and production contracts or financed public works contracts, as appropriate.</w:t>
            </w:r>
          </w:p>
        </w:tc>
      </w:tr>
      <w:tr w:rsidR="003B20AD" w:rsidRPr="00475A0C" w14:paraId="5F30C7A5" w14:textId="79C9596D" w:rsidTr="007B36AB">
        <w:tc>
          <w:tcPr>
            <w:tcW w:w="4675" w:type="dxa"/>
          </w:tcPr>
          <w:p w14:paraId="472E8854" w14:textId="77777777" w:rsidR="003B20AD" w:rsidRPr="00475A0C" w:rsidRDefault="003B20AD" w:rsidP="003B20AD">
            <w:pPr>
              <w:pStyle w:val="Texto"/>
              <w:spacing w:after="88"/>
              <w:ind w:firstLine="0"/>
              <w:rPr>
                <w:rFonts w:ascii="Verdana" w:hAnsi="Verdana"/>
                <w:sz w:val="16"/>
                <w:szCs w:val="16"/>
                <w:lang w:val="es-ES_tradnl"/>
              </w:rPr>
            </w:pPr>
            <w:r w:rsidRPr="00475A0C">
              <w:rPr>
                <w:rFonts w:ascii="Verdana" w:hAnsi="Verdana"/>
                <w:sz w:val="16"/>
                <w:szCs w:val="16"/>
                <w:lang w:val="es-ES_tradnl"/>
              </w:rPr>
              <w:t xml:space="preserve">En caso de que las partes manifiesten su conformidad a los términos contractuales y fiscales propuestos,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aprobará la migración y procederá la formalización de un Contrato para </w:t>
            </w:r>
            <w:smartTag w:uri="urn:schemas-microsoft-com:office:smarttags" w:element="PersonName">
              <w:smartTagPr>
                <w:attr w:name="ProductID" w:val="la Exploración"/>
              </w:smartTagPr>
              <w:r w:rsidRPr="00475A0C">
                <w:rPr>
                  <w:rFonts w:ascii="Verdana" w:hAnsi="Verdana"/>
                  <w:sz w:val="16"/>
                  <w:szCs w:val="16"/>
                  <w:lang w:val="es-ES_tradnl"/>
                </w:rPr>
                <w:t>la Exploración</w:t>
              </w:r>
            </w:smartTag>
            <w:r w:rsidRPr="00475A0C">
              <w:rPr>
                <w:rFonts w:ascii="Verdana" w:hAnsi="Verdana"/>
                <w:sz w:val="16"/>
                <w:szCs w:val="16"/>
                <w:lang w:val="es-ES_tradnl"/>
              </w:rPr>
              <w:t xml:space="preserve"> y Extracción que se firmará por parte de </w:t>
            </w:r>
            <w:smartTag w:uri="urn:schemas-microsoft-com:office:smarttags" w:element="PersonName">
              <w:smartTagPr>
                <w:attr w:name="ProductID" w:val="la Secretaría"/>
              </w:smartTagPr>
              <w:r w:rsidRPr="00475A0C">
                <w:rPr>
                  <w:rFonts w:ascii="Verdana" w:hAnsi="Verdana"/>
                  <w:sz w:val="16"/>
                  <w:szCs w:val="16"/>
                  <w:lang w:val="es-ES_tradnl"/>
                </w:rPr>
                <w:t>la Secretaría</w:t>
              </w:r>
            </w:smartTag>
            <w:r w:rsidRPr="00475A0C">
              <w:rPr>
                <w:rFonts w:ascii="Verdana" w:hAnsi="Verdana"/>
                <w:sz w:val="16"/>
                <w:szCs w:val="16"/>
                <w:lang w:val="es-ES_tradnl"/>
              </w:rPr>
              <w:t xml:space="preserve"> de Energía y la asociación o alianza que para este propósito específico constituyan la empresa productiva subsidiaria y </w:t>
            </w:r>
            <w:smartTag w:uri="urn:schemas-microsoft-com:office:smarttags" w:element="PersonName">
              <w:smartTagPr>
                <w:attr w:name="ProductID" w:val="la Persona Moral"/>
              </w:smartTagPr>
              <w:r w:rsidRPr="00475A0C">
                <w:rPr>
                  <w:rFonts w:ascii="Verdana" w:hAnsi="Verdana"/>
                  <w:sz w:val="16"/>
                  <w:szCs w:val="16"/>
                  <w:lang w:val="es-ES_tradnl"/>
                </w:rPr>
                <w:t>la Persona Moral</w:t>
              </w:r>
            </w:smartTag>
            <w:r w:rsidRPr="00475A0C">
              <w:rPr>
                <w:rFonts w:ascii="Verdana" w:hAnsi="Verdana"/>
                <w:sz w:val="16"/>
                <w:szCs w:val="16"/>
                <w:lang w:val="es-ES_tradnl"/>
              </w:rPr>
              <w:t xml:space="preserve"> respectiva, de acuerdo con las políticas que dicte el Consejo de Administración de Petróleos Mexicanos.</w:t>
            </w:r>
          </w:p>
        </w:tc>
        <w:tc>
          <w:tcPr>
            <w:tcW w:w="4675" w:type="dxa"/>
          </w:tcPr>
          <w:p w14:paraId="3C78B464" w14:textId="2FDD5ABB"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If the parties agree to the proposed contractual and tax terms, the Secretary of Energy will approve the migration and proceed with the formalization of an the exploration and extraction Contract, which will be signed by the Secretary of Energy and the association or alliance that constitute the productive subsidiary and the respective legal entity, in accordance with the policies dictated by the Board of Directors of Petróleos Mexicanos.</w:t>
            </w:r>
          </w:p>
        </w:tc>
      </w:tr>
      <w:tr w:rsidR="003B20AD" w:rsidRPr="00475A0C" w14:paraId="46785DB5" w14:textId="415E3D99" w:rsidTr="007B36AB">
        <w:tc>
          <w:tcPr>
            <w:tcW w:w="4675" w:type="dxa"/>
          </w:tcPr>
          <w:p w14:paraId="6D67E991" w14:textId="77777777" w:rsidR="003B20AD" w:rsidRPr="00475A0C" w:rsidRDefault="003B20AD" w:rsidP="003B20AD">
            <w:pPr>
              <w:pStyle w:val="Texto"/>
              <w:spacing w:after="88"/>
              <w:ind w:firstLine="0"/>
              <w:rPr>
                <w:rFonts w:ascii="Verdana" w:hAnsi="Verdana"/>
                <w:sz w:val="16"/>
                <w:szCs w:val="16"/>
                <w:lang w:val="es-ES_tradnl"/>
              </w:rPr>
            </w:pPr>
            <w:r w:rsidRPr="00475A0C">
              <w:rPr>
                <w:rFonts w:ascii="Verdana" w:hAnsi="Verdana"/>
                <w:sz w:val="16"/>
                <w:szCs w:val="16"/>
                <w:lang w:val="es-ES_tradnl"/>
              </w:rPr>
              <w:t xml:space="preserve">Previo a la firma del Contrato para </w:t>
            </w:r>
            <w:smartTag w:uri="urn:schemas-microsoft-com:office:smarttags" w:element="PersonName">
              <w:smartTagPr>
                <w:attr w:name="ProductID" w:val="la Exploración"/>
              </w:smartTagPr>
              <w:r w:rsidRPr="00475A0C">
                <w:rPr>
                  <w:rFonts w:ascii="Verdana" w:hAnsi="Verdana"/>
                  <w:sz w:val="16"/>
                  <w:szCs w:val="16"/>
                  <w:lang w:val="es-ES_tradnl"/>
                </w:rPr>
                <w:t>la Exploración</w:t>
              </w:r>
            </w:smartTag>
            <w:r w:rsidRPr="00475A0C">
              <w:rPr>
                <w:rFonts w:ascii="Verdana" w:hAnsi="Verdana"/>
                <w:sz w:val="16"/>
                <w:szCs w:val="16"/>
                <w:lang w:val="es-ES_tradnl"/>
              </w:rPr>
              <w:t xml:space="preserve"> y Extracción, deberá haberse dado por terminado de manera anticipada el contrato integral de exploración y producción o el contrato de obra pública financiada, según corresponda, sin que se ocasionen daños, perjuicios, sanciones o cualquier otra consecuencia punitiva a ninguna de las partes.</w:t>
            </w:r>
          </w:p>
        </w:tc>
        <w:tc>
          <w:tcPr>
            <w:tcW w:w="4675" w:type="dxa"/>
          </w:tcPr>
          <w:p w14:paraId="576DFA4F" w14:textId="7E58D566"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Prior to the signing of the exploration and extraction Contract, the comprehensive exploration and production contract or the financed public works contract, as applicable, must have been terminated early, without causing any damages, losses, sanctions or any other punitive consequences to either party.</w:t>
            </w:r>
          </w:p>
        </w:tc>
      </w:tr>
      <w:tr w:rsidR="003B20AD" w:rsidRPr="00475A0C" w14:paraId="790BB271" w14:textId="5B84A879" w:rsidTr="007B36AB">
        <w:tc>
          <w:tcPr>
            <w:tcW w:w="4675" w:type="dxa"/>
          </w:tcPr>
          <w:p w14:paraId="12AFB050"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Las inversiones realizadas con motivo de la ejecución del correspondiente contrato podrán ser reconocidas por las partes como aportación de capital por parte de quien sea titular de las mismas a la asociación o alianza constituida entre estas para la ejecución y administración del Contrato.</w:t>
            </w:r>
          </w:p>
        </w:tc>
        <w:tc>
          <w:tcPr>
            <w:tcW w:w="4675" w:type="dxa"/>
          </w:tcPr>
          <w:p w14:paraId="0B401795" w14:textId="5E2C6FB1"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Investments made for the execution of the corresponding contract may be recognized by the parties as a capital contribution by the holder of the same to the association or alliance formed between them for the execution and administration of the Contract.</w:t>
            </w:r>
          </w:p>
        </w:tc>
      </w:tr>
      <w:tr w:rsidR="003B20AD" w:rsidRPr="00475A0C" w14:paraId="622E572B" w14:textId="293B641E" w:rsidTr="007B36AB">
        <w:tc>
          <w:tcPr>
            <w:tcW w:w="4675" w:type="dxa"/>
          </w:tcPr>
          <w:p w14:paraId="50C9A0E5"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Adicionalmente, Petróleos Mexicanos podrá solicitar a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la sustitución de las asignaciones asociadas a los contratos integrales de exploración y producción, y los contratos de servicios integrales de </w:t>
            </w:r>
            <w:r w:rsidRPr="00475A0C">
              <w:rPr>
                <w:rFonts w:ascii="Verdana" w:hAnsi="Verdana"/>
                <w:sz w:val="16"/>
                <w:szCs w:val="16"/>
              </w:rPr>
              <w:lastRenderedPageBreak/>
              <w:t>exploración y extracción que se encuentren vigentes a Asignaciones para Desarrollo Mixto, en las que los contratistas o prestadores de servicios, según corresponda, fungirán como participantes en la mencionada asignación. De realizarse la sustitución, deberá darse por terminado de manera anticipada el contrato integral de exploración y producción o el contrato de servicios integrales de exploración y extracción en los mismos términos del párrafo quinto de este artículo, previo a la firma del Contrato Mixto.</w:t>
            </w:r>
          </w:p>
        </w:tc>
        <w:tc>
          <w:tcPr>
            <w:tcW w:w="4675" w:type="dxa"/>
          </w:tcPr>
          <w:p w14:paraId="667C95A8" w14:textId="65FE98C3"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lastRenderedPageBreak/>
              <w:t xml:space="preserve">Additionally, Petróleos Mexicanos may request that the Secretary of Energy replace the assignments associated with the current comprehensive exploration and production contracts and comprehensive exploration </w:t>
            </w:r>
            <w:r w:rsidRPr="00E3602D">
              <w:rPr>
                <w:rFonts w:ascii="Verdana" w:hAnsi="Verdana"/>
                <w:sz w:val="16"/>
                <w:szCs w:val="16"/>
                <w:lang w:val="en-US"/>
              </w:rPr>
              <w:lastRenderedPageBreak/>
              <w:t>and extraction service contracts with Mixed Development Assignments, in which the contractors or service providers, as applicable, will act as participants in the aforementioned assignment. If the substitution is made, the comprehensive exploration and production contract or the comprehensive exploration and extraction service contract must be terminated early under the same terms as in paragraph five of this article, prior to the signing of the Mixed Contract.</w:t>
            </w:r>
          </w:p>
        </w:tc>
      </w:tr>
      <w:tr w:rsidR="003B20AD" w:rsidRPr="00475A0C" w14:paraId="05196072" w14:textId="0186C4D8" w:rsidTr="007B36AB">
        <w:tc>
          <w:tcPr>
            <w:tcW w:w="4675" w:type="dxa"/>
          </w:tcPr>
          <w:p w14:paraId="26D2EEA1"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 xml:space="preserve">Vigésimo.- </w:t>
            </w:r>
            <w:r w:rsidRPr="00475A0C">
              <w:rPr>
                <w:rFonts w:ascii="Verdana" w:hAnsi="Verdana"/>
                <w:sz w:val="16"/>
                <w:szCs w:val="16"/>
              </w:rPr>
              <w:t xml:space="preserve">Durante los primeros dos años contados a partir de la entrada en vigor de la presente Ley,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podrá contratar las adquisiciones, arrendamientos y servicios que se requieran para la integración de la plataforma de información electrónica.</w:t>
            </w:r>
          </w:p>
        </w:tc>
        <w:tc>
          <w:tcPr>
            <w:tcW w:w="4675" w:type="dxa"/>
          </w:tcPr>
          <w:p w14:paraId="2A3A4259" w14:textId="0CE071A4"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Twentieth.- </w:t>
            </w:r>
            <w:r w:rsidRPr="00E3602D">
              <w:rPr>
                <w:rFonts w:ascii="Verdana" w:hAnsi="Verdana"/>
                <w:sz w:val="16"/>
                <w:szCs w:val="16"/>
                <w:lang w:val="en-US"/>
              </w:rPr>
              <w:t>During the first two years following the entry into force of this Law, the Secretary of Energy may contract the acquisitions, leases, and services required for the integration of the electronic information platform.</w:t>
            </w:r>
          </w:p>
        </w:tc>
      </w:tr>
      <w:tr w:rsidR="003B20AD" w:rsidRPr="00475A0C" w14:paraId="3F181202" w14:textId="11D5DBBF" w:rsidTr="007B36AB">
        <w:tc>
          <w:tcPr>
            <w:tcW w:w="4675" w:type="dxa"/>
          </w:tcPr>
          <w:p w14:paraId="3995B39B"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 xml:space="preserve">Vigésimo Primero.- </w:t>
            </w:r>
            <w:r w:rsidRPr="00475A0C">
              <w:rPr>
                <w:rFonts w:ascii="Verdana" w:hAnsi="Verdana"/>
                <w:sz w:val="16"/>
                <w:szCs w:val="16"/>
              </w:rPr>
              <w:t>Los pozos no otorgados en Asignaciones o Contratos, previo a la entrada en vigor de la presente Ley, que a la fecha tengan producción de Hidrocarburos bajo el resguardo de Petróleos Mexicanos, pueden ser otorgados en Asignaciones para Desarrollo Propio o en Asignaciones para Desarrollo Mixto.</w:t>
            </w:r>
          </w:p>
        </w:tc>
        <w:tc>
          <w:tcPr>
            <w:tcW w:w="4675" w:type="dxa"/>
          </w:tcPr>
          <w:p w14:paraId="545BE3BC" w14:textId="42D42783"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Twenty-First.- </w:t>
            </w:r>
            <w:r w:rsidRPr="00E3602D">
              <w:rPr>
                <w:rFonts w:ascii="Verdana" w:hAnsi="Verdana"/>
                <w:sz w:val="16"/>
                <w:szCs w:val="16"/>
                <w:lang w:val="en-US"/>
              </w:rPr>
              <w:t>The wells not granted in Assignments or Contracts, prior to the entry into force of this Law, which to date have hydrocarbon production under the protection of Petróleos Mexicanos, may be granted in Assignments for Self development or in Assignments for Mixed Development.</w:t>
            </w:r>
          </w:p>
        </w:tc>
      </w:tr>
      <w:tr w:rsidR="003B20AD" w:rsidRPr="00475A0C" w14:paraId="1D98750D" w14:textId="1C0821FD" w:rsidTr="007B36AB">
        <w:tc>
          <w:tcPr>
            <w:tcW w:w="4675" w:type="dxa"/>
          </w:tcPr>
          <w:p w14:paraId="1977A242"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 xml:space="preserve">Vigésimo Segundo.- </w:t>
            </w:r>
            <w:smartTag w:uri="urn:schemas-microsoft-com:office:smarttags" w:element="PersonName">
              <w:smartTagPr>
                <w:attr w:name="ProductID" w:val="La Evaluación"/>
              </w:smartTagPr>
              <w:r w:rsidRPr="00475A0C">
                <w:rPr>
                  <w:rFonts w:ascii="Verdana" w:hAnsi="Verdana"/>
                  <w:sz w:val="16"/>
                  <w:szCs w:val="16"/>
                </w:rPr>
                <w:t>La Evaluación</w:t>
              </w:r>
            </w:smartTag>
            <w:r w:rsidRPr="00475A0C">
              <w:rPr>
                <w:rFonts w:ascii="Verdana" w:hAnsi="Verdana"/>
                <w:sz w:val="16"/>
                <w:szCs w:val="16"/>
              </w:rPr>
              <w:t xml:space="preserve"> de Impacto Social continuará vigente hasta en tanto no se emitan las disposiciones administrativas generales correspondientes a </w:t>
            </w:r>
            <w:smartTag w:uri="urn:schemas-microsoft-com:office:smarttags" w:element="PersonName">
              <w:smartTagPr>
                <w:attr w:name="ProductID" w:val="la Manifestación"/>
              </w:smartTagPr>
              <w:r w:rsidRPr="00475A0C">
                <w:rPr>
                  <w:rFonts w:ascii="Verdana" w:hAnsi="Verdana"/>
                  <w:sz w:val="16"/>
                  <w:szCs w:val="16"/>
                </w:rPr>
                <w:t>la Manifestación</w:t>
              </w:r>
            </w:smartTag>
            <w:r w:rsidRPr="00475A0C">
              <w:rPr>
                <w:rFonts w:ascii="Verdana" w:hAnsi="Verdana"/>
                <w:sz w:val="16"/>
                <w:szCs w:val="16"/>
              </w:rPr>
              <w:t xml:space="preserve"> de Impacto Social del Sector Energético.</w:t>
            </w:r>
          </w:p>
        </w:tc>
        <w:tc>
          <w:tcPr>
            <w:tcW w:w="4675" w:type="dxa"/>
          </w:tcPr>
          <w:p w14:paraId="7F0CA759" w14:textId="1C31CAFF"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Twenty-Second.- </w:t>
            </w:r>
            <w:r w:rsidRPr="00E3602D">
              <w:rPr>
                <w:rFonts w:ascii="Verdana" w:hAnsi="Verdana"/>
                <w:sz w:val="16"/>
                <w:szCs w:val="16"/>
                <w:lang w:val="en-US"/>
              </w:rPr>
              <w:t>The Evaluation of Social Impact will remain in force until the general administrative provisions corresponding to the Statement of Social Impact of the Energy Sector are issued.</w:t>
            </w:r>
          </w:p>
        </w:tc>
      </w:tr>
      <w:tr w:rsidR="003B20AD" w:rsidRPr="00475A0C" w14:paraId="35081FB4" w14:textId="677198A2" w:rsidTr="007B36AB">
        <w:tc>
          <w:tcPr>
            <w:tcW w:w="4675" w:type="dxa"/>
          </w:tcPr>
          <w:p w14:paraId="7CCF3A9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Vigésimo Tercero.-</w:t>
            </w:r>
            <w:r w:rsidRPr="00475A0C">
              <w:rPr>
                <w:rFonts w:ascii="Verdana" w:hAnsi="Verdana"/>
                <w:sz w:val="16"/>
                <w:szCs w:val="16"/>
              </w:rPr>
              <w:t xml:space="preserve"> En cumplimiento de lo previsto en el artículo 116, segundo párrafo de esta Ley, a partir del primero de enero de 2026 y en tanto no se modifique </w:t>
            </w:r>
            <w:smartTag w:uri="urn:schemas-microsoft-com:office:smarttags" w:element="PersonName">
              <w:smartTagPr>
                <w:attr w:name="ProductID" w:val="la Norma Oficial"/>
              </w:smartTagPr>
              <w:r w:rsidRPr="00475A0C">
                <w:rPr>
                  <w:rFonts w:ascii="Verdana" w:hAnsi="Verdana"/>
                  <w:sz w:val="16"/>
                  <w:szCs w:val="16"/>
                </w:rPr>
                <w:t>la Norma Oficial</w:t>
              </w:r>
            </w:smartTag>
            <w:r w:rsidRPr="00475A0C">
              <w:rPr>
                <w:rFonts w:ascii="Verdana" w:hAnsi="Verdana"/>
                <w:sz w:val="16"/>
                <w:szCs w:val="16"/>
              </w:rPr>
              <w:t xml:space="preserve"> Mexicana “NOM-016-CRE-2016 Especificaciones de calidad de los petrolíferos” o se emita una nueva norma oficial mexicana que la sustituya, se debe estar a lo siguiente:</w:t>
            </w:r>
          </w:p>
        </w:tc>
        <w:tc>
          <w:tcPr>
            <w:tcW w:w="4675" w:type="dxa"/>
          </w:tcPr>
          <w:p w14:paraId="0BF96F53" w14:textId="304505D1"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Twenty-Third.- </w:t>
            </w:r>
            <w:r w:rsidRPr="00E3602D">
              <w:rPr>
                <w:rFonts w:ascii="Verdana" w:hAnsi="Verdana"/>
                <w:sz w:val="16"/>
                <w:szCs w:val="16"/>
                <w:lang w:val="en-US"/>
              </w:rPr>
              <w:t>In compliance with the provisions of article 116, second paragraph of this Law, as of January 1, 2026 and while the Official Mexican “NOM-016-CRE-2016 Quality specifications of petroleum products” is not modified or a new Official Mexican Standard is issued to replace it, the following must be observed:</w:t>
            </w:r>
          </w:p>
        </w:tc>
      </w:tr>
      <w:tr w:rsidR="003B20AD" w:rsidRPr="00475A0C" w14:paraId="2619DBFC" w14:textId="293FDC5F" w:rsidTr="007B36AB">
        <w:tc>
          <w:tcPr>
            <w:tcW w:w="4675" w:type="dxa"/>
          </w:tcPr>
          <w:p w14:paraId="13B51CAD"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w:t>
            </w:r>
            <w:r w:rsidRPr="00475A0C">
              <w:rPr>
                <w:rFonts w:ascii="Verdana" w:hAnsi="Verdana"/>
                <w:sz w:val="16"/>
                <w:szCs w:val="16"/>
              </w:rPr>
              <w:tab/>
              <w:t xml:space="preserve">La responsabilidad para la toma de muestras y la determinación de las especificaciones de calidad a que se refieren los numerales 5.1, 5.1.2, 5.1.3 excepto las personas Permisionarias de transporte por ducto, 5.1.4 excepto las personas Permisionarias de almacenamiento, y 5.1.5 recae en </w:t>
            </w:r>
            <w:smartTag w:uri="urn:schemas-microsoft-com:office:smarttags" w:element="PersonName">
              <w:smartTagPr>
                <w:attr w:name="ProductID" w:val="la Secretaría"/>
              </w:smartTagPr>
              <w:r w:rsidRPr="00475A0C">
                <w:rPr>
                  <w:rFonts w:ascii="Verdana" w:hAnsi="Verdana"/>
                  <w:sz w:val="16"/>
                  <w:szCs w:val="16"/>
                </w:rPr>
                <w:t>la Secretaría</w:t>
              </w:r>
            </w:smartTag>
            <w:r w:rsidRPr="00475A0C">
              <w:rPr>
                <w:rFonts w:ascii="Verdana" w:hAnsi="Verdana"/>
                <w:sz w:val="16"/>
                <w:szCs w:val="16"/>
              </w:rPr>
              <w:t xml:space="preserve"> de Energía, en su calidad de autoridad normalizadora, quien ejerce dicha atribución a través de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Para la toma de muestras y determinación de las especificaciones de calidad correspondientes,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puede auxiliarse de laboratorios de prueba acreditados y aprobados, en términos de lo dispuesto en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w:t>
            </w:r>
            <w:smartTag w:uri="urn:schemas-microsoft-com:office:smarttags" w:element="PersonName">
              <w:smartTagPr>
                <w:attr w:name="ProductID" w:val="la Infraestructura"/>
              </w:smartTagPr>
              <w:r w:rsidRPr="00475A0C">
                <w:rPr>
                  <w:rFonts w:ascii="Verdana" w:hAnsi="Verdana"/>
                  <w:sz w:val="16"/>
                  <w:szCs w:val="16"/>
                </w:rPr>
                <w:t>la Infraestructura</w:t>
              </w:r>
            </w:smartTag>
            <w:r w:rsidRPr="00475A0C">
              <w:rPr>
                <w:rFonts w:ascii="Verdana" w:hAnsi="Verdana"/>
                <w:sz w:val="16"/>
                <w:szCs w:val="16"/>
              </w:rPr>
              <w:t xml:space="preserve"> de </w:t>
            </w:r>
            <w:smartTag w:uri="urn:schemas-microsoft-com:office:smarttags" w:element="PersonName">
              <w:smartTagPr>
                <w:attr w:name="ProductID" w:val="la Calidad"/>
              </w:smartTagPr>
              <w:r w:rsidRPr="00475A0C">
                <w:rPr>
                  <w:rFonts w:ascii="Verdana" w:hAnsi="Verdana"/>
                  <w:sz w:val="16"/>
                  <w:szCs w:val="16"/>
                </w:rPr>
                <w:t>la Calidad</w:t>
              </w:r>
            </w:smartTag>
            <w:r w:rsidRPr="00475A0C">
              <w:rPr>
                <w:rFonts w:ascii="Verdana" w:hAnsi="Verdana"/>
                <w:sz w:val="16"/>
                <w:szCs w:val="16"/>
              </w:rPr>
              <w:t>;</w:t>
            </w:r>
          </w:p>
        </w:tc>
        <w:tc>
          <w:tcPr>
            <w:tcW w:w="4675" w:type="dxa"/>
          </w:tcPr>
          <w:p w14:paraId="11F5DF83" w14:textId="6A7CABFF"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 </w:t>
            </w:r>
            <w:r w:rsidRPr="00E3602D">
              <w:rPr>
                <w:rFonts w:ascii="Verdana" w:hAnsi="Verdana"/>
                <w:sz w:val="16"/>
                <w:szCs w:val="16"/>
                <w:lang w:val="en-US"/>
              </w:rPr>
              <w:tab/>
              <w:t>Responsibility for sampling and determining the quality specifications referred to in sections 5.1, 5.1.2, 5.1.3 except for persons holding a pipeline transport permit, 5.1.4 except for persons holding a storage permit, and 5.1.5 falls on the Secretary of Energy, in its capacity as standardizing authority, who exercises said authority through the National Commission of Energy. For sampling and determining the corresponding quality specifications, the National Commission of Energy may seek assistance from accredited and approved testing laboratories, in accordance with the provisions of the Law of Quality Infrastructure;</w:t>
            </w:r>
          </w:p>
        </w:tc>
      </w:tr>
      <w:tr w:rsidR="003B20AD" w:rsidRPr="00475A0C" w14:paraId="6458B430" w14:textId="0C61E913" w:rsidTr="007B36AB">
        <w:tc>
          <w:tcPr>
            <w:tcW w:w="4675" w:type="dxa"/>
          </w:tcPr>
          <w:p w14:paraId="491922CB"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w:t>
            </w:r>
            <w:r w:rsidRPr="00475A0C">
              <w:rPr>
                <w:rFonts w:ascii="Verdana" w:hAnsi="Verdana"/>
                <w:sz w:val="16"/>
                <w:szCs w:val="16"/>
              </w:rPr>
              <w:tab/>
              <w:t>Para efectos de lo dispuesto en la fracción anterior, las personas Permisionarias de importación, transporte por medios distintos a ductos, almacenamiento, distribución y expendio al público de petrolíferos deben otorgar el acceso y facilidades para que se pueda realizar la toma de muestras respectiva, y</w:t>
            </w:r>
          </w:p>
        </w:tc>
        <w:tc>
          <w:tcPr>
            <w:tcW w:w="4675" w:type="dxa"/>
          </w:tcPr>
          <w:p w14:paraId="23373D98" w14:textId="02307607"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t xml:space="preserve">II. </w:t>
            </w:r>
            <w:r w:rsidRPr="00E3602D">
              <w:rPr>
                <w:rFonts w:ascii="Verdana" w:hAnsi="Verdana"/>
                <w:sz w:val="16"/>
                <w:szCs w:val="16"/>
                <w:lang w:val="en-US"/>
              </w:rPr>
              <w:tab/>
              <w:t>For the purposes of the provisions of the preceding section, persons holding permits for import, transportation by means other than pipelines, storage, distribution and sale to the public of petroleum products must grant access and facilities so that the respective samples can be taken, and</w:t>
            </w:r>
          </w:p>
        </w:tc>
      </w:tr>
      <w:tr w:rsidR="003B20AD" w:rsidRPr="00475A0C" w14:paraId="01C95795" w14:textId="7D5F0B8B" w:rsidTr="007B36AB">
        <w:tc>
          <w:tcPr>
            <w:tcW w:w="4675" w:type="dxa"/>
          </w:tcPr>
          <w:p w14:paraId="3A058B9A"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b/>
                <w:sz w:val="16"/>
                <w:szCs w:val="16"/>
              </w:rPr>
              <w:t>III.</w:t>
            </w:r>
            <w:r w:rsidRPr="00475A0C">
              <w:rPr>
                <w:rFonts w:ascii="Verdana" w:hAnsi="Verdana"/>
                <w:sz w:val="16"/>
                <w:szCs w:val="16"/>
              </w:rPr>
              <w:tab/>
              <w:t xml:space="preserve">El resultado de las pruebas de laboratorio debe ser comunicado por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a </w:t>
            </w:r>
            <w:r w:rsidRPr="00475A0C">
              <w:rPr>
                <w:rFonts w:ascii="Verdana" w:hAnsi="Verdana"/>
                <w:sz w:val="16"/>
                <w:szCs w:val="16"/>
              </w:rPr>
              <w:lastRenderedPageBreak/>
              <w:t>las personas Permisionarias, por medios electrónicos, dentro de los 5 días hábiles posteriores a su recepción por parte del laboratorio de prueba correspondiente.</w:t>
            </w:r>
          </w:p>
        </w:tc>
        <w:tc>
          <w:tcPr>
            <w:tcW w:w="4675" w:type="dxa"/>
          </w:tcPr>
          <w:p w14:paraId="424AC709" w14:textId="1851FBFE" w:rsidR="003B20AD" w:rsidRPr="00E3602D" w:rsidRDefault="003B20AD" w:rsidP="003B20AD">
            <w:pPr>
              <w:pStyle w:val="Texto"/>
              <w:spacing w:after="88"/>
              <w:ind w:firstLine="0"/>
              <w:rPr>
                <w:rFonts w:ascii="Verdana" w:hAnsi="Verdana"/>
                <w:b/>
                <w:sz w:val="16"/>
                <w:szCs w:val="16"/>
                <w:lang w:val="en-US"/>
              </w:rPr>
            </w:pPr>
            <w:r w:rsidRPr="00E3602D">
              <w:rPr>
                <w:rFonts w:ascii="Verdana" w:hAnsi="Verdana"/>
                <w:b/>
                <w:sz w:val="16"/>
                <w:szCs w:val="16"/>
                <w:lang w:val="en-US"/>
              </w:rPr>
              <w:lastRenderedPageBreak/>
              <w:t xml:space="preserve">III. </w:t>
            </w:r>
            <w:r w:rsidRPr="00E3602D">
              <w:rPr>
                <w:rFonts w:ascii="Verdana" w:hAnsi="Verdana"/>
                <w:sz w:val="16"/>
                <w:szCs w:val="16"/>
                <w:lang w:val="en-US"/>
              </w:rPr>
              <w:tab/>
              <w:t xml:space="preserve">The results of the laboratory tests must be communicated by the National Commission of Energy to </w:t>
            </w:r>
            <w:r w:rsidRPr="00E3602D">
              <w:rPr>
                <w:rFonts w:ascii="Verdana" w:hAnsi="Verdana"/>
                <w:sz w:val="16"/>
                <w:szCs w:val="16"/>
                <w:lang w:val="en-US"/>
              </w:rPr>
              <w:lastRenderedPageBreak/>
              <w:t>the Permit Holders, by electronic means, within 5 business days after receipt by the corresponding testing laboratory.</w:t>
            </w:r>
          </w:p>
        </w:tc>
      </w:tr>
      <w:tr w:rsidR="003B20AD" w:rsidRPr="00475A0C" w14:paraId="216B4CA3" w14:textId="26BC179D" w:rsidTr="007B36AB">
        <w:tc>
          <w:tcPr>
            <w:tcW w:w="4675" w:type="dxa"/>
          </w:tcPr>
          <w:p w14:paraId="2431B14B" w14:textId="77777777" w:rsidR="003B20AD" w:rsidRPr="00475A0C" w:rsidRDefault="003B20AD" w:rsidP="003B20AD">
            <w:pPr>
              <w:pStyle w:val="Texto"/>
              <w:spacing w:after="88"/>
              <w:ind w:firstLine="0"/>
              <w:rPr>
                <w:rFonts w:ascii="Verdana" w:hAnsi="Verdana"/>
                <w:sz w:val="16"/>
                <w:szCs w:val="16"/>
              </w:rPr>
            </w:pPr>
            <w:r w:rsidRPr="00475A0C">
              <w:rPr>
                <w:rFonts w:ascii="Verdana" w:hAnsi="Verdana"/>
                <w:sz w:val="16"/>
                <w:szCs w:val="16"/>
              </w:rPr>
              <w:t xml:space="preserve">La Secretaría de Hacienda y Crédito Público debe garantizar que para el ejercicio fiscal 2026 y en tanto no se modifique </w:t>
            </w:r>
            <w:smartTag w:uri="urn:schemas-microsoft-com:office:smarttags" w:element="PersonName">
              <w:smartTagPr>
                <w:attr w:name="ProductID" w:val="la Norma Oficial"/>
              </w:smartTagPr>
              <w:r w:rsidRPr="00475A0C">
                <w:rPr>
                  <w:rFonts w:ascii="Verdana" w:hAnsi="Verdana"/>
                  <w:sz w:val="16"/>
                  <w:szCs w:val="16"/>
                </w:rPr>
                <w:t>la Norma Oficial</w:t>
              </w:r>
            </w:smartTag>
            <w:r w:rsidRPr="00475A0C">
              <w:rPr>
                <w:rFonts w:ascii="Verdana" w:hAnsi="Verdana"/>
                <w:sz w:val="16"/>
                <w:szCs w:val="16"/>
              </w:rPr>
              <w:t xml:space="preserve"> Mexicana “NOM-016-CRE-2016 Especificaciones de calidad de los petrolíferos” o se emita una nueva norma oficial mexicana que la sustituya, los aprovechamientos por la supervisión anual de los permisos a que se refiere este artículo, cubran los costos relativos a la toma de muestra y determinación de especificaciones de calidad a que se refieren la fracción I de este artículo.</w:t>
            </w:r>
          </w:p>
        </w:tc>
        <w:tc>
          <w:tcPr>
            <w:tcW w:w="4675" w:type="dxa"/>
          </w:tcPr>
          <w:p w14:paraId="18E29BE2" w14:textId="341A5B28" w:rsidR="003B20AD" w:rsidRPr="00E3602D" w:rsidRDefault="003B20AD" w:rsidP="003B20AD">
            <w:pPr>
              <w:pStyle w:val="Texto"/>
              <w:spacing w:after="88"/>
              <w:ind w:firstLine="0"/>
              <w:rPr>
                <w:rFonts w:ascii="Verdana" w:hAnsi="Verdana"/>
                <w:sz w:val="16"/>
                <w:szCs w:val="16"/>
                <w:lang w:val="en-US"/>
              </w:rPr>
            </w:pPr>
            <w:r w:rsidRPr="00E3602D">
              <w:rPr>
                <w:rFonts w:ascii="Verdana" w:hAnsi="Verdana"/>
                <w:sz w:val="16"/>
                <w:szCs w:val="16"/>
                <w:lang w:val="en-US"/>
              </w:rPr>
              <w:t>The Secretary of Finance and Public Credit must guarantee that for the fiscal year 2026 and as long as the Official Mexican Standard “NOM-016-CRE-2016 Quality specifications of petroleum products” is not modified or a new Official Mexican Standard is issued to replace it, the benefits from the annual supervision of the permits referred to in this article cover the costs related to sampling and determining quality specifications referred to in section I of this article.</w:t>
            </w:r>
          </w:p>
        </w:tc>
      </w:tr>
      <w:tr w:rsidR="003B20AD" w:rsidRPr="00475A0C" w14:paraId="25CF60AB" w14:textId="4EB82065" w:rsidTr="007B36AB">
        <w:tc>
          <w:tcPr>
            <w:tcW w:w="4675" w:type="dxa"/>
          </w:tcPr>
          <w:p w14:paraId="2C67D126" w14:textId="77777777" w:rsidR="003B20AD" w:rsidRPr="00475A0C" w:rsidRDefault="003B20AD" w:rsidP="003B20AD">
            <w:pPr>
              <w:pStyle w:val="Texto"/>
              <w:ind w:firstLine="0"/>
              <w:rPr>
                <w:rFonts w:ascii="Verdana" w:hAnsi="Verdana"/>
                <w:sz w:val="16"/>
                <w:szCs w:val="16"/>
              </w:rPr>
            </w:pPr>
            <w:r w:rsidRPr="00475A0C">
              <w:rPr>
                <w:rFonts w:ascii="Verdana" w:hAnsi="Verdana"/>
                <w:sz w:val="16"/>
                <w:szCs w:val="16"/>
              </w:rPr>
              <w:t xml:space="preserve">Para la determinación de dichos aprovechamientos, </w:t>
            </w:r>
            <w:smartTag w:uri="urn:schemas-microsoft-com:office:smarttags" w:element="PersonName">
              <w:smartTagPr>
                <w:attr w:name="ProductID" w:val="la Comisión Nacional"/>
              </w:smartTagPr>
              <w:r w:rsidRPr="00475A0C">
                <w:rPr>
                  <w:rFonts w:ascii="Verdana" w:hAnsi="Verdana"/>
                  <w:sz w:val="16"/>
                  <w:szCs w:val="16"/>
                </w:rPr>
                <w:t>la Comisión Nacional</w:t>
              </w:r>
            </w:smartTag>
            <w:r w:rsidRPr="00475A0C">
              <w:rPr>
                <w:rFonts w:ascii="Verdana" w:hAnsi="Verdana"/>
                <w:sz w:val="16"/>
                <w:szCs w:val="16"/>
              </w:rPr>
              <w:t xml:space="preserve"> de Energía debe establecer un costo promedio por actividad regulada con base en la información que los laboratorios de prueba aprobados deben remitir en términos de </w:t>
            </w:r>
            <w:smartTag w:uri="urn:schemas-microsoft-com:office:smarttags" w:element="PersonName">
              <w:smartTagPr>
                <w:attr w:name="ProductID" w:val="la Ley"/>
              </w:smartTagPr>
              <w:r w:rsidRPr="00475A0C">
                <w:rPr>
                  <w:rFonts w:ascii="Verdana" w:hAnsi="Verdana"/>
                  <w:sz w:val="16"/>
                  <w:szCs w:val="16"/>
                </w:rPr>
                <w:t>la Ley</w:t>
              </w:r>
            </w:smartTag>
            <w:r w:rsidRPr="00475A0C">
              <w:rPr>
                <w:rFonts w:ascii="Verdana" w:hAnsi="Verdana"/>
                <w:sz w:val="16"/>
                <w:szCs w:val="16"/>
              </w:rPr>
              <w:t xml:space="preserve"> de Infraestructura de la Calidad.</w:t>
            </w:r>
          </w:p>
        </w:tc>
        <w:tc>
          <w:tcPr>
            <w:tcW w:w="4675" w:type="dxa"/>
          </w:tcPr>
          <w:p w14:paraId="08BF9604" w14:textId="43CEAD80" w:rsidR="003B20AD" w:rsidRPr="00E3602D" w:rsidRDefault="003B20AD" w:rsidP="003B20AD">
            <w:pPr>
              <w:pStyle w:val="Texto"/>
              <w:ind w:firstLine="0"/>
              <w:rPr>
                <w:rFonts w:ascii="Verdana" w:hAnsi="Verdana"/>
                <w:sz w:val="16"/>
                <w:szCs w:val="16"/>
                <w:lang w:val="en-US"/>
              </w:rPr>
            </w:pPr>
            <w:r w:rsidRPr="00E3602D">
              <w:rPr>
                <w:rFonts w:ascii="Verdana" w:hAnsi="Verdana"/>
                <w:sz w:val="16"/>
                <w:szCs w:val="16"/>
                <w:lang w:val="en-US"/>
              </w:rPr>
              <w:t xml:space="preserve">To determine these benefits, the National Commission of Energy must establish an average cost per regulated activity based on the information that approved testing laboratories must submit in terms of the Law of Quality Infrastructure. </w:t>
            </w:r>
          </w:p>
        </w:tc>
      </w:tr>
      <w:tr w:rsidR="003B20AD" w:rsidRPr="00475A0C" w14:paraId="15E2BA6A" w14:textId="795E489D" w:rsidTr="007B36AB">
        <w:tc>
          <w:tcPr>
            <w:tcW w:w="4675" w:type="dxa"/>
          </w:tcPr>
          <w:p w14:paraId="1FBC4D00" w14:textId="1ECE828E" w:rsidR="003B20AD" w:rsidRPr="00475A0C" w:rsidRDefault="003B20AD" w:rsidP="003B20AD">
            <w:pPr>
              <w:pStyle w:val="Texto"/>
              <w:spacing w:after="82"/>
              <w:ind w:firstLine="0"/>
              <w:rPr>
                <w:rFonts w:ascii="Verdana" w:hAnsi="Verdana"/>
                <w:sz w:val="16"/>
                <w:szCs w:val="16"/>
              </w:rPr>
            </w:pPr>
          </w:p>
        </w:tc>
        <w:tc>
          <w:tcPr>
            <w:tcW w:w="4675" w:type="dxa"/>
          </w:tcPr>
          <w:p w14:paraId="3114A0A1" w14:textId="6AE2EDED" w:rsidR="003B20AD" w:rsidRPr="00E3602D" w:rsidRDefault="003B20AD" w:rsidP="003B20AD">
            <w:pPr>
              <w:pStyle w:val="Texto"/>
              <w:spacing w:after="82"/>
              <w:ind w:firstLine="0"/>
              <w:rPr>
                <w:rFonts w:ascii="Verdana" w:hAnsi="Verdana"/>
                <w:b/>
                <w:sz w:val="16"/>
                <w:szCs w:val="16"/>
                <w:lang w:val="en-US"/>
              </w:rPr>
            </w:pPr>
          </w:p>
        </w:tc>
      </w:tr>
      <w:tr w:rsidR="003B20AD" w:rsidRPr="00475A0C" w14:paraId="0E52FA54" w14:textId="3CA23867" w:rsidTr="007B36AB">
        <w:tc>
          <w:tcPr>
            <w:tcW w:w="4675" w:type="dxa"/>
          </w:tcPr>
          <w:p w14:paraId="36163DF0" w14:textId="77777777" w:rsidR="003B20AD" w:rsidRPr="00475A0C" w:rsidRDefault="003B20AD" w:rsidP="003B20AD">
            <w:pPr>
              <w:pStyle w:val="ANOTACION"/>
              <w:spacing w:line="238" w:lineRule="exact"/>
              <w:rPr>
                <w:rFonts w:ascii="Verdana" w:hAnsi="Verdana"/>
                <w:sz w:val="16"/>
                <w:szCs w:val="16"/>
              </w:rPr>
            </w:pPr>
            <w:r w:rsidRPr="00475A0C">
              <w:rPr>
                <w:rFonts w:ascii="Verdana" w:hAnsi="Verdana"/>
                <w:sz w:val="16"/>
                <w:szCs w:val="16"/>
              </w:rPr>
              <w:t>Transitorios</w:t>
            </w:r>
          </w:p>
        </w:tc>
        <w:tc>
          <w:tcPr>
            <w:tcW w:w="4675" w:type="dxa"/>
          </w:tcPr>
          <w:p w14:paraId="365A9D49" w14:textId="02B21816" w:rsidR="003B20AD" w:rsidRPr="00E3602D" w:rsidRDefault="003B20AD" w:rsidP="003B20AD">
            <w:pPr>
              <w:pStyle w:val="ANOTACION"/>
              <w:spacing w:line="238" w:lineRule="exact"/>
              <w:rPr>
                <w:rFonts w:ascii="Verdana" w:hAnsi="Verdana"/>
                <w:sz w:val="16"/>
                <w:szCs w:val="16"/>
                <w:lang w:val="en-US"/>
              </w:rPr>
            </w:pPr>
            <w:r w:rsidRPr="00E3602D">
              <w:rPr>
                <w:rFonts w:ascii="Verdana" w:hAnsi="Verdana"/>
                <w:sz w:val="16"/>
                <w:szCs w:val="16"/>
                <w:lang w:val="en-US"/>
              </w:rPr>
              <w:t>Transitional Articles</w:t>
            </w:r>
          </w:p>
        </w:tc>
      </w:tr>
      <w:tr w:rsidR="003B20AD" w:rsidRPr="00475A0C" w14:paraId="3EE4AEEF" w14:textId="06875725" w:rsidTr="007B36AB">
        <w:tc>
          <w:tcPr>
            <w:tcW w:w="4675" w:type="dxa"/>
          </w:tcPr>
          <w:p w14:paraId="205A2FB3" w14:textId="77777777" w:rsidR="003B20AD" w:rsidRPr="00475A0C" w:rsidRDefault="003B20AD" w:rsidP="003B20AD">
            <w:pPr>
              <w:pStyle w:val="Texto"/>
              <w:spacing w:line="238" w:lineRule="exact"/>
              <w:ind w:firstLine="0"/>
              <w:rPr>
                <w:rFonts w:ascii="Verdana" w:hAnsi="Verdana"/>
                <w:sz w:val="16"/>
                <w:szCs w:val="16"/>
                <w:lang w:val="es-MX"/>
              </w:rPr>
            </w:pPr>
            <w:r w:rsidRPr="00475A0C">
              <w:rPr>
                <w:rFonts w:ascii="Verdana" w:hAnsi="Verdana"/>
                <w:b/>
                <w:sz w:val="16"/>
                <w:szCs w:val="16"/>
                <w:lang w:val="es-MX"/>
              </w:rPr>
              <w:t xml:space="preserve">Primero. </w:t>
            </w:r>
            <w:r w:rsidRPr="00475A0C">
              <w:rPr>
                <w:rFonts w:ascii="Verdana" w:hAnsi="Verdana"/>
                <w:sz w:val="16"/>
                <w:szCs w:val="16"/>
                <w:lang w:val="es-MX"/>
              </w:rPr>
              <w:t>El presente Decreto entrará en vigor el día siguiente al de su publicación en el Diario Oficial de la Federación.</w:t>
            </w:r>
          </w:p>
        </w:tc>
        <w:tc>
          <w:tcPr>
            <w:tcW w:w="4675" w:type="dxa"/>
          </w:tcPr>
          <w:p w14:paraId="1126ED07" w14:textId="7D26389A"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 xml:space="preserve">First. </w:t>
            </w:r>
            <w:r w:rsidRPr="00E3602D">
              <w:rPr>
                <w:rFonts w:ascii="Verdana" w:hAnsi="Verdana"/>
                <w:sz w:val="16"/>
                <w:szCs w:val="16"/>
                <w:lang w:val="en-US"/>
              </w:rPr>
              <w:t>This Decree shall enter into force on the day following its publication in the Official Daily of the Federation.</w:t>
            </w:r>
          </w:p>
        </w:tc>
      </w:tr>
      <w:tr w:rsidR="003B20AD" w:rsidRPr="00475A0C" w14:paraId="3B8E9CE4" w14:textId="6FE3F8E5" w:rsidTr="007B36AB">
        <w:tc>
          <w:tcPr>
            <w:tcW w:w="4675" w:type="dxa"/>
          </w:tcPr>
          <w:p w14:paraId="6617D68C" w14:textId="77777777" w:rsidR="003B20AD" w:rsidRPr="00475A0C" w:rsidRDefault="003B20AD" w:rsidP="003B20AD">
            <w:pPr>
              <w:pStyle w:val="Texto"/>
              <w:spacing w:line="238" w:lineRule="exact"/>
              <w:ind w:firstLine="0"/>
              <w:rPr>
                <w:rFonts w:ascii="Verdana" w:hAnsi="Verdana"/>
                <w:sz w:val="16"/>
                <w:szCs w:val="16"/>
                <w:lang w:val="es-MX"/>
              </w:rPr>
            </w:pPr>
            <w:r w:rsidRPr="00475A0C">
              <w:rPr>
                <w:rFonts w:ascii="Verdana" w:hAnsi="Verdana"/>
                <w:b/>
                <w:sz w:val="16"/>
                <w:szCs w:val="16"/>
              </w:rPr>
              <w:t>Segundo.</w:t>
            </w:r>
            <w:r w:rsidRPr="00475A0C">
              <w:rPr>
                <w:rFonts w:ascii="Verdana" w:hAnsi="Verdana"/>
                <w:sz w:val="16"/>
                <w:szCs w:val="16"/>
              </w:rPr>
              <w:t xml:space="preserve"> </w:t>
            </w:r>
            <w:smartTag w:uri="urn:schemas-microsoft-com:office:smarttags" w:element="PersonName">
              <w:smartTagPr>
                <w:attr w:name="ProductID" w:val="La Cámara"/>
              </w:smartTagPr>
              <w:r w:rsidRPr="00475A0C">
                <w:rPr>
                  <w:rFonts w:ascii="Verdana" w:hAnsi="Verdana"/>
                  <w:sz w:val="16"/>
                  <w:szCs w:val="16"/>
                </w:rPr>
                <w:t>La Cámara</w:t>
              </w:r>
            </w:smartTag>
            <w:r w:rsidRPr="00475A0C">
              <w:rPr>
                <w:rFonts w:ascii="Verdana" w:hAnsi="Verdana"/>
                <w:sz w:val="16"/>
                <w:szCs w:val="16"/>
              </w:rPr>
              <w:t xml:space="preserve"> de Diputados debe realizar las previsiones presupuestales necesarias para que las dependencias y entidades puedan cumplir las atribuciones conferidas en este Decreto.</w:t>
            </w:r>
          </w:p>
        </w:tc>
        <w:tc>
          <w:tcPr>
            <w:tcW w:w="4675" w:type="dxa"/>
          </w:tcPr>
          <w:p w14:paraId="17D04BA7" w14:textId="21CD622C" w:rsidR="003B20AD" w:rsidRPr="00E3602D" w:rsidRDefault="003B20AD" w:rsidP="003B20AD">
            <w:pPr>
              <w:pStyle w:val="Texto"/>
              <w:spacing w:line="238" w:lineRule="exact"/>
              <w:ind w:firstLine="0"/>
              <w:rPr>
                <w:rFonts w:ascii="Verdana" w:hAnsi="Verdana"/>
                <w:b/>
                <w:sz w:val="16"/>
                <w:szCs w:val="16"/>
                <w:lang w:val="en-US"/>
              </w:rPr>
            </w:pPr>
            <w:r w:rsidRPr="00E3602D">
              <w:rPr>
                <w:rFonts w:ascii="Verdana" w:hAnsi="Verdana"/>
                <w:b/>
                <w:sz w:val="16"/>
                <w:szCs w:val="16"/>
                <w:lang w:val="en-US"/>
              </w:rPr>
              <w:t>Second.</w:t>
            </w:r>
            <w:r w:rsidRPr="00E3602D">
              <w:rPr>
                <w:rFonts w:ascii="Verdana" w:hAnsi="Verdana"/>
                <w:sz w:val="16"/>
                <w:szCs w:val="16"/>
                <w:lang w:val="en-US"/>
              </w:rPr>
              <w:t xml:space="preserve"> The Chamber of Deputies must make the necessary budgetary provisions so that the departments and entities can fulfill the powers conferred in this Decree.</w:t>
            </w:r>
          </w:p>
        </w:tc>
      </w:tr>
      <w:tr w:rsidR="003B20AD" w:rsidRPr="00475A0C" w14:paraId="6309238C" w14:textId="49343866" w:rsidTr="007B36AB">
        <w:tc>
          <w:tcPr>
            <w:tcW w:w="4675" w:type="dxa"/>
          </w:tcPr>
          <w:p w14:paraId="69259D1C" w14:textId="77777777" w:rsidR="003B20AD" w:rsidRPr="00475A0C" w:rsidRDefault="003B20AD" w:rsidP="003B20AD">
            <w:pPr>
              <w:pStyle w:val="Texto"/>
              <w:spacing w:line="238" w:lineRule="exact"/>
              <w:ind w:firstLine="0"/>
              <w:rPr>
                <w:rFonts w:ascii="Verdana" w:hAnsi="Verdana"/>
                <w:b/>
                <w:sz w:val="16"/>
                <w:szCs w:val="16"/>
              </w:rPr>
            </w:pPr>
            <w:r w:rsidRPr="00475A0C">
              <w:rPr>
                <w:rFonts w:ascii="Verdana" w:hAnsi="Verdana"/>
                <w:sz w:val="16"/>
                <w:szCs w:val="16"/>
              </w:rPr>
              <w:t xml:space="preserve">Ciudad de México, a 12 de marzo de 2025.- </w:t>
            </w:r>
            <w:r w:rsidRPr="00475A0C">
              <w:rPr>
                <w:rFonts w:ascii="Verdana" w:hAnsi="Verdana"/>
                <w:sz w:val="16"/>
                <w:szCs w:val="16"/>
                <w:lang w:val="es-MX"/>
              </w:rPr>
              <w:t>Sen. Gerardo Fernández Noroña, Presidente.- Dip. Sergio Carlos Gutiérrez Luna, Presidente.- Sen. Verónica Noemí Camino Farjat, Secretaria.- Dip. José Luis Montalvo Luna, Secretario.- Rúbricas.</w:t>
            </w:r>
            <w:r w:rsidRPr="00475A0C">
              <w:rPr>
                <w:rFonts w:ascii="Verdana" w:hAnsi="Verdana"/>
                <w:b/>
                <w:sz w:val="16"/>
                <w:szCs w:val="16"/>
              </w:rPr>
              <w:t>"</w:t>
            </w:r>
          </w:p>
        </w:tc>
        <w:tc>
          <w:tcPr>
            <w:tcW w:w="4675" w:type="dxa"/>
          </w:tcPr>
          <w:p w14:paraId="73647E1D" w14:textId="72CF52B8"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Mexico City, March 12, 2025.- Sen. Gerardo Fernández Noroña, President.- Representative Sergio Carlos Gutiérrez Luna, President.- Sen. Verónica Noemí Camino Farjat, Secretary.- Representative José Luis Montalvo Luna, Secretary.- Signed.</w:t>
            </w:r>
            <w:r w:rsidRPr="00E3602D">
              <w:rPr>
                <w:rFonts w:ascii="Verdana" w:hAnsi="Verdana"/>
                <w:b/>
                <w:sz w:val="16"/>
                <w:szCs w:val="16"/>
                <w:lang w:val="en-US"/>
              </w:rPr>
              <w:t>"</w:t>
            </w:r>
          </w:p>
        </w:tc>
      </w:tr>
      <w:tr w:rsidR="003B20AD" w:rsidRPr="00550D97" w14:paraId="1A128205" w14:textId="7A7FD5E1" w:rsidTr="007B36AB">
        <w:tc>
          <w:tcPr>
            <w:tcW w:w="4675" w:type="dxa"/>
          </w:tcPr>
          <w:p w14:paraId="70A58CAB" w14:textId="77777777" w:rsidR="003B20AD" w:rsidRPr="00475A0C" w:rsidRDefault="003B20AD" w:rsidP="003B20AD">
            <w:pPr>
              <w:pStyle w:val="Texto"/>
              <w:spacing w:line="238" w:lineRule="exact"/>
              <w:ind w:firstLine="0"/>
              <w:rPr>
                <w:rFonts w:ascii="Verdana" w:hAnsi="Verdana"/>
                <w:sz w:val="16"/>
                <w:szCs w:val="16"/>
              </w:rPr>
            </w:pPr>
            <w:r w:rsidRPr="00475A0C">
              <w:rPr>
                <w:rFonts w:ascii="Verdana" w:hAnsi="Verdana"/>
                <w:sz w:val="16"/>
                <w:szCs w:val="16"/>
                <w:lang w:val="es-MX"/>
              </w:rPr>
              <w:t xml:space="preserve">En cumplimiento de lo dispuesto por la fracción I del Artículo 89 de </w:t>
            </w:r>
            <w:smartTag w:uri="urn:schemas-microsoft-com:office:smarttags" w:element="PersonName">
              <w:smartTagPr>
                <w:attr w:name="ProductID" w:val="la Constitución Política"/>
              </w:smartTagPr>
              <w:r w:rsidRPr="00475A0C">
                <w:rPr>
                  <w:rFonts w:ascii="Verdana" w:hAnsi="Verdana"/>
                  <w:sz w:val="16"/>
                  <w:szCs w:val="16"/>
                  <w:lang w:val="es-MX"/>
                </w:rPr>
                <w:t>la Constitución Política</w:t>
              </w:r>
            </w:smartTag>
            <w:r w:rsidRPr="00475A0C">
              <w:rPr>
                <w:rFonts w:ascii="Verdana" w:hAnsi="Verdana"/>
                <w:sz w:val="16"/>
                <w:szCs w:val="16"/>
                <w:lang w:val="es-MX"/>
              </w:rPr>
              <w:t xml:space="preserve"> de los Estados Unidos Mexicanos, y para su debida publicación y observancia, expido el presente Decreto en </w:t>
            </w:r>
            <w:smartTag w:uri="urn:schemas-microsoft-com:office:smarttags" w:element="PersonName">
              <w:smartTagPr>
                <w:attr w:name="ProductID" w:val="la Residencia"/>
              </w:smartTagPr>
              <w:r w:rsidRPr="00475A0C">
                <w:rPr>
                  <w:rFonts w:ascii="Verdana" w:hAnsi="Verdana"/>
                  <w:sz w:val="16"/>
                  <w:szCs w:val="16"/>
                  <w:lang w:val="es-MX"/>
                </w:rPr>
                <w:t>la Residencia</w:t>
              </w:r>
            </w:smartTag>
            <w:r w:rsidRPr="00475A0C">
              <w:rPr>
                <w:rFonts w:ascii="Verdana" w:hAnsi="Verdana"/>
                <w:sz w:val="16"/>
                <w:szCs w:val="16"/>
                <w:lang w:val="es-MX"/>
              </w:rPr>
              <w:t xml:space="preserve"> del Poder Ejecutivo Federal, en </w:t>
            </w:r>
            <w:smartTag w:uri="urn:schemas-microsoft-com:office:smarttags" w:element="PersonName">
              <w:smartTagPr>
                <w:attr w:name="ProductID" w:val="la Ciudad"/>
              </w:smartTagPr>
              <w:r w:rsidRPr="00475A0C">
                <w:rPr>
                  <w:rFonts w:ascii="Verdana" w:hAnsi="Verdana"/>
                  <w:sz w:val="16"/>
                  <w:szCs w:val="16"/>
                  <w:lang w:val="es-MX"/>
                </w:rPr>
                <w:t>la Ciudad</w:t>
              </w:r>
            </w:smartTag>
            <w:r w:rsidRPr="00475A0C">
              <w:rPr>
                <w:rFonts w:ascii="Verdana" w:hAnsi="Verdana"/>
                <w:sz w:val="16"/>
                <w:szCs w:val="16"/>
                <w:lang w:val="es-MX"/>
              </w:rPr>
              <w:t xml:space="preserve"> de México, a 18 de marzo de 2025.- </w:t>
            </w:r>
            <w:r w:rsidRPr="00475A0C">
              <w:rPr>
                <w:rFonts w:ascii="Verdana" w:hAnsi="Verdana"/>
                <w:b/>
                <w:sz w:val="16"/>
                <w:szCs w:val="16"/>
                <w:lang w:val="es-MX"/>
              </w:rPr>
              <w:t>Claudia Sheinbaum Pardo</w:t>
            </w:r>
            <w:r w:rsidRPr="00475A0C">
              <w:rPr>
                <w:rFonts w:ascii="Verdana" w:hAnsi="Verdana"/>
                <w:sz w:val="16"/>
                <w:szCs w:val="16"/>
                <w:lang w:val="es-MX"/>
              </w:rPr>
              <w:t xml:space="preserve">, Presidenta de los Estados Unidos Mexicanos.- Rúbrica.- </w:t>
            </w:r>
            <w:r w:rsidRPr="00475A0C">
              <w:rPr>
                <w:rFonts w:ascii="Verdana" w:hAnsi="Verdana"/>
                <w:sz w:val="16"/>
                <w:szCs w:val="16"/>
              </w:rPr>
              <w:t xml:space="preserve">Lcda. </w:t>
            </w:r>
            <w:r w:rsidRPr="00475A0C">
              <w:rPr>
                <w:rFonts w:ascii="Verdana" w:hAnsi="Verdana"/>
                <w:b/>
                <w:sz w:val="16"/>
                <w:szCs w:val="16"/>
              </w:rPr>
              <w:t>Rosa Icela Rodríguez Velázquez</w:t>
            </w:r>
            <w:r w:rsidRPr="00475A0C">
              <w:rPr>
                <w:rFonts w:ascii="Verdana" w:hAnsi="Verdana"/>
                <w:sz w:val="16"/>
                <w:szCs w:val="16"/>
              </w:rPr>
              <w:t>, Secretaria de Gobernación.- Rúbrica.</w:t>
            </w:r>
          </w:p>
        </w:tc>
        <w:tc>
          <w:tcPr>
            <w:tcW w:w="4675" w:type="dxa"/>
          </w:tcPr>
          <w:p w14:paraId="153D1007" w14:textId="6E54B261" w:rsidR="003B20AD" w:rsidRPr="00E3602D" w:rsidRDefault="003B20AD" w:rsidP="003B20AD">
            <w:pPr>
              <w:pStyle w:val="Texto"/>
              <w:spacing w:line="238" w:lineRule="exact"/>
              <w:ind w:firstLine="0"/>
              <w:rPr>
                <w:rFonts w:ascii="Verdana" w:hAnsi="Verdana"/>
                <w:sz w:val="16"/>
                <w:szCs w:val="16"/>
                <w:lang w:val="en-US"/>
              </w:rPr>
            </w:pPr>
            <w:r w:rsidRPr="00E3602D">
              <w:rPr>
                <w:rFonts w:ascii="Verdana" w:hAnsi="Verdana"/>
                <w:sz w:val="16"/>
                <w:szCs w:val="16"/>
                <w:lang w:val="en-US"/>
              </w:rPr>
              <w:t xml:space="preserve">In compliance with the provisions of Section I of Article 89 of the Political Constitution of the United Mexican State, and for its due publication and observance, I issue this Decree in the Residence of the Federal Executive Branch, in Mexico City, on March 18, 2025. - </w:t>
            </w:r>
            <w:r w:rsidRPr="00E3602D">
              <w:rPr>
                <w:rFonts w:ascii="Verdana" w:hAnsi="Verdana"/>
                <w:b/>
                <w:sz w:val="16"/>
                <w:szCs w:val="16"/>
                <w:lang w:val="en-US"/>
              </w:rPr>
              <w:t>Claudia Sheinbaum Pardo,</w:t>
            </w:r>
            <w:r w:rsidRPr="00E3602D">
              <w:rPr>
                <w:rFonts w:ascii="Verdana" w:hAnsi="Verdana"/>
                <w:sz w:val="16"/>
                <w:szCs w:val="16"/>
                <w:lang w:val="en-US"/>
              </w:rPr>
              <w:t xml:space="preserve"> President of the United Mexican States. - Signed. - Lcda. </w:t>
            </w:r>
            <w:r w:rsidRPr="00E3602D">
              <w:rPr>
                <w:rFonts w:ascii="Verdana" w:hAnsi="Verdana"/>
                <w:b/>
                <w:sz w:val="16"/>
                <w:szCs w:val="16"/>
                <w:lang w:val="en-US"/>
              </w:rPr>
              <w:t>Rosa Icela Rodríguez Velázquez,</w:t>
            </w:r>
            <w:r w:rsidRPr="00E3602D">
              <w:rPr>
                <w:rFonts w:ascii="Verdana" w:hAnsi="Verdana"/>
                <w:sz w:val="16"/>
                <w:szCs w:val="16"/>
                <w:lang w:val="en-US"/>
              </w:rPr>
              <w:t xml:space="preserve"> Secretary of Governance. - Signed.</w:t>
            </w:r>
          </w:p>
        </w:tc>
      </w:tr>
    </w:tbl>
    <w:p w14:paraId="6D9193FE" w14:textId="7F632C7E" w:rsidR="00784A59" w:rsidRPr="002F14A2" w:rsidRDefault="00784A59" w:rsidP="00B9320D">
      <w:pPr>
        <w:pStyle w:val="Texto"/>
        <w:spacing w:line="238" w:lineRule="exact"/>
        <w:ind w:firstLine="0"/>
        <w:rPr>
          <w:rFonts w:ascii="Verdana" w:hAnsi="Verdana"/>
          <w:sz w:val="16"/>
          <w:szCs w:val="16"/>
          <w:lang w:val="en-US"/>
        </w:rPr>
      </w:pPr>
    </w:p>
    <w:sectPr w:rsidR="00784A59" w:rsidRPr="002F14A2" w:rsidSect="00B9320D">
      <w:headerReference w:type="even" r:id="rId8"/>
      <w:headerReference w:type="default" r:id="rId9"/>
      <w:footerReference w:type="default" r:id="rId10"/>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E532D" w14:textId="77777777" w:rsidR="00C1044A" w:rsidRDefault="00C1044A">
      <w:r>
        <w:separator/>
      </w:r>
    </w:p>
  </w:endnote>
  <w:endnote w:type="continuationSeparator" w:id="0">
    <w:p w14:paraId="77EB1637" w14:textId="77777777" w:rsidR="00C1044A" w:rsidRDefault="00C10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Aos">
    <w:panose1 w:val="00000000000000000000"/>
    <w:charset w:val="00"/>
    <w:family w:val="swiss"/>
    <w:notTrueType/>
    <w:pitch w:val="default"/>
    <w:sig w:usb0="00000003" w:usb1="00000000" w:usb2="00000000" w:usb3="00000000" w:csb0="00000001" w:csb1="00000000"/>
  </w:font>
  <w:font w:name="TiAes New Roman">
    <w:altName w:val="Cambria"/>
    <w:charset w:val="00"/>
    <w:family w:val="roman"/>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VeAdana">
    <w:altName w:val="Calibri"/>
    <w:panose1 w:val="00000000000000000000"/>
    <w:charset w:val="00"/>
    <w:family w:val="swiss"/>
    <w:notTrueType/>
    <w:pitch w:val="default"/>
    <w:sig w:usb0="00000003" w:usb1="00000000" w:usb2="00000000" w:usb3="00000000" w:csb0="00000001" w:csb1="00000000"/>
  </w:font>
  <w:font w:name="CoAsolas">
    <w:panose1 w:val="00000000000000000000"/>
    <w:charset w:val="00"/>
    <w:family w:val="modern"/>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F5BCD" w14:textId="466BAABD" w:rsidR="008A50F3" w:rsidRPr="009A479D" w:rsidRDefault="009E55E1" w:rsidP="009A479D">
    <w:pPr>
      <w:pStyle w:val="Footer"/>
      <w:rPr>
        <w:rFonts w:ascii="Verdana" w:hAnsi="Verdana"/>
        <w:b/>
        <w:sz w:val="16"/>
        <w:szCs w:val="16"/>
      </w:rPr>
    </w:pPr>
    <w:r w:rsidRPr="009A479D">
      <w:rPr>
        <w:rFonts w:ascii="Verdana" w:hAnsi="Verdana"/>
        <w:b/>
        <w:sz w:val="16"/>
        <w:szCs w:val="16"/>
      </w:rPr>
      <w:t xml:space="preserve">Derechos Reservados © 2025 </w:t>
    </w:r>
    <w:r w:rsidR="009A479D" w:rsidRPr="009A479D">
      <w:rPr>
        <w:rFonts w:ascii="Verdana" w:hAnsi="Verdana"/>
        <w:b/>
        <w:sz w:val="16"/>
        <w:szCs w:val="16"/>
      </w:rPr>
      <w:t>Lic. Glenn Louis McBride</w:t>
    </w:r>
    <w:r w:rsidR="009A479D">
      <w:rPr>
        <w:rFonts w:ascii="Verdana" w:hAnsi="Verdana"/>
        <w:b/>
        <w:sz w:val="16"/>
        <w:szCs w:val="16"/>
      </w:rPr>
      <w:t xml:space="preserve">                                                      </w:t>
    </w:r>
    <w:r w:rsidR="009A479D" w:rsidRPr="009A479D">
      <w:rPr>
        <w:rFonts w:ascii="Verdana" w:hAnsi="Verdana"/>
        <w:b/>
        <w:sz w:val="16"/>
        <w:szCs w:val="16"/>
      </w:rPr>
      <w:t xml:space="preserve">  </w:t>
    </w:r>
    <w:r w:rsidR="008A50F3" w:rsidRPr="009A479D">
      <w:rPr>
        <w:rFonts w:ascii="Verdana" w:hAnsi="Verdana"/>
        <w:b/>
        <w:sz w:val="16"/>
        <w:szCs w:val="16"/>
      </w:rPr>
      <w:fldChar w:fldCharType="begin"/>
    </w:r>
    <w:r w:rsidR="008A50F3" w:rsidRPr="009A479D">
      <w:rPr>
        <w:rFonts w:ascii="Verdana" w:hAnsi="Verdana"/>
        <w:b/>
        <w:sz w:val="16"/>
        <w:szCs w:val="16"/>
      </w:rPr>
      <w:instrText>PAGE</w:instrText>
    </w:r>
    <w:r w:rsidR="008A50F3" w:rsidRPr="009A479D">
      <w:rPr>
        <w:rFonts w:ascii="Verdana" w:hAnsi="Verdana"/>
        <w:b/>
        <w:sz w:val="16"/>
        <w:szCs w:val="16"/>
      </w:rPr>
      <w:fldChar w:fldCharType="separate"/>
    </w:r>
    <w:r w:rsidR="00A6186F" w:rsidRPr="009A479D">
      <w:rPr>
        <w:rFonts w:ascii="Verdana" w:hAnsi="Verdana"/>
        <w:b/>
        <w:noProof/>
        <w:sz w:val="16"/>
        <w:szCs w:val="16"/>
      </w:rPr>
      <w:t>1</w:t>
    </w:r>
    <w:r w:rsidR="008A50F3" w:rsidRPr="009A479D">
      <w:rPr>
        <w:rFonts w:ascii="Verdana" w:hAnsi="Verdana"/>
        <w:b/>
        <w:sz w:val="16"/>
        <w:szCs w:val="16"/>
      </w:rPr>
      <w:fldChar w:fldCharType="end"/>
    </w:r>
    <w:r w:rsidR="008A50F3" w:rsidRPr="009A479D">
      <w:rPr>
        <w:rFonts w:ascii="Verdana" w:hAnsi="Verdana"/>
        <w:b/>
        <w:sz w:val="16"/>
        <w:szCs w:val="16"/>
      </w:rPr>
      <w:t xml:space="preserve"> </w:t>
    </w:r>
    <w:r w:rsidR="009A479D" w:rsidRPr="009A479D">
      <w:rPr>
        <w:rFonts w:ascii="Verdana" w:hAnsi="Verdana"/>
        <w:b/>
        <w:sz w:val="16"/>
        <w:szCs w:val="16"/>
      </w:rPr>
      <w:t>/</w:t>
    </w:r>
    <w:r w:rsidR="008A50F3" w:rsidRPr="009A479D">
      <w:rPr>
        <w:rFonts w:ascii="Verdana" w:hAnsi="Verdana"/>
        <w:b/>
        <w:sz w:val="16"/>
        <w:szCs w:val="16"/>
      </w:rPr>
      <w:t xml:space="preserve"> </w:t>
    </w:r>
    <w:r w:rsidR="008A50F3" w:rsidRPr="009A479D">
      <w:rPr>
        <w:rFonts w:ascii="Verdana" w:hAnsi="Verdana"/>
        <w:b/>
        <w:sz w:val="16"/>
        <w:szCs w:val="16"/>
      </w:rPr>
      <w:fldChar w:fldCharType="begin"/>
    </w:r>
    <w:r w:rsidR="008A50F3" w:rsidRPr="009A479D">
      <w:rPr>
        <w:rFonts w:ascii="Verdana" w:hAnsi="Verdana"/>
        <w:b/>
        <w:sz w:val="16"/>
        <w:szCs w:val="16"/>
      </w:rPr>
      <w:instrText>NUMPAGES</w:instrText>
    </w:r>
    <w:r w:rsidR="008A50F3" w:rsidRPr="009A479D">
      <w:rPr>
        <w:rFonts w:ascii="Verdana" w:hAnsi="Verdana"/>
        <w:b/>
        <w:sz w:val="16"/>
        <w:szCs w:val="16"/>
      </w:rPr>
      <w:fldChar w:fldCharType="separate"/>
    </w:r>
    <w:r w:rsidR="00A6186F" w:rsidRPr="009A479D">
      <w:rPr>
        <w:rFonts w:ascii="Verdana" w:hAnsi="Verdana"/>
        <w:b/>
        <w:noProof/>
        <w:sz w:val="16"/>
        <w:szCs w:val="16"/>
      </w:rPr>
      <w:t>61</w:t>
    </w:r>
    <w:r w:rsidR="008A50F3" w:rsidRPr="009A479D">
      <w:rPr>
        <w:rFonts w:ascii="Verdana" w:hAnsi="Verdana"/>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131BC" w14:textId="77777777" w:rsidR="00C1044A" w:rsidRDefault="00C1044A">
      <w:r>
        <w:separator/>
      </w:r>
    </w:p>
  </w:footnote>
  <w:footnote w:type="continuationSeparator" w:id="0">
    <w:p w14:paraId="385CCD2C" w14:textId="77777777" w:rsidR="00C1044A" w:rsidRDefault="00C1044A">
      <w:r>
        <w:continuationSeparator/>
      </w:r>
    </w:p>
  </w:footnote>
  <w:footnote w:id="1">
    <w:p w14:paraId="24527DBC" w14:textId="03986DF8" w:rsidR="003B20AD" w:rsidRPr="0029182A" w:rsidRDefault="003B20AD">
      <w:pPr>
        <w:pStyle w:val="FootnoteText"/>
        <w:rPr>
          <w:lang w:val="en-US"/>
        </w:rPr>
      </w:pPr>
      <w:r>
        <w:rPr>
          <w:rStyle w:val="FootnoteReference"/>
        </w:rPr>
        <w:footnoteRef/>
      </w:r>
      <w:r w:rsidRPr="0029182A">
        <w:rPr>
          <w:lang w:val="en-US"/>
        </w:rPr>
        <w:t xml:space="preserve"> </w:t>
      </w:r>
      <w:r w:rsidRPr="0029182A">
        <w:rPr>
          <w:rFonts w:ascii="Verdana" w:eastAsia="Calibri" w:hAnsi="Verdana" w:cs="Arial"/>
          <w:sz w:val="16"/>
          <w:szCs w:val="16"/>
          <w:lang w:val="en-US" w:eastAsia="en-US"/>
        </w:rPr>
        <w:t xml:space="preserve">The judicial action of </w:t>
      </w:r>
      <w:r w:rsidRPr="0029182A">
        <w:rPr>
          <w:rFonts w:ascii="Verdana" w:eastAsia="Calibri" w:hAnsi="Verdana" w:cs="Arial"/>
          <w:i/>
          <w:iCs/>
          <w:sz w:val="16"/>
          <w:szCs w:val="16"/>
          <w:lang w:val="en-US" w:eastAsia="en-US"/>
        </w:rPr>
        <w:t>amparo</w:t>
      </w:r>
      <w:r w:rsidRPr="0029182A">
        <w:rPr>
          <w:rFonts w:ascii="Verdana" w:eastAsia="Calibri" w:hAnsi="Verdana" w:cs="Arial"/>
          <w:sz w:val="16"/>
          <w:szCs w:val="16"/>
          <w:lang w:val="en-US" w:eastAsia="en-US"/>
        </w:rPr>
        <w:t xml:space="preserve"> has the purpose of resolving all disputes caused by general regulatory instruments, acts or omissions of authority that violate recognized  human rights and the guarantees granted for their protection by the Political Constitution of the United Mexican States, as well as by the international treaties  to which Mexico is party; or by general regulatory instruments, acts or omissions of federal authority that damage or restrict the sovereignty of the States or the sphere of jurisdiction of the Federal District, provided recognized human rights are violated and guarantees granted for their protection by the Political Constitution of the United Mexican States, and by regulatory instruments; acts or omissions of the authorities of the States or the Federal District, that invade the sphere of jurisdiction of the federal authority, provided recognized human rights are violated and guarantees granted for their protection by the Political Constitution of the United Mexican States; additionally, </w:t>
      </w:r>
      <w:r w:rsidRPr="0029182A">
        <w:rPr>
          <w:rFonts w:ascii="Verdana" w:eastAsia="Calibri" w:hAnsi="Verdana" w:cs="Arial"/>
          <w:i/>
          <w:iCs/>
          <w:sz w:val="16"/>
          <w:szCs w:val="16"/>
          <w:lang w:val="en-US" w:eastAsia="en-US"/>
        </w:rPr>
        <w:t xml:space="preserve"> amparo </w:t>
      </w:r>
      <w:r w:rsidRPr="0029182A">
        <w:rPr>
          <w:rFonts w:ascii="Verdana" w:eastAsia="Calibri" w:hAnsi="Verdana" w:cs="Arial"/>
          <w:sz w:val="16"/>
          <w:szCs w:val="16"/>
          <w:lang w:val="en-US" w:eastAsia="en-US"/>
        </w:rPr>
        <w:t xml:space="preserve">protects persons from regulatory instruments, acts or omissions on the part of the public powers or private powers in the cases stipulated in the Law of </w:t>
      </w:r>
      <w:r w:rsidRPr="0029182A">
        <w:rPr>
          <w:rFonts w:ascii="Verdana" w:eastAsia="Calibri" w:hAnsi="Verdana" w:cs="Arial"/>
          <w:i/>
          <w:iCs/>
          <w:sz w:val="16"/>
          <w:szCs w:val="16"/>
          <w:lang w:val="en-US" w:eastAsia="en-US"/>
        </w:rPr>
        <w:t>Amparo</w:t>
      </w:r>
      <w:r w:rsidRPr="0029182A">
        <w:rPr>
          <w:rFonts w:ascii="Verdana" w:eastAsia="Calibri" w:hAnsi="Verdana" w:cs="Arial"/>
          <w:sz w:val="16"/>
          <w:szCs w:val="16"/>
          <w:lang w:val="en-US" w:eastAsia="en-US"/>
        </w:rPr>
        <w:t>. In summary, AMPARO is a judicial action to protect from acts or omissions of the authorities that violate the human rights and guarantees protected by the Mexican Constitution.</w:t>
      </w:r>
    </w:p>
  </w:footnote>
  <w:footnote w:id="2">
    <w:p w14:paraId="78C32A61" w14:textId="77777777" w:rsidR="003B20AD" w:rsidRDefault="003B20AD" w:rsidP="00847FC0">
      <w:pPr>
        <w:rPr>
          <w:rFonts w:ascii="Verdana" w:hAnsi="Verdana"/>
          <w:sz w:val="16"/>
          <w:szCs w:val="16"/>
        </w:rPr>
      </w:pPr>
      <w:r>
        <w:rPr>
          <w:rStyle w:val="FootnoteReference"/>
        </w:rPr>
        <w:footnoteRef/>
      </w:r>
      <w:r>
        <w:t xml:space="preserve"> </w:t>
      </w:r>
      <w:r w:rsidRPr="00CF1EAE">
        <w:rPr>
          <w:rFonts w:ascii="Verdana" w:hAnsi="Verdana"/>
          <w:sz w:val="16"/>
          <w:szCs w:val="16"/>
          <w:lang w:val="es-MX"/>
        </w:rPr>
        <w:t xml:space="preserve">UMA - (Unidad de Medida y Actualización). </w:t>
      </w:r>
      <w:r w:rsidRPr="00847FC0">
        <w:rPr>
          <w:rFonts w:ascii="Verdana" w:hAnsi="Verdana"/>
          <w:sz w:val="16"/>
          <w:szCs w:val="16"/>
          <w:lang w:val="en-US"/>
        </w:rPr>
        <w:t xml:space="preserve">On December 30, 2016 a new law (Ley para Determinar el Valor de la Unidad de Medida y Actualización = Law to Determine the Value of the Unit of Measure and Updating) was published in the DOF which was made possible by a Constitutional reform to unlink the minimum daily wage from being used as the criteria for fines and fees in Mexico. In many laws, you will observe that the sanction is a number of minimum daily wages – as of Feb. 1, 2017 those sanctions and fees will be linked to the UMA. The UMA and the minimum daily wage are now different amounts and when a law or regulation indicates the “minimum daily”, the UMA is substituted. </w:t>
      </w:r>
      <w:r>
        <w:rPr>
          <w:rFonts w:ascii="Verdana" w:hAnsi="Verdana"/>
          <w:sz w:val="16"/>
          <w:szCs w:val="16"/>
        </w:rPr>
        <w:t xml:space="preserve">The UMA changes every year on January 1. </w:t>
      </w:r>
    </w:p>
    <w:p w14:paraId="1EBAB1F1" w14:textId="723DBC01" w:rsidR="003B20AD" w:rsidRPr="00C94127" w:rsidRDefault="003B20AD">
      <w:pPr>
        <w:pStyle w:val="FootnoteText"/>
        <w:rPr>
          <w:lang w:val="en-US"/>
        </w:rPr>
      </w:pPr>
    </w:p>
  </w:footnote>
  <w:footnote w:id="3">
    <w:p w14:paraId="307E71F4" w14:textId="77777777" w:rsidR="003B20AD" w:rsidRDefault="003B20AD" w:rsidP="00D0551A">
      <w:pPr>
        <w:rPr>
          <w:rFonts w:ascii="Verdana" w:hAnsi="Verdana"/>
          <w:i/>
          <w:iCs/>
          <w:sz w:val="16"/>
          <w:szCs w:val="16"/>
        </w:rPr>
      </w:pPr>
      <w:r>
        <w:rPr>
          <w:rStyle w:val="FootnoteReference"/>
        </w:rPr>
        <w:footnoteRef/>
      </w:r>
      <w:r w:rsidRPr="00D0551A">
        <w:rPr>
          <w:lang w:val="en-US"/>
        </w:rPr>
        <w:t xml:space="preserve"> </w:t>
      </w:r>
      <w:r w:rsidRPr="00D0551A">
        <w:rPr>
          <w:rFonts w:ascii="Verdana" w:hAnsi="Verdana"/>
          <w:i/>
          <w:iCs/>
          <w:sz w:val="16"/>
          <w:szCs w:val="16"/>
          <w:lang w:val="en-US"/>
        </w:rPr>
        <w:t>Ejido</w:t>
      </w:r>
      <w:r w:rsidRPr="00D0551A">
        <w:rPr>
          <w:rFonts w:ascii="Verdana" w:hAnsi="Verdana"/>
          <w:sz w:val="16"/>
          <w:szCs w:val="16"/>
          <w:lang w:val="en-US"/>
        </w:rPr>
        <w:t xml:space="preserve">,  in Mexico, village lands communally held in the traditional indigenous system of land tenure that combines communal ownership with individual use. Cultivated land is divided into separate family holdings, which cannot be sold although they can be handed down to heirs. </w:t>
      </w:r>
      <w:r w:rsidRPr="00BC0CFC">
        <w:rPr>
          <w:rFonts w:ascii="Verdana" w:hAnsi="Verdana"/>
          <w:sz w:val="16"/>
          <w:szCs w:val="16"/>
        </w:rPr>
        <w:t xml:space="preserve">The members of the ejido are called </w:t>
      </w:r>
      <w:r w:rsidRPr="00BC0CFC">
        <w:rPr>
          <w:rFonts w:ascii="Verdana" w:hAnsi="Verdana"/>
          <w:i/>
          <w:iCs/>
          <w:sz w:val="16"/>
          <w:szCs w:val="16"/>
        </w:rPr>
        <w:t xml:space="preserve">ejidatarios. </w:t>
      </w:r>
    </w:p>
    <w:p w14:paraId="0776C311" w14:textId="7DE66E69" w:rsidR="003B20AD" w:rsidRPr="00D0551A" w:rsidRDefault="003B20AD">
      <w:pPr>
        <w:pStyle w:val="FootnoteText"/>
        <w:rPr>
          <w:lang w:val="en-US"/>
        </w:rPr>
      </w:pPr>
    </w:p>
  </w:footnote>
  <w:footnote w:id="4">
    <w:p w14:paraId="14C33CFB" w14:textId="5C05C563" w:rsidR="003B20AD" w:rsidRPr="00BE2D99" w:rsidRDefault="003B20AD">
      <w:pPr>
        <w:pStyle w:val="FootnoteText"/>
        <w:rPr>
          <w:sz w:val="16"/>
          <w:szCs w:val="16"/>
          <w:lang w:val="en-US"/>
        </w:rPr>
      </w:pPr>
      <w:r>
        <w:rPr>
          <w:rStyle w:val="FootnoteReference"/>
        </w:rPr>
        <w:footnoteRef/>
      </w:r>
      <w:r w:rsidRPr="00BE2D99">
        <w:rPr>
          <w:lang w:val="en-US"/>
        </w:rPr>
        <w:t xml:space="preserve"> </w:t>
      </w:r>
      <w:r w:rsidRPr="00BE2D99">
        <w:rPr>
          <w:sz w:val="16"/>
          <w:szCs w:val="16"/>
          <w:lang w:val="en-US"/>
        </w:rPr>
        <w:t xml:space="preserve">Amparo. </w:t>
      </w:r>
      <w:r w:rsidRPr="00BE2D99">
        <w:rPr>
          <w:sz w:val="16"/>
          <w:szCs w:val="16"/>
          <w:lang w:val="en-US"/>
        </w:rPr>
        <w:t>The judicial action of amparo has the purpose of resolving all disputes caused by general regulatory instruments, acts or omissions of authority that violate recognized  human rights and the guarantees granted for their protection by the Political Constitution of the United Mexican States, as well as by the international treaties  to which Mexico is party; or by general regulatory instruments, acts or omissions of federal authority that damage or restrict the sovereignty of the States or the sphere of jurisdiction of the Federal District, provided recognized human rights are violated and guarantees granted for their protection by the Political Constitution of the United Mexican States, and by regulatory instruments; acts or omissions of the authorities of the States or the Federal District, that invade the sphere of jurisdiction of the federal authority, provided recognized human rights are violated and guarantees granted for their protection by the Political Constitution of the United Mexican States; additionally,  amparo protects persons from regulatory instruments, acts or omissions on the part of the public powers or private powers in the cases stipulated in the Law of Amparo. In summary, AMPARO is a judicial action to protect from acts or omissions of the authorities that violate the human rights and guarantees protected by the Mexican Constitution.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D2B2C" w14:textId="77777777" w:rsidR="00543407" w:rsidRPr="00953034" w:rsidRDefault="000C4A1C" w:rsidP="004E45FA">
    <w:pPr>
      <w:pStyle w:val="Fechas"/>
      <w:rPr>
        <w:rFonts w:cs="Times New Roman"/>
      </w:rPr>
    </w:pPr>
    <w:r>
      <w:fldChar w:fldCharType="begin"/>
    </w:r>
    <w:r>
      <w:instrText>PAGE   \* MERGEFORMAT</w:instrText>
    </w:r>
    <w:r>
      <w:fldChar w:fldCharType="separate"/>
    </w:r>
    <w:r w:rsidR="00D420E2" w:rsidRPr="00D420E2">
      <w:rPr>
        <w:noProof/>
        <w:lang w:val="es-ES"/>
      </w:rPr>
      <w:t>216</w:t>
    </w:r>
    <w:r>
      <w:fldChar w:fldCharType="end"/>
    </w:r>
    <w:r w:rsidR="009735DD" w:rsidRPr="00953034">
      <w:rPr>
        <w:rFonts w:cs="Times New Roman"/>
      </w:rPr>
      <w:t xml:space="preserve">     (Edición Vespertina)</w:t>
    </w:r>
    <w:r w:rsidR="00543407" w:rsidRPr="00953034">
      <w:rPr>
        <w:rFonts w:cs="Times New Roman"/>
      </w:rPr>
      <w:tab/>
      <w:t>DIARIO OFICIAL</w:t>
    </w:r>
    <w:r w:rsidR="00543407" w:rsidRPr="00953034">
      <w:rPr>
        <w:rFonts w:cs="Times New Roman"/>
      </w:rPr>
      <w:tab/>
      <w:t>Martes 18 de marzo de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3A16" w14:textId="2069B16E" w:rsidR="008C5708" w:rsidRPr="002F14A2" w:rsidRDefault="00DB3DA9" w:rsidP="005B1899">
    <w:pPr>
      <w:pStyle w:val="Header"/>
      <w:rPr>
        <w:rFonts w:ascii="Verdana" w:hAnsi="Verdana"/>
        <w:b/>
        <w:bCs/>
        <w:sz w:val="16"/>
        <w:szCs w:val="16"/>
        <w:lang w:val="en-US"/>
      </w:rPr>
    </w:pPr>
    <w:r w:rsidRPr="002F14A2">
      <w:rPr>
        <w:rFonts w:ascii="Verdana" w:hAnsi="Verdana"/>
        <w:b/>
        <w:bCs/>
        <w:sz w:val="16"/>
        <w:szCs w:val="16"/>
        <w:lang w:val="en-US"/>
      </w:rPr>
      <w:t>Law of the Hydrocarbon</w:t>
    </w:r>
    <w:r w:rsidR="00813903">
      <w:rPr>
        <w:rFonts w:ascii="Verdana" w:hAnsi="Verdana"/>
        <w:b/>
        <w:bCs/>
        <w:sz w:val="16"/>
        <w:szCs w:val="16"/>
        <w:lang w:val="en-US"/>
      </w:rPr>
      <w:t>s</w:t>
    </w:r>
    <w:r w:rsidRPr="002F14A2">
      <w:rPr>
        <w:rFonts w:ascii="Verdana" w:hAnsi="Verdana"/>
        <w:b/>
        <w:bCs/>
        <w:sz w:val="16"/>
        <w:szCs w:val="16"/>
        <w:lang w:val="en-US"/>
      </w:rPr>
      <w:t xml:space="preserve"> Sector (</w:t>
    </w:r>
    <w:r w:rsidR="003960B3" w:rsidRPr="002F14A2">
      <w:rPr>
        <w:rFonts w:ascii="Verdana" w:hAnsi="Verdana"/>
        <w:b/>
        <w:bCs/>
        <w:sz w:val="16"/>
        <w:szCs w:val="16"/>
        <w:lang w:val="en-US"/>
      </w:rPr>
      <w:t>Ley del Sector Hidrocarburos</w:t>
    </w:r>
    <w:r w:rsidR="002F14A2">
      <w:rPr>
        <w:rFonts w:ascii="Verdana" w:hAnsi="Verdana"/>
        <w:b/>
        <w:bCs/>
        <w:sz w:val="16"/>
        <w:szCs w:val="16"/>
        <w:lang w:val="en-US"/>
      </w:rPr>
      <w:t>)</w:t>
    </w:r>
  </w:p>
  <w:p w14:paraId="2868EF47" w14:textId="735C3F6E" w:rsidR="003960B3" w:rsidRPr="002F14A2" w:rsidRDefault="003960B3" w:rsidP="005B1899">
    <w:pPr>
      <w:pStyle w:val="Header"/>
      <w:rPr>
        <w:rFonts w:ascii="Verdana" w:hAnsi="Verdana"/>
        <w:sz w:val="16"/>
        <w:szCs w:val="16"/>
        <w:lang w:val="en-US"/>
      </w:rPr>
    </w:pPr>
    <w:r w:rsidRPr="002F14A2">
      <w:rPr>
        <w:rFonts w:ascii="Verdana" w:hAnsi="Verdana"/>
        <w:sz w:val="16"/>
        <w:szCs w:val="16"/>
        <w:lang w:val="en-US"/>
      </w:rPr>
      <w:t>New law published in the DOF on March 18, 2025</w:t>
    </w:r>
    <w:r w:rsidR="00A6712C" w:rsidRPr="002F14A2">
      <w:rPr>
        <w:rFonts w:ascii="Verdana" w:hAnsi="Verdana"/>
        <w:sz w:val="16"/>
        <w:szCs w:val="16"/>
        <w:lang w:val="en-US"/>
      </w:rPr>
      <w:t xml:space="preserve"> – effective date March</w:t>
    </w:r>
    <w:r w:rsidR="00D322E9">
      <w:rPr>
        <w:rFonts w:ascii="Verdana" w:hAnsi="Verdana"/>
        <w:sz w:val="16"/>
        <w:szCs w:val="16"/>
        <w:lang w:val="en-US"/>
      </w:rPr>
      <w:t xml:space="preserve"> </w:t>
    </w:r>
    <w:r w:rsidR="00A6712C" w:rsidRPr="002F14A2">
      <w:rPr>
        <w:rFonts w:ascii="Verdana" w:hAnsi="Verdana"/>
        <w:sz w:val="16"/>
        <w:szCs w:val="16"/>
        <w:lang w:val="en-US"/>
      </w:rPr>
      <w:t>19, 2025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011377250">
    <w:abstractNumId w:val="1"/>
  </w:num>
  <w:num w:numId="2" w16cid:durableId="1649477042">
    <w:abstractNumId w:val="2"/>
  </w:num>
  <w:num w:numId="3" w16cid:durableId="985814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41"/>
    <w:rsid w:val="00001BE3"/>
    <w:rsid w:val="00002BAA"/>
    <w:rsid w:val="00004815"/>
    <w:rsid w:val="00004F04"/>
    <w:rsid w:val="00007D5B"/>
    <w:rsid w:val="00010A0F"/>
    <w:rsid w:val="00010D4A"/>
    <w:rsid w:val="00011F0B"/>
    <w:rsid w:val="0001319D"/>
    <w:rsid w:val="000144CB"/>
    <w:rsid w:val="00023FDE"/>
    <w:rsid w:val="00025505"/>
    <w:rsid w:val="000272C7"/>
    <w:rsid w:val="0003080A"/>
    <w:rsid w:val="00030FA7"/>
    <w:rsid w:val="00032310"/>
    <w:rsid w:val="000323D8"/>
    <w:rsid w:val="00036093"/>
    <w:rsid w:val="000372FA"/>
    <w:rsid w:val="00040E25"/>
    <w:rsid w:val="0004173E"/>
    <w:rsid w:val="0004405B"/>
    <w:rsid w:val="000468AF"/>
    <w:rsid w:val="00046AF3"/>
    <w:rsid w:val="00047AFF"/>
    <w:rsid w:val="0005057C"/>
    <w:rsid w:val="000522DF"/>
    <w:rsid w:val="0005569C"/>
    <w:rsid w:val="0005663C"/>
    <w:rsid w:val="00062982"/>
    <w:rsid w:val="000643A3"/>
    <w:rsid w:val="0006441C"/>
    <w:rsid w:val="00065312"/>
    <w:rsid w:val="00066530"/>
    <w:rsid w:val="000709DC"/>
    <w:rsid w:val="00070BF0"/>
    <w:rsid w:val="00070CDB"/>
    <w:rsid w:val="000715E0"/>
    <w:rsid w:val="000723F4"/>
    <w:rsid w:val="000738F2"/>
    <w:rsid w:val="00077050"/>
    <w:rsid w:val="00081964"/>
    <w:rsid w:val="0008366A"/>
    <w:rsid w:val="00083B96"/>
    <w:rsid w:val="00084B01"/>
    <w:rsid w:val="00085CFF"/>
    <w:rsid w:val="000905C5"/>
    <w:rsid w:val="00090755"/>
    <w:rsid w:val="0009081A"/>
    <w:rsid w:val="000918F3"/>
    <w:rsid w:val="00091FCA"/>
    <w:rsid w:val="00092EB7"/>
    <w:rsid w:val="000934C4"/>
    <w:rsid w:val="000946B6"/>
    <w:rsid w:val="000A0D95"/>
    <w:rsid w:val="000A2D8E"/>
    <w:rsid w:val="000A748B"/>
    <w:rsid w:val="000B088E"/>
    <w:rsid w:val="000B42E5"/>
    <w:rsid w:val="000B4E4B"/>
    <w:rsid w:val="000B5696"/>
    <w:rsid w:val="000B6308"/>
    <w:rsid w:val="000B698E"/>
    <w:rsid w:val="000C3829"/>
    <w:rsid w:val="000C4A1C"/>
    <w:rsid w:val="000C50D4"/>
    <w:rsid w:val="000C51BD"/>
    <w:rsid w:val="000C632A"/>
    <w:rsid w:val="000D67D7"/>
    <w:rsid w:val="000E182E"/>
    <w:rsid w:val="000E25C8"/>
    <w:rsid w:val="000E6BF1"/>
    <w:rsid w:val="000E7D05"/>
    <w:rsid w:val="000F0C31"/>
    <w:rsid w:val="000F0FA3"/>
    <w:rsid w:val="000F111C"/>
    <w:rsid w:val="000F1F79"/>
    <w:rsid w:val="000F266F"/>
    <w:rsid w:val="000F3ABE"/>
    <w:rsid w:val="000F706A"/>
    <w:rsid w:val="000F7855"/>
    <w:rsid w:val="000F7C55"/>
    <w:rsid w:val="00101926"/>
    <w:rsid w:val="0010294D"/>
    <w:rsid w:val="00106B70"/>
    <w:rsid w:val="0010703B"/>
    <w:rsid w:val="001078E6"/>
    <w:rsid w:val="00110574"/>
    <w:rsid w:val="0011178E"/>
    <w:rsid w:val="00112323"/>
    <w:rsid w:val="00113BC1"/>
    <w:rsid w:val="00114FF8"/>
    <w:rsid w:val="00116AA3"/>
    <w:rsid w:val="0011744A"/>
    <w:rsid w:val="00121081"/>
    <w:rsid w:val="001216E7"/>
    <w:rsid w:val="001222BC"/>
    <w:rsid w:val="00123336"/>
    <w:rsid w:val="0012355A"/>
    <w:rsid w:val="00125750"/>
    <w:rsid w:val="001303A7"/>
    <w:rsid w:val="00133283"/>
    <w:rsid w:val="00134960"/>
    <w:rsid w:val="00140A5C"/>
    <w:rsid w:val="001433F3"/>
    <w:rsid w:val="0014498C"/>
    <w:rsid w:val="00150A79"/>
    <w:rsid w:val="00151078"/>
    <w:rsid w:val="00155A7E"/>
    <w:rsid w:val="001564D7"/>
    <w:rsid w:val="00156E7A"/>
    <w:rsid w:val="001574EC"/>
    <w:rsid w:val="001626EA"/>
    <w:rsid w:val="00163AE3"/>
    <w:rsid w:val="001642EF"/>
    <w:rsid w:val="00171837"/>
    <w:rsid w:val="00173E9D"/>
    <w:rsid w:val="001748E8"/>
    <w:rsid w:val="00174D6D"/>
    <w:rsid w:val="00176B02"/>
    <w:rsid w:val="0017706D"/>
    <w:rsid w:val="00177675"/>
    <w:rsid w:val="00181964"/>
    <w:rsid w:val="001826BE"/>
    <w:rsid w:val="00182E18"/>
    <w:rsid w:val="001866BB"/>
    <w:rsid w:val="00187E8E"/>
    <w:rsid w:val="00187F3F"/>
    <w:rsid w:val="0019250A"/>
    <w:rsid w:val="0019360C"/>
    <w:rsid w:val="00195422"/>
    <w:rsid w:val="00195492"/>
    <w:rsid w:val="00196EAD"/>
    <w:rsid w:val="001A02A2"/>
    <w:rsid w:val="001A0984"/>
    <w:rsid w:val="001A14C2"/>
    <w:rsid w:val="001A1CAD"/>
    <w:rsid w:val="001A2BCE"/>
    <w:rsid w:val="001A6A2A"/>
    <w:rsid w:val="001B1144"/>
    <w:rsid w:val="001B2664"/>
    <w:rsid w:val="001B2D79"/>
    <w:rsid w:val="001B4F42"/>
    <w:rsid w:val="001B50C5"/>
    <w:rsid w:val="001B51C6"/>
    <w:rsid w:val="001B596A"/>
    <w:rsid w:val="001B6028"/>
    <w:rsid w:val="001B6981"/>
    <w:rsid w:val="001C0AD3"/>
    <w:rsid w:val="001C1847"/>
    <w:rsid w:val="001C1DC9"/>
    <w:rsid w:val="001C2623"/>
    <w:rsid w:val="001C6447"/>
    <w:rsid w:val="001C70DC"/>
    <w:rsid w:val="001D1766"/>
    <w:rsid w:val="001E0796"/>
    <w:rsid w:val="001E1FDC"/>
    <w:rsid w:val="001E6770"/>
    <w:rsid w:val="001E6CB1"/>
    <w:rsid w:val="001E6F9E"/>
    <w:rsid w:val="001F09BB"/>
    <w:rsid w:val="001F34E1"/>
    <w:rsid w:val="001F6325"/>
    <w:rsid w:val="001F7717"/>
    <w:rsid w:val="0020245C"/>
    <w:rsid w:val="002057B1"/>
    <w:rsid w:val="00205B83"/>
    <w:rsid w:val="00210840"/>
    <w:rsid w:val="002118C1"/>
    <w:rsid w:val="0021513A"/>
    <w:rsid w:val="00215F78"/>
    <w:rsid w:val="0021746B"/>
    <w:rsid w:val="002214D8"/>
    <w:rsid w:val="002228E8"/>
    <w:rsid w:val="00222CA5"/>
    <w:rsid w:val="00226812"/>
    <w:rsid w:val="00237E73"/>
    <w:rsid w:val="002440B4"/>
    <w:rsid w:val="00244286"/>
    <w:rsid w:val="00245FF3"/>
    <w:rsid w:val="0025082C"/>
    <w:rsid w:val="002509A5"/>
    <w:rsid w:val="00252466"/>
    <w:rsid w:val="00252CBF"/>
    <w:rsid w:val="00254852"/>
    <w:rsid w:val="00255299"/>
    <w:rsid w:val="00256441"/>
    <w:rsid w:val="0025762E"/>
    <w:rsid w:val="002603ED"/>
    <w:rsid w:val="00261ACB"/>
    <w:rsid w:val="00261B8D"/>
    <w:rsid w:val="002673E6"/>
    <w:rsid w:val="00272803"/>
    <w:rsid w:val="002747D1"/>
    <w:rsid w:val="00277A64"/>
    <w:rsid w:val="00280062"/>
    <w:rsid w:val="00280201"/>
    <w:rsid w:val="00282554"/>
    <w:rsid w:val="00283283"/>
    <w:rsid w:val="0028382C"/>
    <w:rsid w:val="00284ADC"/>
    <w:rsid w:val="0028591F"/>
    <w:rsid w:val="00285BE5"/>
    <w:rsid w:val="00286668"/>
    <w:rsid w:val="00286818"/>
    <w:rsid w:val="0028797C"/>
    <w:rsid w:val="00290296"/>
    <w:rsid w:val="0029033A"/>
    <w:rsid w:val="00291770"/>
    <w:rsid w:val="0029182A"/>
    <w:rsid w:val="00291CA7"/>
    <w:rsid w:val="00291D8C"/>
    <w:rsid w:val="00293F16"/>
    <w:rsid w:val="002940B6"/>
    <w:rsid w:val="002945B7"/>
    <w:rsid w:val="002965E0"/>
    <w:rsid w:val="002A7A50"/>
    <w:rsid w:val="002B00EE"/>
    <w:rsid w:val="002B127D"/>
    <w:rsid w:val="002B37B4"/>
    <w:rsid w:val="002B3857"/>
    <w:rsid w:val="002B3EAD"/>
    <w:rsid w:val="002B470A"/>
    <w:rsid w:val="002B47AE"/>
    <w:rsid w:val="002B7623"/>
    <w:rsid w:val="002C0D0A"/>
    <w:rsid w:val="002C15EB"/>
    <w:rsid w:val="002C341D"/>
    <w:rsid w:val="002C3644"/>
    <w:rsid w:val="002C4356"/>
    <w:rsid w:val="002C76BF"/>
    <w:rsid w:val="002D476D"/>
    <w:rsid w:val="002D523C"/>
    <w:rsid w:val="002D6C11"/>
    <w:rsid w:val="002E0094"/>
    <w:rsid w:val="002E668A"/>
    <w:rsid w:val="002F14A2"/>
    <w:rsid w:val="002F6279"/>
    <w:rsid w:val="002F666A"/>
    <w:rsid w:val="002F6CCA"/>
    <w:rsid w:val="002F7519"/>
    <w:rsid w:val="0030321A"/>
    <w:rsid w:val="00304A90"/>
    <w:rsid w:val="00306951"/>
    <w:rsid w:val="00307737"/>
    <w:rsid w:val="003112A9"/>
    <w:rsid w:val="00311E29"/>
    <w:rsid w:val="00313715"/>
    <w:rsid w:val="00313E5F"/>
    <w:rsid w:val="003161B9"/>
    <w:rsid w:val="00323864"/>
    <w:rsid w:val="0032394E"/>
    <w:rsid w:val="00326204"/>
    <w:rsid w:val="003264DE"/>
    <w:rsid w:val="00326B04"/>
    <w:rsid w:val="00330780"/>
    <w:rsid w:val="003318A6"/>
    <w:rsid w:val="00332414"/>
    <w:rsid w:val="00332601"/>
    <w:rsid w:val="00332912"/>
    <w:rsid w:val="00333631"/>
    <w:rsid w:val="003340A4"/>
    <w:rsid w:val="003404A9"/>
    <w:rsid w:val="0034270F"/>
    <w:rsid w:val="003442DF"/>
    <w:rsid w:val="0034647D"/>
    <w:rsid w:val="00347D55"/>
    <w:rsid w:val="00351B6C"/>
    <w:rsid w:val="00351BAC"/>
    <w:rsid w:val="00353EB8"/>
    <w:rsid w:val="00354269"/>
    <w:rsid w:val="00354708"/>
    <w:rsid w:val="00357A6B"/>
    <w:rsid w:val="00360072"/>
    <w:rsid w:val="003615D0"/>
    <w:rsid w:val="00361AA0"/>
    <w:rsid w:val="0036355A"/>
    <w:rsid w:val="0036410B"/>
    <w:rsid w:val="003656C6"/>
    <w:rsid w:val="00366DE8"/>
    <w:rsid w:val="003678FC"/>
    <w:rsid w:val="00370500"/>
    <w:rsid w:val="00372D8E"/>
    <w:rsid w:val="00372E5E"/>
    <w:rsid w:val="00373DFE"/>
    <w:rsid w:val="00374F70"/>
    <w:rsid w:val="0037628B"/>
    <w:rsid w:val="00381874"/>
    <w:rsid w:val="0038270B"/>
    <w:rsid w:val="00385B18"/>
    <w:rsid w:val="00387068"/>
    <w:rsid w:val="0039202C"/>
    <w:rsid w:val="00392EEF"/>
    <w:rsid w:val="00393116"/>
    <w:rsid w:val="00394761"/>
    <w:rsid w:val="003958AA"/>
    <w:rsid w:val="00395F8C"/>
    <w:rsid w:val="003960B3"/>
    <w:rsid w:val="003963FE"/>
    <w:rsid w:val="003967FE"/>
    <w:rsid w:val="00396A25"/>
    <w:rsid w:val="003A09A3"/>
    <w:rsid w:val="003A2680"/>
    <w:rsid w:val="003A6AF4"/>
    <w:rsid w:val="003A7338"/>
    <w:rsid w:val="003B038E"/>
    <w:rsid w:val="003B0796"/>
    <w:rsid w:val="003B08D0"/>
    <w:rsid w:val="003B20AD"/>
    <w:rsid w:val="003B2214"/>
    <w:rsid w:val="003B46F2"/>
    <w:rsid w:val="003B5E4A"/>
    <w:rsid w:val="003C2D0D"/>
    <w:rsid w:val="003C4B2D"/>
    <w:rsid w:val="003C5EB9"/>
    <w:rsid w:val="003C663C"/>
    <w:rsid w:val="003D0241"/>
    <w:rsid w:val="003D3A40"/>
    <w:rsid w:val="003D6457"/>
    <w:rsid w:val="003E0901"/>
    <w:rsid w:val="003E15B5"/>
    <w:rsid w:val="003E4F0D"/>
    <w:rsid w:val="003E5783"/>
    <w:rsid w:val="003E66F6"/>
    <w:rsid w:val="003E7472"/>
    <w:rsid w:val="003F0253"/>
    <w:rsid w:val="003F5820"/>
    <w:rsid w:val="003F6BB1"/>
    <w:rsid w:val="004004DC"/>
    <w:rsid w:val="004020A4"/>
    <w:rsid w:val="004026E2"/>
    <w:rsid w:val="00402A25"/>
    <w:rsid w:val="00402DE4"/>
    <w:rsid w:val="00404F64"/>
    <w:rsid w:val="00410B8C"/>
    <w:rsid w:val="00411004"/>
    <w:rsid w:val="00412ED6"/>
    <w:rsid w:val="004142D5"/>
    <w:rsid w:val="00416277"/>
    <w:rsid w:val="0041719B"/>
    <w:rsid w:val="00420E4F"/>
    <w:rsid w:val="00422B57"/>
    <w:rsid w:val="004273D0"/>
    <w:rsid w:val="0042779F"/>
    <w:rsid w:val="0043217D"/>
    <w:rsid w:val="0043424A"/>
    <w:rsid w:val="004352A9"/>
    <w:rsid w:val="0043747E"/>
    <w:rsid w:val="00440349"/>
    <w:rsid w:val="00444795"/>
    <w:rsid w:val="0044530C"/>
    <w:rsid w:val="004468AD"/>
    <w:rsid w:val="004502FE"/>
    <w:rsid w:val="00452DB4"/>
    <w:rsid w:val="00453D17"/>
    <w:rsid w:val="00454B9D"/>
    <w:rsid w:val="00455A28"/>
    <w:rsid w:val="00461BDB"/>
    <w:rsid w:val="00461C71"/>
    <w:rsid w:val="0046400A"/>
    <w:rsid w:val="00464016"/>
    <w:rsid w:val="00464085"/>
    <w:rsid w:val="004652D9"/>
    <w:rsid w:val="00465E99"/>
    <w:rsid w:val="00466926"/>
    <w:rsid w:val="004671B4"/>
    <w:rsid w:val="00470834"/>
    <w:rsid w:val="00470AEA"/>
    <w:rsid w:val="0047371F"/>
    <w:rsid w:val="00475A0C"/>
    <w:rsid w:val="00475BE2"/>
    <w:rsid w:val="004766CA"/>
    <w:rsid w:val="00477313"/>
    <w:rsid w:val="00477815"/>
    <w:rsid w:val="00480013"/>
    <w:rsid w:val="00485446"/>
    <w:rsid w:val="00486060"/>
    <w:rsid w:val="00491FF9"/>
    <w:rsid w:val="0049258D"/>
    <w:rsid w:val="004A0439"/>
    <w:rsid w:val="004A2C97"/>
    <w:rsid w:val="004A3804"/>
    <w:rsid w:val="004A4A63"/>
    <w:rsid w:val="004A4D01"/>
    <w:rsid w:val="004A7426"/>
    <w:rsid w:val="004B00E3"/>
    <w:rsid w:val="004B2F2C"/>
    <w:rsid w:val="004B33CD"/>
    <w:rsid w:val="004B40AB"/>
    <w:rsid w:val="004B6897"/>
    <w:rsid w:val="004B709D"/>
    <w:rsid w:val="004C174C"/>
    <w:rsid w:val="004C2D89"/>
    <w:rsid w:val="004C49C6"/>
    <w:rsid w:val="004C7364"/>
    <w:rsid w:val="004C7765"/>
    <w:rsid w:val="004D0E2B"/>
    <w:rsid w:val="004D27E9"/>
    <w:rsid w:val="004D3222"/>
    <w:rsid w:val="004D3A1C"/>
    <w:rsid w:val="004D4A72"/>
    <w:rsid w:val="004E333A"/>
    <w:rsid w:val="004E45FA"/>
    <w:rsid w:val="004E497E"/>
    <w:rsid w:val="004E4BBD"/>
    <w:rsid w:val="004E5B71"/>
    <w:rsid w:val="004E6B1F"/>
    <w:rsid w:val="004E77FB"/>
    <w:rsid w:val="004F0305"/>
    <w:rsid w:val="004F3FE9"/>
    <w:rsid w:val="004F45FF"/>
    <w:rsid w:val="004F6559"/>
    <w:rsid w:val="004F7702"/>
    <w:rsid w:val="00500B3B"/>
    <w:rsid w:val="00502367"/>
    <w:rsid w:val="00505724"/>
    <w:rsid w:val="005103E8"/>
    <w:rsid w:val="00510588"/>
    <w:rsid w:val="00511375"/>
    <w:rsid w:val="00512CDB"/>
    <w:rsid w:val="00514993"/>
    <w:rsid w:val="005161F0"/>
    <w:rsid w:val="00520811"/>
    <w:rsid w:val="00520D17"/>
    <w:rsid w:val="00522551"/>
    <w:rsid w:val="005231F1"/>
    <w:rsid w:val="00525245"/>
    <w:rsid w:val="00526356"/>
    <w:rsid w:val="0052731E"/>
    <w:rsid w:val="00530B45"/>
    <w:rsid w:val="005315F0"/>
    <w:rsid w:val="005320E1"/>
    <w:rsid w:val="00534337"/>
    <w:rsid w:val="00534A44"/>
    <w:rsid w:val="00535369"/>
    <w:rsid w:val="0053581A"/>
    <w:rsid w:val="00535845"/>
    <w:rsid w:val="00536988"/>
    <w:rsid w:val="00536C32"/>
    <w:rsid w:val="005371CA"/>
    <w:rsid w:val="00537D18"/>
    <w:rsid w:val="00543407"/>
    <w:rsid w:val="0054345D"/>
    <w:rsid w:val="005436E7"/>
    <w:rsid w:val="005438AB"/>
    <w:rsid w:val="00543991"/>
    <w:rsid w:val="00544A21"/>
    <w:rsid w:val="00545A48"/>
    <w:rsid w:val="005463D0"/>
    <w:rsid w:val="0054733E"/>
    <w:rsid w:val="005478DF"/>
    <w:rsid w:val="00550D97"/>
    <w:rsid w:val="0055349C"/>
    <w:rsid w:val="0055407E"/>
    <w:rsid w:val="005541CE"/>
    <w:rsid w:val="0055580E"/>
    <w:rsid w:val="00556022"/>
    <w:rsid w:val="00556345"/>
    <w:rsid w:val="00561021"/>
    <w:rsid w:val="00564219"/>
    <w:rsid w:val="00565433"/>
    <w:rsid w:val="00567317"/>
    <w:rsid w:val="00571C2B"/>
    <w:rsid w:val="005724B9"/>
    <w:rsid w:val="0057306E"/>
    <w:rsid w:val="005775FA"/>
    <w:rsid w:val="00582E31"/>
    <w:rsid w:val="00584890"/>
    <w:rsid w:val="00585C29"/>
    <w:rsid w:val="00586403"/>
    <w:rsid w:val="00587446"/>
    <w:rsid w:val="00590943"/>
    <w:rsid w:val="00591027"/>
    <w:rsid w:val="00594E4D"/>
    <w:rsid w:val="00594FAE"/>
    <w:rsid w:val="005A0268"/>
    <w:rsid w:val="005A0954"/>
    <w:rsid w:val="005A2A92"/>
    <w:rsid w:val="005A52BB"/>
    <w:rsid w:val="005A5F08"/>
    <w:rsid w:val="005A6FAC"/>
    <w:rsid w:val="005B1899"/>
    <w:rsid w:val="005C0F65"/>
    <w:rsid w:val="005C2B4D"/>
    <w:rsid w:val="005C4019"/>
    <w:rsid w:val="005C40E3"/>
    <w:rsid w:val="005C4B8C"/>
    <w:rsid w:val="005C5002"/>
    <w:rsid w:val="005C5BB9"/>
    <w:rsid w:val="005C6A32"/>
    <w:rsid w:val="005C75DE"/>
    <w:rsid w:val="005D1517"/>
    <w:rsid w:val="005D1BB6"/>
    <w:rsid w:val="005D2CBA"/>
    <w:rsid w:val="005D3024"/>
    <w:rsid w:val="005D4388"/>
    <w:rsid w:val="005D7D14"/>
    <w:rsid w:val="005D7D96"/>
    <w:rsid w:val="005E2846"/>
    <w:rsid w:val="005E528E"/>
    <w:rsid w:val="005E5878"/>
    <w:rsid w:val="005F027A"/>
    <w:rsid w:val="005F1746"/>
    <w:rsid w:val="005F3A5F"/>
    <w:rsid w:val="005F4AC0"/>
    <w:rsid w:val="005F73C3"/>
    <w:rsid w:val="00604D06"/>
    <w:rsid w:val="00610918"/>
    <w:rsid w:val="00611C90"/>
    <w:rsid w:val="0061208E"/>
    <w:rsid w:val="006136E0"/>
    <w:rsid w:val="00620943"/>
    <w:rsid w:val="0062281B"/>
    <w:rsid w:val="006231E1"/>
    <w:rsid w:val="00623F41"/>
    <w:rsid w:val="00627360"/>
    <w:rsid w:val="00627D1A"/>
    <w:rsid w:val="00630303"/>
    <w:rsid w:val="0063495E"/>
    <w:rsid w:val="00634C63"/>
    <w:rsid w:val="00637410"/>
    <w:rsid w:val="00637EA0"/>
    <w:rsid w:val="00640FC1"/>
    <w:rsid w:val="00645007"/>
    <w:rsid w:val="006500E8"/>
    <w:rsid w:val="00652344"/>
    <w:rsid w:val="00654504"/>
    <w:rsid w:val="00654B6D"/>
    <w:rsid w:val="00656CFF"/>
    <w:rsid w:val="00666C70"/>
    <w:rsid w:val="00667544"/>
    <w:rsid w:val="00670946"/>
    <w:rsid w:val="006711A8"/>
    <w:rsid w:val="00674139"/>
    <w:rsid w:val="006810CC"/>
    <w:rsid w:val="00681BC5"/>
    <w:rsid w:val="00683485"/>
    <w:rsid w:val="00683BB3"/>
    <w:rsid w:val="00684F79"/>
    <w:rsid w:val="00685DC5"/>
    <w:rsid w:val="00686752"/>
    <w:rsid w:val="006871F2"/>
    <w:rsid w:val="0069076F"/>
    <w:rsid w:val="00690883"/>
    <w:rsid w:val="00691836"/>
    <w:rsid w:val="00691E40"/>
    <w:rsid w:val="006920B7"/>
    <w:rsid w:val="0069357B"/>
    <w:rsid w:val="00694E8A"/>
    <w:rsid w:val="006978B0"/>
    <w:rsid w:val="00697B7C"/>
    <w:rsid w:val="006A2806"/>
    <w:rsid w:val="006A343B"/>
    <w:rsid w:val="006A3972"/>
    <w:rsid w:val="006A7445"/>
    <w:rsid w:val="006A7B97"/>
    <w:rsid w:val="006B47A2"/>
    <w:rsid w:val="006B7539"/>
    <w:rsid w:val="006C2B8F"/>
    <w:rsid w:val="006C30AE"/>
    <w:rsid w:val="006C48AE"/>
    <w:rsid w:val="006C5A3D"/>
    <w:rsid w:val="006C5B5F"/>
    <w:rsid w:val="006D1788"/>
    <w:rsid w:val="006D1D44"/>
    <w:rsid w:val="006D1EA4"/>
    <w:rsid w:val="006D2E40"/>
    <w:rsid w:val="006D6A90"/>
    <w:rsid w:val="006E0593"/>
    <w:rsid w:val="006E0E4B"/>
    <w:rsid w:val="006E18D7"/>
    <w:rsid w:val="006E2487"/>
    <w:rsid w:val="006E3A31"/>
    <w:rsid w:val="006E4EE3"/>
    <w:rsid w:val="006E57AE"/>
    <w:rsid w:val="006E66EC"/>
    <w:rsid w:val="006E6BE0"/>
    <w:rsid w:val="006F04B1"/>
    <w:rsid w:val="006F3B79"/>
    <w:rsid w:val="006F55A1"/>
    <w:rsid w:val="006F785A"/>
    <w:rsid w:val="007019E2"/>
    <w:rsid w:val="007023A7"/>
    <w:rsid w:val="00703893"/>
    <w:rsid w:val="0070415B"/>
    <w:rsid w:val="00704A36"/>
    <w:rsid w:val="00704BD2"/>
    <w:rsid w:val="00704C14"/>
    <w:rsid w:val="00704DCD"/>
    <w:rsid w:val="007072CA"/>
    <w:rsid w:val="00710BC9"/>
    <w:rsid w:val="00717A6D"/>
    <w:rsid w:val="007212C8"/>
    <w:rsid w:val="007212D6"/>
    <w:rsid w:val="007230F4"/>
    <w:rsid w:val="007232E3"/>
    <w:rsid w:val="007235F8"/>
    <w:rsid w:val="00724703"/>
    <w:rsid w:val="007300FE"/>
    <w:rsid w:val="00735E9D"/>
    <w:rsid w:val="00736C92"/>
    <w:rsid w:val="00737435"/>
    <w:rsid w:val="00741ABD"/>
    <w:rsid w:val="00743AEB"/>
    <w:rsid w:val="0074463E"/>
    <w:rsid w:val="00745508"/>
    <w:rsid w:val="00746FC8"/>
    <w:rsid w:val="007474AD"/>
    <w:rsid w:val="00750073"/>
    <w:rsid w:val="007516A7"/>
    <w:rsid w:val="00751EEB"/>
    <w:rsid w:val="00754D23"/>
    <w:rsid w:val="0075551E"/>
    <w:rsid w:val="007570C1"/>
    <w:rsid w:val="007571DB"/>
    <w:rsid w:val="007578BE"/>
    <w:rsid w:val="00757ABB"/>
    <w:rsid w:val="00763AA4"/>
    <w:rsid w:val="007658C1"/>
    <w:rsid w:val="007674C0"/>
    <w:rsid w:val="0077075E"/>
    <w:rsid w:val="007717E3"/>
    <w:rsid w:val="00773993"/>
    <w:rsid w:val="00773D47"/>
    <w:rsid w:val="00774643"/>
    <w:rsid w:val="00781EC2"/>
    <w:rsid w:val="007836B2"/>
    <w:rsid w:val="00783F50"/>
    <w:rsid w:val="00784A59"/>
    <w:rsid w:val="007924BB"/>
    <w:rsid w:val="00793D07"/>
    <w:rsid w:val="00796DF6"/>
    <w:rsid w:val="00797AB4"/>
    <w:rsid w:val="00797BD7"/>
    <w:rsid w:val="00797DCB"/>
    <w:rsid w:val="007A0845"/>
    <w:rsid w:val="007A0956"/>
    <w:rsid w:val="007A0BA1"/>
    <w:rsid w:val="007A41F5"/>
    <w:rsid w:val="007A4A38"/>
    <w:rsid w:val="007B1258"/>
    <w:rsid w:val="007B1B6E"/>
    <w:rsid w:val="007B1BC0"/>
    <w:rsid w:val="007B2C60"/>
    <w:rsid w:val="007B36AB"/>
    <w:rsid w:val="007B4096"/>
    <w:rsid w:val="007B4FA8"/>
    <w:rsid w:val="007C2F5B"/>
    <w:rsid w:val="007C6D37"/>
    <w:rsid w:val="007D00B8"/>
    <w:rsid w:val="007D0C3B"/>
    <w:rsid w:val="007D114F"/>
    <w:rsid w:val="007D286A"/>
    <w:rsid w:val="007D33D9"/>
    <w:rsid w:val="007E1162"/>
    <w:rsid w:val="007E25D9"/>
    <w:rsid w:val="007E2C22"/>
    <w:rsid w:val="007E2D1D"/>
    <w:rsid w:val="007E32AC"/>
    <w:rsid w:val="007E4139"/>
    <w:rsid w:val="007E57B5"/>
    <w:rsid w:val="007E5C2D"/>
    <w:rsid w:val="007E6FD3"/>
    <w:rsid w:val="007E7EA2"/>
    <w:rsid w:val="007F289F"/>
    <w:rsid w:val="007F2EF7"/>
    <w:rsid w:val="007F33D9"/>
    <w:rsid w:val="007F46EB"/>
    <w:rsid w:val="0080320C"/>
    <w:rsid w:val="00804B48"/>
    <w:rsid w:val="00805EC0"/>
    <w:rsid w:val="008100D0"/>
    <w:rsid w:val="0081086E"/>
    <w:rsid w:val="00813903"/>
    <w:rsid w:val="00816C4D"/>
    <w:rsid w:val="008215AA"/>
    <w:rsid w:val="00822F5A"/>
    <w:rsid w:val="00826D40"/>
    <w:rsid w:val="00827056"/>
    <w:rsid w:val="00827CE1"/>
    <w:rsid w:val="00827F44"/>
    <w:rsid w:val="0083080F"/>
    <w:rsid w:val="00832E88"/>
    <w:rsid w:val="008412BC"/>
    <w:rsid w:val="00842BE6"/>
    <w:rsid w:val="00842C90"/>
    <w:rsid w:val="00842FB8"/>
    <w:rsid w:val="00847FC0"/>
    <w:rsid w:val="00850C41"/>
    <w:rsid w:val="0085291A"/>
    <w:rsid w:val="008537CC"/>
    <w:rsid w:val="008545BC"/>
    <w:rsid w:val="008563C4"/>
    <w:rsid w:val="00860924"/>
    <w:rsid w:val="0086100D"/>
    <w:rsid w:val="008615D8"/>
    <w:rsid w:val="008630DE"/>
    <w:rsid w:val="00864D9A"/>
    <w:rsid w:val="008651ED"/>
    <w:rsid w:val="00871541"/>
    <w:rsid w:val="00873376"/>
    <w:rsid w:val="00875A59"/>
    <w:rsid w:val="00875F7F"/>
    <w:rsid w:val="00877B39"/>
    <w:rsid w:val="00886F78"/>
    <w:rsid w:val="00887651"/>
    <w:rsid w:val="00890A35"/>
    <w:rsid w:val="008918DC"/>
    <w:rsid w:val="00891908"/>
    <w:rsid w:val="008922B8"/>
    <w:rsid w:val="00893B96"/>
    <w:rsid w:val="0089558E"/>
    <w:rsid w:val="00895878"/>
    <w:rsid w:val="008A0F8C"/>
    <w:rsid w:val="008A23F3"/>
    <w:rsid w:val="008A2CB0"/>
    <w:rsid w:val="008A50F3"/>
    <w:rsid w:val="008A5218"/>
    <w:rsid w:val="008A6F86"/>
    <w:rsid w:val="008A6FA9"/>
    <w:rsid w:val="008B1A07"/>
    <w:rsid w:val="008B5978"/>
    <w:rsid w:val="008B5BD2"/>
    <w:rsid w:val="008B6181"/>
    <w:rsid w:val="008B7707"/>
    <w:rsid w:val="008C08BA"/>
    <w:rsid w:val="008C22D2"/>
    <w:rsid w:val="008C2DB2"/>
    <w:rsid w:val="008C46C1"/>
    <w:rsid w:val="008C5708"/>
    <w:rsid w:val="008D06EA"/>
    <w:rsid w:val="008D0FB4"/>
    <w:rsid w:val="008D17A5"/>
    <w:rsid w:val="008D2733"/>
    <w:rsid w:val="008D345D"/>
    <w:rsid w:val="008D3E37"/>
    <w:rsid w:val="008E0ABA"/>
    <w:rsid w:val="008E35DF"/>
    <w:rsid w:val="008E3B7C"/>
    <w:rsid w:val="008E5879"/>
    <w:rsid w:val="008E7DBC"/>
    <w:rsid w:val="008F06A2"/>
    <w:rsid w:val="008F1CBD"/>
    <w:rsid w:val="008F5142"/>
    <w:rsid w:val="008F5691"/>
    <w:rsid w:val="008F7773"/>
    <w:rsid w:val="008F7A18"/>
    <w:rsid w:val="00900B14"/>
    <w:rsid w:val="00905BD4"/>
    <w:rsid w:val="00910C7D"/>
    <w:rsid w:val="0091197F"/>
    <w:rsid w:val="00911D41"/>
    <w:rsid w:val="00913D77"/>
    <w:rsid w:val="00915001"/>
    <w:rsid w:val="00916165"/>
    <w:rsid w:val="009167A0"/>
    <w:rsid w:val="0091738D"/>
    <w:rsid w:val="00917723"/>
    <w:rsid w:val="009200A2"/>
    <w:rsid w:val="00920688"/>
    <w:rsid w:val="0092170E"/>
    <w:rsid w:val="009232EF"/>
    <w:rsid w:val="009272F5"/>
    <w:rsid w:val="009301D5"/>
    <w:rsid w:val="009310A9"/>
    <w:rsid w:val="009329FB"/>
    <w:rsid w:val="00937655"/>
    <w:rsid w:val="009406FC"/>
    <w:rsid w:val="009410D4"/>
    <w:rsid w:val="00941FA6"/>
    <w:rsid w:val="00942E96"/>
    <w:rsid w:val="00943617"/>
    <w:rsid w:val="00945F33"/>
    <w:rsid w:val="00947152"/>
    <w:rsid w:val="00947EBA"/>
    <w:rsid w:val="00951595"/>
    <w:rsid w:val="00951681"/>
    <w:rsid w:val="00952457"/>
    <w:rsid w:val="00953034"/>
    <w:rsid w:val="00962414"/>
    <w:rsid w:val="00964ED8"/>
    <w:rsid w:val="0096589B"/>
    <w:rsid w:val="009675D6"/>
    <w:rsid w:val="00967A7C"/>
    <w:rsid w:val="009712D6"/>
    <w:rsid w:val="009735DD"/>
    <w:rsid w:val="00974A32"/>
    <w:rsid w:val="00975511"/>
    <w:rsid w:val="00982086"/>
    <w:rsid w:val="00982BEB"/>
    <w:rsid w:val="009838D4"/>
    <w:rsid w:val="009855BF"/>
    <w:rsid w:val="00991225"/>
    <w:rsid w:val="0099147A"/>
    <w:rsid w:val="00992AD1"/>
    <w:rsid w:val="00992BDC"/>
    <w:rsid w:val="009932CA"/>
    <w:rsid w:val="00994314"/>
    <w:rsid w:val="00997570"/>
    <w:rsid w:val="009A0771"/>
    <w:rsid w:val="009A0B67"/>
    <w:rsid w:val="009A193F"/>
    <w:rsid w:val="009A479D"/>
    <w:rsid w:val="009A7654"/>
    <w:rsid w:val="009B0902"/>
    <w:rsid w:val="009B2ECD"/>
    <w:rsid w:val="009B65FE"/>
    <w:rsid w:val="009C02DA"/>
    <w:rsid w:val="009C773F"/>
    <w:rsid w:val="009D2C78"/>
    <w:rsid w:val="009D7DFB"/>
    <w:rsid w:val="009E009C"/>
    <w:rsid w:val="009E0F01"/>
    <w:rsid w:val="009E1274"/>
    <w:rsid w:val="009E196B"/>
    <w:rsid w:val="009E1AC6"/>
    <w:rsid w:val="009E374E"/>
    <w:rsid w:val="009E3B35"/>
    <w:rsid w:val="009E4398"/>
    <w:rsid w:val="009E55E1"/>
    <w:rsid w:val="009E5B4E"/>
    <w:rsid w:val="009E63EA"/>
    <w:rsid w:val="009F050F"/>
    <w:rsid w:val="009F2DBE"/>
    <w:rsid w:val="009F4043"/>
    <w:rsid w:val="009F43A2"/>
    <w:rsid w:val="009F4F37"/>
    <w:rsid w:val="009F5193"/>
    <w:rsid w:val="009F72DC"/>
    <w:rsid w:val="009F7342"/>
    <w:rsid w:val="009F7F1F"/>
    <w:rsid w:val="00A0052B"/>
    <w:rsid w:val="00A01878"/>
    <w:rsid w:val="00A03CFA"/>
    <w:rsid w:val="00A066D8"/>
    <w:rsid w:val="00A07F0D"/>
    <w:rsid w:val="00A11969"/>
    <w:rsid w:val="00A11ED3"/>
    <w:rsid w:val="00A16B85"/>
    <w:rsid w:val="00A2167F"/>
    <w:rsid w:val="00A24103"/>
    <w:rsid w:val="00A24CAA"/>
    <w:rsid w:val="00A25FE3"/>
    <w:rsid w:val="00A273D3"/>
    <w:rsid w:val="00A302E0"/>
    <w:rsid w:val="00A31E4B"/>
    <w:rsid w:val="00A31E9B"/>
    <w:rsid w:val="00A333DC"/>
    <w:rsid w:val="00A3534F"/>
    <w:rsid w:val="00A35A4B"/>
    <w:rsid w:val="00A37549"/>
    <w:rsid w:val="00A37A03"/>
    <w:rsid w:val="00A476B6"/>
    <w:rsid w:val="00A53D31"/>
    <w:rsid w:val="00A5438B"/>
    <w:rsid w:val="00A54E62"/>
    <w:rsid w:val="00A60118"/>
    <w:rsid w:val="00A6186F"/>
    <w:rsid w:val="00A61C50"/>
    <w:rsid w:val="00A621F3"/>
    <w:rsid w:val="00A64AA1"/>
    <w:rsid w:val="00A66135"/>
    <w:rsid w:val="00A66314"/>
    <w:rsid w:val="00A6712C"/>
    <w:rsid w:val="00A7010C"/>
    <w:rsid w:val="00A73F8A"/>
    <w:rsid w:val="00A74FAC"/>
    <w:rsid w:val="00A76032"/>
    <w:rsid w:val="00A77063"/>
    <w:rsid w:val="00A8099D"/>
    <w:rsid w:val="00A81D62"/>
    <w:rsid w:val="00A82E5F"/>
    <w:rsid w:val="00A847D0"/>
    <w:rsid w:val="00A84922"/>
    <w:rsid w:val="00A87C24"/>
    <w:rsid w:val="00A90AE8"/>
    <w:rsid w:val="00A90D1F"/>
    <w:rsid w:val="00A962C3"/>
    <w:rsid w:val="00A971BB"/>
    <w:rsid w:val="00AA0679"/>
    <w:rsid w:val="00AA2B09"/>
    <w:rsid w:val="00AA70D1"/>
    <w:rsid w:val="00AA7550"/>
    <w:rsid w:val="00AB03CC"/>
    <w:rsid w:val="00AB13E5"/>
    <w:rsid w:val="00AB7088"/>
    <w:rsid w:val="00AC2A97"/>
    <w:rsid w:val="00AC2AA2"/>
    <w:rsid w:val="00AC4F64"/>
    <w:rsid w:val="00AC7011"/>
    <w:rsid w:val="00AC79BD"/>
    <w:rsid w:val="00AD0DE5"/>
    <w:rsid w:val="00AD218F"/>
    <w:rsid w:val="00AD24D5"/>
    <w:rsid w:val="00AD46FD"/>
    <w:rsid w:val="00AD54E0"/>
    <w:rsid w:val="00AD5A35"/>
    <w:rsid w:val="00AE00D6"/>
    <w:rsid w:val="00AE1BF9"/>
    <w:rsid w:val="00AE3C3E"/>
    <w:rsid w:val="00AE4992"/>
    <w:rsid w:val="00AE7240"/>
    <w:rsid w:val="00AF5339"/>
    <w:rsid w:val="00AF694B"/>
    <w:rsid w:val="00AF6D48"/>
    <w:rsid w:val="00B00632"/>
    <w:rsid w:val="00B01976"/>
    <w:rsid w:val="00B040BA"/>
    <w:rsid w:val="00B073A2"/>
    <w:rsid w:val="00B07DD1"/>
    <w:rsid w:val="00B14C29"/>
    <w:rsid w:val="00B16746"/>
    <w:rsid w:val="00B16D5E"/>
    <w:rsid w:val="00B170E8"/>
    <w:rsid w:val="00B17DFA"/>
    <w:rsid w:val="00B21756"/>
    <w:rsid w:val="00B21CBB"/>
    <w:rsid w:val="00B26609"/>
    <w:rsid w:val="00B27CAF"/>
    <w:rsid w:val="00B3409B"/>
    <w:rsid w:val="00B3769E"/>
    <w:rsid w:val="00B42151"/>
    <w:rsid w:val="00B51007"/>
    <w:rsid w:val="00B54839"/>
    <w:rsid w:val="00B57769"/>
    <w:rsid w:val="00B61CFD"/>
    <w:rsid w:val="00B63531"/>
    <w:rsid w:val="00B67EC2"/>
    <w:rsid w:val="00B7008A"/>
    <w:rsid w:val="00B717B3"/>
    <w:rsid w:val="00B718A1"/>
    <w:rsid w:val="00B76840"/>
    <w:rsid w:val="00B811CE"/>
    <w:rsid w:val="00B859B6"/>
    <w:rsid w:val="00B86FB1"/>
    <w:rsid w:val="00B90FFD"/>
    <w:rsid w:val="00B91463"/>
    <w:rsid w:val="00B91475"/>
    <w:rsid w:val="00B9320D"/>
    <w:rsid w:val="00B95F43"/>
    <w:rsid w:val="00BA082C"/>
    <w:rsid w:val="00BA4771"/>
    <w:rsid w:val="00BA5DED"/>
    <w:rsid w:val="00BB0F9C"/>
    <w:rsid w:val="00BB1197"/>
    <w:rsid w:val="00BB1CCD"/>
    <w:rsid w:val="00BB26D3"/>
    <w:rsid w:val="00BB4B7D"/>
    <w:rsid w:val="00BB4DDE"/>
    <w:rsid w:val="00BB7C31"/>
    <w:rsid w:val="00BC3C32"/>
    <w:rsid w:val="00BC403A"/>
    <w:rsid w:val="00BC524F"/>
    <w:rsid w:val="00BC530B"/>
    <w:rsid w:val="00BC56DE"/>
    <w:rsid w:val="00BC62E3"/>
    <w:rsid w:val="00BC6429"/>
    <w:rsid w:val="00BD0572"/>
    <w:rsid w:val="00BD6628"/>
    <w:rsid w:val="00BD7366"/>
    <w:rsid w:val="00BE0D31"/>
    <w:rsid w:val="00BE2D99"/>
    <w:rsid w:val="00BE58B1"/>
    <w:rsid w:val="00BE6D31"/>
    <w:rsid w:val="00BE771C"/>
    <w:rsid w:val="00BF091C"/>
    <w:rsid w:val="00BF1503"/>
    <w:rsid w:val="00BF3895"/>
    <w:rsid w:val="00BF3EAF"/>
    <w:rsid w:val="00BF4A33"/>
    <w:rsid w:val="00BF5433"/>
    <w:rsid w:val="00BF7593"/>
    <w:rsid w:val="00C009E0"/>
    <w:rsid w:val="00C01B5D"/>
    <w:rsid w:val="00C0480B"/>
    <w:rsid w:val="00C04CDA"/>
    <w:rsid w:val="00C0617C"/>
    <w:rsid w:val="00C07358"/>
    <w:rsid w:val="00C07E73"/>
    <w:rsid w:val="00C1044A"/>
    <w:rsid w:val="00C12124"/>
    <w:rsid w:val="00C143F2"/>
    <w:rsid w:val="00C168C8"/>
    <w:rsid w:val="00C178F6"/>
    <w:rsid w:val="00C2150B"/>
    <w:rsid w:val="00C236B5"/>
    <w:rsid w:val="00C244A1"/>
    <w:rsid w:val="00C24AA3"/>
    <w:rsid w:val="00C2505B"/>
    <w:rsid w:val="00C258E4"/>
    <w:rsid w:val="00C30BA1"/>
    <w:rsid w:val="00C337B2"/>
    <w:rsid w:val="00C36605"/>
    <w:rsid w:val="00C43469"/>
    <w:rsid w:val="00C44DC8"/>
    <w:rsid w:val="00C45559"/>
    <w:rsid w:val="00C47422"/>
    <w:rsid w:val="00C51234"/>
    <w:rsid w:val="00C5203F"/>
    <w:rsid w:val="00C521FC"/>
    <w:rsid w:val="00C5515A"/>
    <w:rsid w:val="00C55FE1"/>
    <w:rsid w:val="00C563D2"/>
    <w:rsid w:val="00C567B9"/>
    <w:rsid w:val="00C65995"/>
    <w:rsid w:val="00C66131"/>
    <w:rsid w:val="00C67F8A"/>
    <w:rsid w:val="00C7152E"/>
    <w:rsid w:val="00C7154D"/>
    <w:rsid w:val="00C72F0B"/>
    <w:rsid w:val="00C74FEE"/>
    <w:rsid w:val="00C75684"/>
    <w:rsid w:val="00C75BC5"/>
    <w:rsid w:val="00C83890"/>
    <w:rsid w:val="00C83D29"/>
    <w:rsid w:val="00C8415B"/>
    <w:rsid w:val="00C84905"/>
    <w:rsid w:val="00C9060E"/>
    <w:rsid w:val="00C90E8F"/>
    <w:rsid w:val="00C91B84"/>
    <w:rsid w:val="00C926F3"/>
    <w:rsid w:val="00C94127"/>
    <w:rsid w:val="00C96371"/>
    <w:rsid w:val="00C97590"/>
    <w:rsid w:val="00C97E32"/>
    <w:rsid w:val="00CA0BAE"/>
    <w:rsid w:val="00CA2FDC"/>
    <w:rsid w:val="00CA3BBA"/>
    <w:rsid w:val="00CB003F"/>
    <w:rsid w:val="00CB318C"/>
    <w:rsid w:val="00CB33FE"/>
    <w:rsid w:val="00CB531D"/>
    <w:rsid w:val="00CB6995"/>
    <w:rsid w:val="00CC0602"/>
    <w:rsid w:val="00CC39A6"/>
    <w:rsid w:val="00CC622B"/>
    <w:rsid w:val="00CC71C5"/>
    <w:rsid w:val="00CD0641"/>
    <w:rsid w:val="00CD1E4F"/>
    <w:rsid w:val="00CD2802"/>
    <w:rsid w:val="00CD490F"/>
    <w:rsid w:val="00CD6850"/>
    <w:rsid w:val="00CD6F7A"/>
    <w:rsid w:val="00CD75BE"/>
    <w:rsid w:val="00CE06BF"/>
    <w:rsid w:val="00CE16DB"/>
    <w:rsid w:val="00CE4E58"/>
    <w:rsid w:val="00CE5B8D"/>
    <w:rsid w:val="00CE6AA2"/>
    <w:rsid w:val="00CE7D46"/>
    <w:rsid w:val="00CE7FC3"/>
    <w:rsid w:val="00CF0F39"/>
    <w:rsid w:val="00CF3B2E"/>
    <w:rsid w:val="00CF4010"/>
    <w:rsid w:val="00CF55D0"/>
    <w:rsid w:val="00CF5674"/>
    <w:rsid w:val="00CF6193"/>
    <w:rsid w:val="00CF68F2"/>
    <w:rsid w:val="00D03799"/>
    <w:rsid w:val="00D04785"/>
    <w:rsid w:val="00D04E78"/>
    <w:rsid w:val="00D0551A"/>
    <w:rsid w:val="00D062EC"/>
    <w:rsid w:val="00D07CD4"/>
    <w:rsid w:val="00D136A7"/>
    <w:rsid w:val="00D158F4"/>
    <w:rsid w:val="00D20304"/>
    <w:rsid w:val="00D209E9"/>
    <w:rsid w:val="00D25CFD"/>
    <w:rsid w:val="00D2633B"/>
    <w:rsid w:val="00D321F0"/>
    <w:rsid w:val="00D322E9"/>
    <w:rsid w:val="00D32C7D"/>
    <w:rsid w:val="00D33361"/>
    <w:rsid w:val="00D34588"/>
    <w:rsid w:val="00D346D9"/>
    <w:rsid w:val="00D3478E"/>
    <w:rsid w:val="00D34D1C"/>
    <w:rsid w:val="00D35C49"/>
    <w:rsid w:val="00D35D7E"/>
    <w:rsid w:val="00D36C73"/>
    <w:rsid w:val="00D420E2"/>
    <w:rsid w:val="00D42FD2"/>
    <w:rsid w:val="00D52EC4"/>
    <w:rsid w:val="00D54C2F"/>
    <w:rsid w:val="00D5589E"/>
    <w:rsid w:val="00D567C1"/>
    <w:rsid w:val="00D56F2D"/>
    <w:rsid w:val="00D574C8"/>
    <w:rsid w:val="00D60AAD"/>
    <w:rsid w:val="00D61F2E"/>
    <w:rsid w:val="00D64618"/>
    <w:rsid w:val="00D647BF"/>
    <w:rsid w:val="00D6482F"/>
    <w:rsid w:val="00D64953"/>
    <w:rsid w:val="00D65884"/>
    <w:rsid w:val="00D65B65"/>
    <w:rsid w:val="00D722D8"/>
    <w:rsid w:val="00D72499"/>
    <w:rsid w:val="00D73355"/>
    <w:rsid w:val="00D810B3"/>
    <w:rsid w:val="00D84E7E"/>
    <w:rsid w:val="00D857D8"/>
    <w:rsid w:val="00D87572"/>
    <w:rsid w:val="00D9069A"/>
    <w:rsid w:val="00D91E59"/>
    <w:rsid w:val="00D93E38"/>
    <w:rsid w:val="00D940BD"/>
    <w:rsid w:val="00DA0A97"/>
    <w:rsid w:val="00DA2704"/>
    <w:rsid w:val="00DA3498"/>
    <w:rsid w:val="00DA5C6D"/>
    <w:rsid w:val="00DB240F"/>
    <w:rsid w:val="00DB3001"/>
    <w:rsid w:val="00DB3342"/>
    <w:rsid w:val="00DB3DA9"/>
    <w:rsid w:val="00DB4A71"/>
    <w:rsid w:val="00DB4FFE"/>
    <w:rsid w:val="00DB6063"/>
    <w:rsid w:val="00DC2C36"/>
    <w:rsid w:val="00DC4962"/>
    <w:rsid w:val="00DC62E6"/>
    <w:rsid w:val="00DD19F5"/>
    <w:rsid w:val="00DD1BBB"/>
    <w:rsid w:val="00DD3F81"/>
    <w:rsid w:val="00DE17D3"/>
    <w:rsid w:val="00DE1807"/>
    <w:rsid w:val="00DE1CB9"/>
    <w:rsid w:val="00DE4C7A"/>
    <w:rsid w:val="00DE6DEA"/>
    <w:rsid w:val="00DF0F94"/>
    <w:rsid w:val="00DF1BFC"/>
    <w:rsid w:val="00DF2101"/>
    <w:rsid w:val="00DF57CE"/>
    <w:rsid w:val="00DF6036"/>
    <w:rsid w:val="00DF6BC3"/>
    <w:rsid w:val="00E00BEE"/>
    <w:rsid w:val="00E01296"/>
    <w:rsid w:val="00E03F3F"/>
    <w:rsid w:val="00E10508"/>
    <w:rsid w:val="00E13DAF"/>
    <w:rsid w:val="00E15D89"/>
    <w:rsid w:val="00E21F6A"/>
    <w:rsid w:val="00E22A82"/>
    <w:rsid w:val="00E23FF9"/>
    <w:rsid w:val="00E25342"/>
    <w:rsid w:val="00E2545C"/>
    <w:rsid w:val="00E305DB"/>
    <w:rsid w:val="00E30B22"/>
    <w:rsid w:val="00E34ED3"/>
    <w:rsid w:val="00E35371"/>
    <w:rsid w:val="00E3602D"/>
    <w:rsid w:val="00E3798A"/>
    <w:rsid w:val="00E41D65"/>
    <w:rsid w:val="00E42835"/>
    <w:rsid w:val="00E4388F"/>
    <w:rsid w:val="00E44953"/>
    <w:rsid w:val="00E46007"/>
    <w:rsid w:val="00E460F3"/>
    <w:rsid w:val="00E47972"/>
    <w:rsid w:val="00E50177"/>
    <w:rsid w:val="00E5027B"/>
    <w:rsid w:val="00E54F07"/>
    <w:rsid w:val="00E555B9"/>
    <w:rsid w:val="00E5626A"/>
    <w:rsid w:val="00E57CF6"/>
    <w:rsid w:val="00E6057A"/>
    <w:rsid w:val="00E6439B"/>
    <w:rsid w:val="00E646EA"/>
    <w:rsid w:val="00E67273"/>
    <w:rsid w:val="00E720EE"/>
    <w:rsid w:val="00E731EF"/>
    <w:rsid w:val="00E74ABB"/>
    <w:rsid w:val="00E772E5"/>
    <w:rsid w:val="00E774D3"/>
    <w:rsid w:val="00E802EC"/>
    <w:rsid w:val="00E811ED"/>
    <w:rsid w:val="00E82585"/>
    <w:rsid w:val="00E83594"/>
    <w:rsid w:val="00E85ADC"/>
    <w:rsid w:val="00E8621C"/>
    <w:rsid w:val="00E87596"/>
    <w:rsid w:val="00E90E7F"/>
    <w:rsid w:val="00E943AB"/>
    <w:rsid w:val="00EA097B"/>
    <w:rsid w:val="00EA0ABD"/>
    <w:rsid w:val="00EA0F4A"/>
    <w:rsid w:val="00EA1389"/>
    <w:rsid w:val="00EA3124"/>
    <w:rsid w:val="00EA4096"/>
    <w:rsid w:val="00EA46E7"/>
    <w:rsid w:val="00EA4D43"/>
    <w:rsid w:val="00EA6075"/>
    <w:rsid w:val="00EA7C0A"/>
    <w:rsid w:val="00EB054F"/>
    <w:rsid w:val="00EB1543"/>
    <w:rsid w:val="00EB1636"/>
    <w:rsid w:val="00EB3C2A"/>
    <w:rsid w:val="00EB4574"/>
    <w:rsid w:val="00EB6386"/>
    <w:rsid w:val="00EB7A6E"/>
    <w:rsid w:val="00EC3FB9"/>
    <w:rsid w:val="00EC489E"/>
    <w:rsid w:val="00EC64D0"/>
    <w:rsid w:val="00EC6A8E"/>
    <w:rsid w:val="00EC6B97"/>
    <w:rsid w:val="00ED4E1E"/>
    <w:rsid w:val="00ED4F35"/>
    <w:rsid w:val="00ED5E3E"/>
    <w:rsid w:val="00ED7C86"/>
    <w:rsid w:val="00EE4B43"/>
    <w:rsid w:val="00EE6353"/>
    <w:rsid w:val="00EF036C"/>
    <w:rsid w:val="00EF1962"/>
    <w:rsid w:val="00EF226B"/>
    <w:rsid w:val="00EF40C3"/>
    <w:rsid w:val="00EF4BAE"/>
    <w:rsid w:val="00F007E0"/>
    <w:rsid w:val="00F00937"/>
    <w:rsid w:val="00F0340C"/>
    <w:rsid w:val="00F03467"/>
    <w:rsid w:val="00F040A2"/>
    <w:rsid w:val="00F0429A"/>
    <w:rsid w:val="00F049B3"/>
    <w:rsid w:val="00F053A5"/>
    <w:rsid w:val="00F11468"/>
    <w:rsid w:val="00F11E60"/>
    <w:rsid w:val="00F15D08"/>
    <w:rsid w:val="00F20128"/>
    <w:rsid w:val="00F20537"/>
    <w:rsid w:val="00F21CED"/>
    <w:rsid w:val="00F22399"/>
    <w:rsid w:val="00F24DE1"/>
    <w:rsid w:val="00F25143"/>
    <w:rsid w:val="00F2546B"/>
    <w:rsid w:val="00F2583A"/>
    <w:rsid w:val="00F266A7"/>
    <w:rsid w:val="00F268C3"/>
    <w:rsid w:val="00F30254"/>
    <w:rsid w:val="00F315C9"/>
    <w:rsid w:val="00F31877"/>
    <w:rsid w:val="00F31F2D"/>
    <w:rsid w:val="00F35479"/>
    <w:rsid w:val="00F355D9"/>
    <w:rsid w:val="00F429F7"/>
    <w:rsid w:val="00F42E31"/>
    <w:rsid w:val="00F43290"/>
    <w:rsid w:val="00F45566"/>
    <w:rsid w:val="00F479C7"/>
    <w:rsid w:val="00F512E2"/>
    <w:rsid w:val="00F51E5E"/>
    <w:rsid w:val="00F51F78"/>
    <w:rsid w:val="00F52A2E"/>
    <w:rsid w:val="00F543AB"/>
    <w:rsid w:val="00F54F67"/>
    <w:rsid w:val="00F56413"/>
    <w:rsid w:val="00F616D3"/>
    <w:rsid w:val="00F62D88"/>
    <w:rsid w:val="00F62E00"/>
    <w:rsid w:val="00F637E4"/>
    <w:rsid w:val="00F64B32"/>
    <w:rsid w:val="00F657C7"/>
    <w:rsid w:val="00F673D9"/>
    <w:rsid w:val="00F67B59"/>
    <w:rsid w:val="00F70C4B"/>
    <w:rsid w:val="00F75262"/>
    <w:rsid w:val="00F76B05"/>
    <w:rsid w:val="00F7768C"/>
    <w:rsid w:val="00F77786"/>
    <w:rsid w:val="00F80024"/>
    <w:rsid w:val="00F808C0"/>
    <w:rsid w:val="00F81BAD"/>
    <w:rsid w:val="00F83712"/>
    <w:rsid w:val="00F8438B"/>
    <w:rsid w:val="00F846EE"/>
    <w:rsid w:val="00F84AC0"/>
    <w:rsid w:val="00F859B1"/>
    <w:rsid w:val="00F85CA3"/>
    <w:rsid w:val="00F85D6E"/>
    <w:rsid w:val="00F866AE"/>
    <w:rsid w:val="00F87412"/>
    <w:rsid w:val="00F92F81"/>
    <w:rsid w:val="00F93F4C"/>
    <w:rsid w:val="00F94E6A"/>
    <w:rsid w:val="00F95C77"/>
    <w:rsid w:val="00F962B9"/>
    <w:rsid w:val="00F9711D"/>
    <w:rsid w:val="00FA0698"/>
    <w:rsid w:val="00FA0935"/>
    <w:rsid w:val="00FA260A"/>
    <w:rsid w:val="00FA26BE"/>
    <w:rsid w:val="00FA30D1"/>
    <w:rsid w:val="00FA4E0E"/>
    <w:rsid w:val="00FA5363"/>
    <w:rsid w:val="00FA672D"/>
    <w:rsid w:val="00FB0FD9"/>
    <w:rsid w:val="00FB138F"/>
    <w:rsid w:val="00FB2862"/>
    <w:rsid w:val="00FB2AB3"/>
    <w:rsid w:val="00FB2D12"/>
    <w:rsid w:val="00FB4211"/>
    <w:rsid w:val="00FB43FD"/>
    <w:rsid w:val="00FB4B77"/>
    <w:rsid w:val="00FB6365"/>
    <w:rsid w:val="00FB7A5A"/>
    <w:rsid w:val="00FC03A2"/>
    <w:rsid w:val="00FC1932"/>
    <w:rsid w:val="00FC21BA"/>
    <w:rsid w:val="00FC3E3F"/>
    <w:rsid w:val="00FC5DD1"/>
    <w:rsid w:val="00FC6BE2"/>
    <w:rsid w:val="00FC6DBD"/>
    <w:rsid w:val="00FD0D2C"/>
    <w:rsid w:val="00FD11F1"/>
    <w:rsid w:val="00FD40FF"/>
    <w:rsid w:val="00FD4313"/>
    <w:rsid w:val="00FD44E8"/>
    <w:rsid w:val="00FD640B"/>
    <w:rsid w:val="00FD6F94"/>
    <w:rsid w:val="00FD7200"/>
    <w:rsid w:val="00FE22A4"/>
    <w:rsid w:val="00FE2B24"/>
    <w:rsid w:val="00FE36BA"/>
    <w:rsid w:val="00FE58E7"/>
    <w:rsid w:val="00FE5F30"/>
    <w:rsid w:val="00FE6317"/>
    <w:rsid w:val="00FE6ABD"/>
    <w:rsid w:val="00FE6FD6"/>
    <w:rsid w:val="00FF3174"/>
    <w:rsid w:val="00FF3417"/>
    <w:rsid w:val="00FF3904"/>
    <w:rsid w:val="00FF506F"/>
    <w:rsid w:val="00FF7B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2DCC791"/>
  <w15:chartTrackingRefBased/>
  <w15:docId w15:val="{81F7E3F3-B6F3-4AE0-BBF5-1D6C73706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241"/>
    <w:pPr>
      <w:keepNext/>
      <w:keepLines/>
      <w:spacing w:before="160" w:after="80" w:line="276" w:lineRule="atLeast"/>
      <w:outlineLvl w:val="2"/>
    </w:pPr>
    <w:rPr>
      <w:rFonts w:ascii="CaAibri" w:hAnsi="CaAibri" w:cs="CaAibri"/>
      <w:color w:val="008080"/>
      <w:sz w:val="28"/>
      <w:szCs w:val="20"/>
      <w:lang w:eastAsia="es-MX"/>
    </w:rPr>
  </w:style>
  <w:style w:type="paragraph" w:styleId="Heading4">
    <w:name w:val="heading 4"/>
    <w:basedOn w:val="Normal"/>
    <w:next w:val="Normal"/>
    <w:link w:val="Heading4Char"/>
    <w:qFormat/>
    <w:rsid w:val="003D0241"/>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qFormat/>
    <w:rsid w:val="003D0241"/>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qFormat/>
    <w:rsid w:val="003D0241"/>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qFormat/>
    <w:rsid w:val="003D0241"/>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qFormat/>
    <w:rsid w:val="003D0241"/>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qFormat/>
    <w:rsid w:val="003D0241"/>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3D0241"/>
    <w:rPr>
      <w:rFonts w:ascii="CaAibri" w:hAnsi="CaAibri" w:cs="CaAibri"/>
      <w:color w:val="008080"/>
      <w:sz w:val="28"/>
      <w:lang w:val="es-ES"/>
    </w:rPr>
  </w:style>
  <w:style w:type="character" w:customStyle="1" w:styleId="Heading4Char">
    <w:name w:val="Heading 4 Char"/>
    <w:link w:val="Heading4"/>
    <w:rsid w:val="003D0241"/>
    <w:rPr>
      <w:rFonts w:ascii="CaAibri" w:hAnsi="CaAibri" w:cs="CaAibri"/>
      <w:i/>
      <w:color w:val="008080"/>
      <w:sz w:val="22"/>
      <w:lang w:val="es-ES"/>
    </w:rPr>
  </w:style>
  <w:style w:type="character" w:customStyle="1" w:styleId="Heading5Char">
    <w:name w:val="Heading 5 Char"/>
    <w:link w:val="Heading5"/>
    <w:rsid w:val="003D0241"/>
    <w:rPr>
      <w:rFonts w:ascii="CaAibri" w:hAnsi="CaAibri" w:cs="CaAibri"/>
      <w:color w:val="008080"/>
      <w:sz w:val="22"/>
      <w:lang w:val="es-ES"/>
    </w:rPr>
  </w:style>
  <w:style w:type="character" w:customStyle="1" w:styleId="Heading6Char">
    <w:name w:val="Heading 6 Char"/>
    <w:link w:val="Heading6"/>
    <w:rsid w:val="003D0241"/>
    <w:rPr>
      <w:rFonts w:ascii="CaAibri" w:hAnsi="CaAibri" w:cs="CaAibri"/>
      <w:i/>
      <w:color w:val="808080"/>
      <w:sz w:val="22"/>
      <w:lang w:val="es-ES"/>
    </w:rPr>
  </w:style>
  <w:style w:type="character" w:customStyle="1" w:styleId="Heading7Char">
    <w:name w:val="Heading 7 Char"/>
    <w:link w:val="Heading7"/>
    <w:rsid w:val="003D0241"/>
    <w:rPr>
      <w:rFonts w:ascii="CaAibri" w:hAnsi="CaAibri" w:cs="CaAibri"/>
      <w:color w:val="808080"/>
      <w:sz w:val="22"/>
      <w:lang w:val="es-ES"/>
    </w:rPr>
  </w:style>
  <w:style w:type="character" w:customStyle="1" w:styleId="Heading8Char">
    <w:name w:val="Heading 8 Char"/>
    <w:link w:val="Heading8"/>
    <w:rsid w:val="003D0241"/>
    <w:rPr>
      <w:rFonts w:ascii="CaAibri" w:hAnsi="CaAibri" w:cs="CaAibri"/>
      <w:i/>
      <w:color w:val="000000"/>
      <w:sz w:val="22"/>
      <w:lang w:val="es-ES"/>
    </w:rPr>
  </w:style>
  <w:style w:type="character" w:customStyle="1" w:styleId="Heading9Char">
    <w:name w:val="Heading 9 Char"/>
    <w:link w:val="Heading9"/>
    <w:rsid w:val="003D0241"/>
    <w:rPr>
      <w:rFonts w:ascii="CaAibri" w:hAnsi="CaAibri" w:cs="CaAibri"/>
      <w:color w:val="000000"/>
      <w:sz w:val="22"/>
      <w:lang w:val="es-ES"/>
    </w:rPr>
  </w:style>
  <w:style w:type="paragraph" w:styleId="CommentText">
    <w:name w:val="annotation text"/>
    <w:basedOn w:val="Normal"/>
    <w:link w:val="CommentTextChar"/>
    <w:rsid w:val="003D0241"/>
    <w:pPr>
      <w:spacing w:after="200"/>
    </w:pPr>
    <w:rPr>
      <w:rFonts w:ascii="ApAos" w:hAnsi="ApAos" w:cs="ApAos"/>
      <w:sz w:val="20"/>
      <w:szCs w:val="20"/>
      <w:lang w:val="es-MX" w:eastAsia="es-MX"/>
    </w:rPr>
  </w:style>
  <w:style w:type="character" w:customStyle="1" w:styleId="CommentTextChar">
    <w:name w:val="Comment Text Char"/>
    <w:link w:val="CommentText"/>
    <w:rsid w:val="003D0241"/>
    <w:rPr>
      <w:rFonts w:ascii="ApAos" w:hAnsi="ApAos" w:cs="ApAos"/>
    </w:rPr>
  </w:style>
  <w:style w:type="paragraph" w:styleId="TOC3">
    <w:name w:val="toc 3"/>
    <w:basedOn w:val="Normal"/>
    <w:next w:val="Normal"/>
    <w:rsid w:val="003D0241"/>
    <w:pPr>
      <w:spacing w:after="100" w:line="276" w:lineRule="atLeast"/>
      <w:ind w:left="440"/>
    </w:pPr>
    <w:rPr>
      <w:rFonts w:ascii="ApAos" w:hAnsi="ApAos" w:cs="ApAos"/>
      <w:sz w:val="22"/>
      <w:szCs w:val="20"/>
      <w:lang w:val="es-MX" w:eastAsia="es-MX"/>
    </w:rPr>
  </w:style>
  <w:style w:type="paragraph" w:styleId="TOC2">
    <w:name w:val="toc 2"/>
    <w:basedOn w:val="Normal"/>
    <w:next w:val="Normal"/>
    <w:rsid w:val="003D0241"/>
    <w:pPr>
      <w:spacing w:after="100" w:line="276" w:lineRule="atLeast"/>
      <w:ind w:left="220"/>
    </w:pPr>
    <w:rPr>
      <w:rFonts w:ascii="CaAibri" w:hAnsi="CaAibri" w:cs="CaAibri"/>
      <w:sz w:val="22"/>
      <w:szCs w:val="20"/>
      <w:lang w:eastAsia="es-MX"/>
    </w:rPr>
  </w:style>
  <w:style w:type="paragraph" w:styleId="TOC1">
    <w:name w:val="toc 1"/>
    <w:basedOn w:val="Normal"/>
    <w:next w:val="Normal"/>
    <w:rsid w:val="003D0241"/>
    <w:pPr>
      <w:tabs>
        <w:tab w:val="left" w:pos="426"/>
        <w:tab w:val="right" w:leader="dot" w:pos="8830"/>
      </w:tabs>
      <w:spacing w:after="100" w:line="276" w:lineRule="atLeast"/>
    </w:pPr>
    <w:rPr>
      <w:rFonts w:ascii="ApAos" w:hAnsi="ApAos" w:cs="ApAos"/>
      <w:sz w:val="22"/>
      <w:szCs w:val="20"/>
      <w:lang w:val="es-MX" w:eastAsia="es-MX"/>
    </w:rPr>
  </w:style>
  <w:style w:type="paragraph" w:styleId="FootnoteText">
    <w:name w:val="footnote text"/>
    <w:basedOn w:val="Normal"/>
    <w:link w:val="FootnoteTextChar"/>
    <w:rsid w:val="003D0241"/>
    <w:rPr>
      <w:rFonts w:ascii="TiAes New Roman" w:hAnsi="TiAes New Roman" w:cs="TiAes New Roman"/>
      <w:sz w:val="20"/>
      <w:szCs w:val="20"/>
      <w:lang w:val="es-MX" w:eastAsia="es-MX"/>
    </w:rPr>
  </w:style>
  <w:style w:type="character" w:customStyle="1" w:styleId="FootnoteTextChar">
    <w:name w:val="Footnote Text Char"/>
    <w:link w:val="FootnoteText"/>
    <w:rsid w:val="003D0241"/>
    <w:rPr>
      <w:rFonts w:ascii="TiAes New Roman" w:hAnsi="TiAes New Roman" w:cs="TiAes New Roman"/>
    </w:rPr>
  </w:style>
  <w:style w:type="paragraph" w:customStyle="1" w:styleId="Ttulo1">
    <w:name w:val="Título1"/>
    <w:basedOn w:val="Normal"/>
    <w:next w:val="Normal"/>
    <w:rsid w:val="003D0241"/>
    <w:pPr>
      <w:spacing w:after="80"/>
    </w:pPr>
    <w:rPr>
      <w:rFonts w:ascii="ApAos Display" w:hAnsi="ApAos Display" w:cs="ApAos Display"/>
      <w:spacing w:val="-10"/>
      <w:sz w:val="56"/>
      <w:szCs w:val="20"/>
      <w:lang w:eastAsia="es-MX"/>
    </w:rPr>
  </w:style>
  <w:style w:type="paragraph" w:styleId="Subtitle">
    <w:name w:val="Subtitle"/>
    <w:basedOn w:val="Normal"/>
    <w:next w:val="Normal"/>
    <w:link w:val="SubtitleChar"/>
    <w:qFormat/>
    <w:rsid w:val="003D0241"/>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link w:val="Subtitle"/>
    <w:rsid w:val="003D0241"/>
    <w:rPr>
      <w:rFonts w:ascii="CaAibri" w:hAnsi="CaAibri" w:cs="CaAibri"/>
      <w:color w:val="808080"/>
      <w:spacing w:val="15"/>
      <w:sz w:val="28"/>
      <w:lang w:val="es-ES"/>
    </w:rPr>
  </w:style>
  <w:style w:type="paragraph" w:styleId="Quote">
    <w:name w:val="Quote"/>
    <w:basedOn w:val="Normal"/>
    <w:next w:val="Normal"/>
    <w:link w:val="QuoteChar"/>
    <w:qFormat/>
    <w:rsid w:val="003D0241"/>
    <w:pPr>
      <w:spacing w:before="160" w:after="200" w:line="276" w:lineRule="atLeast"/>
      <w:jc w:val="center"/>
    </w:pPr>
    <w:rPr>
      <w:rFonts w:ascii="CaAibri" w:hAnsi="CaAibri" w:cs="CaAibri"/>
      <w:i/>
      <w:color w:val="000000"/>
      <w:sz w:val="22"/>
      <w:szCs w:val="20"/>
      <w:lang w:eastAsia="es-MX"/>
    </w:rPr>
  </w:style>
  <w:style w:type="character" w:customStyle="1" w:styleId="QuoteChar">
    <w:name w:val="Quote Char"/>
    <w:link w:val="Quote"/>
    <w:rsid w:val="003D0241"/>
    <w:rPr>
      <w:rFonts w:ascii="CaAibri" w:hAnsi="CaAibri" w:cs="CaAibri"/>
      <w:i/>
      <w:color w:val="000000"/>
      <w:sz w:val="22"/>
      <w:lang w:val="es-ES"/>
    </w:rPr>
  </w:style>
  <w:style w:type="paragraph" w:styleId="ListParagraph">
    <w:name w:val="List Paragraph"/>
    <w:basedOn w:val="Normal"/>
    <w:qFormat/>
    <w:rsid w:val="003D0241"/>
    <w:pPr>
      <w:spacing w:after="200" w:line="276" w:lineRule="atLeast"/>
      <w:ind w:left="720"/>
    </w:pPr>
    <w:rPr>
      <w:rFonts w:ascii="CaAibri" w:hAnsi="CaAibri" w:cs="CaAibri"/>
      <w:sz w:val="22"/>
      <w:szCs w:val="20"/>
      <w:lang w:eastAsia="es-MX"/>
    </w:rPr>
  </w:style>
  <w:style w:type="paragraph" w:styleId="IntenseQuote">
    <w:name w:val="Intense Quote"/>
    <w:basedOn w:val="Normal"/>
    <w:next w:val="Normal"/>
    <w:link w:val="IntenseQuoteChar"/>
    <w:qFormat/>
    <w:rsid w:val="003D0241"/>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character" w:customStyle="1" w:styleId="IntenseQuoteChar">
    <w:name w:val="Intense Quote Char"/>
    <w:link w:val="IntenseQuote"/>
    <w:rsid w:val="003D0241"/>
    <w:rPr>
      <w:rFonts w:ascii="CaAibri" w:hAnsi="CaAibri" w:cs="CaAibri"/>
      <w:i/>
      <w:color w:val="008080"/>
      <w:sz w:val="22"/>
      <w:lang w:val="es-ES"/>
    </w:rPr>
  </w:style>
  <w:style w:type="paragraph" w:customStyle="1" w:styleId="BalloonText3">
    <w:name w:val="Balloon Text3"/>
    <w:basedOn w:val="Normal"/>
    <w:rsid w:val="003D0241"/>
    <w:rPr>
      <w:rFonts w:ascii="TaAoma" w:hAnsi="TaAoma" w:cs="TaAoma"/>
      <w:sz w:val="16"/>
      <w:szCs w:val="20"/>
      <w:lang w:eastAsia="es-MX"/>
    </w:rPr>
  </w:style>
  <w:style w:type="paragraph" w:styleId="NormalWeb">
    <w:name w:val="Normal (Web)"/>
    <w:basedOn w:val="Normal"/>
    <w:rsid w:val="003D0241"/>
    <w:pPr>
      <w:spacing w:before="100" w:after="100"/>
    </w:pPr>
    <w:rPr>
      <w:rFonts w:ascii="TiAes New Roman" w:hAnsi="TiAes New Roman" w:cs="TiAes New Roman"/>
      <w:szCs w:val="20"/>
      <w:lang w:eastAsia="es-MX"/>
    </w:rPr>
  </w:style>
  <w:style w:type="paragraph" w:customStyle="1" w:styleId="Default">
    <w:name w:val="Default"/>
    <w:rsid w:val="003D0241"/>
    <w:rPr>
      <w:rFonts w:ascii="ArAal" w:hAnsi="ArAal" w:cs="ArAal"/>
      <w:color w:val="000000"/>
      <w:sz w:val="24"/>
      <w:lang w:eastAsia="es-MX"/>
    </w:rPr>
  </w:style>
  <w:style w:type="paragraph" w:styleId="MacroText">
    <w:name w:val="macro"/>
    <w:link w:val="MacroTextChar"/>
    <w:rsid w:val="003D0241"/>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link w:val="MacroText"/>
    <w:rsid w:val="003D0241"/>
    <w:rPr>
      <w:rFonts w:ascii="CoArier New" w:hAnsi="CoArier New" w:cs="CoArier New"/>
      <w:lang w:val="en-US"/>
    </w:rPr>
  </w:style>
  <w:style w:type="paragraph" w:customStyle="1" w:styleId="yiv1127642570msonormal">
    <w:name w:val="yiv1127642570msonormal"/>
    <w:basedOn w:val="Normal"/>
    <w:rsid w:val="003D0241"/>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3D0241"/>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3D0241"/>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3D0241"/>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3D0241"/>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3D0241"/>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3D0241"/>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3D0241"/>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3D0241"/>
    <w:rPr>
      <w:b/>
    </w:rPr>
  </w:style>
  <w:style w:type="paragraph" w:customStyle="1" w:styleId="textodenotaalfinal">
    <w:name w:val="texto de nota al final"/>
    <w:basedOn w:val="Normal"/>
    <w:rsid w:val="003D0241"/>
    <w:rPr>
      <w:rFonts w:ascii="ApAos" w:hAnsi="ApAos" w:cs="ApAos"/>
      <w:sz w:val="20"/>
      <w:szCs w:val="20"/>
      <w:lang w:val="es-MX" w:eastAsia="es-MX"/>
    </w:rPr>
  </w:style>
  <w:style w:type="paragraph" w:styleId="NoSpacing">
    <w:name w:val="No Spacing"/>
    <w:qFormat/>
    <w:rsid w:val="003D0241"/>
    <w:rPr>
      <w:rFonts w:ascii="ApAos" w:hAnsi="ApAos" w:cs="ApAos"/>
      <w:sz w:val="22"/>
      <w:lang w:val="es-ES" w:eastAsia="es-MX"/>
    </w:rPr>
  </w:style>
  <w:style w:type="paragraph" w:customStyle="1" w:styleId="txtgral">
    <w:name w:val="txt_gral"/>
    <w:basedOn w:val="Normal"/>
    <w:rsid w:val="003D0241"/>
    <w:pPr>
      <w:spacing w:before="100" w:after="100"/>
    </w:pPr>
    <w:rPr>
      <w:rFonts w:ascii="VeAdana" w:hAnsi="VeAdana" w:cs="VeAdana"/>
      <w:color w:val="808080"/>
      <w:sz w:val="21"/>
      <w:szCs w:val="20"/>
      <w:lang w:val="es-MX" w:eastAsia="es-MX"/>
    </w:rPr>
  </w:style>
  <w:style w:type="paragraph" w:customStyle="1" w:styleId="PlainText1">
    <w:name w:val="Plain Text1"/>
    <w:basedOn w:val="Normal"/>
    <w:rsid w:val="003D0241"/>
    <w:rPr>
      <w:rFonts w:ascii="CoAsolas" w:hAnsi="CoAsolas" w:cs="CoAsolas"/>
      <w:sz w:val="21"/>
      <w:szCs w:val="20"/>
      <w:lang w:val="es-MX" w:eastAsia="es-MX"/>
    </w:rPr>
  </w:style>
  <w:style w:type="paragraph" w:customStyle="1" w:styleId="TtulodeTDC">
    <w:name w:val="Título de TDC"/>
    <w:basedOn w:val="Heading1"/>
    <w:next w:val="Normal"/>
    <w:qFormat/>
    <w:rsid w:val="003D0241"/>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3D0241"/>
    <w:pPr>
      <w:spacing w:after="200"/>
    </w:pPr>
    <w:rPr>
      <w:rFonts w:ascii="ApAos" w:hAnsi="ApAos" w:cs="ApAos"/>
      <w:b/>
      <w:color w:val="00FFFF"/>
      <w:sz w:val="18"/>
      <w:szCs w:val="20"/>
      <w:lang w:val="es-MX" w:eastAsia="es-MX"/>
    </w:rPr>
  </w:style>
  <w:style w:type="paragraph" w:styleId="TableofFigures">
    <w:name w:val="table of figures"/>
    <w:basedOn w:val="Normal"/>
    <w:next w:val="Normal"/>
    <w:rsid w:val="003D0241"/>
    <w:pPr>
      <w:spacing w:line="276" w:lineRule="atLeast"/>
    </w:pPr>
    <w:rPr>
      <w:rFonts w:ascii="ApAos" w:hAnsi="ApAos" w:cs="ApAos"/>
      <w:sz w:val="22"/>
      <w:szCs w:val="20"/>
      <w:lang w:val="es-MX" w:eastAsia="es-MX"/>
    </w:rPr>
  </w:style>
  <w:style w:type="paragraph" w:customStyle="1" w:styleId="Body1">
    <w:name w:val="Body 1"/>
    <w:rsid w:val="003D0241"/>
    <w:pPr>
      <w:spacing w:after="200" w:line="276" w:lineRule="atLeast"/>
    </w:pPr>
    <w:rPr>
      <w:rFonts w:ascii="HeAvetica" w:hAnsi="HeAvetica" w:cs="HeAvetica"/>
      <w:color w:val="000000"/>
      <w:sz w:val="22"/>
      <w:lang w:val="es-MX" w:eastAsia="es-MX"/>
    </w:rPr>
  </w:style>
  <w:style w:type="paragraph" w:styleId="Revision">
    <w:name w:val="Revision"/>
    <w:rsid w:val="003D0241"/>
    <w:rPr>
      <w:rFonts w:ascii="CaAibri" w:hAnsi="CaAibri" w:cs="CaAibri"/>
      <w:sz w:val="22"/>
      <w:lang w:val="es-ES" w:eastAsia="es-MX"/>
    </w:rPr>
  </w:style>
  <w:style w:type="paragraph" w:customStyle="1" w:styleId="texto0">
    <w:name w:val="texto"/>
    <w:basedOn w:val="Normal"/>
    <w:rsid w:val="003D0241"/>
    <w:pPr>
      <w:spacing w:after="101" w:line="216" w:lineRule="exact"/>
      <w:ind w:firstLine="288"/>
      <w:jc w:val="both"/>
    </w:pPr>
    <w:rPr>
      <w:rFonts w:ascii="ArAal" w:hAnsi="ArAal" w:cs="ArAal"/>
      <w:sz w:val="18"/>
      <w:szCs w:val="20"/>
      <w:lang w:val="es-MX" w:eastAsia="es-MX"/>
    </w:rPr>
  </w:style>
  <w:style w:type="paragraph" w:customStyle="1" w:styleId="NoSpacing1">
    <w:name w:val="No Spacing1"/>
    <w:rsid w:val="003D0241"/>
    <w:rPr>
      <w:rFonts w:ascii="CaAibri" w:hAnsi="CaAibri" w:cs="CaAibri"/>
      <w:sz w:val="22"/>
      <w:lang w:val="es-MX" w:eastAsia="es-MX"/>
    </w:rPr>
  </w:style>
  <w:style w:type="paragraph" w:customStyle="1" w:styleId="pcstexto">
    <w:name w:val="pcstexto"/>
    <w:basedOn w:val="Normal"/>
    <w:rsid w:val="003D0241"/>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3D0241"/>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3D0241"/>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3D0241"/>
    <w:pPr>
      <w:spacing w:before="100" w:after="100"/>
    </w:pPr>
    <w:rPr>
      <w:rFonts w:ascii="TiAes New Roman" w:hAnsi="TiAes New Roman" w:cs="TiAes New Roman"/>
      <w:szCs w:val="20"/>
      <w:lang w:val="es-MX" w:eastAsia="es-MX"/>
    </w:rPr>
  </w:style>
  <w:style w:type="paragraph" w:customStyle="1" w:styleId="EstilotextoPrimeral">
    <w:name w:val="Estilo texto + Primera l"/>
    <w:basedOn w:val="Normal"/>
    <w:rsid w:val="003D0241"/>
    <w:pPr>
      <w:spacing w:after="101" w:line="216" w:lineRule="exact"/>
      <w:jc w:val="both"/>
    </w:pPr>
    <w:rPr>
      <w:rFonts w:ascii="ArAal" w:hAnsi="ArAal" w:cs="ArAal"/>
      <w:sz w:val="18"/>
      <w:szCs w:val="20"/>
      <w:lang w:val="es-MX" w:eastAsia="es-MX"/>
    </w:rPr>
  </w:style>
  <w:style w:type="paragraph" w:customStyle="1" w:styleId="Estilosinnombre">
    <w:name w:val="Estilo sin nombre"/>
    <w:basedOn w:val="Normal"/>
    <w:rsid w:val="003D0241"/>
    <w:pPr>
      <w:spacing w:after="160" w:line="240" w:lineRule="exact"/>
    </w:pPr>
    <w:rPr>
      <w:rFonts w:ascii="TaAoma" w:hAnsi="TaAoma" w:cs="TaAoma"/>
      <w:sz w:val="20"/>
      <w:szCs w:val="20"/>
      <w:lang w:eastAsia="es-MX"/>
    </w:rPr>
  </w:style>
  <w:style w:type="paragraph" w:customStyle="1" w:styleId="Textodeglobo1">
    <w:name w:val="Texto de globo1"/>
    <w:basedOn w:val="Normal"/>
    <w:rsid w:val="003D0241"/>
    <w:rPr>
      <w:rFonts w:ascii="TaAoma" w:hAnsi="TaAoma" w:cs="TaAoma"/>
      <w:sz w:val="16"/>
      <w:szCs w:val="20"/>
      <w:lang w:eastAsia="es-MX"/>
    </w:rPr>
  </w:style>
  <w:style w:type="paragraph" w:customStyle="1" w:styleId="centrar">
    <w:name w:val="centrar"/>
    <w:basedOn w:val="Normal"/>
    <w:rsid w:val="003D0241"/>
    <w:pPr>
      <w:spacing w:before="100" w:after="100"/>
    </w:pPr>
    <w:rPr>
      <w:rFonts w:ascii="TiAes New Roman" w:hAnsi="TiAes New Roman" w:cs="TiAes New Roman"/>
      <w:b/>
      <w:szCs w:val="20"/>
      <w:lang w:eastAsia="es-MX"/>
    </w:rPr>
  </w:style>
  <w:style w:type="paragraph" w:customStyle="1" w:styleId="sangria">
    <w:name w:val="sangria"/>
    <w:basedOn w:val="Normal"/>
    <w:rsid w:val="003D0241"/>
    <w:pPr>
      <w:spacing w:before="100" w:after="100"/>
      <w:ind w:left="240"/>
      <w:jc w:val="both"/>
    </w:pPr>
    <w:rPr>
      <w:rFonts w:ascii="TiAes New Roman" w:hAnsi="TiAes New Roman" w:cs="TiAes New Roman"/>
      <w:szCs w:val="20"/>
      <w:lang w:eastAsia="es-MX"/>
    </w:rPr>
  </w:style>
  <w:style w:type="paragraph" w:customStyle="1" w:styleId="sangrota">
    <w:name w:val="sangrota"/>
    <w:basedOn w:val="Normal"/>
    <w:rsid w:val="003D0241"/>
    <w:pPr>
      <w:spacing w:before="100" w:after="100"/>
      <w:ind w:left="360"/>
      <w:jc w:val="both"/>
    </w:pPr>
    <w:rPr>
      <w:rFonts w:ascii="TiAes New Roman" w:hAnsi="TiAes New Roman" w:cs="TiAes New Roman"/>
      <w:szCs w:val="20"/>
      <w:lang w:eastAsia="es-MX"/>
    </w:rPr>
  </w:style>
  <w:style w:type="paragraph" w:customStyle="1" w:styleId="sangrona">
    <w:name w:val="sangrona"/>
    <w:basedOn w:val="Normal"/>
    <w:rsid w:val="003D0241"/>
    <w:pPr>
      <w:spacing w:before="100" w:after="100"/>
      <w:ind w:left="360"/>
      <w:jc w:val="both"/>
    </w:pPr>
    <w:rPr>
      <w:rFonts w:ascii="TiAes New Roman" w:hAnsi="TiAes New Roman" w:cs="TiAes New Roman"/>
      <w:szCs w:val="20"/>
      <w:lang w:eastAsia="es-MX"/>
    </w:rPr>
  </w:style>
  <w:style w:type="paragraph" w:customStyle="1" w:styleId="Textonormal">
    <w:name w:val="Texto normal"/>
    <w:basedOn w:val="Normal"/>
    <w:rsid w:val="003D0241"/>
    <w:pPr>
      <w:jc w:val="both"/>
    </w:pPr>
    <w:rPr>
      <w:rFonts w:ascii="ArAal" w:hAnsi="ArAal" w:cs="ArAal"/>
      <w:sz w:val="22"/>
      <w:szCs w:val="20"/>
      <w:lang w:val="en-US" w:eastAsia="es-MX"/>
    </w:rPr>
  </w:style>
  <w:style w:type="paragraph" w:customStyle="1" w:styleId="Textoindependiente21">
    <w:name w:val="Texto independiente 21"/>
    <w:basedOn w:val="Normal"/>
    <w:rsid w:val="003D0241"/>
    <w:pPr>
      <w:jc w:val="both"/>
    </w:pPr>
    <w:rPr>
      <w:rFonts w:ascii="ArAal" w:hAnsi="ArAal" w:cs="ArAal"/>
      <w:b/>
      <w:sz w:val="22"/>
      <w:szCs w:val="20"/>
      <w:lang w:val="es-MX" w:eastAsia="es-MX"/>
    </w:rPr>
  </w:style>
  <w:style w:type="paragraph" w:customStyle="1" w:styleId="Textoindependiente31">
    <w:name w:val="Texto independiente 31"/>
    <w:basedOn w:val="Normal"/>
    <w:rsid w:val="003D0241"/>
    <w:pPr>
      <w:jc w:val="center"/>
    </w:pPr>
    <w:rPr>
      <w:rFonts w:ascii="ArAal" w:hAnsi="ArAal" w:cs="ArAal"/>
      <w:b/>
      <w:i/>
      <w:sz w:val="22"/>
      <w:szCs w:val="20"/>
      <w:lang w:val="es-MX" w:eastAsia="es-MX"/>
    </w:rPr>
  </w:style>
  <w:style w:type="paragraph" w:customStyle="1" w:styleId="Estilo2">
    <w:name w:val="Estilo2"/>
    <w:basedOn w:val="Normal"/>
    <w:rsid w:val="003D0241"/>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3D0241"/>
    <w:pPr>
      <w:spacing w:after="0"/>
    </w:pPr>
    <w:rPr>
      <w:rFonts w:ascii="TiAes New Roman" w:hAnsi="TiAes New Roman" w:cs="TiAes New Roman"/>
      <w:b/>
      <w:lang w:val="es-ES"/>
    </w:rPr>
  </w:style>
  <w:style w:type="paragraph" w:customStyle="1" w:styleId="ecxmsonormal">
    <w:name w:val="ecxmsonormal"/>
    <w:basedOn w:val="Normal"/>
    <w:rsid w:val="003D0241"/>
    <w:pPr>
      <w:spacing w:after="324"/>
    </w:pPr>
    <w:rPr>
      <w:rFonts w:ascii="TiAes New Roman" w:hAnsi="TiAes New Roman" w:cs="TiAes New Roman"/>
      <w:szCs w:val="20"/>
      <w:lang w:val="es-MX" w:eastAsia="es-MX"/>
    </w:rPr>
  </w:style>
  <w:style w:type="paragraph" w:customStyle="1" w:styleId="Articulado">
    <w:name w:val="Articulado"/>
    <w:next w:val="Normal"/>
    <w:rsid w:val="003D0241"/>
    <w:pPr>
      <w:spacing w:line="276" w:lineRule="atLeast"/>
      <w:jc w:val="both"/>
    </w:pPr>
    <w:rPr>
      <w:rFonts w:ascii="NoAo Sans" w:hAnsi="NoAo Sans" w:cs="NoAo Sans"/>
      <w:color w:val="008000"/>
      <w:sz w:val="22"/>
      <w:lang w:val="es-ES" w:eastAsia="es-MX"/>
    </w:rPr>
  </w:style>
  <w:style w:type="paragraph" w:customStyle="1" w:styleId="Sumario">
    <w:name w:val="Sumario"/>
    <w:basedOn w:val="Normal"/>
    <w:rsid w:val="00953034"/>
    <w:pPr>
      <w:tabs>
        <w:tab w:val="right" w:leader="dot" w:pos="8107"/>
        <w:tab w:val="right" w:pos="8640"/>
      </w:tabs>
      <w:spacing w:line="260" w:lineRule="exact"/>
      <w:ind w:left="274" w:right="749"/>
      <w:jc w:val="both"/>
    </w:pPr>
    <w:rPr>
      <w:rFonts w:ascii="Arial" w:hAnsi="Arial"/>
      <w:sz w:val="18"/>
      <w:szCs w:val="18"/>
    </w:rPr>
  </w:style>
  <w:style w:type="paragraph" w:customStyle="1" w:styleId="Decreto">
    <w:name w:val="Decreto"/>
    <w:basedOn w:val="Normal"/>
    <w:rsid w:val="003D0241"/>
    <w:pPr>
      <w:jc w:val="both"/>
    </w:pPr>
    <w:rPr>
      <w:rFonts w:ascii="CoArier" w:hAnsi="CoArier" w:cs="CoArier"/>
      <w:szCs w:val="20"/>
      <w:lang w:eastAsia="es-MX"/>
    </w:rPr>
  </w:style>
  <w:style w:type="paragraph" w:customStyle="1" w:styleId="BalloonText1">
    <w:name w:val="Balloon Text1"/>
    <w:basedOn w:val="Normal"/>
    <w:rsid w:val="003D0241"/>
    <w:rPr>
      <w:rFonts w:ascii="TaAoma" w:hAnsi="TaAoma" w:cs="TaAoma"/>
      <w:sz w:val="16"/>
      <w:szCs w:val="20"/>
      <w:lang w:eastAsia="es-MX"/>
    </w:rPr>
  </w:style>
  <w:style w:type="paragraph" w:customStyle="1" w:styleId="BalloonText2">
    <w:name w:val="Balloon Text2"/>
    <w:basedOn w:val="Normal"/>
    <w:rsid w:val="003D0241"/>
    <w:rPr>
      <w:rFonts w:ascii="TaAoma" w:hAnsi="TaAoma" w:cs="TaAoma"/>
      <w:sz w:val="16"/>
      <w:szCs w:val="20"/>
      <w:lang w:eastAsia="es-MX"/>
    </w:rPr>
  </w:style>
  <w:style w:type="paragraph" w:customStyle="1" w:styleId="cetneg">
    <w:name w:val="cetneg"/>
    <w:basedOn w:val="Normal"/>
    <w:rsid w:val="003D0241"/>
    <w:pPr>
      <w:spacing w:after="101" w:line="216" w:lineRule="atLeast"/>
      <w:jc w:val="center"/>
    </w:pPr>
    <w:rPr>
      <w:rFonts w:ascii="ArAal" w:hAnsi="ArAal" w:cs="ArAal"/>
      <w:b/>
      <w:color w:val="000000"/>
      <w:sz w:val="18"/>
      <w:szCs w:val="20"/>
      <w:lang w:val="es-MX" w:eastAsia="es-MX"/>
    </w:rPr>
  </w:style>
  <w:style w:type="paragraph" w:customStyle="1" w:styleId="msonormal0">
    <w:name w:val="msonormal"/>
    <w:basedOn w:val="Normal"/>
    <w:rsid w:val="003D0241"/>
    <w:pPr>
      <w:spacing w:before="100" w:after="100"/>
    </w:pPr>
    <w:rPr>
      <w:rFonts w:ascii="TiAes New Roman" w:hAnsi="TiAes New Roman" w:cs="TiAes New Roman"/>
      <w:szCs w:val="20"/>
      <w:lang w:val="es-MX" w:eastAsia="es-MX"/>
    </w:rPr>
  </w:style>
  <w:style w:type="paragraph" w:customStyle="1" w:styleId="font5">
    <w:name w:val="font5"/>
    <w:basedOn w:val="Normal"/>
    <w:rsid w:val="003D0241"/>
    <w:pPr>
      <w:spacing w:before="100" w:after="100"/>
    </w:pPr>
    <w:rPr>
      <w:rFonts w:ascii="ArAal Narrow" w:hAnsi="ArAal Narrow" w:cs="ArAal Narrow"/>
      <w:b/>
      <w:sz w:val="20"/>
      <w:szCs w:val="20"/>
      <w:lang w:val="es-MX" w:eastAsia="es-MX"/>
    </w:rPr>
  </w:style>
  <w:style w:type="paragraph" w:customStyle="1" w:styleId="font6">
    <w:name w:val="font6"/>
    <w:basedOn w:val="Normal"/>
    <w:rsid w:val="003D0241"/>
    <w:pPr>
      <w:spacing w:before="100" w:after="100"/>
    </w:pPr>
    <w:rPr>
      <w:rFonts w:ascii="ArAal Narrow" w:hAnsi="ArAal Narrow" w:cs="ArAal Narrow"/>
      <w:sz w:val="20"/>
      <w:szCs w:val="20"/>
      <w:lang w:val="es-MX" w:eastAsia="es-MX"/>
    </w:rPr>
  </w:style>
  <w:style w:type="paragraph" w:customStyle="1" w:styleId="xl65">
    <w:name w:val="xl65"/>
    <w:basedOn w:val="Normal"/>
    <w:rsid w:val="003D0241"/>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3D0241"/>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3D0241"/>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3D0241"/>
    <w:pPr>
      <w:shd w:val="clear" w:color="000000"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3D0241"/>
    <w:pPr>
      <w:shd w:val="clear" w:color="000000"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3D0241"/>
    <w:pPr>
      <w:spacing w:before="100" w:after="100"/>
    </w:pPr>
    <w:rPr>
      <w:rFonts w:ascii="ArAal Narrow" w:hAnsi="ArAal Narrow" w:cs="ArAal Narrow"/>
      <w:sz w:val="20"/>
      <w:szCs w:val="20"/>
      <w:lang w:val="es-MX" w:eastAsia="es-MX"/>
    </w:rPr>
  </w:style>
  <w:style w:type="paragraph" w:customStyle="1" w:styleId="xl71">
    <w:name w:val="xl71"/>
    <w:basedOn w:val="Normal"/>
    <w:rsid w:val="003D0241"/>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3D0241"/>
    <w:pPr>
      <w:spacing w:before="100" w:after="100"/>
      <w:jc w:val="center"/>
    </w:pPr>
    <w:rPr>
      <w:rFonts w:ascii="ArAal Narrow" w:hAnsi="ArAal Narrow" w:cs="ArAal Narrow"/>
      <w:b/>
      <w:sz w:val="20"/>
      <w:szCs w:val="20"/>
      <w:lang w:val="es-MX" w:eastAsia="es-MX"/>
    </w:rPr>
  </w:style>
  <w:style w:type="paragraph" w:customStyle="1" w:styleId="Secreta">
    <w:name w:val="Secreta"/>
    <w:basedOn w:val="Normal"/>
    <w:autoRedefine/>
    <w:rsid w:val="00953034"/>
    <w:pPr>
      <w:tabs>
        <w:tab w:val="right" w:leader="dot" w:pos="8100"/>
        <w:tab w:val="right" w:pos="8640"/>
      </w:tabs>
      <w:spacing w:line="334" w:lineRule="exact"/>
      <w:ind w:left="274" w:right="749"/>
      <w:jc w:val="both"/>
    </w:pPr>
    <w:rPr>
      <w:b/>
      <w:sz w:val="20"/>
      <w:szCs w:val="20"/>
      <w:u w:val="single"/>
      <w:lang w:val="es-ES_tradnl"/>
    </w:rPr>
  </w:style>
  <w:style w:type="character" w:customStyle="1" w:styleId="HeaderChar">
    <w:name w:val="Header Char"/>
    <w:link w:val="Header"/>
    <w:qFormat/>
    <w:rsid w:val="008C5708"/>
    <w:rPr>
      <w:sz w:val="24"/>
      <w:szCs w:val="24"/>
      <w:lang w:val="es-ES" w:eastAsia="es-ES"/>
    </w:rPr>
  </w:style>
  <w:style w:type="character" w:customStyle="1" w:styleId="FooterChar">
    <w:name w:val="Footer Char"/>
    <w:link w:val="Footer"/>
    <w:uiPriority w:val="99"/>
    <w:rsid w:val="008A50F3"/>
    <w:rPr>
      <w:sz w:val="24"/>
      <w:szCs w:val="24"/>
      <w:lang w:val="es-ES" w:eastAsia="es-ES"/>
    </w:rPr>
  </w:style>
  <w:style w:type="table" w:styleId="TableGrid">
    <w:name w:val="Table Grid"/>
    <w:basedOn w:val="TableNormal"/>
    <w:uiPriority w:val="59"/>
    <w:rsid w:val="00B93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918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39479">
      <w:bodyDiv w:val="1"/>
      <w:marLeft w:val="0"/>
      <w:marRight w:val="0"/>
      <w:marTop w:val="0"/>
      <w:marBottom w:val="0"/>
      <w:divBdr>
        <w:top w:val="none" w:sz="0" w:space="0" w:color="auto"/>
        <w:left w:val="none" w:sz="0" w:space="0" w:color="auto"/>
        <w:bottom w:val="none" w:sz="0" w:space="0" w:color="auto"/>
        <w:right w:val="none" w:sz="0" w:space="0" w:color="auto"/>
      </w:divBdr>
      <w:divsChild>
        <w:div w:id="1198354536">
          <w:marLeft w:val="0"/>
          <w:marRight w:val="0"/>
          <w:marTop w:val="0"/>
          <w:marBottom w:val="0"/>
          <w:divBdr>
            <w:top w:val="none" w:sz="0" w:space="0" w:color="auto"/>
            <w:left w:val="none" w:sz="0" w:space="0" w:color="auto"/>
            <w:bottom w:val="none" w:sz="0" w:space="0" w:color="auto"/>
            <w:right w:val="none" w:sz="0" w:space="0" w:color="auto"/>
          </w:divBdr>
        </w:div>
        <w:div w:id="1864779819">
          <w:marLeft w:val="0"/>
          <w:marRight w:val="0"/>
          <w:marTop w:val="0"/>
          <w:marBottom w:val="0"/>
          <w:divBdr>
            <w:top w:val="none" w:sz="0" w:space="0" w:color="auto"/>
            <w:left w:val="none" w:sz="0" w:space="0" w:color="auto"/>
            <w:bottom w:val="none" w:sz="0" w:space="0" w:color="auto"/>
            <w:right w:val="none" w:sz="0" w:space="0" w:color="auto"/>
          </w:divBdr>
        </w:div>
        <w:div w:id="1222524585">
          <w:marLeft w:val="0"/>
          <w:marRight w:val="0"/>
          <w:marTop w:val="0"/>
          <w:marBottom w:val="0"/>
          <w:divBdr>
            <w:top w:val="none" w:sz="0" w:space="0" w:color="auto"/>
            <w:left w:val="none" w:sz="0" w:space="0" w:color="auto"/>
            <w:bottom w:val="none" w:sz="0" w:space="0" w:color="auto"/>
            <w:right w:val="none" w:sz="0" w:space="0" w:color="auto"/>
          </w:divBdr>
        </w:div>
        <w:div w:id="2110811018">
          <w:marLeft w:val="0"/>
          <w:marRight w:val="0"/>
          <w:marTop w:val="0"/>
          <w:marBottom w:val="0"/>
          <w:divBdr>
            <w:top w:val="none" w:sz="0" w:space="0" w:color="auto"/>
            <w:left w:val="none" w:sz="0" w:space="0" w:color="auto"/>
            <w:bottom w:val="none" w:sz="0" w:space="0" w:color="auto"/>
            <w:right w:val="none" w:sz="0" w:space="0" w:color="auto"/>
          </w:divBdr>
        </w:div>
        <w:div w:id="822158671">
          <w:marLeft w:val="0"/>
          <w:marRight w:val="0"/>
          <w:marTop w:val="0"/>
          <w:marBottom w:val="0"/>
          <w:divBdr>
            <w:top w:val="none" w:sz="0" w:space="0" w:color="auto"/>
            <w:left w:val="none" w:sz="0" w:space="0" w:color="auto"/>
            <w:bottom w:val="none" w:sz="0" w:space="0" w:color="auto"/>
            <w:right w:val="none" w:sz="0" w:space="0" w:color="auto"/>
          </w:divBdr>
        </w:div>
      </w:divsChild>
    </w:div>
    <w:div w:id="1176044003">
      <w:bodyDiv w:val="1"/>
      <w:marLeft w:val="0"/>
      <w:marRight w:val="0"/>
      <w:marTop w:val="0"/>
      <w:marBottom w:val="0"/>
      <w:divBdr>
        <w:top w:val="none" w:sz="0" w:space="0" w:color="auto"/>
        <w:left w:val="none" w:sz="0" w:space="0" w:color="auto"/>
        <w:bottom w:val="none" w:sz="0" w:space="0" w:color="auto"/>
        <w:right w:val="none" w:sz="0" w:space="0" w:color="auto"/>
      </w:divBdr>
      <w:divsChild>
        <w:div w:id="509100740">
          <w:marLeft w:val="0"/>
          <w:marRight w:val="0"/>
          <w:marTop w:val="0"/>
          <w:marBottom w:val="0"/>
          <w:divBdr>
            <w:top w:val="none" w:sz="0" w:space="0" w:color="auto"/>
            <w:left w:val="none" w:sz="0" w:space="0" w:color="auto"/>
            <w:bottom w:val="none" w:sz="0" w:space="0" w:color="auto"/>
            <w:right w:val="none" w:sz="0" w:space="0" w:color="auto"/>
          </w:divBdr>
        </w:div>
        <w:div w:id="1770854115">
          <w:marLeft w:val="0"/>
          <w:marRight w:val="0"/>
          <w:marTop w:val="0"/>
          <w:marBottom w:val="0"/>
          <w:divBdr>
            <w:top w:val="none" w:sz="0" w:space="0" w:color="auto"/>
            <w:left w:val="none" w:sz="0" w:space="0" w:color="auto"/>
            <w:bottom w:val="none" w:sz="0" w:space="0" w:color="auto"/>
            <w:right w:val="none" w:sz="0" w:space="0" w:color="auto"/>
          </w:divBdr>
        </w:div>
        <w:div w:id="207493779">
          <w:marLeft w:val="0"/>
          <w:marRight w:val="0"/>
          <w:marTop w:val="0"/>
          <w:marBottom w:val="0"/>
          <w:divBdr>
            <w:top w:val="none" w:sz="0" w:space="0" w:color="auto"/>
            <w:left w:val="none" w:sz="0" w:space="0" w:color="auto"/>
            <w:bottom w:val="none" w:sz="0" w:space="0" w:color="auto"/>
            <w:right w:val="none" w:sz="0" w:space="0" w:color="auto"/>
          </w:divBdr>
        </w:div>
        <w:div w:id="346715985">
          <w:marLeft w:val="0"/>
          <w:marRight w:val="0"/>
          <w:marTop w:val="0"/>
          <w:marBottom w:val="0"/>
          <w:divBdr>
            <w:top w:val="none" w:sz="0" w:space="0" w:color="auto"/>
            <w:left w:val="none" w:sz="0" w:space="0" w:color="auto"/>
            <w:bottom w:val="none" w:sz="0" w:space="0" w:color="auto"/>
            <w:right w:val="none" w:sz="0" w:space="0" w:color="auto"/>
          </w:divBdr>
        </w:div>
        <w:div w:id="316299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09AC1-8386-4995-A602-34849170B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3</TotalTime>
  <Pages>99</Pages>
  <Words>70210</Words>
  <Characters>400200</Characters>
  <Application>Microsoft Office Word</Application>
  <DocSecurity>0</DocSecurity>
  <Lines>3335</Lines>
  <Paragraphs>938</Paragraphs>
  <ScaleCrop>false</ScaleCrop>
  <HeadingPairs>
    <vt:vector size="2" baseType="variant">
      <vt:variant>
        <vt:lpstr>Título</vt:lpstr>
      </vt:variant>
      <vt:variant>
        <vt:i4>1</vt:i4>
      </vt:variant>
    </vt:vector>
  </HeadingPairs>
  <TitlesOfParts>
    <vt:vector size="1" baseType="lpstr">
      <vt:lpstr>Ley del Sector Hidrocarburos</vt:lpstr>
    </vt:vector>
  </TitlesOfParts>
  <Company>Cámara de Diputados del H. Congreso de la Unión</Company>
  <LinksUpToDate>false</LinksUpToDate>
  <CharactersWithSpaces>469472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del Sector Hidrocarburos</dc:title>
  <dc:subject/>
  <dc:creator>Cámara de Diputados del H. Congreso de la Unión</dc:creator>
  <cp:keywords/>
  <dc:description/>
  <cp:lastModifiedBy>GLENN MCBRIDE</cp:lastModifiedBy>
  <cp:revision>4</cp:revision>
  <cp:lastPrinted>2025-07-30T18:43:00Z</cp:lastPrinted>
  <dcterms:created xsi:type="dcterms:W3CDTF">2025-07-30T18:42:00Z</dcterms:created>
  <dcterms:modified xsi:type="dcterms:W3CDTF">2025-07-30T18:45:00Z</dcterms:modified>
</cp:coreProperties>
</file>