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674"/>
        <w:gridCol w:w="4686"/>
      </w:tblGrid>
      <w:tr w:rsidR="00BA3592" w:rsidRPr="00743A20" w14:paraId="0C21908C" w14:textId="77777777" w:rsidTr="008E445B">
        <w:trPr>
          <w:trHeight w:val="2870"/>
        </w:trPr>
        <w:tc>
          <w:tcPr>
            <w:tcW w:w="4788" w:type="dxa"/>
            <w:shd w:val="clear" w:color="auto" w:fill="auto"/>
          </w:tcPr>
          <w:p w14:paraId="223413A7" w14:textId="77777777" w:rsidR="00BA3592" w:rsidRPr="009E79D2" w:rsidRDefault="00BA3592" w:rsidP="009E79D2">
            <w:pPr>
              <w:pStyle w:val="Titulo1"/>
              <w:pBdr>
                <w:bottom w:val="none" w:sz="0" w:space="0" w:color="auto"/>
              </w:pBdr>
              <w:rPr>
                <w:rFonts w:ascii="Verdana" w:hAnsi="Verdana" w:cs="Times New Roman"/>
                <w:sz w:val="16"/>
                <w:szCs w:val="16"/>
              </w:rPr>
            </w:pPr>
            <w:r w:rsidRPr="009E79D2">
              <w:rPr>
                <w:rFonts w:ascii="Verdana" w:hAnsi="Verdana" w:cs="Times New Roman"/>
                <w:sz w:val="16"/>
                <w:szCs w:val="16"/>
              </w:rPr>
              <w:t>NORMA Oficial Mexicana NOM-044-SEMARNAT-2017, Que establece los límites máximos permisibles de emisión de monóxido de carbono, óxidos de nitrógeno, hidrocarburos no metano, hidrocarburos no metano más óxidos de nitrógeno, partículas y amoniaco, provenientes del escape de motores nuevos que utilizan diésel como combustible y que se utilizarán para la propulsión de vehículos automotores con peso bruto vehicular mayor a 3,857 kilogramos, así como del escape de vehículos automotores nuevos con peso bruto vehicular mayor a 3,857 kilogramos equipados con este tipo de motores.</w:t>
            </w:r>
          </w:p>
        </w:tc>
        <w:tc>
          <w:tcPr>
            <w:tcW w:w="4788" w:type="dxa"/>
            <w:shd w:val="clear" w:color="auto" w:fill="auto"/>
          </w:tcPr>
          <w:p w14:paraId="42E2A6B0" w14:textId="77777777" w:rsidR="00BA3592" w:rsidRPr="009E79D2" w:rsidRDefault="00446B84" w:rsidP="009E79D2">
            <w:pPr>
              <w:pStyle w:val="Titulo1"/>
              <w:pBdr>
                <w:bottom w:val="none" w:sz="0" w:space="0" w:color="auto"/>
              </w:pBdr>
              <w:rPr>
                <w:rFonts w:ascii="Verdana" w:hAnsi="Verdana" w:cs="Times New Roman"/>
                <w:sz w:val="16"/>
                <w:szCs w:val="16"/>
                <w:lang w:val="en-US"/>
              </w:rPr>
            </w:pPr>
            <w:r w:rsidRPr="009E79D2">
              <w:rPr>
                <w:rFonts w:ascii="Verdana" w:hAnsi="Verdana"/>
                <w:bCs/>
                <w:sz w:val="16"/>
                <w:szCs w:val="16"/>
                <w:lang w:val="en-US"/>
              </w:rPr>
              <w:t xml:space="preserve">Official Mexican Standard </w:t>
            </w:r>
            <w:bookmarkStart w:id="0" w:name="OLE_LINK2"/>
            <w:bookmarkStart w:id="1" w:name="OLE_LINK1"/>
            <w:r w:rsidRPr="009E79D2">
              <w:rPr>
                <w:rFonts w:ascii="Verdana" w:hAnsi="Verdana"/>
                <w:bCs/>
                <w:sz w:val="16"/>
                <w:szCs w:val="16"/>
                <w:lang w:val="en-US"/>
              </w:rPr>
              <w:t>NOM-044-SEMARNAT-2017, That establishes the maximum permissible limits of emissions of carbon monoxide, nitrogen oxides, non-methane hydrocarbons, non-methane hydrocarbons plus nitrogen oxides, particulates and ammonium, originating from the exhaust of new motors that use diesel as fuel and that will be utilized for the propulsion of automotive vehicles, with gross vehicular weight greater than 3,857 kilograms, as well as the exhaust of automotive vehicles with gross vehicular weight greater than 3,857 kilograms equipped with this type of motors.</w:t>
            </w:r>
            <w:bookmarkEnd w:id="0"/>
            <w:bookmarkEnd w:id="1"/>
            <w:r w:rsidRPr="009E79D2">
              <w:rPr>
                <w:rFonts w:ascii="Verdana" w:hAnsi="Verdana"/>
                <w:bCs/>
                <w:sz w:val="16"/>
                <w:szCs w:val="16"/>
                <w:lang w:val="en-US"/>
              </w:rPr>
              <w:t xml:space="preserve">    </w:t>
            </w:r>
          </w:p>
        </w:tc>
      </w:tr>
      <w:tr w:rsidR="00BA3592" w:rsidRPr="009E79D2" w14:paraId="03CE025D" w14:textId="77777777" w:rsidTr="008E445B">
        <w:trPr>
          <w:trHeight w:val="890"/>
        </w:trPr>
        <w:tc>
          <w:tcPr>
            <w:tcW w:w="4788" w:type="dxa"/>
            <w:shd w:val="clear" w:color="auto" w:fill="auto"/>
          </w:tcPr>
          <w:p w14:paraId="7EB2FFD5" w14:textId="77777777" w:rsidR="00BA3592" w:rsidRPr="009E79D2" w:rsidRDefault="00BA3592" w:rsidP="009E79D2">
            <w:pPr>
              <w:pStyle w:val="Titulo2"/>
              <w:pBdr>
                <w:top w:val="none" w:sz="0" w:space="0" w:color="auto"/>
              </w:pBdr>
              <w:rPr>
                <w:rFonts w:ascii="Verdana" w:hAnsi="Verdana"/>
                <w:sz w:val="16"/>
                <w:szCs w:val="16"/>
              </w:rPr>
            </w:pPr>
            <w:r w:rsidRPr="009E79D2">
              <w:rPr>
                <w:rFonts w:ascii="Verdana" w:hAnsi="Verdana"/>
                <w:sz w:val="16"/>
                <w:szCs w:val="16"/>
              </w:rPr>
              <w:t>Al margen un sello con el Escudo Nacional, que dice: Estados Unidos Mexicanos.- Secretaría de Medio Ambiente y Recursos Naturales.</w:t>
            </w:r>
          </w:p>
        </w:tc>
        <w:tc>
          <w:tcPr>
            <w:tcW w:w="4788" w:type="dxa"/>
            <w:shd w:val="clear" w:color="auto" w:fill="auto"/>
          </w:tcPr>
          <w:p w14:paraId="340D7854" w14:textId="77777777" w:rsidR="00BA3592" w:rsidRPr="009E79D2" w:rsidRDefault="00831230" w:rsidP="009E79D2">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w:t>
            </w:r>
            <w:r w:rsidR="00446B84" w:rsidRPr="009E79D2">
              <w:rPr>
                <w:rFonts w:ascii="Verdana" w:hAnsi="Verdana"/>
                <w:sz w:val="16"/>
                <w:szCs w:val="16"/>
                <w:lang w:val="en-US"/>
              </w:rPr>
              <w:t xml:space="preserve"> Secretary of Environment and Natural Resources.</w:t>
            </w:r>
          </w:p>
        </w:tc>
      </w:tr>
      <w:tr w:rsidR="00BA3592" w:rsidRPr="00743A20" w14:paraId="7EE26D27" w14:textId="77777777" w:rsidTr="008E445B">
        <w:tc>
          <w:tcPr>
            <w:tcW w:w="4788" w:type="dxa"/>
            <w:shd w:val="clear" w:color="auto" w:fill="auto"/>
          </w:tcPr>
          <w:p w14:paraId="113D6714" w14:textId="77777777" w:rsidR="00BA3592" w:rsidRPr="009E79D2" w:rsidRDefault="00BA3592" w:rsidP="009E79D2">
            <w:pPr>
              <w:pStyle w:val="Texto"/>
              <w:spacing w:after="80"/>
              <w:ind w:firstLine="0"/>
              <w:rPr>
                <w:rFonts w:ascii="Verdana" w:hAnsi="Verdana"/>
                <w:sz w:val="16"/>
                <w:szCs w:val="16"/>
              </w:rPr>
            </w:pPr>
            <w:r w:rsidRPr="00782EE9">
              <w:rPr>
                <w:rFonts w:ascii="Verdana" w:hAnsi="Verdana"/>
                <w:b/>
                <w:sz w:val="16"/>
                <w:szCs w:val="16"/>
              </w:rPr>
              <w:t>CUAUHTÉMOC OCHOA FERNÁNDEZ,</w:t>
            </w:r>
            <w:r w:rsidRPr="009E79D2">
              <w:rPr>
                <w:rFonts w:ascii="Verdana" w:hAnsi="Verdana"/>
                <w:sz w:val="16"/>
                <w:szCs w:val="16"/>
              </w:rPr>
              <w:t xml:space="preserve"> Subsecretario de Fomento y Normatividad Ambiental de la Secretaría de Medio Ambiente y Recursos Naturales y Presidente del Comité Consultivo Nacional de Normalización de Medio Ambiente y Recursos Naturales, con fundamento en lo dispuesto en los artículos 32 Bis, fracciones IV y V, de la Ley Orgánica de la Administración Pública Federal; 5o., fracciones V y XII, 36 fracción I y 111 fracciones III y IX, de la Ley General del Equilibrio Ecológico y la Protección al Ambiente; 38, fracción II, 40, fracción X, 41, 47, fracción IV, 51, párrafo primero, 53 y 73, de la Ley Federal sobre Metrología y Normalización; 34 del Reglamento de la Ley Federal sobre Metrología y Normalización; 7o., fracciones II y IV, del Reglamento de la Ley General del Equilibrio Ecológico y la Protección al Ambiente en Materia de Prevención y Control de la Contaminación de la Atmósfera; 8, fracciones III y IV, del Reglamento Interior de la Secretaría de Medio Ambiente y Recursos Naturales.</w:t>
            </w:r>
          </w:p>
        </w:tc>
        <w:tc>
          <w:tcPr>
            <w:tcW w:w="4788" w:type="dxa"/>
            <w:shd w:val="clear" w:color="auto" w:fill="auto"/>
          </w:tcPr>
          <w:p w14:paraId="7BA83411" w14:textId="77777777" w:rsidR="00BA3592" w:rsidRPr="009E79D2" w:rsidRDefault="00446B84" w:rsidP="009E79D2">
            <w:pPr>
              <w:pStyle w:val="Texto"/>
              <w:spacing w:after="80"/>
              <w:ind w:firstLine="0"/>
              <w:rPr>
                <w:rFonts w:ascii="Verdana" w:hAnsi="Verdana"/>
                <w:sz w:val="16"/>
                <w:szCs w:val="16"/>
                <w:lang w:val="en-US"/>
              </w:rPr>
            </w:pPr>
            <w:r w:rsidRPr="009E79D2">
              <w:rPr>
                <w:rFonts w:ascii="Verdana" w:hAnsi="Verdana"/>
                <w:b/>
                <w:sz w:val="16"/>
                <w:szCs w:val="16"/>
                <w:lang w:val="en-US"/>
              </w:rPr>
              <w:t>JOSE RAMON ARDAVIN ITUARTE</w:t>
            </w:r>
            <w:r w:rsidRPr="009E79D2">
              <w:rPr>
                <w:rFonts w:ascii="Verdana" w:hAnsi="Verdana"/>
                <w:sz w:val="16"/>
                <w:szCs w:val="16"/>
                <w:lang w:val="en-US"/>
              </w:rPr>
              <w:t>, Sub-Secretary of Environmental Development and Environmental Legislation of the Secretary of Environment and Natural Resources and President of the National Consultative Committee of Standardization of Environment and Natural Resources, based on articles 32 bis sections IV, and V of the Organic Law of the Federal Public Administration; 5 sections V and X</w:t>
            </w:r>
            <w:r w:rsidR="00EB33E4" w:rsidRPr="009E79D2">
              <w:rPr>
                <w:rFonts w:ascii="Verdana" w:hAnsi="Verdana"/>
                <w:sz w:val="16"/>
                <w:szCs w:val="16"/>
                <w:lang w:val="en-US"/>
              </w:rPr>
              <w:t>II</w:t>
            </w:r>
            <w:r w:rsidRPr="009E79D2">
              <w:rPr>
                <w:rFonts w:ascii="Verdana" w:hAnsi="Verdana"/>
                <w:sz w:val="16"/>
                <w:szCs w:val="16"/>
                <w:lang w:val="en-US"/>
              </w:rPr>
              <w:t xml:space="preserve">, </w:t>
            </w:r>
            <w:r w:rsidR="00EB33E4" w:rsidRPr="009E79D2">
              <w:rPr>
                <w:rFonts w:ascii="Verdana" w:hAnsi="Verdana"/>
                <w:sz w:val="16"/>
                <w:szCs w:val="16"/>
                <w:lang w:val="en-US"/>
              </w:rPr>
              <w:t>3</w:t>
            </w:r>
            <w:r w:rsidRPr="009E79D2">
              <w:rPr>
                <w:rFonts w:ascii="Verdana" w:hAnsi="Verdana"/>
                <w:sz w:val="16"/>
                <w:szCs w:val="16"/>
                <w:lang w:val="en-US"/>
              </w:rPr>
              <w:t>6</w:t>
            </w:r>
            <w:r w:rsidR="00EB33E4" w:rsidRPr="009E79D2">
              <w:rPr>
                <w:rFonts w:ascii="Verdana" w:hAnsi="Verdana"/>
                <w:sz w:val="16"/>
                <w:szCs w:val="16"/>
                <w:lang w:val="en-US"/>
              </w:rPr>
              <w:t xml:space="preserve"> section I and 111, sections III and IX,  </w:t>
            </w:r>
            <w:r w:rsidRPr="009E79D2">
              <w:rPr>
                <w:rFonts w:ascii="Verdana" w:hAnsi="Verdana"/>
                <w:sz w:val="16"/>
                <w:szCs w:val="16"/>
                <w:lang w:val="en-US"/>
              </w:rPr>
              <w:t xml:space="preserve">of the General Law of Ecological Equilibrium and the Protection of the Environment; </w:t>
            </w:r>
            <w:r w:rsidR="00EB33E4" w:rsidRPr="009E79D2">
              <w:rPr>
                <w:rFonts w:ascii="Verdana" w:hAnsi="Verdana"/>
                <w:sz w:val="16"/>
                <w:szCs w:val="16"/>
                <w:lang w:val="en-US"/>
              </w:rPr>
              <w:t xml:space="preserve">38 section II, 40 section X, 41, 47, section IV, 51, first paragraph, 53 and 73 of the Federal Law on Metrology and Standardization; </w:t>
            </w:r>
            <w:r w:rsidRPr="009E79D2">
              <w:rPr>
                <w:rFonts w:ascii="Verdana" w:hAnsi="Verdana"/>
                <w:sz w:val="16"/>
                <w:szCs w:val="16"/>
                <w:lang w:val="en-US"/>
              </w:rPr>
              <w:t xml:space="preserve">7 sections II and IV, of the Regulation of the General Law of Ecological Equilibrium and the Protection of the Environment in matters of Prevention and Control of the Contamination of the Atmosphere; </w:t>
            </w:r>
            <w:r w:rsidR="00EB33E4" w:rsidRPr="009E79D2">
              <w:rPr>
                <w:rFonts w:ascii="Verdana" w:hAnsi="Verdana"/>
                <w:sz w:val="16"/>
                <w:szCs w:val="16"/>
                <w:lang w:val="en-US"/>
              </w:rPr>
              <w:t>8 section III and IV of the Internal Regulation of the Secretary of Environment and Natural Resources;</w:t>
            </w:r>
          </w:p>
        </w:tc>
      </w:tr>
      <w:tr w:rsidR="00BA3592" w:rsidRPr="009E79D2" w14:paraId="56899CA5" w14:textId="77777777" w:rsidTr="008E445B">
        <w:tc>
          <w:tcPr>
            <w:tcW w:w="4788" w:type="dxa"/>
            <w:shd w:val="clear" w:color="auto" w:fill="auto"/>
          </w:tcPr>
          <w:p w14:paraId="4F827078" w14:textId="77777777" w:rsidR="00BA3592" w:rsidRPr="009E79D2" w:rsidRDefault="00BA3592" w:rsidP="009E79D2">
            <w:pPr>
              <w:pStyle w:val="ANOTACION"/>
              <w:spacing w:before="0" w:after="80" w:line="216" w:lineRule="exact"/>
              <w:rPr>
                <w:rFonts w:ascii="Verdana" w:hAnsi="Verdana"/>
                <w:sz w:val="16"/>
                <w:szCs w:val="16"/>
              </w:rPr>
            </w:pPr>
            <w:r w:rsidRPr="009E79D2">
              <w:rPr>
                <w:rFonts w:ascii="Verdana" w:hAnsi="Verdana"/>
                <w:sz w:val="16"/>
                <w:szCs w:val="16"/>
              </w:rPr>
              <w:t>CONSIDERANDO</w:t>
            </w:r>
          </w:p>
        </w:tc>
        <w:tc>
          <w:tcPr>
            <w:tcW w:w="4788" w:type="dxa"/>
            <w:shd w:val="clear" w:color="auto" w:fill="auto"/>
          </w:tcPr>
          <w:p w14:paraId="5A219CCF" w14:textId="77777777" w:rsidR="00BA3592" w:rsidRPr="009E79D2" w:rsidRDefault="00EB33E4" w:rsidP="009E79D2">
            <w:pPr>
              <w:pStyle w:val="ANOTACION"/>
              <w:spacing w:before="0" w:after="80" w:line="216" w:lineRule="exact"/>
              <w:rPr>
                <w:rFonts w:ascii="Verdana" w:hAnsi="Verdana"/>
                <w:sz w:val="16"/>
                <w:szCs w:val="16"/>
                <w:lang w:val="en-US"/>
              </w:rPr>
            </w:pPr>
            <w:r w:rsidRPr="009E79D2">
              <w:rPr>
                <w:rFonts w:ascii="Verdana" w:hAnsi="Verdana"/>
                <w:sz w:val="16"/>
                <w:szCs w:val="16"/>
                <w:lang w:val="en-US"/>
              </w:rPr>
              <w:t>CONSIDERING</w:t>
            </w:r>
          </w:p>
        </w:tc>
      </w:tr>
      <w:tr w:rsidR="008A0760" w:rsidRPr="00743A20" w14:paraId="13C86273" w14:textId="77777777" w:rsidTr="008E445B">
        <w:tc>
          <w:tcPr>
            <w:tcW w:w="4788" w:type="dxa"/>
            <w:shd w:val="clear" w:color="auto" w:fill="auto"/>
          </w:tcPr>
          <w:p w14:paraId="784B51E9" w14:textId="77777777" w:rsidR="008A0760" w:rsidRPr="009E79D2" w:rsidRDefault="008A0760" w:rsidP="008A0760">
            <w:pPr>
              <w:pStyle w:val="Texto"/>
              <w:spacing w:after="80"/>
              <w:ind w:firstLine="0"/>
              <w:rPr>
                <w:rFonts w:ascii="Verdana" w:hAnsi="Verdana"/>
                <w:sz w:val="16"/>
                <w:szCs w:val="16"/>
              </w:rPr>
            </w:pPr>
            <w:r w:rsidRPr="009E79D2">
              <w:rPr>
                <w:rFonts w:ascii="Verdana" w:hAnsi="Verdana"/>
                <w:sz w:val="16"/>
                <w:szCs w:val="16"/>
              </w:rPr>
              <w:t>Que los vehículos automotores nuevos que usan diésel como combustible generan contaminantes atmosféricos, por lo que es necesario regular sus emisiones, puesto que está confirmado que tales emisiones incluyen contaminantes que afectan la calidad del aire y con ello la salud pública.</w:t>
            </w:r>
          </w:p>
        </w:tc>
        <w:tc>
          <w:tcPr>
            <w:tcW w:w="4788" w:type="dxa"/>
          </w:tcPr>
          <w:p w14:paraId="7C924E07" w14:textId="77777777" w:rsidR="008A0760" w:rsidRPr="00356B54" w:rsidRDefault="008F63CD" w:rsidP="008A0760">
            <w:pPr>
              <w:spacing w:after="80" w:line="216" w:lineRule="atLeast"/>
              <w:jc w:val="both"/>
              <w:rPr>
                <w:lang w:val="en-US"/>
              </w:rPr>
            </w:pPr>
            <w:r>
              <w:rPr>
                <w:rFonts w:ascii="Verdana" w:hAnsi="Verdana"/>
                <w:sz w:val="16"/>
                <w:szCs w:val="16"/>
                <w:lang w:val="en-US"/>
              </w:rPr>
              <w:t>Whereas,</w:t>
            </w:r>
            <w:r w:rsidR="008A0760" w:rsidRPr="00356B54">
              <w:rPr>
                <w:rFonts w:ascii="Verdana" w:hAnsi="Verdana"/>
                <w:sz w:val="16"/>
                <w:szCs w:val="16"/>
                <w:lang w:val="en-US"/>
              </w:rPr>
              <w:t xml:space="preserve"> new automotive vehicles that use diesel as fuel generate atmospheric pollutants, so it is necessary to regulate their emissions, since it is confirmed that such emissions include pollutants that affect the quality of the air and with it public health.</w:t>
            </w:r>
            <w:r w:rsidR="008A0760" w:rsidRPr="00356B54">
              <w:rPr>
                <w:lang w:val="en-US"/>
              </w:rPr>
              <w:t xml:space="preserve"> </w:t>
            </w:r>
          </w:p>
        </w:tc>
      </w:tr>
      <w:tr w:rsidR="008A0760" w:rsidRPr="00743A20" w14:paraId="7EBE8A68" w14:textId="77777777" w:rsidTr="008E445B">
        <w:tc>
          <w:tcPr>
            <w:tcW w:w="4788" w:type="dxa"/>
            <w:shd w:val="clear" w:color="auto" w:fill="auto"/>
          </w:tcPr>
          <w:p w14:paraId="09758BA8" w14:textId="77777777" w:rsidR="008A0760" w:rsidRPr="009E79D2" w:rsidRDefault="008A0760" w:rsidP="008A0760">
            <w:pPr>
              <w:pStyle w:val="Texto"/>
              <w:spacing w:after="80"/>
              <w:ind w:firstLine="0"/>
              <w:rPr>
                <w:rFonts w:ascii="Verdana" w:hAnsi="Verdana"/>
                <w:sz w:val="16"/>
                <w:szCs w:val="16"/>
              </w:rPr>
            </w:pPr>
            <w:r w:rsidRPr="009E79D2">
              <w:rPr>
                <w:rFonts w:ascii="Verdana" w:hAnsi="Verdana"/>
                <w:sz w:val="16"/>
                <w:szCs w:val="16"/>
              </w:rPr>
              <w:t xml:space="preserve">Que en fecha 12 de octubre de 2006, se publicó en el Diario Oficial de la Federación la Norma Oficial Mexicana NOM-044-SEMARNAT-2006, Que establece los límites máximos permisibles de emisión de hidrocarburos totales, hidrocarburos no metano, monóxido de carbono, óxidos de nitrógeno, partículas y opacidad de humo provenientes del escape de motores nuevos que usan diésel como combustible y que se utilizarán para la propulsión de vehículos automotores nuevos con peso </w:t>
            </w:r>
            <w:r w:rsidRPr="009E79D2">
              <w:rPr>
                <w:rFonts w:ascii="Verdana" w:hAnsi="Verdana"/>
                <w:sz w:val="16"/>
                <w:szCs w:val="16"/>
              </w:rPr>
              <w:lastRenderedPageBreak/>
              <w:t>bruto vehicular mayor de 3,857 kilogramos, así como para unidades nuevas con peso bruto vehicular mayor a 3,857 kilogramos equipadas con este tipo de motores.</w:t>
            </w:r>
          </w:p>
        </w:tc>
        <w:tc>
          <w:tcPr>
            <w:tcW w:w="4788" w:type="dxa"/>
          </w:tcPr>
          <w:p w14:paraId="7D7B5025" w14:textId="77777777" w:rsidR="008A0760" w:rsidRPr="00356B54" w:rsidRDefault="00735A37" w:rsidP="008A0760">
            <w:pPr>
              <w:spacing w:after="80" w:line="216" w:lineRule="atLeast"/>
              <w:jc w:val="both"/>
              <w:rPr>
                <w:lang w:val="en-US"/>
              </w:rPr>
            </w:pPr>
            <w:r>
              <w:rPr>
                <w:rFonts w:ascii="Verdana" w:hAnsi="Verdana"/>
                <w:sz w:val="16"/>
                <w:szCs w:val="16"/>
                <w:lang w:val="en-US"/>
              </w:rPr>
              <w:lastRenderedPageBreak/>
              <w:t xml:space="preserve">Whereas, </w:t>
            </w:r>
            <w:r w:rsidR="008A0760" w:rsidRPr="00356B54">
              <w:rPr>
                <w:rFonts w:ascii="Verdana" w:hAnsi="Verdana"/>
                <w:sz w:val="16"/>
                <w:szCs w:val="16"/>
                <w:lang w:val="en-US"/>
              </w:rPr>
              <w:t xml:space="preserve">on October 12, 2006, the Official Mexican Standard NOM-044-SEMARNAT-2006 was published in the Official </w:t>
            </w:r>
            <w:r>
              <w:rPr>
                <w:rFonts w:ascii="Verdana" w:hAnsi="Verdana"/>
                <w:sz w:val="16"/>
                <w:szCs w:val="16"/>
                <w:lang w:val="en-US"/>
              </w:rPr>
              <w:t>Daily</w:t>
            </w:r>
            <w:r w:rsidR="008A0760" w:rsidRPr="00356B54">
              <w:rPr>
                <w:rFonts w:ascii="Verdana" w:hAnsi="Verdana"/>
                <w:sz w:val="16"/>
                <w:szCs w:val="16"/>
                <w:lang w:val="en-US"/>
              </w:rPr>
              <w:t xml:space="preserve"> of the Federation, which establishes the maximum permissible limits for the emission of total hydrocarbons, non-methane hydrocarbons, carbon monoxide, nitrogen oxides, particles and smoke opacity from the exhaust of new engines that use diesel as fuel and that will be used for the propulsion of new automotive vehicles with gross vehicle weight greater </w:t>
            </w:r>
            <w:r w:rsidR="008A0760" w:rsidRPr="00356B54">
              <w:rPr>
                <w:rFonts w:ascii="Verdana" w:hAnsi="Verdana"/>
                <w:sz w:val="16"/>
                <w:szCs w:val="16"/>
                <w:lang w:val="en-US"/>
              </w:rPr>
              <w:lastRenderedPageBreak/>
              <w:t>than 3,857 kilograms, as well as for new units with higher gross vehicle weight to 3,857 kilograms equipped with this type of engines.</w:t>
            </w:r>
            <w:r w:rsidR="008A0760" w:rsidRPr="00356B54">
              <w:rPr>
                <w:lang w:val="en-US"/>
              </w:rPr>
              <w:t xml:space="preserve"> </w:t>
            </w:r>
          </w:p>
        </w:tc>
      </w:tr>
      <w:tr w:rsidR="008A0760" w:rsidRPr="00743A20" w14:paraId="36376906" w14:textId="77777777" w:rsidTr="008E445B">
        <w:tc>
          <w:tcPr>
            <w:tcW w:w="4788" w:type="dxa"/>
            <w:shd w:val="clear" w:color="auto" w:fill="auto"/>
          </w:tcPr>
          <w:p w14:paraId="6ED0B86E" w14:textId="77777777" w:rsidR="008A0760" w:rsidRPr="009E79D2" w:rsidRDefault="008A0760" w:rsidP="008A0760">
            <w:pPr>
              <w:pStyle w:val="Texto"/>
              <w:spacing w:after="80" w:line="210" w:lineRule="exact"/>
              <w:ind w:firstLine="0"/>
              <w:rPr>
                <w:rFonts w:ascii="Verdana" w:hAnsi="Verdana"/>
                <w:sz w:val="16"/>
                <w:szCs w:val="16"/>
              </w:rPr>
            </w:pPr>
            <w:r w:rsidRPr="009E79D2">
              <w:rPr>
                <w:rFonts w:ascii="Verdana" w:hAnsi="Verdana"/>
                <w:sz w:val="16"/>
                <w:szCs w:val="16"/>
              </w:rPr>
              <w:lastRenderedPageBreak/>
              <w:t>Que en fecha 30 de junio de 2014, se publicó en el Diario Oficial de la Federación el Acuerdo por el que se modifica la vigencia del periodo establecido en las notas al pie de las tablas 1 y 2 de los numerales 5.1 y 5.2, únicamente en lo que se refiere al estándar B, de la Norma Oficial Mexicana NOM-044-SEMARNAT-2006, Que establece los límites máximos permisibles de emisión de hidrocarburos totales, hidrocarburos no metano, monóxido de carbono, óxidos de nitrógeno, partículas y opacidad de humo provenientes del escape de motores nuevos que usan diésel como combustible y que se utilizarán para la propulsión de vehículos automotores nuevos con peso bruto vehicular mayor de 3,857 kilogramos, así como para unidades nuevas con peso bruto vehicular mayor a 3,857 kilogramos equipadas con este tipo de motores, determinado en el diverso publicado el 30 de junio de 2011.</w:t>
            </w:r>
          </w:p>
        </w:tc>
        <w:tc>
          <w:tcPr>
            <w:tcW w:w="4788" w:type="dxa"/>
          </w:tcPr>
          <w:p w14:paraId="58404F84" w14:textId="77777777" w:rsidR="008A0760" w:rsidRPr="00356B54" w:rsidRDefault="00735A37" w:rsidP="008A0760">
            <w:pPr>
              <w:spacing w:after="80" w:line="210" w:lineRule="atLeast"/>
              <w:jc w:val="both"/>
              <w:rPr>
                <w:lang w:val="en-US"/>
              </w:rPr>
            </w:pPr>
            <w:r>
              <w:rPr>
                <w:rFonts w:ascii="Verdana" w:hAnsi="Verdana"/>
                <w:sz w:val="16"/>
                <w:szCs w:val="16"/>
                <w:lang w:val="en-US"/>
              </w:rPr>
              <w:t>Whereas,</w:t>
            </w:r>
            <w:r w:rsidR="008A0760" w:rsidRPr="00356B54">
              <w:rPr>
                <w:rFonts w:ascii="Verdana" w:hAnsi="Verdana"/>
                <w:sz w:val="16"/>
                <w:szCs w:val="16"/>
                <w:lang w:val="en-US"/>
              </w:rPr>
              <w:t xml:space="preserve"> on June 30, 2014, the Agreement was published in the Official </w:t>
            </w:r>
            <w:r>
              <w:rPr>
                <w:rFonts w:ascii="Verdana" w:hAnsi="Verdana"/>
                <w:sz w:val="16"/>
                <w:szCs w:val="16"/>
                <w:lang w:val="en-US"/>
              </w:rPr>
              <w:t>Daily</w:t>
            </w:r>
            <w:r w:rsidR="008A0760" w:rsidRPr="00356B54">
              <w:rPr>
                <w:rFonts w:ascii="Verdana" w:hAnsi="Verdana"/>
                <w:sz w:val="16"/>
                <w:szCs w:val="16"/>
                <w:lang w:val="en-US"/>
              </w:rPr>
              <w:t xml:space="preserve"> of the Federation modifying</w:t>
            </w:r>
            <w:r w:rsidR="008A0760" w:rsidRPr="00356B54">
              <w:rPr>
                <w:lang w:val="en-US"/>
              </w:rPr>
              <w:t xml:space="preserve"> </w:t>
            </w:r>
            <w:r w:rsidR="008A0760" w:rsidRPr="00356B54">
              <w:rPr>
                <w:rFonts w:ascii="Verdana" w:hAnsi="Verdana"/>
                <w:sz w:val="16"/>
                <w:szCs w:val="16"/>
                <w:lang w:val="en-US"/>
              </w:rPr>
              <w:t xml:space="preserve">the validity of the period established in the footnotes of tables 1 and 2 of sections 5.1 and 5.2, only in what refers to standard B, of the Official Mexican Standard NOM-044-SEMARNAT-2006, Which establishes the maximum permissible limits of emission of total hydrocarbons, non-methane hydrocarbons, carbon monoxide, nitrogen oxides, particles and smoke opacity from the exhaust of new engines that use diesel as fuel and that will be used for the propulsion of new automotive vehicles with gross vehicle weight greater than 3,857 kilograms, as well as for new units with gross vehicle weight greater than 3,857 kilograms equipped with this type of engines, determined in the </w:t>
            </w:r>
            <w:r>
              <w:rPr>
                <w:rFonts w:ascii="Verdana" w:hAnsi="Verdana"/>
                <w:sz w:val="16"/>
                <w:szCs w:val="16"/>
                <w:lang w:val="en-US"/>
              </w:rPr>
              <w:t>modification</w:t>
            </w:r>
            <w:r w:rsidR="008A0760" w:rsidRPr="00356B54">
              <w:rPr>
                <w:rFonts w:ascii="Verdana" w:hAnsi="Verdana"/>
                <w:sz w:val="16"/>
                <w:szCs w:val="16"/>
                <w:lang w:val="en-US"/>
              </w:rPr>
              <w:t xml:space="preserve"> published on June 30, 2011.</w:t>
            </w:r>
            <w:r w:rsidR="008A0760" w:rsidRPr="00356B54">
              <w:rPr>
                <w:lang w:val="en-US"/>
              </w:rPr>
              <w:t xml:space="preserve"> </w:t>
            </w:r>
          </w:p>
        </w:tc>
      </w:tr>
      <w:tr w:rsidR="008A0760" w:rsidRPr="00743A20" w14:paraId="014E1251" w14:textId="77777777" w:rsidTr="008E445B">
        <w:tc>
          <w:tcPr>
            <w:tcW w:w="4788" w:type="dxa"/>
            <w:shd w:val="clear" w:color="auto" w:fill="auto"/>
          </w:tcPr>
          <w:p w14:paraId="06C4DE81" w14:textId="77777777" w:rsidR="008A0760" w:rsidRPr="009E79D2" w:rsidRDefault="008A0760" w:rsidP="008A0760">
            <w:pPr>
              <w:pStyle w:val="Texto"/>
              <w:spacing w:after="80"/>
              <w:ind w:firstLine="0"/>
              <w:rPr>
                <w:rFonts w:ascii="Verdana" w:hAnsi="Verdana"/>
                <w:sz w:val="16"/>
                <w:szCs w:val="16"/>
              </w:rPr>
            </w:pPr>
            <w:r w:rsidRPr="009E79D2">
              <w:rPr>
                <w:rFonts w:ascii="Verdana" w:hAnsi="Verdana"/>
                <w:sz w:val="16"/>
                <w:szCs w:val="16"/>
              </w:rPr>
              <w:t>Que el objeto de la modificación a la presente norma oficial mexicana es que los motores nuevos a diésel y los vehículos pesados nuevos que los incorporen y que se enajenen por primera vez en el territorio nacional, cuenten con tecnologías más eficientes y menos contaminantes, en comparación con aquellas que se comercializan actualmente, mismas que están asociadas a los estándares A contemplados en las Tablas 1, 2, 3 y 4 de este instrumento normativo.</w:t>
            </w:r>
          </w:p>
        </w:tc>
        <w:tc>
          <w:tcPr>
            <w:tcW w:w="4788" w:type="dxa"/>
          </w:tcPr>
          <w:p w14:paraId="4998ADBD" w14:textId="77777777" w:rsidR="008A0760" w:rsidRPr="00356B54" w:rsidRDefault="00735A37" w:rsidP="008A0760">
            <w:pPr>
              <w:spacing w:after="80" w:line="216" w:lineRule="atLeast"/>
              <w:jc w:val="both"/>
              <w:rPr>
                <w:lang w:val="en-US"/>
              </w:rPr>
            </w:pPr>
            <w:r w:rsidRPr="00735A37">
              <w:rPr>
                <w:rFonts w:ascii="Verdana" w:hAnsi="Verdana"/>
                <w:sz w:val="16"/>
                <w:szCs w:val="16"/>
                <w:lang w:val="en-US"/>
              </w:rPr>
              <w:t>Wh</w:t>
            </w:r>
            <w:r>
              <w:rPr>
                <w:rFonts w:ascii="Verdana" w:hAnsi="Verdana"/>
                <w:sz w:val="16"/>
                <w:szCs w:val="16"/>
                <w:lang w:val="en-US"/>
              </w:rPr>
              <w:t xml:space="preserve">ereas, </w:t>
            </w:r>
            <w:r w:rsidR="008A0760" w:rsidRPr="00356B54">
              <w:rPr>
                <w:rFonts w:ascii="Verdana" w:hAnsi="Verdana"/>
                <w:sz w:val="16"/>
                <w:szCs w:val="16"/>
                <w:lang w:val="en-US"/>
              </w:rPr>
              <w:t xml:space="preserve">the purpose of the modification to this </w:t>
            </w:r>
            <w:r>
              <w:rPr>
                <w:rFonts w:ascii="Verdana" w:hAnsi="Verdana"/>
                <w:sz w:val="16"/>
                <w:szCs w:val="16"/>
                <w:lang w:val="en-US"/>
              </w:rPr>
              <w:t>Official Mexican Standard</w:t>
            </w:r>
            <w:r w:rsidR="008A0760" w:rsidRPr="00356B54">
              <w:rPr>
                <w:rFonts w:ascii="Verdana" w:hAnsi="Verdana"/>
                <w:sz w:val="16"/>
                <w:szCs w:val="16"/>
                <w:lang w:val="en-US"/>
              </w:rPr>
              <w:t xml:space="preserve"> is that new diesel engines and new heavy vehicles that incorporate them and that are sold for the first time in the national territory, have more efficient and less polluting technologies, in comparison with those that are currently marketed, which are associated with standards A contemplated in Tables 1, 2, 3 and 4 of this regulatory instrument.</w:t>
            </w:r>
            <w:r w:rsidR="008A0760" w:rsidRPr="00356B54">
              <w:rPr>
                <w:lang w:val="en-US"/>
              </w:rPr>
              <w:t xml:space="preserve"> </w:t>
            </w:r>
          </w:p>
        </w:tc>
      </w:tr>
      <w:tr w:rsidR="008A0760" w:rsidRPr="00743A20" w14:paraId="0D78F547" w14:textId="77777777" w:rsidTr="008E445B">
        <w:tc>
          <w:tcPr>
            <w:tcW w:w="4788" w:type="dxa"/>
            <w:shd w:val="clear" w:color="auto" w:fill="auto"/>
          </w:tcPr>
          <w:p w14:paraId="2B215B0F" w14:textId="77777777" w:rsidR="008A0760" w:rsidRPr="009E79D2" w:rsidRDefault="008A0760" w:rsidP="008A0760">
            <w:pPr>
              <w:pStyle w:val="Texto"/>
              <w:spacing w:after="80"/>
              <w:ind w:firstLine="0"/>
              <w:rPr>
                <w:rFonts w:ascii="Verdana" w:hAnsi="Verdana"/>
                <w:sz w:val="16"/>
                <w:szCs w:val="16"/>
              </w:rPr>
            </w:pPr>
            <w:r w:rsidRPr="009E79D2">
              <w:rPr>
                <w:rFonts w:ascii="Verdana" w:hAnsi="Verdana"/>
                <w:sz w:val="16"/>
                <w:szCs w:val="16"/>
              </w:rPr>
              <w:t>Que dicha modificación traerá como resultado a largo plazo, beneficios en la salud pública y en los ecosistemas, al llevar a cabo la adopción de nuevos parámetros, así como el establecimiento de límites máximos permisibles de contaminantes más estrictos, e incluso, la incorporación de aquellos métodos o ciclos de prueba que les sean aplicables a los motores nuevos a diésel y a los vehículos pesados nuevos a diésel que cumplan con los criterios correspondientes.</w:t>
            </w:r>
          </w:p>
        </w:tc>
        <w:tc>
          <w:tcPr>
            <w:tcW w:w="4788" w:type="dxa"/>
          </w:tcPr>
          <w:p w14:paraId="39AF19AE" w14:textId="77777777" w:rsidR="008A0760" w:rsidRPr="00356B54" w:rsidRDefault="00735A37" w:rsidP="008A0760">
            <w:pPr>
              <w:spacing w:after="80" w:line="216" w:lineRule="atLeast"/>
              <w:jc w:val="both"/>
              <w:rPr>
                <w:lang w:val="en-US"/>
              </w:rPr>
            </w:pPr>
            <w:r w:rsidRPr="00735A37">
              <w:rPr>
                <w:rFonts w:ascii="Verdana" w:hAnsi="Verdana"/>
                <w:sz w:val="16"/>
                <w:szCs w:val="16"/>
                <w:lang w:val="en-US"/>
              </w:rPr>
              <w:t xml:space="preserve">Whereas, </w:t>
            </w:r>
            <w:r w:rsidR="008A0760" w:rsidRPr="00356B54">
              <w:rPr>
                <w:rFonts w:ascii="Verdana" w:hAnsi="Verdana"/>
                <w:sz w:val="16"/>
                <w:szCs w:val="16"/>
                <w:lang w:val="en-US"/>
              </w:rPr>
              <w:t>such modification will result, in the long term, in public health and ecosystem benefits, when carrying out the adoption of new parameters, as well as the establishment of maximum permissible limits of more stringent pollutants, and even the incorporation of those methods or test cycles that are applicable to new diesel engines and new diesel heavy vehicles that meet the corresponding criteria.</w:t>
            </w:r>
            <w:r w:rsidR="008A0760" w:rsidRPr="00356B54">
              <w:rPr>
                <w:lang w:val="en-US"/>
              </w:rPr>
              <w:t xml:space="preserve"> </w:t>
            </w:r>
          </w:p>
        </w:tc>
      </w:tr>
      <w:tr w:rsidR="008A0760" w:rsidRPr="00743A20" w14:paraId="34AB384E" w14:textId="77777777" w:rsidTr="008E445B">
        <w:tc>
          <w:tcPr>
            <w:tcW w:w="4788" w:type="dxa"/>
            <w:shd w:val="clear" w:color="auto" w:fill="auto"/>
          </w:tcPr>
          <w:p w14:paraId="7466647B" w14:textId="77777777" w:rsidR="008A0760" w:rsidRPr="009E79D2" w:rsidRDefault="008A0760" w:rsidP="008A0760">
            <w:pPr>
              <w:pStyle w:val="Texto"/>
              <w:spacing w:after="80"/>
              <w:ind w:firstLine="0"/>
              <w:rPr>
                <w:rFonts w:ascii="Verdana" w:hAnsi="Verdana"/>
                <w:sz w:val="16"/>
                <w:szCs w:val="16"/>
              </w:rPr>
            </w:pPr>
            <w:r w:rsidRPr="009E79D2">
              <w:rPr>
                <w:rFonts w:ascii="Verdana" w:hAnsi="Verdana"/>
                <w:sz w:val="16"/>
                <w:szCs w:val="16"/>
              </w:rPr>
              <w:t>Que, por lo anterior, en la elaboración de este instrumento normativo se tomaron en cuenta las disposiciones emitidas, tanto por los Estados Unidos de América, como por el Parlamento Europeo y el Consejo de la Unión Europea, las cuales contemplan especificaciones para los motores nuevos a diésel, así como para los vehículos automotores nuevos que los incorporan, de manera diferenciada.</w:t>
            </w:r>
          </w:p>
        </w:tc>
        <w:tc>
          <w:tcPr>
            <w:tcW w:w="4788" w:type="dxa"/>
          </w:tcPr>
          <w:p w14:paraId="1729ABA9" w14:textId="77777777" w:rsidR="008A0760" w:rsidRPr="00356B54" w:rsidRDefault="00735A37" w:rsidP="008A0760">
            <w:pPr>
              <w:spacing w:after="80" w:line="216" w:lineRule="atLeast"/>
              <w:jc w:val="both"/>
              <w:rPr>
                <w:lang w:val="en-US"/>
              </w:rPr>
            </w:pPr>
            <w:r w:rsidRPr="00735A37">
              <w:rPr>
                <w:rFonts w:ascii="Verdana" w:hAnsi="Verdana"/>
                <w:sz w:val="16"/>
                <w:szCs w:val="16"/>
                <w:lang w:val="en-US"/>
              </w:rPr>
              <w:t xml:space="preserve">Whereas, </w:t>
            </w:r>
            <w:r w:rsidR="008A0760" w:rsidRPr="00356B54">
              <w:rPr>
                <w:rFonts w:ascii="Verdana" w:hAnsi="Verdana"/>
                <w:sz w:val="16"/>
                <w:szCs w:val="16"/>
                <w:lang w:val="en-US"/>
              </w:rPr>
              <w:t xml:space="preserve">therefore, in the </w:t>
            </w:r>
            <w:r w:rsidR="00A341BE">
              <w:rPr>
                <w:rFonts w:ascii="Verdana" w:hAnsi="Verdana"/>
                <w:sz w:val="16"/>
                <w:szCs w:val="16"/>
                <w:lang w:val="en-US"/>
              </w:rPr>
              <w:t>preparation</w:t>
            </w:r>
            <w:r w:rsidR="008A0760" w:rsidRPr="00356B54">
              <w:rPr>
                <w:rFonts w:ascii="Verdana" w:hAnsi="Verdana"/>
                <w:sz w:val="16"/>
                <w:szCs w:val="16"/>
                <w:lang w:val="en-US"/>
              </w:rPr>
              <w:t xml:space="preserve"> of this regulatory instrument, the provisions issued by both the United States of America, the European Parliament and the Council of the European Union, which </w:t>
            </w:r>
            <w:r>
              <w:rPr>
                <w:rFonts w:ascii="Verdana" w:hAnsi="Verdana"/>
                <w:sz w:val="16"/>
                <w:szCs w:val="16"/>
                <w:lang w:val="en-US"/>
              </w:rPr>
              <w:t>include</w:t>
            </w:r>
            <w:r w:rsidR="008A0760" w:rsidRPr="00356B54">
              <w:rPr>
                <w:rFonts w:ascii="Verdana" w:hAnsi="Verdana"/>
                <w:sz w:val="16"/>
                <w:szCs w:val="16"/>
                <w:lang w:val="en-US"/>
              </w:rPr>
              <w:t xml:space="preserve"> specifications for new</w:t>
            </w:r>
            <w:r>
              <w:rPr>
                <w:rFonts w:ascii="Verdana" w:hAnsi="Verdana"/>
                <w:sz w:val="16"/>
                <w:szCs w:val="16"/>
                <w:lang w:val="en-US"/>
              </w:rPr>
              <w:t xml:space="preserve"> diesel</w:t>
            </w:r>
            <w:r w:rsidR="008A0760" w:rsidRPr="00356B54">
              <w:rPr>
                <w:rFonts w:ascii="Verdana" w:hAnsi="Verdana"/>
                <w:sz w:val="16"/>
                <w:szCs w:val="16"/>
                <w:lang w:val="en-US"/>
              </w:rPr>
              <w:t xml:space="preserve"> engines, were taken into account, as well as for the new automotive vehicles that incorporate them, in a differentiated way.</w:t>
            </w:r>
            <w:r w:rsidR="008A0760" w:rsidRPr="00356B54">
              <w:rPr>
                <w:lang w:val="en-US"/>
              </w:rPr>
              <w:t xml:space="preserve"> </w:t>
            </w:r>
            <w:r>
              <w:rPr>
                <w:lang w:val="en-US"/>
              </w:rPr>
              <w:t xml:space="preserve"> </w:t>
            </w:r>
          </w:p>
        </w:tc>
      </w:tr>
      <w:tr w:rsidR="008A0760" w:rsidRPr="00743A20" w14:paraId="693D42D5" w14:textId="77777777" w:rsidTr="008E445B">
        <w:tc>
          <w:tcPr>
            <w:tcW w:w="4788" w:type="dxa"/>
            <w:shd w:val="clear" w:color="auto" w:fill="auto"/>
          </w:tcPr>
          <w:p w14:paraId="279BCDDF"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 xml:space="preserve">Que los estándares A y B contemplados en las Tablas 1 y 3 de la presente norma oficial mexicana son equivalentes a los que se contemplan en la regulación estadounidense, mismos que se determinan a través de los métodos o ciclos de prueba establecidos por la Agencia de Protección Ambiental de los Estados Unidos de América: el Ciclo Suplementario Estable, el Ciclo </w:t>
            </w:r>
            <w:r w:rsidRPr="009E79D2">
              <w:rPr>
                <w:rFonts w:ascii="Verdana" w:hAnsi="Verdana"/>
                <w:sz w:val="16"/>
                <w:szCs w:val="16"/>
              </w:rPr>
              <w:lastRenderedPageBreak/>
              <w:t>Transitorio y el Ciclo en Ciudad FTP, los dos primeros asociados a la Tabla 1 y el tercero a la Tabla 3.</w:t>
            </w:r>
          </w:p>
        </w:tc>
        <w:tc>
          <w:tcPr>
            <w:tcW w:w="4788" w:type="dxa"/>
          </w:tcPr>
          <w:p w14:paraId="1F35AD12" w14:textId="77777777" w:rsidR="008A0760" w:rsidRPr="00356B54" w:rsidRDefault="00735A37" w:rsidP="008A0760">
            <w:pPr>
              <w:spacing w:after="101" w:line="229" w:lineRule="atLeast"/>
              <w:jc w:val="both"/>
              <w:rPr>
                <w:lang w:val="en-US"/>
              </w:rPr>
            </w:pPr>
            <w:r w:rsidRPr="00735A37">
              <w:rPr>
                <w:rFonts w:ascii="Verdana" w:hAnsi="Verdana"/>
                <w:sz w:val="16"/>
                <w:szCs w:val="16"/>
                <w:lang w:val="en-US"/>
              </w:rPr>
              <w:lastRenderedPageBreak/>
              <w:t xml:space="preserve">Whereas, </w:t>
            </w:r>
            <w:r w:rsidR="008A0760" w:rsidRPr="00356B54">
              <w:rPr>
                <w:rFonts w:ascii="Verdana" w:hAnsi="Verdana"/>
                <w:sz w:val="16"/>
                <w:szCs w:val="16"/>
                <w:lang w:val="en-US"/>
              </w:rPr>
              <w:t xml:space="preserve">standards A and B </w:t>
            </w:r>
            <w:r>
              <w:rPr>
                <w:rFonts w:ascii="Verdana" w:hAnsi="Verdana"/>
                <w:sz w:val="16"/>
                <w:szCs w:val="16"/>
                <w:lang w:val="en-US"/>
              </w:rPr>
              <w:t>considered</w:t>
            </w:r>
            <w:r w:rsidR="008A0760" w:rsidRPr="00356B54">
              <w:rPr>
                <w:rFonts w:ascii="Verdana" w:hAnsi="Verdana"/>
                <w:sz w:val="16"/>
                <w:szCs w:val="16"/>
                <w:lang w:val="en-US"/>
              </w:rPr>
              <w:t xml:space="preserve"> in Tables 1 and 3 of this </w:t>
            </w:r>
            <w:r>
              <w:rPr>
                <w:rFonts w:ascii="Verdana" w:hAnsi="Verdana"/>
                <w:sz w:val="16"/>
                <w:szCs w:val="16"/>
                <w:lang w:val="en-US"/>
              </w:rPr>
              <w:t>Official Mexican Standard</w:t>
            </w:r>
            <w:r w:rsidR="008A0760" w:rsidRPr="00356B54">
              <w:rPr>
                <w:rFonts w:ascii="Verdana" w:hAnsi="Verdana"/>
                <w:sz w:val="16"/>
                <w:szCs w:val="16"/>
                <w:lang w:val="en-US"/>
              </w:rPr>
              <w:t xml:space="preserve"> are equivalent to those </w:t>
            </w:r>
            <w:r>
              <w:rPr>
                <w:rFonts w:ascii="Verdana" w:hAnsi="Verdana"/>
                <w:sz w:val="16"/>
                <w:szCs w:val="16"/>
                <w:lang w:val="en-US"/>
              </w:rPr>
              <w:t>included</w:t>
            </w:r>
            <w:r w:rsidR="008A0760" w:rsidRPr="00356B54">
              <w:rPr>
                <w:rFonts w:ascii="Verdana" w:hAnsi="Verdana"/>
                <w:sz w:val="16"/>
                <w:szCs w:val="16"/>
                <w:lang w:val="en-US"/>
              </w:rPr>
              <w:t xml:space="preserve"> in the US regulation, which are determined through the methods or test cycles established by the </w:t>
            </w:r>
            <w:r w:rsidRPr="00356B54">
              <w:rPr>
                <w:rFonts w:ascii="Verdana" w:hAnsi="Verdana"/>
                <w:sz w:val="16"/>
                <w:szCs w:val="16"/>
                <w:lang w:val="en-US"/>
              </w:rPr>
              <w:t>Environment</w:t>
            </w:r>
            <w:r>
              <w:rPr>
                <w:rFonts w:ascii="Verdana" w:hAnsi="Verdana"/>
                <w:sz w:val="16"/>
                <w:szCs w:val="16"/>
                <w:lang w:val="en-US"/>
              </w:rPr>
              <w:t>al</w:t>
            </w:r>
            <w:r w:rsidRPr="00356B54">
              <w:rPr>
                <w:rFonts w:ascii="Verdana" w:hAnsi="Verdana"/>
                <w:sz w:val="16"/>
                <w:szCs w:val="16"/>
                <w:lang w:val="en-US"/>
              </w:rPr>
              <w:t xml:space="preserve"> </w:t>
            </w:r>
            <w:r w:rsidR="008A0760" w:rsidRPr="00356B54">
              <w:rPr>
                <w:rFonts w:ascii="Verdana" w:hAnsi="Verdana"/>
                <w:sz w:val="16"/>
                <w:szCs w:val="16"/>
                <w:lang w:val="en-US"/>
              </w:rPr>
              <w:t>Protection Agency of the United States of America: the Stable Supplementary Cycle, the Transit</w:t>
            </w:r>
            <w:r>
              <w:rPr>
                <w:rFonts w:ascii="Verdana" w:hAnsi="Verdana"/>
                <w:sz w:val="16"/>
                <w:szCs w:val="16"/>
                <w:lang w:val="en-US"/>
              </w:rPr>
              <w:t>ional</w:t>
            </w:r>
            <w:r w:rsidR="008A0760" w:rsidRPr="00356B54">
              <w:rPr>
                <w:rFonts w:ascii="Verdana" w:hAnsi="Verdana"/>
                <w:sz w:val="16"/>
                <w:szCs w:val="16"/>
                <w:lang w:val="en-US"/>
              </w:rPr>
              <w:t xml:space="preserve"> Cycle and the Cycle in FTP City, </w:t>
            </w:r>
            <w:r w:rsidR="008A0760" w:rsidRPr="00356B54">
              <w:rPr>
                <w:rFonts w:ascii="Verdana" w:hAnsi="Verdana"/>
                <w:sz w:val="16"/>
                <w:szCs w:val="16"/>
                <w:lang w:val="en-US"/>
              </w:rPr>
              <w:lastRenderedPageBreak/>
              <w:t>the first two associated with Table 1 and the third one with Table 3.</w:t>
            </w:r>
            <w:r w:rsidR="008A0760" w:rsidRPr="00356B54">
              <w:rPr>
                <w:lang w:val="en-US"/>
              </w:rPr>
              <w:t xml:space="preserve"> </w:t>
            </w:r>
          </w:p>
        </w:tc>
      </w:tr>
      <w:tr w:rsidR="008A0760" w:rsidRPr="00743A20" w14:paraId="061A9106" w14:textId="77777777" w:rsidTr="008E445B">
        <w:tc>
          <w:tcPr>
            <w:tcW w:w="4788" w:type="dxa"/>
            <w:shd w:val="clear" w:color="auto" w:fill="auto"/>
          </w:tcPr>
          <w:p w14:paraId="6E39E787"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lastRenderedPageBreak/>
              <w:t>Que los límites máximos permisibles incluidos en las Tablas 2 y 4 de este instrumento normativo, corresponden a los que aparecen en la regulación europea, por lo que solamente aplican los métodos o ciclos de prueba establecidos por el Parlamento Europeo y el Consejo de la Unión Europea, así como por la Comisión Económica de las Naciones Unidas para Europa. En el caso del estándar A de la Tabla 2 aplican el Ciclo Europeo de Estado Continuo y el Ciclo Europeo de Transición, mientras que para el estándar B de dicha tabla: el Ciclo Estado Estable Mundial Armonizado de Prueba y el Ciclo Estado Transitorio Mundial Armonizado de Prueba, siendo el Nuevo Ciclo Europeo de Prueba, el único vinculado a los estándares A y B de la Tabla 4.</w:t>
            </w:r>
          </w:p>
        </w:tc>
        <w:tc>
          <w:tcPr>
            <w:tcW w:w="4788" w:type="dxa"/>
          </w:tcPr>
          <w:p w14:paraId="3E741370" w14:textId="77777777" w:rsidR="008A0760" w:rsidRPr="00356B54" w:rsidRDefault="00735A37" w:rsidP="008A0760">
            <w:pPr>
              <w:spacing w:after="101" w:line="229" w:lineRule="atLeast"/>
              <w:jc w:val="both"/>
              <w:rPr>
                <w:lang w:val="en-US"/>
              </w:rPr>
            </w:pPr>
            <w:r w:rsidRPr="00735A37">
              <w:rPr>
                <w:rFonts w:ascii="Verdana" w:hAnsi="Verdana"/>
                <w:sz w:val="16"/>
                <w:szCs w:val="16"/>
                <w:lang w:val="en-US"/>
              </w:rPr>
              <w:t xml:space="preserve">Whereas, </w:t>
            </w:r>
            <w:r w:rsidR="008A0760" w:rsidRPr="00356B54">
              <w:rPr>
                <w:rFonts w:ascii="Verdana" w:hAnsi="Verdana"/>
                <w:sz w:val="16"/>
                <w:szCs w:val="16"/>
                <w:lang w:val="en-US"/>
              </w:rPr>
              <w:t xml:space="preserve">the maximum permissible limits included in Tables 2 and 4 of this </w:t>
            </w:r>
            <w:r>
              <w:rPr>
                <w:rFonts w:ascii="Verdana" w:hAnsi="Verdana"/>
                <w:sz w:val="16"/>
                <w:szCs w:val="16"/>
                <w:lang w:val="en-US"/>
              </w:rPr>
              <w:t>regulatory standard</w:t>
            </w:r>
            <w:r w:rsidR="008A0760" w:rsidRPr="00356B54">
              <w:rPr>
                <w:rFonts w:ascii="Verdana" w:hAnsi="Verdana"/>
                <w:sz w:val="16"/>
                <w:szCs w:val="16"/>
                <w:lang w:val="en-US"/>
              </w:rPr>
              <w:t xml:space="preserve"> correspond to those that appear in European regulation</w:t>
            </w:r>
            <w:r>
              <w:rPr>
                <w:rFonts w:ascii="Verdana" w:hAnsi="Verdana"/>
                <w:sz w:val="16"/>
                <w:szCs w:val="16"/>
                <w:lang w:val="en-US"/>
              </w:rPr>
              <w:t>s</w:t>
            </w:r>
            <w:r w:rsidR="008A0760" w:rsidRPr="00356B54">
              <w:rPr>
                <w:rFonts w:ascii="Verdana" w:hAnsi="Verdana"/>
                <w:sz w:val="16"/>
                <w:szCs w:val="16"/>
                <w:lang w:val="en-US"/>
              </w:rPr>
              <w:t>, so that only the methods or test cycles established by the European Parliament and the Council of the European Union apply, as well as by the Economic Commission of the United Nations for</w:t>
            </w:r>
            <w:r w:rsidR="008A0760" w:rsidRPr="00356B54">
              <w:rPr>
                <w:lang w:val="en-US"/>
              </w:rPr>
              <w:t xml:space="preserve"> </w:t>
            </w:r>
            <w:r w:rsidR="008A0760" w:rsidRPr="00356B54">
              <w:rPr>
                <w:rFonts w:ascii="Verdana" w:hAnsi="Verdana"/>
                <w:sz w:val="16"/>
                <w:szCs w:val="16"/>
                <w:lang w:val="en-US"/>
              </w:rPr>
              <w:t>Europe.</w:t>
            </w:r>
            <w:r w:rsidR="008A0760" w:rsidRPr="00356B54">
              <w:rPr>
                <w:lang w:val="en-US"/>
              </w:rPr>
              <w:t xml:space="preserve"> </w:t>
            </w:r>
            <w:r w:rsidR="008A0760" w:rsidRPr="00356B54">
              <w:rPr>
                <w:rFonts w:ascii="Verdana" w:hAnsi="Verdana"/>
                <w:sz w:val="16"/>
                <w:szCs w:val="16"/>
                <w:lang w:val="en-US"/>
              </w:rPr>
              <w:t>In the case of standard A of Table 2, the European Continuous State Cycle and the European Transition</w:t>
            </w:r>
            <w:r>
              <w:rPr>
                <w:rFonts w:ascii="Verdana" w:hAnsi="Verdana"/>
                <w:sz w:val="16"/>
                <w:szCs w:val="16"/>
                <w:lang w:val="en-US"/>
              </w:rPr>
              <w:t>al</w:t>
            </w:r>
            <w:r w:rsidR="008A0760" w:rsidRPr="00356B54">
              <w:rPr>
                <w:rFonts w:ascii="Verdana" w:hAnsi="Verdana"/>
                <w:sz w:val="16"/>
                <w:szCs w:val="16"/>
                <w:lang w:val="en-US"/>
              </w:rPr>
              <w:t xml:space="preserve"> Cycle apply, while for Standard B of that table: the Stable World Harmonized Test Cycle and the Harmonized World Transitional State Cycle Proof, being the New European Test Cycle, the only one linked to standards A and B of Table 4.</w:t>
            </w:r>
            <w:r w:rsidR="008A0760" w:rsidRPr="00356B54">
              <w:rPr>
                <w:lang w:val="en-US"/>
              </w:rPr>
              <w:t xml:space="preserve"> </w:t>
            </w:r>
          </w:p>
        </w:tc>
      </w:tr>
      <w:tr w:rsidR="008A0760" w:rsidRPr="00743A20" w14:paraId="2837B784" w14:textId="77777777" w:rsidTr="008E445B">
        <w:tc>
          <w:tcPr>
            <w:tcW w:w="4788" w:type="dxa"/>
            <w:shd w:val="clear" w:color="auto" w:fill="auto"/>
          </w:tcPr>
          <w:p w14:paraId="443A44C8"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Que las tecnologías disponibles en el mercado para ser utilizadas en los motores nuevos a diésel y en los vehículos nuevos que los incorporan, permiten reducir significativamente las emisiones de contaminantes como las partículas y los óxidos de nitrógeno.</w:t>
            </w:r>
          </w:p>
        </w:tc>
        <w:tc>
          <w:tcPr>
            <w:tcW w:w="4788" w:type="dxa"/>
          </w:tcPr>
          <w:p w14:paraId="0A6D8FF1" w14:textId="77777777" w:rsidR="008A0760" w:rsidRPr="00356B54" w:rsidRDefault="008A0760" w:rsidP="008A0760">
            <w:pPr>
              <w:spacing w:after="101" w:line="229" w:lineRule="atLeast"/>
              <w:jc w:val="both"/>
              <w:rPr>
                <w:lang w:val="en-US"/>
              </w:rPr>
            </w:pPr>
            <w:r w:rsidRPr="00356B54">
              <w:rPr>
                <w:rFonts w:ascii="Verdana" w:hAnsi="Verdana"/>
                <w:sz w:val="16"/>
                <w:szCs w:val="16"/>
                <w:lang w:val="en-US"/>
              </w:rPr>
              <w:t xml:space="preserve">That the technologies available in the market to be used in new diesel engines and in the new vehicles that incorporate them, allow </w:t>
            </w:r>
            <w:r w:rsidR="00735A37">
              <w:rPr>
                <w:rFonts w:ascii="Verdana" w:hAnsi="Verdana"/>
                <w:sz w:val="16"/>
                <w:szCs w:val="16"/>
                <w:lang w:val="en-US"/>
              </w:rPr>
              <w:t xml:space="preserve">for </w:t>
            </w:r>
            <w:r w:rsidRPr="00356B54">
              <w:rPr>
                <w:rFonts w:ascii="Verdana" w:hAnsi="Verdana"/>
                <w:sz w:val="16"/>
                <w:szCs w:val="16"/>
                <w:lang w:val="en-US"/>
              </w:rPr>
              <w:t>significantly reduc</w:t>
            </w:r>
            <w:r w:rsidR="00735A37">
              <w:rPr>
                <w:rFonts w:ascii="Verdana" w:hAnsi="Verdana"/>
                <w:sz w:val="16"/>
                <w:szCs w:val="16"/>
                <w:lang w:val="en-US"/>
              </w:rPr>
              <w:t>ing</w:t>
            </w:r>
            <w:r w:rsidRPr="00356B54">
              <w:rPr>
                <w:rFonts w:ascii="Verdana" w:hAnsi="Verdana"/>
                <w:sz w:val="16"/>
                <w:szCs w:val="16"/>
                <w:lang w:val="en-US"/>
              </w:rPr>
              <w:t xml:space="preserve"> the emissions of pollutants such as particles and nitrogen oxides.</w:t>
            </w:r>
            <w:r w:rsidRPr="00356B54">
              <w:rPr>
                <w:lang w:val="en-US"/>
              </w:rPr>
              <w:t xml:space="preserve"> </w:t>
            </w:r>
          </w:p>
        </w:tc>
      </w:tr>
      <w:tr w:rsidR="008A0760" w:rsidRPr="00743A20" w14:paraId="6F663606" w14:textId="77777777" w:rsidTr="008E445B">
        <w:tc>
          <w:tcPr>
            <w:tcW w:w="4788" w:type="dxa"/>
            <w:shd w:val="clear" w:color="auto" w:fill="auto"/>
          </w:tcPr>
          <w:p w14:paraId="7C8807CF"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Que, en lo referente a las partículas, el parámetro de opacidad de humo se elimina, ya que éste representa una medición indirecta de las emisiones de tales contaminantes.</w:t>
            </w:r>
          </w:p>
        </w:tc>
        <w:tc>
          <w:tcPr>
            <w:tcW w:w="4788" w:type="dxa"/>
          </w:tcPr>
          <w:p w14:paraId="09A08DA2" w14:textId="77777777" w:rsidR="008A0760" w:rsidRPr="00356B54" w:rsidRDefault="00735A37" w:rsidP="008A0760">
            <w:pPr>
              <w:spacing w:after="101" w:line="229" w:lineRule="atLeast"/>
              <w:jc w:val="both"/>
              <w:rPr>
                <w:lang w:val="en-US"/>
              </w:rPr>
            </w:pPr>
            <w:r w:rsidRPr="00735A37">
              <w:rPr>
                <w:rFonts w:ascii="Verdana" w:hAnsi="Verdana"/>
                <w:sz w:val="16"/>
                <w:szCs w:val="16"/>
                <w:lang w:val="en-US"/>
              </w:rPr>
              <w:t xml:space="preserve">Whereas, </w:t>
            </w:r>
            <w:r>
              <w:rPr>
                <w:rFonts w:ascii="Verdana" w:hAnsi="Verdana"/>
                <w:sz w:val="16"/>
                <w:szCs w:val="16"/>
                <w:lang w:val="en-US"/>
              </w:rPr>
              <w:t>with</w:t>
            </w:r>
            <w:r w:rsidR="008A0760" w:rsidRPr="00356B54">
              <w:rPr>
                <w:rFonts w:ascii="Verdana" w:hAnsi="Verdana"/>
                <w:sz w:val="16"/>
                <w:szCs w:val="16"/>
                <w:lang w:val="en-US"/>
              </w:rPr>
              <w:t xml:space="preserve"> regards </w:t>
            </w:r>
            <w:r>
              <w:rPr>
                <w:rFonts w:ascii="Verdana" w:hAnsi="Verdana"/>
                <w:sz w:val="16"/>
                <w:szCs w:val="16"/>
                <w:lang w:val="en-US"/>
              </w:rPr>
              <w:t xml:space="preserve">to </w:t>
            </w:r>
            <w:r w:rsidR="008A0760" w:rsidRPr="00356B54">
              <w:rPr>
                <w:rFonts w:ascii="Verdana" w:hAnsi="Verdana"/>
                <w:sz w:val="16"/>
                <w:szCs w:val="16"/>
                <w:lang w:val="en-US"/>
              </w:rPr>
              <w:t>particles, the smoke opacity parameter is eliminated, since it represents an indirect measurement of the emissions of such pollutants.</w:t>
            </w:r>
            <w:r w:rsidR="008A0760" w:rsidRPr="00356B54">
              <w:rPr>
                <w:lang w:val="en-US"/>
              </w:rPr>
              <w:t xml:space="preserve"> </w:t>
            </w:r>
          </w:p>
        </w:tc>
      </w:tr>
      <w:tr w:rsidR="008A0760" w:rsidRPr="00743A20" w14:paraId="1042E349" w14:textId="77777777" w:rsidTr="008E445B">
        <w:tc>
          <w:tcPr>
            <w:tcW w:w="4788" w:type="dxa"/>
            <w:shd w:val="clear" w:color="auto" w:fill="auto"/>
          </w:tcPr>
          <w:p w14:paraId="3F336A88"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Que, para disminuir las emisiones de óxidos de nitrógeno, existen tecnologías disponibles en el mercado que cuentan con un sistema de reducción catalítica selectiva, en el cual se lleva a cabo una reacción química.</w:t>
            </w:r>
          </w:p>
        </w:tc>
        <w:tc>
          <w:tcPr>
            <w:tcW w:w="4788" w:type="dxa"/>
          </w:tcPr>
          <w:p w14:paraId="328AC20B" w14:textId="77777777" w:rsidR="008A0760" w:rsidRPr="00356B54" w:rsidRDefault="00735A37" w:rsidP="008A0760">
            <w:pPr>
              <w:spacing w:after="101" w:line="229" w:lineRule="atLeast"/>
              <w:jc w:val="both"/>
              <w:rPr>
                <w:lang w:val="en-US"/>
              </w:rPr>
            </w:pPr>
            <w:r w:rsidRPr="00735A37">
              <w:rPr>
                <w:rFonts w:ascii="Verdana" w:hAnsi="Verdana"/>
                <w:sz w:val="16"/>
                <w:szCs w:val="16"/>
                <w:lang w:val="en-US"/>
              </w:rPr>
              <w:t xml:space="preserve">Whereas, </w:t>
            </w:r>
            <w:r w:rsidR="008A0760" w:rsidRPr="00356B54">
              <w:rPr>
                <w:rFonts w:ascii="Verdana" w:hAnsi="Verdana"/>
                <w:sz w:val="16"/>
                <w:szCs w:val="16"/>
                <w:lang w:val="en-US"/>
              </w:rPr>
              <w:t>to reduce the emissions of nitrogen oxides, there are technologies available in the market that have a selective catalytic reduction system, in which a chemical reaction is carried out.</w:t>
            </w:r>
            <w:r w:rsidR="008A0760" w:rsidRPr="00356B54">
              <w:rPr>
                <w:lang w:val="en-US"/>
              </w:rPr>
              <w:t xml:space="preserve"> </w:t>
            </w:r>
            <w:r>
              <w:rPr>
                <w:lang w:val="en-US"/>
              </w:rPr>
              <w:t xml:space="preserve"> </w:t>
            </w:r>
          </w:p>
        </w:tc>
      </w:tr>
      <w:tr w:rsidR="008A0760" w:rsidRPr="00743A20" w14:paraId="0D52FFC0" w14:textId="77777777" w:rsidTr="008E445B">
        <w:tc>
          <w:tcPr>
            <w:tcW w:w="4788" w:type="dxa"/>
            <w:shd w:val="clear" w:color="auto" w:fill="auto"/>
          </w:tcPr>
          <w:p w14:paraId="71161F57"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Que solamente en la normatividad europea se establecen especificaciones para la urea como parte del sistema de reducción catalítica selectiva, misma que al reaccionar con los óxidos de nitrógeno, genera amoniaco como subproducto, el cual se contempla como uno de los gases contaminantes a regular en los motores nuevos a diésel y en los vehículos automotores nuevos a diésel certificados mediante los métodos o ciclos de prueba establecidos por el Parlamento Europeo y el Consejo de la Unión Europea, siendo éste el motivo por el que también se establecen límites máximos permisibles de emisión para este compuesto en particular.</w:t>
            </w:r>
          </w:p>
        </w:tc>
        <w:tc>
          <w:tcPr>
            <w:tcW w:w="4788" w:type="dxa"/>
          </w:tcPr>
          <w:p w14:paraId="78BD32CE" w14:textId="77777777" w:rsidR="008A0760" w:rsidRPr="00356B54" w:rsidRDefault="00735A37" w:rsidP="008A0760">
            <w:pPr>
              <w:spacing w:after="101" w:line="229" w:lineRule="atLeast"/>
              <w:jc w:val="both"/>
              <w:rPr>
                <w:lang w:val="en-US"/>
              </w:rPr>
            </w:pPr>
            <w:r w:rsidRPr="00735A37">
              <w:rPr>
                <w:rFonts w:ascii="Verdana" w:hAnsi="Verdana"/>
                <w:sz w:val="16"/>
                <w:szCs w:val="16"/>
                <w:lang w:val="en-US"/>
              </w:rPr>
              <w:t xml:space="preserve">Whereas, </w:t>
            </w:r>
            <w:r w:rsidR="008A0760" w:rsidRPr="00356B54">
              <w:rPr>
                <w:rFonts w:ascii="Verdana" w:hAnsi="Verdana"/>
                <w:sz w:val="16"/>
                <w:szCs w:val="16"/>
                <w:lang w:val="en-US"/>
              </w:rPr>
              <w:t xml:space="preserve">only in the European regulations for urea are </w:t>
            </w:r>
            <w:r w:rsidR="001F59CA" w:rsidRPr="00356B54">
              <w:rPr>
                <w:rFonts w:ascii="Verdana" w:hAnsi="Verdana"/>
                <w:sz w:val="16"/>
                <w:szCs w:val="16"/>
                <w:lang w:val="en-US"/>
              </w:rPr>
              <w:t xml:space="preserve">specifications </w:t>
            </w:r>
            <w:r w:rsidR="008A0760" w:rsidRPr="00356B54">
              <w:rPr>
                <w:rFonts w:ascii="Verdana" w:hAnsi="Verdana"/>
                <w:sz w:val="16"/>
                <w:szCs w:val="16"/>
                <w:lang w:val="en-US"/>
              </w:rPr>
              <w:t>established as part of the selective catalytic reduction system, which when reacting with nitrogen oxides, generate ammonia as a by-product, which is considered as one of the polluting gases to be regulated in the new diesel engines and in new diesel-powered motor vehicles certified by the methods or test cycles established by the European Parliament and the Council of the European Union, this being the reason why maximum permissible emission limits are also established for this compound in particular.</w:t>
            </w:r>
            <w:r w:rsidR="008A0760" w:rsidRPr="00356B54">
              <w:rPr>
                <w:lang w:val="en-US"/>
              </w:rPr>
              <w:t xml:space="preserve"> </w:t>
            </w:r>
            <w:r>
              <w:rPr>
                <w:lang w:val="en-US"/>
              </w:rPr>
              <w:t xml:space="preserve"> </w:t>
            </w:r>
            <w:r w:rsidR="001F59CA">
              <w:rPr>
                <w:lang w:val="en-US"/>
              </w:rPr>
              <w:t xml:space="preserve"> </w:t>
            </w:r>
          </w:p>
        </w:tc>
      </w:tr>
      <w:tr w:rsidR="008A0760" w:rsidRPr="00743A20" w14:paraId="3869C98B" w14:textId="77777777" w:rsidTr="008E445B">
        <w:tc>
          <w:tcPr>
            <w:tcW w:w="4788" w:type="dxa"/>
            <w:shd w:val="clear" w:color="auto" w:fill="auto"/>
          </w:tcPr>
          <w:p w14:paraId="442A266B"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 xml:space="preserve">Que, para garantizar una reducción efectiva de contaminantes y el uso de sistemas de diagnóstico a bordo, se actualizan los métodos de prueba, con el fin de que éstos representen de mejor manera, las </w:t>
            </w:r>
            <w:r w:rsidRPr="009E79D2">
              <w:rPr>
                <w:rFonts w:ascii="Verdana" w:hAnsi="Verdana"/>
                <w:sz w:val="16"/>
                <w:szCs w:val="16"/>
              </w:rPr>
              <w:lastRenderedPageBreak/>
              <w:t>condiciones reales de manejo a las que se someten los motores y los vehículos nuevos.</w:t>
            </w:r>
          </w:p>
        </w:tc>
        <w:tc>
          <w:tcPr>
            <w:tcW w:w="4788" w:type="dxa"/>
          </w:tcPr>
          <w:p w14:paraId="20109D28" w14:textId="77777777" w:rsidR="008A0760" w:rsidRPr="00356B54" w:rsidRDefault="001F59CA" w:rsidP="008A0760">
            <w:pPr>
              <w:spacing w:after="101" w:line="229" w:lineRule="atLeast"/>
              <w:jc w:val="both"/>
              <w:rPr>
                <w:lang w:val="en-US"/>
              </w:rPr>
            </w:pPr>
            <w:r w:rsidRPr="001F59CA">
              <w:rPr>
                <w:rFonts w:ascii="Verdana" w:hAnsi="Verdana"/>
                <w:sz w:val="16"/>
                <w:szCs w:val="16"/>
                <w:lang w:val="en-US"/>
              </w:rPr>
              <w:lastRenderedPageBreak/>
              <w:t xml:space="preserve">Whereas, </w:t>
            </w:r>
            <w:r w:rsidR="008A0760" w:rsidRPr="00356B54">
              <w:rPr>
                <w:rFonts w:ascii="Verdana" w:hAnsi="Verdana"/>
                <w:sz w:val="16"/>
                <w:szCs w:val="16"/>
                <w:lang w:val="en-US"/>
              </w:rPr>
              <w:t>in order to guarantee an effective reduction of pollutants and the use of on-board diagnostic systems, the test methods are updated in order to better represent the actual driving conditions to which the engines are subjected and the new vehicles.</w:t>
            </w:r>
            <w:r w:rsidR="008A0760" w:rsidRPr="00356B54">
              <w:rPr>
                <w:lang w:val="en-US"/>
              </w:rPr>
              <w:t xml:space="preserve"> </w:t>
            </w:r>
            <w:r>
              <w:rPr>
                <w:lang w:val="en-US"/>
              </w:rPr>
              <w:t xml:space="preserve"> </w:t>
            </w:r>
          </w:p>
        </w:tc>
      </w:tr>
      <w:tr w:rsidR="008A0760" w:rsidRPr="00743A20" w14:paraId="44D239FA" w14:textId="77777777" w:rsidTr="008E445B">
        <w:tc>
          <w:tcPr>
            <w:tcW w:w="4788" w:type="dxa"/>
            <w:shd w:val="clear" w:color="auto" w:fill="auto"/>
          </w:tcPr>
          <w:p w14:paraId="4D65B44F"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Que en el caso de los motores nuevos a diésel, la manera en la que se puede demostrar el cumplimiento con la presente norma oficial mexicana, es que éstos emitan contaminantes en niveles menores o iguales a los límites máximos permisibles contemplados en la Tabla 1 o en la Tabla 2 de esta norma oficial mexicana, en función de los métodos de prueba que se decida aplicar.</w:t>
            </w:r>
          </w:p>
        </w:tc>
        <w:tc>
          <w:tcPr>
            <w:tcW w:w="4788" w:type="dxa"/>
          </w:tcPr>
          <w:p w14:paraId="51C31A3B" w14:textId="77777777" w:rsidR="008A0760" w:rsidRPr="00356B54" w:rsidRDefault="008A0760" w:rsidP="008A0760">
            <w:pPr>
              <w:spacing w:after="101" w:line="229" w:lineRule="atLeast"/>
              <w:jc w:val="both"/>
              <w:rPr>
                <w:lang w:val="en-US"/>
              </w:rPr>
            </w:pPr>
            <w:r w:rsidRPr="00356B54">
              <w:rPr>
                <w:rFonts w:ascii="Verdana" w:hAnsi="Verdana"/>
                <w:sz w:val="16"/>
                <w:szCs w:val="16"/>
                <w:lang w:val="en-US"/>
              </w:rPr>
              <w:t>That</w:t>
            </w:r>
            <w:r w:rsidRPr="00356B54">
              <w:rPr>
                <w:lang w:val="en-US"/>
              </w:rPr>
              <w:t xml:space="preserve"> </w:t>
            </w:r>
            <w:r w:rsidRPr="00356B54">
              <w:rPr>
                <w:rFonts w:ascii="Verdana" w:hAnsi="Verdana"/>
                <w:sz w:val="16"/>
                <w:szCs w:val="16"/>
                <w:lang w:val="en-US"/>
              </w:rPr>
              <w:t xml:space="preserve">in the case of new diesel engines, the way in which compliance with this </w:t>
            </w:r>
            <w:r w:rsidR="00735A37">
              <w:rPr>
                <w:rFonts w:ascii="Verdana" w:hAnsi="Verdana"/>
                <w:sz w:val="16"/>
                <w:szCs w:val="16"/>
                <w:lang w:val="en-US"/>
              </w:rPr>
              <w:t>Official Mexican Standard</w:t>
            </w:r>
            <w:r w:rsidRPr="00356B54">
              <w:rPr>
                <w:rFonts w:ascii="Verdana" w:hAnsi="Verdana"/>
                <w:sz w:val="16"/>
                <w:szCs w:val="16"/>
                <w:lang w:val="en-US"/>
              </w:rPr>
              <w:t xml:space="preserve"> can be demonstrated is that they emit pollutants at levels less than or equal to the maximum permissible limits contemplated in Table 1 or Table 2 of this </w:t>
            </w:r>
            <w:r w:rsidR="001F59CA">
              <w:rPr>
                <w:rFonts w:ascii="Verdana" w:hAnsi="Verdana"/>
                <w:sz w:val="16"/>
                <w:szCs w:val="16"/>
                <w:lang w:val="en-US"/>
              </w:rPr>
              <w:t>Official Mexican Standard</w:t>
            </w:r>
            <w:r w:rsidRPr="00356B54">
              <w:rPr>
                <w:rFonts w:ascii="Verdana" w:hAnsi="Verdana"/>
                <w:sz w:val="16"/>
                <w:szCs w:val="16"/>
                <w:lang w:val="en-US"/>
              </w:rPr>
              <w:t xml:space="preserve">, based on the test methods that </w:t>
            </w:r>
            <w:r w:rsidR="001F59CA">
              <w:rPr>
                <w:rFonts w:ascii="Verdana" w:hAnsi="Verdana"/>
                <w:sz w:val="16"/>
                <w:szCs w:val="16"/>
                <w:lang w:val="en-US"/>
              </w:rPr>
              <w:t>are</w:t>
            </w:r>
            <w:r w:rsidRPr="00356B54">
              <w:rPr>
                <w:rFonts w:ascii="Verdana" w:hAnsi="Verdana"/>
                <w:sz w:val="16"/>
                <w:szCs w:val="16"/>
                <w:lang w:val="en-US"/>
              </w:rPr>
              <w:t xml:space="preserve"> decided </w:t>
            </w:r>
            <w:r w:rsidR="001F59CA">
              <w:rPr>
                <w:rFonts w:ascii="Verdana" w:hAnsi="Verdana"/>
                <w:sz w:val="16"/>
                <w:szCs w:val="16"/>
                <w:lang w:val="en-US"/>
              </w:rPr>
              <w:t>for application.</w:t>
            </w:r>
            <w:r w:rsidRPr="00356B54">
              <w:rPr>
                <w:lang w:val="en-US"/>
              </w:rPr>
              <w:t xml:space="preserve"> </w:t>
            </w:r>
          </w:p>
        </w:tc>
      </w:tr>
      <w:tr w:rsidR="008A0760" w:rsidRPr="00743A20" w14:paraId="1BDB8968" w14:textId="77777777" w:rsidTr="008E445B">
        <w:tc>
          <w:tcPr>
            <w:tcW w:w="4788" w:type="dxa"/>
            <w:shd w:val="clear" w:color="auto" w:fill="auto"/>
          </w:tcPr>
          <w:p w14:paraId="5006FEEA"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Que, como alternativa para los motores nuevos que se incorporan en vehículos pesados nuevos, se establece la certificación de vehículos nuevos a diésel con peso bruto vehicular entre 3,857 y 6,350 kilogramos o bien, con una masa de referencia de hasta 2,840 kilogramos, la cual contempla la ejecución de pruebas a unidades completas, ya sea a través del método de prueba denominado Ciclo en Ciudad FTP o mediante el Nuevo Ciclo Europeo de Prueba, utilizando en ellas, un dinamómetro de chasis y, por ende, éstas son aplicables, tanto a los vehículos fabricados conforme a la normatividad estadounidense, como a aquellos que fueron producidos bajo los estándares de la Unión Europea, mismos que en materia de emisión de contaminantes a la atmósfera provenientes del escape y que derivan de la combustión, deben cumplir con los límites máximos permisibles establecidos en la Tabla 3 o en la Tabla 4, según corresponda.</w:t>
            </w:r>
          </w:p>
        </w:tc>
        <w:tc>
          <w:tcPr>
            <w:tcW w:w="4788" w:type="dxa"/>
          </w:tcPr>
          <w:p w14:paraId="376E41B5" w14:textId="77777777" w:rsidR="008A0760" w:rsidRPr="00356B54" w:rsidRDefault="001F59CA" w:rsidP="008A0760">
            <w:pPr>
              <w:spacing w:after="101" w:line="229" w:lineRule="atLeast"/>
              <w:jc w:val="both"/>
              <w:rPr>
                <w:lang w:val="en-US"/>
              </w:rPr>
            </w:pPr>
            <w:r>
              <w:rPr>
                <w:rFonts w:ascii="Verdana" w:hAnsi="Verdana"/>
                <w:sz w:val="16"/>
                <w:szCs w:val="16"/>
                <w:lang w:val="en-US"/>
              </w:rPr>
              <w:t>Whereas,</w:t>
            </w:r>
            <w:r w:rsidR="008A0760" w:rsidRPr="00356B54">
              <w:rPr>
                <w:rFonts w:ascii="Verdana" w:hAnsi="Verdana"/>
                <w:sz w:val="16"/>
                <w:szCs w:val="16"/>
                <w:lang w:val="en-US"/>
              </w:rPr>
              <w:t xml:space="preserve"> as an alternative for new engines that are incorporated in new heavy vehicles, the certification of new vehicles to diesel with gross vehicle weight between 3,857 and 6,350 kilograms is established, or with a reference mass of up to 2,840 kilograms,</w:t>
            </w:r>
            <w:r w:rsidR="008A0760" w:rsidRPr="00356B54">
              <w:rPr>
                <w:lang w:val="en-US"/>
              </w:rPr>
              <w:t xml:space="preserve"> </w:t>
            </w:r>
            <w:r w:rsidR="008A0760" w:rsidRPr="00356B54">
              <w:rPr>
                <w:rFonts w:ascii="Verdana" w:hAnsi="Verdana"/>
                <w:sz w:val="16"/>
                <w:szCs w:val="16"/>
                <w:lang w:val="en-US"/>
              </w:rPr>
              <w:t>which contemplates the execution of tests to complete units, either through the test method called Cycle in FTP City or through the New European Test Cycle, using in them, a chassis dynamometer and, therefore, these are applicable, both to the vehicles manufactured in accordance with US regulations, such as those that were produced under the standards of the European Union, which in terms of emissions of pollutants into the atmosphere from the exhaust and deriving from combustion, must comply with the maximum permissible limits established in Table 3 or Table 4, as appropriate.</w:t>
            </w:r>
            <w:r w:rsidR="008A0760" w:rsidRPr="00356B54">
              <w:rPr>
                <w:lang w:val="en-US"/>
              </w:rPr>
              <w:t xml:space="preserve"> </w:t>
            </w:r>
          </w:p>
        </w:tc>
      </w:tr>
      <w:tr w:rsidR="008A0760" w:rsidRPr="00743A20" w14:paraId="69EEC8E1" w14:textId="77777777" w:rsidTr="008E445B">
        <w:tc>
          <w:tcPr>
            <w:tcW w:w="4788" w:type="dxa"/>
            <w:shd w:val="clear" w:color="auto" w:fill="auto"/>
          </w:tcPr>
          <w:p w14:paraId="50332DA7"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Que las dos opciones de certificación, para motor y chasis, cuentan con perfiles de emisión funcionalmente equivalentes, debido a que para cumplir con los estándares correspondientes, se requieren las mismas tecnologías de control de emisiones y, en consecuencia, presentan bajos niveles de emisiones.</w:t>
            </w:r>
          </w:p>
        </w:tc>
        <w:tc>
          <w:tcPr>
            <w:tcW w:w="4788" w:type="dxa"/>
          </w:tcPr>
          <w:p w14:paraId="566B3576" w14:textId="77777777" w:rsidR="008A0760" w:rsidRPr="00356B54" w:rsidRDefault="001F59CA" w:rsidP="008A0760">
            <w:pPr>
              <w:spacing w:after="101" w:line="229"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two certification options for engine and chassis, have emission profiles functionally equivalent, because</w:t>
            </w:r>
            <w:r w:rsidR="008A0760" w:rsidRPr="00356B54">
              <w:rPr>
                <w:lang w:val="en-US"/>
              </w:rPr>
              <w:t xml:space="preserve"> </w:t>
            </w:r>
            <w:r w:rsidR="008A0760" w:rsidRPr="00356B54">
              <w:rPr>
                <w:rFonts w:ascii="Verdana" w:hAnsi="Verdana"/>
                <w:sz w:val="16"/>
                <w:szCs w:val="16"/>
                <w:lang w:val="en-US"/>
              </w:rPr>
              <w:t xml:space="preserve">to meet the relevant standards, the same technologies emission control are required and therefore </w:t>
            </w:r>
            <w:r>
              <w:rPr>
                <w:rFonts w:ascii="Verdana" w:hAnsi="Verdana"/>
                <w:sz w:val="16"/>
                <w:szCs w:val="16"/>
                <w:lang w:val="en-US"/>
              </w:rPr>
              <w:t>present</w:t>
            </w:r>
            <w:r w:rsidR="008A0760" w:rsidRPr="00356B54">
              <w:rPr>
                <w:rFonts w:ascii="Verdana" w:hAnsi="Verdana"/>
                <w:sz w:val="16"/>
                <w:szCs w:val="16"/>
                <w:lang w:val="en-US"/>
              </w:rPr>
              <w:t xml:space="preserve"> low emission levels.</w:t>
            </w:r>
            <w:r w:rsidR="008A0760" w:rsidRPr="00356B54">
              <w:rPr>
                <w:lang w:val="en-US"/>
              </w:rPr>
              <w:t xml:space="preserve"> </w:t>
            </w:r>
            <w:r>
              <w:rPr>
                <w:lang w:val="en-US"/>
              </w:rPr>
              <w:t xml:space="preserve"> </w:t>
            </w:r>
          </w:p>
        </w:tc>
      </w:tr>
      <w:tr w:rsidR="008A0760" w:rsidRPr="00743A20" w14:paraId="0D5421E9" w14:textId="77777777" w:rsidTr="008E445B">
        <w:tc>
          <w:tcPr>
            <w:tcW w:w="4788" w:type="dxa"/>
            <w:shd w:val="clear" w:color="auto" w:fill="auto"/>
          </w:tcPr>
          <w:p w14:paraId="089D57DA"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Que los motores nuevos a diésel y los vehículos pesados nuevos a diésel, fabricados con las tecnologías más limpias, requieren combustible con ultra bajo azufre, para poder operar correctamente.</w:t>
            </w:r>
          </w:p>
        </w:tc>
        <w:tc>
          <w:tcPr>
            <w:tcW w:w="4788" w:type="dxa"/>
          </w:tcPr>
          <w:p w14:paraId="17400031" w14:textId="77777777" w:rsidR="008A0760" w:rsidRPr="00356B54" w:rsidRDefault="001F59CA" w:rsidP="008A0760">
            <w:pPr>
              <w:spacing w:after="101" w:line="229"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the new diesel engines and the new diesel heavy vehicles, manufactured with the cleanest technologies, require fuel with ultra low sulfur, in order to operate correctly.</w:t>
            </w:r>
            <w:r w:rsidR="008A0760" w:rsidRPr="00356B54">
              <w:rPr>
                <w:lang w:val="en-US"/>
              </w:rPr>
              <w:t xml:space="preserve"> </w:t>
            </w:r>
            <w:r>
              <w:rPr>
                <w:lang w:val="en-US"/>
              </w:rPr>
              <w:t xml:space="preserve"> </w:t>
            </w:r>
          </w:p>
        </w:tc>
      </w:tr>
      <w:tr w:rsidR="008A0760" w:rsidRPr="00743A20" w14:paraId="452C894C" w14:textId="77777777" w:rsidTr="008E445B">
        <w:tc>
          <w:tcPr>
            <w:tcW w:w="4788" w:type="dxa"/>
            <w:shd w:val="clear" w:color="auto" w:fill="auto"/>
          </w:tcPr>
          <w:p w14:paraId="6FA58D68"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Que la entrada en vigor de los estándares B de las Tablas 1, 2, 3 y 4 de esta norma oficial mexicana se efectuará cuando exista plena disponibilidad de Diésel con Ultra Bajo Azufre en el territorio nacional.</w:t>
            </w:r>
          </w:p>
        </w:tc>
        <w:tc>
          <w:tcPr>
            <w:tcW w:w="4788" w:type="dxa"/>
          </w:tcPr>
          <w:p w14:paraId="3D2EBD9A" w14:textId="77777777" w:rsidR="008A0760" w:rsidRPr="00356B54" w:rsidRDefault="001F59CA" w:rsidP="008A0760">
            <w:pPr>
              <w:spacing w:after="101" w:line="229"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 xml:space="preserve">the entry into force of standards B of Tables 1, 2, 3 and 4 of this </w:t>
            </w:r>
            <w:r w:rsidR="00735A37">
              <w:rPr>
                <w:rFonts w:ascii="Verdana" w:hAnsi="Verdana"/>
                <w:sz w:val="16"/>
                <w:szCs w:val="16"/>
                <w:lang w:val="en-US"/>
              </w:rPr>
              <w:t>Official Mexican Standard</w:t>
            </w:r>
            <w:r w:rsidR="008A0760" w:rsidRPr="00356B54">
              <w:rPr>
                <w:rFonts w:ascii="Verdana" w:hAnsi="Verdana"/>
                <w:sz w:val="16"/>
                <w:szCs w:val="16"/>
                <w:lang w:val="en-US"/>
              </w:rPr>
              <w:t xml:space="preserve"> will be made when there is full availability of Diesel with Ultra Low Sulfur in the national territory.</w:t>
            </w:r>
            <w:r w:rsidR="008A0760" w:rsidRPr="00356B54">
              <w:rPr>
                <w:lang w:val="en-US"/>
              </w:rPr>
              <w:t xml:space="preserve"> </w:t>
            </w:r>
          </w:p>
        </w:tc>
      </w:tr>
      <w:tr w:rsidR="008A0760" w:rsidRPr="00743A20" w14:paraId="67DBD107" w14:textId="77777777" w:rsidTr="008E445B">
        <w:tc>
          <w:tcPr>
            <w:tcW w:w="4788" w:type="dxa"/>
            <w:shd w:val="clear" w:color="auto" w:fill="auto"/>
          </w:tcPr>
          <w:p w14:paraId="589C05F8" w14:textId="77777777" w:rsidR="008A0760" w:rsidRPr="009E79D2" w:rsidRDefault="008A0760" w:rsidP="008A0760">
            <w:pPr>
              <w:pStyle w:val="Texto"/>
              <w:spacing w:line="229" w:lineRule="exact"/>
              <w:ind w:firstLine="0"/>
              <w:rPr>
                <w:rFonts w:ascii="Verdana" w:hAnsi="Verdana"/>
                <w:sz w:val="16"/>
                <w:szCs w:val="16"/>
              </w:rPr>
            </w:pPr>
            <w:r w:rsidRPr="009E79D2">
              <w:rPr>
                <w:rFonts w:ascii="Verdana" w:hAnsi="Verdana"/>
                <w:sz w:val="16"/>
                <w:szCs w:val="16"/>
              </w:rPr>
              <w:t xml:space="preserve">Que el 1 de enero de 2019, después de más de 10 años de que en México habrán estado aplicando los mismos estándares para los motores nuevos a diésel, estarán entrando en vigor los estándares B contemplados en las Tablas 1, 2, 3 y 4 de la presente norma oficial mexicana, hecho que representa un cambio tecnológico significativo, sobre todo, porque en los Estados Unidos </w:t>
            </w:r>
            <w:r w:rsidRPr="009E79D2">
              <w:rPr>
                <w:rFonts w:ascii="Verdana" w:hAnsi="Verdana"/>
                <w:sz w:val="16"/>
                <w:szCs w:val="16"/>
              </w:rPr>
              <w:lastRenderedPageBreak/>
              <w:t>de América y en la Unión Europea existieron, en su momento, límites máximos permisibles de mayor rigor a los que están asociados a los estándares A de este instrumento normativo, pero más laxos que aquellos vinculados a los estándares B, cuya vigencia iniciará, en el territorio nacional, en la fecha arriba citada.</w:t>
            </w:r>
          </w:p>
        </w:tc>
        <w:tc>
          <w:tcPr>
            <w:tcW w:w="4788" w:type="dxa"/>
          </w:tcPr>
          <w:p w14:paraId="749DE15E" w14:textId="77777777" w:rsidR="008A0760" w:rsidRPr="00356B54" w:rsidRDefault="001F59CA" w:rsidP="008A0760">
            <w:pPr>
              <w:spacing w:after="101" w:line="229" w:lineRule="atLeast"/>
              <w:jc w:val="both"/>
              <w:rPr>
                <w:lang w:val="en-US"/>
              </w:rPr>
            </w:pPr>
            <w:r w:rsidRPr="001F59CA">
              <w:rPr>
                <w:rFonts w:ascii="Verdana" w:hAnsi="Verdana"/>
                <w:sz w:val="16"/>
                <w:szCs w:val="16"/>
                <w:lang w:val="en-US"/>
              </w:rPr>
              <w:lastRenderedPageBreak/>
              <w:t xml:space="preserve">Whereas, </w:t>
            </w:r>
            <w:r w:rsidR="008A0760" w:rsidRPr="00356B54">
              <w:rPr>
                <w:rFonts w:ascii="Verdana" w:hAnsi="Verdana"/>
                <w:sz w:val="16"/>
                <w:szCs w:val="16"/>
                <w:lang w:val="en-US"/>
              </w:rPr>
              <w:t xml:space="preserve">on January 1, 2019, after more than 10 years that Mexico will have been applying the same standards for new diesel engines, the B standards contemplated in Tables 1, 2, 3 and 4 will be in force. </w:t>
            </w:r>
            <w:r w:rsidR="00A66C6A">
              <w:rPr>
                <w:rFonts w:ascii="Verdana" w:hAnsi="Verdana"/>
                <w:sz w:val="16"/>
                <w:szCs w:val="16"/>
                <w:lang w:val="en-US"/>
              </w:rPr>
              <w:t>this</w:t>
            </w:r>
            <w:r w:rsidR="008A0760" w:rsidRPr="00356B54">
              <w:rPr>
                <w:rFonts w:ascii="Verdana" w:hAnsi="Verdana"/>
                <w:sz w:val="16"/>
                <w:szCs w:val="16"/>
                <w:lang w:val="en-US"/>
              </w:rPr>
              <w:t xml:space="preserve"> </w:t>
            </w:r>
            <w:r w:rsidR="00735A37">
              <w:rPr>
                <w:rFonts w:ascii="Verdana" w:hAnsi="Verdana"/>
                <w:sz w:val="16"/>
                <w:szCs w:val="16"/>
                <w:lang w:val="en-US"/>
              </w:rPr>
              <w:t>Official Mexican Standard</w:t>
            </w:r>
            <w:r w:rsidR="008A0760" w:rsidRPr="00356B54">
              <w:rPr>
                <w:rFonts w:ascii="Verdana" w:hAnsi="Verdana"/>
                <w:sz w:val="16"/>
                <w:szCs w:val="16"/>
                <w:lang w:val="en-US"/>
              </w:rPr>
              <w:t xml:space="preserve">, a fact that represents a significant technological change, above all, because in the United States of America and the European Union there </w:t>
            </w:r>
            <w:r w:rsidR="008A0760" w:rsidRPr="00356B54">
              <w:rPr>
                <w:rFonts w:ascii="Verdana" w:hAnsi="Verdana"/>
                <w:sz w:val="16"/>
                <w:szCs w:val="16"/>
                <w:lang w:val="en-US"/>
              </w:rPr>
              <w:lastRenderedPageBreak/>
              <w:t xml:space="preserve">existed, at the time, maximum permissible limits of greater rigor to those associated with standards A of this </w:t>
            </w:r>
            <w:r w:rsidR="00735A37">
              <w:rPr>
                <w:rFonts w:ascii="Verdana" w:hAnsi="Verdana"/>
                <w:sz w:val="16"/>
                <w:szCs w:val="16"/>
                <w:lang w:val="en-US"/>
              </w:rPr>
              <w:t>regulatory standard</w:t>
            </w:r>
            <w:r w:rsidR="008A0760" w:rsidRPr="00356B54">
              <w:rPr>
                <w:rFonts w:ascii="Verdana" w:hAnsi="Verdana"/>
                <w:sz w:val="16"/>
                <w:szCs w:val="16"/>
                <w:lang w:val="en-US"/>
              </w:rPr>
              <w:t xml:space="preserve">, but </w:t>
            </w:r>
            <w:r>
              <w:rPr>
                <w:rFonts w:ascii="Verdana" w:hAnsi="Verdana"/>
                <w:sz w:val="16"/>
                <w:szCs w:val="16"/>
                <w:lang w:val="en-US"/>
              </w:rPr>
              <w:t>laxer</w:t>
            </w:r>
            <w:r w:rsidR="008A0760" w:rsidRPr="00356B54">
              <w:rPr>
                <w:rFonts w:ascii="Verdana" w:hAnsi="Verdana"/>
                <w:sz w:val="16"/>
                <w:szCs w:val="16"/>
                <w:lang w:val="en-US"/>
              </w:rPr>
              <w:t xml:space="preserve"> than those linked to standards B, whose validity will begin, in the national territory, on the date cited above.</w:t>
            </w:r>
            <w:r w:rsidR="008A0760" w:rsidRPr="00356B54">
              <w:rPr>
                <w:lang w:val="en-US"/>
              </w:rPr>
              <w:t xml:space="preserve"> </w:t>
            </w:r>
          </w:p>
        </w:tc>
      </w:tr>
      <w:tr w:rsidR="008A0760" w:rsidRPr="00743A20" w14:paraId="1F86F639" w14:textId="77777777" w:rsidTr="008E445B">
        <w:tc>
          <w:tcPr>
            <w:tcW w:w="4788" w:type="dxa"/>
            <w:shd w:val="clear" w:color="auto" w:fill="auto"/>
          </w:tcPr>
          <w:p w14:paraId="76EED960" w14:textId="77777777" w:rsidR="008A0760" w:rsidRPr="009E79D2" w:rsidRDefault="008A0760" w:rsidP="008A0760">
            <w:pPr>
              <w:pStyle w:val="Texto"/>
              <w:spacing w:line="236" w:lineRule="exact"/>
              <w:ind w:firstLine="0"/>
              <w:rPr>
                <w:rFonts w:ascii="Verdana" w:hAnsi="Verdana"/>
                <w:sz w:val="16"/>
                <w:szCs w:val="16"/>
              </w:rPr>
            </w:pPr>
            <w:r w:rsidRPr="009E79D2">
              <w:rPr>
                <w:rFonts w:ascii="Verdana" w:hAnsi="Verdana"/>
                <w:sz w:val="16"/>
                <w:szCs w:val="16"/>
              </w:rPr>
              <w:lastRenderedPageBreak/>
              <w:t>Que dicho cambio tecnológico puede fortalecerse a través de la aplicación de estándares de transición, los cuales aplicarán de manera simultánea a los estándares B contemplados en las Tablas 1, 2, 3 y 4 de la presente norma oficial mexicana, aunque por un periodo acotado de tiempo; esto, con el propósito de que se realicen los ajustes que resulten pertinentes, derivados de la propia transición tecnológica en nuestro país.</w:t>
            </w:r>
          </w:p>
        </w:tc>
        <w:tc>
          <w:tcPr>
            <w:tcW w:w="4788" w:type="dxa"/>
          </w:tcPr>
          <w:p w14:paraId="44161DED" w14:textId="77777777" w:rsidR="008A0760" w:rsidRPr="00356B54" w:rsidRDefault="001F59CA" w:rsidP="008A0760">
            <w:pPr>
              <w:spacing w:after="101" w:line="236"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 xml:space="preserve">said technological change can be strengthened through the application of transition standards, which will apply simultaneously to the B standards contemplated in Tables 1, 2, 3 and 4 of this </w:t>
            </w:r>
            <w:r w:rsidR="00735A37">
              <w:rPr>
                <w:rFonts w:ascii="Verdana" w:hAnsi="Verdana"/>
                <w:sz w:val="16"/>
                <w:szCs w:val="16"/>
                <w:lang w:val="en-US"/>
              </w:rPr>
              <w:t>Official Mexican Standard</w:t>
            </w:r>
            <w:r w:rsidR="008A0760" w:rsidRPr="00356B54">
              <w:rPr>
                <w:rFonts w:ascii="Verdana" w:hAnsi="Verdana"/>
                <w:sz w:val="16"/>
                <w:szCs w:val="16"/>
                <w:lang w:val="en-US"/>
              </w:rPr>
              <w:t>, although for a limited period of time. weather;</w:t>
            </w:r>
            <w:r w:rsidR="008A0760" w:rsidRPr="00356B54">
              <w:rPr>
                <w:lang w:val="en-US"/>
              </w:rPr>
              <w:t xml:space="preserve"> </w:t>
            </w:r>
            <w:r w:rsidR="008A0760" w:rsidRPr="00356B54">
              <w:rPr>
                <w:rFonts w:ascii="Verdana" w:hAnsi="Verdana"/>
                <w:sz w:val="16"/>
                <w:szCs w:val="16"/>
                <w:lang w:val="en-US"/>
              </w:rPr>
              <w:t>this, with the purpose of making the adjustments that are relevant, derived from the technological transition in our country.</w:t>
            </w:r>
            <w:r w:rsidR="008A0760" w:rsidRPr="00356B54">
              <w:rPr>
                <w:lang w:val="en-US"/>
              </w:rPr>
              <w:t xml:space="preserve"> </w:t>
            </w:r>
            <w:r>
              <w:rPr>
                <w:lang w:val="en-US"/>
              </w:rPr>
              <w:t xml:space="preserve"> </w:t>
            </w:r>
          </w:p>
        </w:tc>
      </w:tr>
      <w:tr w:rsidR="008A0760" w:rsidRPr="00743A20" w14:paraId="10DB27A8" w14:textId="77777777" w:rsidTr="008E445B">
        <w:tc>
          <w:tcPr>
            <w:tcW w:w="4788" w:type="dxa"/>
            <w:shd w:val="clear" w:color="auto" w:fill="auto"/>
          </w:tcPr>
          <w:p w14:paraId="17A0BC7B" w14:textId="77777777" w:rsidR="008A0760" w:rsidRPr="009E79D2" w:rsidRDefault="008A0760" w:rsidP="008A0760">
            <w:pPr>
              <w:pStyle w:val="Texto"/>
              <w:spacing w:line="236" w:lineRule="exact"/>
              <w:ind w:firstLine="0"/>
              <w:rPr>
                <w:rFonts w:ascii="Verdana" w:hAnsi="Verdana"/>
                <w:sz w:val="16"/>
                <w:szCs w:val="16"/>
              </w:rPr>
            </w:pPr>
            <w:r w:rsidRPr="009E79D2">
              <w:rPr>
                <w:rFonts w:ascii="Verdana" w:hAnsi="Verdana"/>
                <w:sz w:val="16"/>
                <w:szCs w:val="16"/>
              </w:rPr>
              <w:t>Que, por tal motivo, los estándares AA que se contemplan en esta norma oficial mexicana también entrarán en vigor el 1 de enero de 2019, pero su vigencia concluirá el 31 de diciembre de 2020.</w:t>
            </w:r>
          </w:p>
        </w:tc>
        <w:tc>
          <w:tcPr>
            <w:tcW w:w="4788" w:type="dxa"/>
          </w:tcPr>
          <w:p w14:paraId="0C6B7103" w14:textId="77777777" w:rsidR="008A0760" w:rsidRPr="00356B54" w:rsidRDefault="001F59CA" w:rsidP="008A0760">
            <w:pPr>
              <w:spacing w:after="101" w:line="236" w:lineRule="atLeast"/>
              <w:jc w:val="both"/>
              <w:rPr>
                <w:lang w:val="en-US"/>
              </w:rPr>
            </w:pPr>
            <w:r w:rsidRPr="001F59CA">
              <w:rPr>
                <w:rFonts w:ascii="Verdana" w:hAnsi="Verdana"/>
                <w:sz w:val="16"/>
                <w:szCs w:val="16"/>
                <w:lang w:val="en-US"/>
              </w:rPr>
              <w:t>Whereas,</w:t>
            </w:r>
            <w:r>
              <w:rPr>
                <w:rFonts w:ascii="Verdana" w:hAnsi="Verdana"/>
                <w:sz w:val="16"/>
                <w:szCs w:val="16"/>
                <w:lang w:val="en-US"/>
              </w:rPr>
              <w:t xml:space="preserve"> </w:t>
            </w:r>
            <w:r w:rsidR="008A0760" w:rsidRPr="00356B54">
              <w:rPr>
                <w:rFonts w:ascii="Verdana" w:hAnsi="Verdana"/>
                <w:sz w:val="16"/>
                <w:szCs w:val="16"/>
                <w:lang w:val="en-US"/>
              </w:rPr>
              <w:t xml:space="preserve">for this reason, the AA standards contemplated in this </w:t>
            </w:r>
            <w:r>
              <w:rPr>
                <w:rFonts w:ascii="Verdana" w:hAnsi="Verdana"/>
                <w:sz w:val="16"/>
                <w:szCs w:val="16"/>
                <w:lang w:val="en-US"/>
              </w:rPr>
              <w:t>Official Mexican Standard</w:t>
            </w:r>
            <w:r w:rsidR="008A0760" w:rsidRPr="00356B54">
              <w:rPr>
                <w:rFonts w:ascii="Verdana" w:hAnsi="Verdana"/>
                <w:sz w:val="16"/>
                <w:szCs w:val="16"/>
                <w:lang w:val="en-US"/>
              </w:rPr>
              <w:t xml:space="preserve"> will also come into force on January 1, 2019, but its validity will end on December 31, 2020.</w:t>
            </w:r>
            <w:r w:rsidR="008A0760" w:rsidRPr="00356B54">
              <w:rPr>
                <w:lang w:val="en-US"/>
              </w:rPr>
              <w:t xml:space="preserve"> </w:t>
            </w:r>
          </w:p>
        </w:tc>
      </w:tr>
      <w:tr w:rsidR="008A0760" w:rsidRPr="00743A20" w14:paraId="2ADBB532" w14:textId="77777777" w:rsidTr="008E445B">
        <w:tc>
          <w:tcPr>
            <w:tcW w:w="4788" w:type="dxa"/>
            <w:shd w:val="clear" w:color="auto" w:fill="auto"/>
          </w:tcPr>
          <w:p w14:paraId="428D07E9" w14:textId="77777777" w:rsidR="008A0760" w:rsidRPr="009E79D2" w:rsidRDefault="008A0760" w:rsidP="008A0760">
            <w:pPr>
              <w:pStyle w:val="Texto"/>
              <w:spacing w:line="236" w:lineRule="exact"/>
              <w:ind w:firstLine="0"/>
              <w:rPr>
                <w:rFonts w:ascii="Verdana" w:hAnsi="Verdana"/>
                <w:sz w:val="16"/>
                <w:szCs w:val="16"/>
              </w:rPr>
            </w:pPr>
            <w:r w:rsidRPr="009E79D2">
              <w:rPr>
                <w:rFonts w:ascii="Verdana" w:hAnsi="Verdana"/>
                <w:sz w:val="16"/>
                <w:szCs w:val="16"/>
              </w:rPr>
              <w:t>Que los estándares AA sólo se incluyen en las Tablas 1, 2 y 4 de esta norma oficial mexicana, dado que no existe un estándar de transición asociado a la Tabla 3.</w:t>
            </w:r>
          </w:p>
        </w:tc>
        <w:tc>
          <w:tcPr>
            <w:tcW w:w="4788" w:type="dxa"/>
          </w:tcPr>
          <w:p w14:paraId="3775521B" w14:textId="77777777" w:rsidR="008A0760" w:rsidRPr="00356B54" w:rsidRDefault="001F59CA" w:rsidP="008A0760">
            <w:pPr>
              <w:spacing w:after="101" w:line="236"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 xml:space="preserve">the AA standards are only included in Tables 1, 2 and 4 of this </w:t>
            </w:r>
            <w:r w:rsidR="00735A37">
              <w:rPr>
                <w:rFonts w:ascii="Verdana" w:hAnsi="Verdana"/>
                <w:sz w:val="16"/>
                <w:szCs w:val="16"/>
                <w:lang w:val="en-US"/>
              </w:rPr>
              <w:t>Official Mexican Standard</w:t>
            </w:r>
            <w:r w:rsidR="008A0760" w:rsidRPr="00356B54">
              <w:rPr>
                <w:rFonts w:ascii="Verdana" w:hAnsi="Verdana"/>
                <w:sz w:val="16"/>
                <w:szCs w:val="16"/>
                <w:lang w:val="en-US"/>
              </w:rPr>
              <w:t>, since there is no transition standard associated with Table 3.</w:t>
            </w:r>
            <w:r w:rsidR="008A0760" w:rsidRPr="00356B54">
              <w:rPr>
                <w:lang w:val="en-US"/>
              </w:rPr>
              <w:t xml:space="preserve"> </w:t>
            </w:r>
            <w:r>
              <w:rPr>
                <w:lang w:val="en-US"/>
              </w:rPr>
              <w:t xml:space="preserve"> </w:t>
            </w:r>
          </w:p>
        </w:tc>
      </w:tr>
      <w:tr w:rsidR="008A0760" w:rsidRPr="00743A20" w14:paraId="4F9288D9" w14:textId="77777777" w:rsidTr="008E445B">
        <w:tc>
          <w:tcPr>
            <w:tcW w:w="4788" w:type="dxa"/>
            <w:shd w:val="clear" w:color="auto" w:fill="auto"/>
          </w:tcPr>
          <w:p w14:paraId="49C2FB68" w14:textId="77777777" w:rsidR="008A0760" w:rsidRPr="009E79D2" w:rsidRDefault="008A0760" w:rsidP="008A0760">
            <w:pPr>
              <w:pStyle w:val="Texto"/>
              <w:spacing w:line="236" w:lineRule="exact"/>
              <w:ind w:firstLine="0"/>
              <w:rPr>
                <w:rFonts w:ascii="Verdana" w:hAnsi="Verdana"/>
                <w:sz w:val="16"/>
                <w:szCs w:val="16"/>
              </w:rPr>
            </w:pPr>
            <w:r w:rsidRPr="009E79D2">
              <w:rPr>
                <w:rFonts w:ascii="Verdana" w:hAnsi="Verdana"/>
                <w:sz w:val="16"/>
                <w:szCs w:val="16"/>
              </w:rPr>
              <w:t>Que los métodos de prueba a utilizar para determinar si se cumple con los límites máximos permisibles asociados a los estándares AA, son los mismos que aplican para los estándares A de las Tablas 1, 2 y 4 de la presente norma oficial mexicana, según corresponda.</w:t>
            </w:r>
          </w:p>
        </w:tc>
        <w:tc>
          <w:tcPr>
            <w:tcW w:w="4788" w:type="dxa"/>
          </w:tcPr>
          <w:p w14:paraId="5833A01E" w14:textId="77777777" w:rsidR="008A0760" w:rsidRPr="00356B54" w:rsidRDefault="001F59CA" w:rsidP="008A0760">
            <w:pPr>
              <w:spacing w:after="101" w:line="236"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 xml:space="preserve">the test methods to be used to determine if the maximum permissible limits associated with the AA standards are met, are the same as those applied for standards A of Tables 1, 2 and 4 of this </w:t>
            </w:r>
            <w:r w:rsidR="00735A37">
              <w:rPr>
                <w:rFonts w:ascii="Verdana" w:hAnsi="Verdana"/>
                <w:sz w:val="16"/>
                <w:szCs w:val="16"/>
                <w:lang w:val="en-US"/>
              </w:rPr>
              <w:t>Official Mexican Standard</w:t>
            </w:r>
            <w:r w:rsidR="008A0760" w:rsidRPr="00356B54">
              <w:rPr>
                <w:rFonts w:ascii="Verdana" w:hAnsi="Verdana"/>
                <w:sz w:val="16"/>
                <w:szCs w:val="16"/>
                <w:lang w:val="en-US"/>
              </w:rPr>
              <w:t>, as applicable.</w:t>
            </w:r>
            <w:r w:rsidR="008A0760" w:rsidRPr="00356B54">
              <w:rPr>
                <w:lang w:val="en-US"/>
              </w:rPr>
              <w:t xml:space="preserve"> </w:t>
            </w:r>
            <w:r>
              <w:rPr>
                <w:lang w:val="en-US"/>
              </w:rPr>
              <w:t xml:space="preserve"> </w:t>
            </w:r>
          </w:p>
        </w:tc>
      </w:tr>
      <w:tr w:rsidR="008A0760" w:rsidRPr="00743A20" w14:paraId="773B9AE2" w14:textId="77777777" w:rsidTr="008E445B">
        <w:tc>
          <w:tcPr>
            <w:tcW w:w="4788" w:type="dxa"/>
            <w:shd w:val="clear" w:color="auto" w:fill="auto"/>
          </w:tcPr>
          <w:p w14:paraId="4398C087" w14:textId="77777777" w:rsidR="008A0760" w:rsidRPr="009E79D2" w:rsidRDefault="008A0760" w:rsidP="008A0760">
            <w:pPr>
              <w:pStyle w:val="Texto"/>
              <w:spacing w:line="236" w:lineRule="exact"/>
              <w:ind w:firstLine="0"/>
              <w:rPr>
                <w:rFonts w:ascii="Verdana" w:hAnsi="Verdana"/>
                <w:sz w:val="16"/>
                <w:szCs w:val="16"/>
              </w:rPr>
            </w:pPr>
            <w:r w:rsidRPr="009E79D2">
              <w:rPr>
                <w:rFonts w:ascii="Verdana" w:hAnsi="Verdana"/>
                <w:sz w:val="16"/>
                <w:szCs w:val="16"/>
              </w:rPr>
              <w:t>Que, en relación a los estándares AA de las Tablas 2 y 4 de la presente norma oficial mexicana también son exigibles especificaciones asociadas al Sistema de Diagnóstico a Bordo, e incluso, en lo referente al sistema de control de óxidos de nitrógeno, siempre y cuando los motores nuevos a diésel o los vehículos automotores nuevos a diésel que los incorporen, cuenten con un sistema de reducción catalítica selectiva.</w:t>
            </w:r>
          </w:p>
        </w:tc>
        <w:tc>
          <w:tcPr>
            <w:tcW w:w="4788" w:type="dxa"/>
          </w:tcPr>
          <w:p w14:paraId="561ED0C3" w14:textId="77777777" w:rsidR="008A0760" w:rsidRPr="00356B54" w:rsidRDefault="001F59CA" w:rsidP="008A0760">
            <w:pPr>
              <w:spacing w:after="101" w:line="236"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in relation to</w:t>
            </w:r>
            <w:r w:rsidR="008A0760" w:rsidRPr="00356B54">
              <w:rPr>
                <w:lang w:val="en-US"/>
              </w:rPr>
              <w:t xml:space="preserve"> </w:t>
            </w:r>
            <w:r w:rsidR="008A0760" w:rsidRPr="00356B54">
              <w:rPr>
                <w:rFonts w:ascii="Verdana" w:hAnsi="Verdana"/>
                <w:sz w:val="16"/>
                <w:szCs w:val="16"/>
                <w:lang w:val="en-US"/>
              </w:rPr>
              <w:t xml:space="preserve">the AA standards of Tables 2 and 4 of this </w:t>
            </w:r>
            <w:r w:rsidR="00735A37">
              <w:rPr>
                <w:rFonts w:ascii="Verdana" w:hAnsi="Verdana"/>
                <w:sz w:val="16"/>
                <w:szCs w:val="16"/>
                <w:lang w:val="en-US"/>
              </w:rPr>
              <w:t>Official Mexican Standard</w:t>
            </w:r>
            <w:r w:rsidR="008A0760" w:rsidRPr="00356B54">
              <w:rPr>
                <w:rFonts w:ascii="Verdana" w:hAnsi="Verdana"/>
                <w:sz w:val="16"/>
                <w:szCs w:val="16"/>
                <w:lang w:val="en-US"/>
              </w:rPr>
              <w:t>, specifications associated with the On-Board Diagnostic System are also required, and even in relation to the nitrogen oxides control system, as long as new diesel engines or new diesel vehicles that incorporate them, have a selective catalytic reduction system.</w:t>
            </w:r>
            <w:r w:rsidR="008A0760" w:rsidRPr="00356B54">
              <w:rPr>
                <w:lang w:val="en-US"/>
              </w:rPr>
              <w:t xml:space="preserve"> </w:t>
            </w:r>
            <w:r>
              <w:rPr>
                <w:lang w:val="en-US"/>
              </w:rPr>
              <w:t xml:space="preserve"> </w:t>
            </w:r>
          </w:p>
        </w:tc>
      </w:tr>
      <w:tr w:rsidR="008A0760" w:rsidRPr="00743A20" w14:paraId="27DE83A7" w14:textId="77777777" w:rsidTr="008E445B">
        <w:tc>
          <w:tcPr>
            <w:tcW w:w="4788" w:type="dxa"/>
            <w:shd w:val="clear" w:color="auto" w:fill="auto"/>
          </w:tcPr>
          <w:p w14:paraId="44B1CC55" w14:textId="77777777" w:rsidR="008A0760" w:rsidRPr="009E79D2" w:rsidRDefault="008A0760" w:rsidP="008A0760">
            <w:pPr>
              <w:pStyle w:val="Texto"/>
              <w:spacing w:line="236" w:lineRule="exact"/>
              <w:ind w:firstLine="0"/>
              <w:rPr>
                <w:rFonts w:ascii="Verdana" w:hAnsi="Verdana"/>
                <w:sz w:val="16"/>
                <w:szCs w:val="16"/>
              </w:rPr>
            </w:pPr>
            <w:r w:rsidRPr="009E79D2">
              <w:rPr>
                <w:rFonts w:ascii="Verdana" w:hAnsi="Verdana"/>
                <w:sz w:val="16"/>
                <w:szCs w:val="16"/>
              </w:rPr>
              <w:t xml:space="preserve">Que entre las especificaciones adicionales aplicables a los estándares A, AA y B de la presente norma oficial mexicana, se encuentra el requisito de vida útil, el cual se obtiene de las pruebas de durabilidad, la cual puede ser expresada como distancia (kilómetros) y tiempo (años), a las que son sometidos los motores nuevos a diésel y los vehículos nuevos que los incorporen, durante el proceso de certificación; esto, con el propósito de determinar la eficiencia de sus respectivos sistemas de control de emisiones y, debido a que la durabilidad depende del peso bruto vehicular, del tipo </w:t>
            </w:r>
            <w:r w:rsidRPr="009E79D2">
              <w:rPr>
                <w:rFonts w:ascii="Verdana" w:hAnsi="Verdana"/>
                <w:sz w:val="16"/>
                <w:szCs w:val="16"/>
              </w:rPr>
              <w:lastRenderedPageBreak/>
              <w:t>de estándar y del ciclo de prueba a emplear, este parámetro variará en función de tales factores.</w:t>
            </w:r>
          </w:p>
        </w:tc>
        <w:tc>
          <w:tcPr>
            <w:tcW w:w="4788" w:type="dxa"/>
          </w:tcPr>
          <w:p w14:paraId="73F8B902" w14:textId="77777777" w:rsidR="008A0760" w:rsidRPr="00356B54" w:rsidRDefault="001F59CA" w:rsidP="008A0760">
            <w:pPr>
              <w:spacing w:after="101" w:line="236" w:lineRule="atLeast"/>
              <w:jc w:val="both"/>
              <w:rPr>
                <w:lang w:val="en-US"/>
              </w:rPr>
            </w:pPr>
            <w:r w:rsidRPr="001F59CA">
              <w:rPr>
                <w:rFonts w:ascii="Verdana" w:hAnsi="Verdana"/>
                <w:sz w:val="16"/>
                <w:szCs w:val="16"/>
                <w:lang w:val="en-US"/>
              </w:rPr>
              <w:lastRenderedPageBreak/>
              <w:t xml:space="preserve">Whereas, </w:t>
            </w:r>
            <w:r w:rsidR="008A0760" w:rsidRPr="00356B54">
              <w:rPr>
                <w:rFonts w:ascii="Verdana" w:hAnsi="Verdana"/>
                <w:sz w:val="16"/>
                <w:szCs w:val="16"/>
                <w:lang w:val="en-US"/>
              </w:rPr>
              <w:t xml:space="preserve">among the additional specifications applicable to standards A, AA and B of this </w:t>
            </w:r>
            <w:r w:rsidR="00735A37">
              <w:rPr>
                <w:rFonts w:ascii="Verdana" w:hAnsi="Verdana"/>
                <w:sz w:val="16"/>
                <w:szCs w:val="16"/>
                <w:lang w:val="en-US"/>
              </w:rPr>
              <w:t>Official Mexican Standard</w:t>
            </w:r>
            <w:r w:rsidR="008A0760" w:rsidRPr="00356B54">
              <w:rPr>
                <w:rFonts w:ascii="Verdana" w:hAnsi="Verdana"/>
                <w:sz w:val="16"/>
                <w:szCs w:val="16"/>
                <w:lang w:val="en-US"/>
              </w:rPr>
              <w:t>, is the requirement of useful life, which is obtained from the durability tests, which can be expressed as distance (kilometers) and time (years), to which the new diesel engines and the new vehicles that incorporate them are submitted, during the certification process;</w:t>
            </w:r>
            <w:r w:rsidR="008A0760" w:rsidRPr="00356B54">
              <w:rPr>
                <w:lang w:val="en-US"/>
              </w:rPr>
              <w:t xml:space="preserve"> </w:t>
            </w:r>
            <w:r w:rsidR="008A0760" w:rsidRPr="00356B54">
              <w:rPr>
                <w:rFonts w:ascii="Verdana" w:hAnsi="Verdana"/>
                <w:sz w:val="16"/>
                <w:szCs w:val="16"/>
                <w:lang w:val="en-US"/>
              </w:rPr>
              <w:t>this, in order to determine the efficiency of their respective emission control systems and, because the durability depends on the gross vehicle weight, the type of standard and the test cycle to be used, this parameter will vary depending on such factors</w:t>
            </w:r>
            <w:r>
              <w:rPr>
                <w:rFonts w:ascii="Verdana" w:hAnsi="Verdana"/>
                <w:sz w:val="16"/>
                <w:szCs w:val="16"/>
                <w:lang w:val="en-US"/>
              </w:rPr>
              <w:t xml:space="preserve">. </w:t>
            </w:r>
          </w:p>
        </w:tc>
      </w:tr>
      <w:tr w:rsidR="008A0760" w:rsidRPr="00743A20" w14:paraId="5A99BDB1" w14:textId="77777777" w:rsidTr="008E445B">
        <w:tc>
          <w:tcPr>
            <w:tcW w:w="4788" w:type="dxa"/>
            <w:shd w:val="clear" w:color="auto" w:fill="auto"/>
          </w:tcPr>
          <w:p w14:paraId="1E6D764F" w14:textId="77777777" w:rsidR="008A0760" w:rsidRPr="009E79D2" w:rsidRDefault="008A0760" w:rsidP="008A0760">
            <w:pPr>
              <w:pStyle w:val="Texto"/>
              <w:spacing w:line="237" w:lineRule="exact"/>
              <w:ind w:firstLine="0"/>
              <w:rPr>
                <w:rFonts w:ascii="Verdana" w:hAnsi="Verdana"/>
                <w:sz w:val="16"/>
                <w:szCs w:val="16"/>
              </w:rPr>
            </w:pPr>
            <w:r w:rsidRPr="009E79D2">
              <w:rPr>
                <w:rFonts w:ascii="Verdana" w:hAnsi="Verdana"/>
                <w:sz w:val="16"/>
                <w:szCs w:val="16"/>
              </w:rPr>
              <w:t>Que la publicación a consulta pública del Proyecto de Modificación a la Norma Oficial Mexicana NOM-044-SEMARNAT-2006, Que establece los límites máximos permisibles de emisión de hidrocarburos totales, hidrocarburos no metano, monóxido de carbono, óxidos de nitrógeno y partículas provenientes del escape de motores nuevos que usan diésel como combustible y que se utilizarán para la propulsión de vehículos automotores nuevos con peso bruto vehicular mayor de 3,857 kilogramos, fue aprobada por el Comité Consultivo Nacional de Normalización de Medio Ambiente y Recursos Naturales, en su Segunda Sesión Extraordinaria, celebrada, el 1 de diciembre de 2014, a efecto de que, de conformidad con el artículo 47 fracción I de la Ley Federal sobre Metrología y Normalización, los interesados en el tema, dentro de los 60 días naturales siguientes de la fecha de su publicación, presenten sus comentarios ante la Dirección General de Industria, con domicilio en Boulevard Adolfo Ruiz Cortines número 4209, 4o. piso Ala “B”, Fraccionamiento Jardines en la Montaña. Delegación Tlalpan, código postal 14210, México, Distrito Federal o en el correo electrónico: dgi@semarnat.gob.mx.</w:t>
            </w:r>
          </w:p>
        </w:tc>
        <w:tc>
          <w:tcPr>
            <w:tcW w:w="4788" w:type="dxa"/>
          </w:tcPr>
          <w:p w14:paraId="686089F7" w14:textId="77777777" w:rsidR="008A0760" w:rsidRPr="00356B54" w:rsidRDefault="001F59CA" w:rsidP="008A0760">
            <w:pPr>
              <w:spacing w:after="101" w:line="237"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 xml:space="preserve">the publication to public consultation of the Project of Modification to the Official Mexican Standard </w:t>
            </w:r>
            <w:r w:rsidRPr="001F59CA">
              <w:rPr>
                <w:rFonts w:ascii="Verdana" w:hAnsi="Verdana"/>
                <w:sz w:val="16"/>
                <w:szCs w:val="16"/>
                <w:lang w:val="en-US"/>
              </w:rPr>
              <w:t>NOM-044-SEMARNAT-2017, That establishes the maximum permissible limits of emissions of carbon monoxide, nitrogen oxides, non-methane hydrocarbons, non-methane hydrocarbons plus nitrogen oxides, particulates and ammonium, originating from the exhaust of new motors that use diesel as fuel and that will be utilized for the propulsion of automotive vehicles, with gross vehicular weight greater than 3,857 kilograms, as well as the exhaust of automotive vehicles with gross vehicular weight greater than 3,857 kilograms equipped with this type of motors</w:t>
            </w:r>
            <w:r w:rsidR="008A0760" w:rsidRPr="00356B54">
              <w:rPr>
                <w:rFonts w:ascii="Verdana" w:hAnsi="Verdana"/>
                <w:sz w:val="16"/>
                <w:szCs w:val="16"/>
                <w:lang w:val="en-US"/>
              </w:rPr>
              <w:t xml:space="preserve">, was approved by the National </w:t>
            </w:r>
            <w:r>
              <w:rPr>
                <w:rFonts w:ascii="Verdana" w:hAnsi="Verdana"/>
                <w:sz w:val="16"/>
                <w:szCs w:val="16"/>
                <w:lang w:val="en-US"/>
              </w:rPr>
              <w:t xml:space="preserve">Consultative </w:t>
            </w:r>
            <w:r w:rsidR="008A0760" w:rsidRPr="00356B54">
              <w:rPr>
                <w:rFonts w:ascii="Verdana" w:hAnsi="Verdana"/>
                <w:sz w:val="16"/>
                <w:szCs w:val="16"/>
                <w:lang w:val="en-US"/>
              </w:rPr>
              <w:t xml:space="preserve">Committee on </w:t>
            </w:r>
            <w:r>
              <w:rPr>
                <w:rFonts w:ascii="Verdana" w:hAnsi="Verdana"/>
                <w:sz w:val="16"/>
                <w:szCs w:val="16"/>
                <w:lang w:val="en-US"/>
              </w:rPr>
              <w:t>Standardization</w:t>
            </w:r>
            <w:r w:rsidR="008A0760" w:rsidRPr="00356B54">
              <w:rPr>
                <w:rFonts w:ascii="Verdana" w:hAnsi="Verdana"/>
                <w:sz w:val="16"/>
                <w:szCs w:val="16"/>
                <w:lang w:val="en-US"/>
              </w:rPr>
              <w:t xml:space="preserve"> of Environment and Natural Resources, in its Second</w:t>
            </w:r>
            <w:r>
              <w:rPr>
                <w:rFonts w:ascii="Verdana" w:hAnsi="Verdana"/>
                <w:sz w:val="16"/>
                <w:szCs w:val="16"/>
                <w:lang w:val="en-US"/>
              </w:rPr>
              <w:t xml:space="preserve"> Special </w:t>
            </w:r>
            <w:r w:rsidR="008A0760" w:rsidRPr="00356B54">
              <w:rPr>
                <w:rFonts w:ascii="Verdana" w:hAnsi="Verdana"/>
                <w:sz w:val="16"/>
                <w:szCs w:val="16"/>
                <w:lang w:val="en-US"/>
              </w:rPr>
              <w:t>Session, held, on December 1, 2014, to the effect that, in accordance with article 47, section I of the Federal Law on Metrology and Standardization, those interested in the subject, within 60 calendar days following the date of its publication, submit your comments to the General Directorate of Industry, with address at Boulevard Adolfo Rui</w:t>
            </w:r>
            <w:r w:rsidR="008A0760" w:rsidRPr="00356B54">
              <w:rPr>
                <w:lang w:val="en-US"/>
              </w:rPr>
              <w:t xml:space="preserve"> </w:t>
            </w:r>
            <w:r w:rsidR="008A0760" w:rsidRPr="00356B54">
              <w:rPr>
                <w:rFonts w:ascii="Verdana" w:hAnsi="Verdana"/>
                <w:sz w:val="16"/>
                <w:szCs w:val="16"/>
                <w:lang w:val="en-US"/>
              </w:rPr>
              <w:t>z Cortines number 4209, 4th.</w:t>
            </w:r>
            <w:r w:rsidR="008A0760" w:rsidRPr="00356B54">
              <w:rPr>
                <w:lang w:val="en-US"/>
              </w:rPr>
              <w:t xml:space="preserve"> </w:t>
            </w:r>
            <w:r w:rsidR="008A0760" w:rsidRPr="00356B54">
              <w:rPr>
                <w:rFonts w:ascii="Verdana" w:hAnsi="Verdana"/>
                <w:sz w:val="16"/>
                <w:szCs w:val="16"/>
                <w:lang w:val="en-US"/>
              </w:rPr>
              <w:t>Floor wing "B", Fractional Gardens in the Mountain.</w:t>
            </w:r>
            <w:r w:rsidR="008A0760" w:rsidRPr="00356B54">
              <w:rPr>
                <w:lang w:val="en-US"/>
              </w:rPr>
              <w:t xml:space="preserve"> </w:t>
            </w:r>
            <w:r w:rsidR="008A0760" w:rsidRPr="00356B54">
              <w:rPr>
                <w:rFonts w:ascii="Verdana" w:hAnsi="Verdana"/>
                <w:sz w:val="16"/>
                <w:szCs w:val="16"/>
                <w:lang w:val="en-US"/>
              </w:rPr>
              <w:t xml:space="preserve">Tlalpan Delegation, </w:t>
            </w:r>
            <w:r>
              <w:rPr>
                <w:rFonts w:ascii="Verdana" w:hAnsi="Verdana"/>
                <w:sz w:val="16"/>
                <w:szCs w:val="16"/>
                <w:lang w:val="en-US"/>
              </w:rPr>
              <w:t>postal</w:t>
            </w:r>
            <w:r w:rsidR="008A0760" w:rsidRPr="00356B54">
              <w:rPr>
                <w:rFonts w:ascii="Verdana" w:hAnsi="Verdana"/>
                <w:sz w:val="16"/>
                <w:szCs w:val="16"/>
                <w:lang w:val="en-US"/>
              </w:rPr>
              <w:t xml:space="preserve"> code 14210, Mexico, Federal District or in the email: dgi@semarnat.gob.mx.</w:t>
            </w:r>
            <w:r w:rsidR="008A0760" w:rsidRPr="00356B54">
              <w:rPr>
                <w:lang w:val="en-US"/>
              </w:rPr>
              <w:t xml:space="preserve"> </w:t>
            </w:r>
          </w:p>
        </w:tc>
      </w:tr>
      <w:tr w:rsidR="008A0760" w:rsidRPr="00743A20" w14:paraId="226EE1DB" w14:textId="77777777" w:rsidTr="008E445B">
        <w:tc>
          <w:tcPr>
            <w:tcW w:w="4788" w:type="dxa"/>
            <w:shd w:val="clear" w:color="auto" w:fill="auto"/>
          </w:tcPr>
          <w:p w14:paraId="570F1DE5" w14:textId="77777777" w:rsidR="008A0760" w:rsidRPr="009E79D2" w:rsidRDefault="008A0760" w:rsidP="008A0760">
            <w:pPr>
              <w:pStyle w:val="Texto"/>
              <w:spacing w:line="237" w:lineRule="exact"/>
              <w:ind w:firstLine="0"/>
              <w:rPr>
                <w:rFonts w:ascii="Verdana" w:hAnsi="Verdana"/>
                <w:sz w:val="16"/>
                <w:szCs w:val="16"/>
              </w:rPr>
            </w:pPr>
            <w:r w:rsidRPr="009E79D2">
              <w:rPr>
                <w:rFonts w:ascii="Verdana" w:hAnsi="Verdana"/>
                <w:sz w:val="16"/>
                <w:szCs w:val="16"/>
              </w:rPr>
              <w:t>Que durante el plazo de sesenta días naturales la Manifestación de Impacto Regulatorio a que se refiere el artículo 45 de la Ley Federal sobre Metrología y Normalización, estuvo a disposición del público para su consulta en el domicilio de la Dirección General de Industria antes citado.</w:t>
            </w:r>
          </w:p>
        </w:tc>
        <w:tc>
          <w:tcPr>
            <w:tcW w:w="4788" w:type="dxa"/>
          </w:tcPr>
          <w:p w14:paraId="79FAB7EC" w14:textId="77777777" w:rsidR="008A0760" w:rsidRPr="00356B54" w:rsidRDefault="001F59CA" w:rsidP="008A0760">
            <w:pPr>
              <w:spacing w:after="101" w:line="237"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during the term of sixty calendar days the Regulatory Impact</w:t>
            </w:r>
            <w:r>
              <w:rPr>
                <w:rFonts w:ascii="Verdana" w:hAnsi="Verdana"/>
                <w:sz w:val="16"/>
                <w:szCs w:val="16"/>
                <w:lang w:val="en-US"/>
              </w:rPr>
              <w:t xml:space="preserve"> Statement</w:t>
            </w:r>
            <w:r w:rsidR="008A0760" w:rsidRPr="00356B54">
              <w:rPr>
                <w:rFonts w:ascii="Verdana" w:hAnsi="Verdana"/>
                <w:sz w:val="16"/>
                <w:szCs w:val="16"/>
                <w:lang w:val="en-US"/>
              </w:rPr>
              <w:t xml:space="preserve"> referred to in article 45 of the Federal Law on Metrology and Standardization, was available to the public for consultation at the address of the General Directorate of Industry mentioned above.</w:t>
            </w:r>
            <w:r w:rsidR="008A0760" w:rsidRPr="00356B54">
              <w:rPr>
                <w:lang w:val="en-US"/>
              </w:rPr>
              <w:t xml:space="preserve"> </w:t>
            </w:r>
          </w:p>
        </w:tc>
      </w:tr>
      <w:tr w:rsidR="008A0760" w:rsidRPr="00743A20" w14:paraId="0EA91434" w14:textId="77777777" w:rsidTr="008E445B">
        <w:tc>
          <w:tcPr>
            <w:tcW w:w="4788" w:type="dxa"/>
            <w:shd w:val="clear" w:color="auto" w:fill="auto"/>
          </w:tcPr>
          <w:p w14:paraId="12DB519F" w14:textId="77777777" w:rsidR="008A0760" w:rsidRPr="009E79D2" w:rsidRDefault="008A0760" w:rsidP="008A0760">
            <w:pPr>
              <w:pStyle w:val="Texto"/>
              <w:spacing w:line="237" w:lineRule="exact"/>
              <w:ind w:firstLine="0"/>
              <w:rPr>
                <w:rFonts w:ascii="Verdana" w:hAnsi="Verdana"/>
                <w:sz w:val="16"/>
                <w:szCs w:val="16"/>
              </w:rPr>
            </w:pPr>
            <w:r w:rsidRPr="009E79D2">
              <w:rPr>
                <w:rFonts w:ascii="Verdana" w:hAnsi="Verdana"/>
                <w:sz w:val="16"/>
                <w:szCs w:val="16"/>
              </w:rPr>
              <w:t>Que las respuestas a los comentarios recibidos durante el periodo de consulta pública fueron publicadas el 11 de diciembre de 2017</w:t>
            </w:r>
            <w:r w:rsidRPr="009E79D2">
              <w:rPr>
                <w:rFonts w:ascii="Verdana" w:hAnsi="Verdana"/>
                <w:b/>
                <w:sz w:val="16"/>
                <w:szCs w:val="16"/>
              </w:rPr>
              <w:t>,</w:t>
            </w:r>
            <w:r w:rsidRPr="009E79D2">
              <w:rPr>
                <w:rFonts w:ascii="Verdana" w:hAnsi="Verdana"/>
                <w:sz w:val="16"/>
                <w:szCs w:val="16"/>
              </w:rPr>
              <w:t xml:space="preserve"> en el Diario Oficial de la Federación, en apego a lo dispuesto en el artículo 47 fracción III de la Ley Federal sobre Metrología y Normalización.</w:t>
            </w:r>
          </w:p>
        </w:tc>
        <w:tc>
          <w:tcPr>
            <w:tcW w:w="4788" w:type="dxa"/>
          </w:tcPr>
          <w:p w14:paraId="02D70A0C" w14:textId="77777777" w:rsidR="008A0760" w:rsidRPr="00356B54" w:rsidRDefault="001F59CA" w:rsidP="008A0760">
            <w:pPr>
              <w:spacing w:after="101" w:line="237"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the responses to the comments received during the public consultation period were published on December 11, 2017</w:t>
            </w:r>
            <w:r w:rsidR="008A0760" w:rsidRPr="00356B54">
              <w:rPr>
                <w:rFonts w:ascii="Verdana" w:hAnsi="Verdana"/>
                <w:b/>
                <w:bCs/>
                <w:sz w:val="16"/>
                <w:szCs w:val="16"/>
                <w:lang w:val="en-US"/>
              </w:rPr>
              <w:t>,</w:t>
            </w:r>
            <w:r w:rsidR="008A0760" w:rsidRPr="00356B54">
              <w:rPr>
                <w:lang w:val="en-US"/>
              </w:rPr>
              <w:t xml:space="preserve"> </w:t>
            </w:r>
            <w:r w:rsidR="008A0760" w:rsidRPr="00356B54">
              <w:rPr>
                <w:rFonts w:ascii="Verdana" w:hAnsi="Verdana"/>
                <w:sz w:val="16"/>
                <w:szCs w:val="16"/>
                <w:lang w:val="en-US"/>
              </w:rPr>
              <w:t xml:space="preserve">in the Official </w:t>
            </w:r>
            <w:r w:rsidR="00735A37">
              <w:rPr>
                <w:rFonts w:ascii="Verdana" w:hAnsi="Verdana"/>
                <w:sz w:val="16"/>
                <w:szCs w:val="16"/>
                <w:lang w:val="en-US"/>
              </w:rPr>
              <w:t>Daily</w:t>
            </w:r>
            <w:r w:rsidR="008A0760" w:rsidRPr="00356B54">
              <w:rPr>
                <w:rFonts w:ascii="Verdana" w:hAnsi="Verdana"/>
                <w:sz w:val="16"/>
                <w:szCs w:val="16"/>
                <w:lang w:val="en-US"/>
              </w:rPr>
              <w:t xml:space="preserve"> of the Federation, in accordance with the provisions of article 47 section III of the Federal Law on Metrology and Standardization.</w:t>
            </w:r>
            <w:r w:rsidR="008A0760" w:rsidRPr="00356B54">
              <w:rPr>
                <w:lang w:val="en-US"/>
              </w:rPr>
              <w:t xml:space="preserve"> </w:t>
            </w:r>
            <w:r>
              <w:rPr>
                <w:lang w:val="en-US"/>
              </w:rPr>
              <w:t xml:space="preserve"> </w:t>
            </w:r>
          </w:p>
        </w:tc>
      </w:tr>
      <w:tr w:rsidR="008A0760" w:rsidRPr="00743A20" w14:paraId="587D882C" w14:textId="77777777" w:rsidTr="008E445B">
        <w:tc>
          <w:tcPr>
            <w:tcW w:w="4788" w:type="dxa"/>
            <w:shd w:val="clear" w:color="auto" w:fill="auto"/>
          </w:tcPr>
          <w:p w14:paraId="0778B7F5" w14:textId="77777777" w:rsidR="008A0760" w:rsidRPr="009E79D2" w:rsidRDefault="008A0760" w:rsidP="008A0760">
            <w:pPr>
              <w:pStyle w:val="Texto"/>
              <w:spacing w:line="237" w:lineRule="exact"/>
              <w:ind w:firstLine="0"/>
              <w:rPr>
                <w:rFonts w:ascii="Verdana" w:hAnsi="Verdana"/>
                <w:sz w:val="16"/>
                <w:szCs w:val="16"/>
              </w:rPr>
            </w:pPr>
            <w:r w:rsidRPr="009E79D2">
              <w:rPr>
                <w:rFonts w:ascii="Verdana" w:hAnsi="Verdana"/>
                <w:sz w:val="16"/>
                <w:szCs w:val="16"/>
              </w:rPr>
              <w:t>Que, habiéndose cumplido el procedimiento establecido en la Ley Federal sobre Metrología y Normalización para la elaboración de normas oficiales mexicanas, el Comité Consultivo Nacional de Normalización de Medio Ambiente y Recursos Naturales aprobó la presente Norma Oficial Mexicana como definitiva, en su Tercera Sesión Ordinaria celebrada el día 19 octubre de 2017.</w:t>
            </w:r>
          </w:p>
        </w:tc>
        <w:tc>
          <w:tcPr>
            <w:tcW w:w="4788" w:type="dxa"/>
          </w:tcPr>
          <w:p w14:paraId="3D35EACD" w14:textId="77777777" w:rsidR="008A0760" w:rsidRPr="00356B54" w:rsidRDefault="001F59CA" w:rsidP="008A0760">
            <w:pPr>
              <w:spacing w:after="101" w:line="237"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 xml:space="preserve">having complied with the procedure established in the Federal Law on Metrology and Standardization for the preparation of </w:t>
            </w:r>
            <w:r>
              <w:rPr>
                <w:rFonts w:ascii="Verdana" w:hAnsi="Verdana"/>
                <w:sz w:val="16"/>
                <w:szCs w:val="16"/>
                <w:lang w:val="en-US"/>
              </w:rPr>
              <w:t>Official Mexican Standard</w:t>
            </w:r>
            <w:r w:rsidR="008A0760" w:rsidRPr="00356B54">
              <w:rPr>
                <w:rFonts w:ascii="Verdana" w:hAnsi="Verdana"/>
                <w:sz w:val="16"/>
                <w:szCs w:val="16"/>
                <w:lang w:val="en-US"/>
              </w:rPr>
              <w:t xml:space="preserve">s, the National Advisory Committee on </w:t>
            </w:r>
            <w:r>
              <w:rPr>
                <w:rFonts w:ascii="Verdana" w:hAnsi="Verdana"/>
                <w:sz w:val="16"/>
                <w:szCs w:val="16"/>
                <w:lang w:val="en-US"/>
              </w:rPr>
              <w:t>Standardization</w:t>
            </w:r>
            <w:r w:rsidR="008A0760" w:rsidRPr="00356B54">
              <w:rPr>
                <w:rFonts w:ascii="Verdana" w:hAnsi="Verdana"/>
                <w:sz w:val="16"/>
                <w:szCs w:val="16"/>
                <w:lang w:val="en-US"/>
              </w:rPr>
              <w:t xml:space="preserve"> of Environment and Natural Resources approved this Official Mexican Standard as </w:t>
            </w:r>
            <w:r>
              <w:rPr>
                <w:rFonts w:ascii="Verdana" w:hAnsi="Verdana"/>
                <w:sz w:val="16"/>
                <w:szCs w:val="16"/>
                <w:lang w:val="en-US"/>
              </w:rPr>
              <w:t>definitive</w:t>
            </w:r>
            <w:r w:rsidR="008A0760" w:rsidRPr="00356B54">
              <w:rPr>
                <w:rFonts w:ascii="Verdana" w:hAnsi="Verdana"/>
                <w:sz w:val="16"/>
                <w:szCs w:val="16"/>
                <w:lang w:val="en-US"/>
              </w:rPr>
              <w:t>, at its Third Ordinary Session held on October 19, 2017.</w:t>
            </w:r>
            <w:r w:rsidR="008A0760" w:rsidRPr="00356B54">
              <w:rPr>
                <w:lang w:val="en-US"/>
              </w:rPr>
              <w:t xml:space="preserve"> </w:t>
            </w:r>
            <w:r>
              <w:rPr>
                <w:lang w:val="en-US"/>
              </w:rPr>
              <w:t xml:space="preserve"> </w:t>
            </w:r>
          </w:p>
        </w:tc>
      </w:tr>
      <w:tr w:rsidR="008A0760" w:rsidRPr="00743A20" w14:paraId="1424E051" w14:textId="77777777" w:rsidTr="008E445B">
        <w:tc>
          <w:tcPr>
            <w:tcW w:w="4788" w:type="dxa"/>
            <w:shd w:val="clear" w:color="auto" w:fill="auto"/>
          </w:tcPr>
          <w:p w14:paraId="62DDE7AF" w14:textId="77777777" w:rsidR="008A0760" w:rsidRPr="009E79D2" w:rsidRDefault="008A0760" w:rsidP="008A0760">
            <w:pPr>
              <w:pStyle w:val="Texto"/>
              <w:spacing w:line="237" w:lineRule="exact"/>
              <w:ind w:firstLine="0"/>
              <w:rPr>
                <w:rFonts w:ascii="Verdana" w:hAnsi="Verdana"/>
                <w:sz w:val="16"/>
                <w:szCs w:val="16"/>
              </w:rPr>
            </w:pPr>
            <w:r w:rsidRPr="009E79D2">
              <w:rPr>
                <w:rFonts w:ascii="Verdana" w:hAnsi="Verdana"/>
                <w:sz w:val="16"/>
                <w:szCs w:val="16"/>
              </w:rPr>
              <w:lastRenderedPageBreak/>
              <w:t>Que de conformidad con lo establecido en el artículo 28 fracción II, inciso d) del Reglamento de la Ley Federal sobre Metrología y Normalización, el año de la clave de esta norma oficial mexicana, cambia a 2017, debido a que el instrumento regulatorio se presentó ante el Comité Consultivo Nacional de Normalización de Medio Ambiente y Recursos Naturales para aprobación en el presente año.</w:t>
            </w:r>
          </w:p>
        </w:tc>
        <w:tc>
          <w:tcPr>
            <w:tcW w:w="4788" w:type="dxa"/>
          </w:tcPr>
          <w:p w14:paraId="760E0D65" w14:textId="77777777" w:rsidR="008A0760" w:rsidRPr="00356B54" w:rsidRDefault="001F59CA" w:rsidP="008A0760">
            <w:pPr>
              <w:spacing w:after="101" w:line="237" w:lineRule="atLeast"/>
              <w:jc w:val="both"/>
              <w:rPr>
                <w:lang w:val="en-US"/>
              </w:rPr>
            </w:pPr>
            <w:r w:rsidRPr="001F59CA">
              <w:rPr>
                <w:rFonts w:ascii="Verdana" w:hAnsi="Verdana"/>
                <w:sz w:val="16"/>
                <w:szCs w:val="16"/>
                <w:lang w:val="en-US"/>
              </w:rPr>
              <w:t xml:space="preserve">Whereas, </w:t>
            </w:r>
            <w:r w:rsidR="008A0760" w:rsidRPr="00356B54">
              <w:rPr>
                <w:rFonts w:ascii="Verdana" w:hAnsi="Verdana"/>
                <w:sz w:val="16"/>
                <w:szCs w:val="16"/>
                <w:lang w:val="en-US"/>
              </w:rPr>
              <w:t xml:space="preserve">in accordance with the provisions of article 28, section II, clause d) of the Regulation of the Federal Law on Metrology and Standardization, the year of the </w:t>
            </w:r>
            <w:r>
              <w:rPr>
                <w:rFonts w:ascii="Verdana" w:hAnsi="Verdana"/>
                <w:sz w:val="16"/>
                <w:szCs w:val="16"/>
                <w:lang w:val="en-US"/>
              </w:rPr>
              <w:t>code name</w:t>
            </w:r>
            <w:r w:rsidR="008A0760" w:rsidRPr="00356B54">
              <w:rPr>
                <w:rFonts w:ascii="Verdana" w:hAnsi="Verdana"/>
                <w:sz w:val="16"/>
                <w:szCs w:val="16"/>
                <w:lang w:val="en-US"/>
              </w:rPr>
              <w:t xml:space="preserve"> of this official Mexican regulation, changes to 2017, because the regulatory instrument was submitted before the National Consultative Committee for the </w:t>
            </w:r>
            <w:r>
              <w:rPr>
                <w:rFonts w:ascii="Verdana" w:hAnsi="Verdana"/>
                <w:sz w:val="16"/>
                <w:szCs w:val="16"/>
                <w:lang w:val="en-US"/>
              </w:rPr>
              <w:t>Standardization</w:t>
            </w:r>
            <w:r w:rsidR="008A0760" w:rsidRPr="00356B54">
              <w:rPr>
                <w:rFonts w:ascii="Verdana" w:hAnsi="Verdana"/>
                <w:sz w:val="16"/>
                <w:szCs w:val="16"/>
                <w:lang w:val="en-US"/>
              </w:rPr>
              <w:t xml:space="preserve"> of the Environment and Natural Resources for approval in the current year.</w:t>
            </w:r>
            <w:r w:rsidR="008A0760" w:rsidRPr="00356B54">
              <w:rPr>
                <w:lang w:val="en-US"/>
              </w:rPr>
              <w:t xml:space="preserve"> </w:t>
            </w:r>
          </w:p>
        </w:tc>
      </w:tr>
      <w:tr w:rsidR="008A0760" w:rsidRPr="00743A20" w14:paraId="1F92BED2" w14:textId="77777777" w:rsidTr="008E445B">
        <w:tc>
          <w:tcPr>
            <w:tcW w:w="4788" w:type="dxa"/>
            <w:shd w:val="clear" w:color="auto" w:fill="auto"/>
          </w:tcPr>
          <w:p w14:paraId="65BE4A62"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Por lo expuesto y fundado, he tenido a bien expedir la siguiente:</w:t>
            </w:r>
          </w:p>
        </w:tc>
        <w:tc>
          <w:tcPr>
            <w:tcW w:w="4788" w:type="dxa"/>
          </w:tcPr>
          <w:p w14:paraId="50386BF7" w14:textId="77777777" w:rsidR="008A0760" w:rsidRPr="00356B54" w:rsidRDefault="008A0760" w:rsidP="008A0760">
            <w:pPr>
              <w:spacing w:after="80" w:line="205" w:lineRule="atLeast"/>
              <w:jc w:val="both"/>
              <w:rPr>
                <w:lang w:val="en-US"/>
              </w:rPr>
            </w:pPr>
            <w:r w:rsidRPr="00356B54">
              <w:rPr>
                <w:rFonts w:ascii="Verdana" w:hAnsi="Verdana"/>
                <w:sz w:val="16"/>
                <w:szCs w:val="16"/>
                <w:lang w:val="en-US"/>
              </w:rPr>
              <w:t>For the exposed and well founded, I have been good to issue the following:</w:t>
            </w:r>
            <w:r w:rsidRPr="00356B54">
              <w:rPr>
                <w:lang w:val="en-US"/>
              </w:rPr>
              <w:t xml:space="preserve"> </w:t>
            </w:r>
          </w:p>
        </w:tc>
      </w:tr>
      <w:tr w:rsidR="008A0760" w:rsidRPr="00743A20" w14:paraId="3EA46089" w14:textId="77777777" w:rsidTr="008E445B">
        <w:tc>
          <w:tcPr>
            <w:tcW w:w="4788" w:type="dxa"/>
            <w:shd w:val="clear" w:color="auto" w:fill="auto"/>
          </w:tcPr>
          <w:p w14:paraId="5BAF3AD4" w14:textId="77777777" w:rsidR="008A0760" w:rsidRPr="009E79D2" w:rsidRDefault="008A0760" w:rsidP="008A0760">
            <w:pPr>
              <w:pStyle w:val="ANOTACION"/>
              <w:spacing w:after="80" w:line="205" w:lineRule="exact"/>
              <w:rPr>
                <w:rFonts w:ascii="Verdana" w:hAnsi="Verdana"/>
                <w:sz w:val="16"/>
                <w:szCs w:val="16"/>
              </w:rPr>
            </w:pPr>
            <w:r w:rsidRPr="009E79D2">
              <w:rPr>
                <w:rFonts w:ascii="Verdana" w:hAnsi="Verdana"/>
                <w:sz w:val="16"/>
                <w:szCs w:val="16"/>
              </w:rPr>
              <w:t>NORMA OFICIAL MEXICANA NOM-044-SEMARNAT-2017, QUE ESTABLECE LOS LÍMITES  MÁXIMOS PERMISIBLES DE EMISIÓN DE MONÓXIDO DE CARBONO, ÓXIDOS DE NITRÓGENO, HIDROCARBUROS NO METANO, HIDROCARBUROS NO METANO MÁS ÓXIDOS DE NITRÓGENO, PARTÍCULAS Y AMONIACO, PROVENIENTES DEL ESCAPE DE MOTORES NUEVOS QUE UTILIZAN DIÉSEL COMO COMBUSTIBLE Y QUE SE UTILIZARÁN PARA LA PROPULSIÓN DE VEHÍCULOS AUTOMOTORES CON PESO BRUTO VEHICULAR MAYOR A 3,857 KILOGRAMOS, ASÍ COMO DEL ESCAPE DE VEHÍCULOS AUTOMOTORES NUEVOS CON PESO BRUTO VEHICULAR MAYOR A 3,857 KILOGRAMOS EQUIPADOS CON ESTE TIPO DE MOTORES</w:t>
            </w:r>
          </w:p>
        </w:tc>
        <w:tc>
          <w:tcPr>
            <w:tcW w:w="4788" w:type="dxa"/>
          </w:tcPr>
          <w:p w14:paraId="6C70CE39" w14:textId="77777777" w:rsidR="008A0760" w:rsidRPr="00356B54" w:rsidRDefault="00A341BE" w:rsidP="008A0760">
            <w:pPr>
              <w:spacing w:before="101" w:after="80" w:line="205" w:lineRule="atLeast"/>
              <w:jc w:val="center"/>
              <w:rPr>
                <w:lang w:val="en-US"/>
              </w:rPr>
            </w:pPr>
            <w:r>
              <w:rPr>
                <w:rFonts w:ascii="Verdana" w:hAnsi="Verdana"/>
                <w:b/>
                <w:bCs/>
                <w:sz w:val="16"/>
                <w:szCs w:val="16"/>
                <w:lang w:val="en-US"/>
              </w:rPr>
              <w:t>OFFICIAL MEXICAN STANDARD</w:t>
            </w:r>
            <w:r w:rsidRPr="00356B54">
              <w:rPr>
                <w:rFonts w:ascii="Verdana" w:hAnsi="Verdana"/>
                <w:b/>
                <w:bCs/>
                <w:sz w:val="16"/>
                <w:szCs w:val="16"/>
                <w:lang w:val="en-US"/>
              </w:rPr>
              <w:t xml:space="preserve"> </w:t>
            </w:r>
            <w:r w:rsidRPr="00A341BE">
              <w:rPr>
                <w:rFonts w:ascii="Verdana" w:hAnsi="Verdana"/>
                <w:b/>
                <w:bCs/>
                <w:sz w:val="16"/>
                <w:szCs w:val="16"/>
                <w:lang w:val="en-US"/>
              </w:rPr>
              <w:t xml:space="preserve">NOM-044-SEMARNAT-2017, THAT ESTABLISHES THE MAXIMUM PERMISSIBLE LIMITS OF EMISSIONS OF CARBON MONOXIDE, NITROGEN OXIDES, NON-METHANE HYDROCARBONS, NON-METHANE HYDROCARBONS PLUS NITROGEN OXIDES, PARTICULATES AND AMMONIUM, ORIGINATING FROM THE EXHAUST OF NEW MOTORS THAT USE DIESEL AS FUEL AND THAT WILL BE UTILIZED FOR THE PROPULSION OF AUTOMOTIVE VEHICLES, WITH GROSS VEHICULAR WEIGHT GREATER THAN 3,857 KILOGRAMS, AS WELL AS THE EXHAUST OF AUTOMOTIVE VEHICLES WITH GROSS VEHICULAR WEIGHT GREATER THAN 3,857 KILOGRAMS EQUIPPED WITH THIS TYPE OF MOTORS.    </w:t>
            </w:r>
          </w:p>
        </w:tc>
      </w:tr>
      <w:tr w:rsidR="008A0760" w:rsidRPr="009E79D2" w14:paraId="13336AEC" w14:textId="77777777" w:rsidTr="008E445B">
        <w:tc>
          <w:tcPr>
            <w:tcW w:w="4788" w:type="dxa"/>
            <w:shd w:val="clear" w:color="auto" w:fill="auto"/>
          </w:tcPr>
          <w:p w14:paraId="43183D1D" w14:textId="77777777" w:rsidR="008A0760" w:rsidRPr="009E79D2" w:rsidRDefault="008A0760" w:rsidP="008A0760">
            <w:pPr>
              <w:pStyle w:val="Texto"/>
              <w:spacing w:after="80" w:line="205" w:lineRule="exact"/>
              <w:ind w:firstLine="0"/>
              <w:jc w:val="center"/>
              <w:rPr>
                <w:rFonts w:ascii="Verdana" w:hAnsi="Verdana"/>
                <w:b/>
                <w:sz w:val="16"/>
                <w:szCs w:val="16"/>
              </w:rPr>
            </w:pPr>
            <w:r w:rsidRPr="009E79D2">
              <w:rPr>
                <w:rFonts w:ascii="Verdana" w:hAnsi="Verdana"/>
                <w:b/>
                <w:sz w:val="16"/>
                <w:szCs w:val="16"/>
              </w:rPr>
              <w:t>PREFACIO</w:t>
            </w:r>
          </w:p>
        </w:tc>
        <w:tc>
          <w:tcPr>
            <w:tcW w:w="4788" w:type="dxa"/>
          </w:tcPr>
          <w:p w14:paraId="13ED571B" w14:textId="77777777" w:rsidR="008A0760" w:rsidRPr="00356B54" w:rsidRDefault="008A0760" w:rsidP="008A0760">
            <w:pPr>
              <w:spacing w:after="80" w:line="205" w:lineRule="atLeast"/>
              <w:jc w:val="center"/>
            </w:pPr>
            <w:r w:rsidRPr="00356B54">
              <w:rPr>
                <w:rFonts w:ascii="Verdana" w:hAnsi="Verdana"/>
                <w:b/>
                <w:bCs/>
                <w:sz w:val="16"/>
                <w:szCs w:val="16"/>
              </w:rPr>
              <w:t>PREFACE</w:t>
            </w:r>
            <w:r w:rsidRPr="00356B54">
              <w:t xml:space="preserve"> </w:t>
            </w:r>
          </w:p>
        </w:tc>
      </w:tr>
      <w:tr w:rsidR="008A0760" w:rsidRPr="00743A20" w14:paraId="070F940B" w14:textId="77777777" w:rsidTr="008E445B">
        <w:tc>
          <w:tcPr>
            <w:tcW w:w="4788" w:type="dxa"/>
            <w:shd w:val="clear" w:color="auto" w:fill="auto"/>
          </w:tcPr>
          <w:p w14:paraId="3699977B"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En la elaboración de la presente Norma Oficial Mexicana que preside el Comité Consultivo Nacional de Normalización de Medio Ambiente y Recursos Naturales, participaron las siguientes instituciones y empresas:</w:t>
            </w:r>
          </w:p>
        </w:tc>
        <w:tc>
          <w:tcPr>
            <w:tcW w:w="4788" w:type="dxa"/>
          </w:tcPr>
          <w:p w14:paraId="3D5528EB" w14:textId="77777777" w:rsidR="008A0760" w:rsidRPr="00356B54" w:rsidRDefault="008A0760" w:rsidP="008A0760">
            <w:pPr>
              <w:spacing w:after="80" w:line="205" w:lineRule="atLeast"/>
              <w:jc w:val="both"/>
              <w:rPr>
                <w:lang w:val="en-US"/>
              </w:rPr>
            </w:pPr>
            <w:r w:rsidRPr="00356B54">
              <w:rPr>
                <w:rFonts w:ascii="Verdana" w:hAnsi="Verdana"/>
                <w:sz w:val="16"/>
                <w:szCs w:val="16"/>
                <w:lang w:val="en-US"/>
              </w:rPr>
              <w:t xml:space="preserve">In the </w:t>
            </w:r>
            <w:r w:rsidR="00A341BE">
              <w:rPr>
                <w:rFonts w:ascii="Verdana" w:hAnsi="Verdana"/>
                <w:sz w:val="16"/>
                <w:szCs w:val="16"/>
                <w:lang w:val="en-US"/>
              </w:rPr>
              <w:t>preparation</w:t>
            </w:r>
            <w:r w:rsidRPr="00356B54">
              <w:rPr>
                <w:rFonts w:ascii="Verdana" w:hAnsi="Verdana"/>
                <w:sz w:val="16"/>
                <w:szCs w:val="16"/>
                <w:lang w:val="en-US"/>
              </w:rPr>
              <w:t xml:space="preserve"> of this Official Mexican Standard </w:t>
            </w:r>
            <w:r w:rsidR="00A341BE">
              <w:rPr>
                <w:rFonts w:ascii="Verdana" w:hAnsi="Verdana"/>
                <w:sz w:val="16"/>
                <w:szCs w:val="16"/>
                <w:lang w:val="en-US"/>
              </w:rPr>
              <w:t xml:space="preserve">presided over by </w:t>
            </w:r>
            <w:r w:rsidRPr="00356B54">
              <w:rPr>
                <w:rFonts w:ascii="Verdana" w:hAnsi="Verdana"/>
                <w:sz w:val="16"/>
                <w:szCs w:val="16"/>
                <w:lang w:val="en-US"/>
              </w:rPr>
              <w:t xml:space="preserve">the National Consultative Committee of </w:t>
            </w:r>
            <w:r w:rsidR="001F59CA">
              <w:rPr>
                <w:rFonts w:ascii="Verdana" w:hAnsi="Verdana"/>
                <w:sz w:val="16"/>
                <w:szCs w:val="16"/>
                <w:lang w:val="en-US"/>
              </w:rPr>
              <w:t>Standardization</w:t>
            </w:r>
            <w:r w:rsidRPr="00356B54">
              <w:rPr>
                <w:rFonts w:ascii="Verdana" w:hAnsi="Verdana"/>
                <w:sz w:val="16"/>
                <w:szCs w:val="16"/>
                <w:lang w:val="en-US"/>
              </w:rPr>
              <w:t xml:space="preserve"> of Environment and Natural Resources, the following institutions and companies participated:</w:t>
            </w:r>
            <w:r w:rsidRPr="00356B54">
              <w:rPr>
                <w:lang w:val="en-US"/>
              </w:rPr>
              <w:t xml:space="preserve"> </w:t>
            </w:r>
          </w:p>
        </w:tc>
      </w:tr>
      <w:tr w:rsidR="008A0760" w:rsidRPr="00743A20" w14:paraId="151DCBAB" w14:textId="77777777" w:rsidTr="008E445B">
        <w:tc>
          <w:tcPr>
            <w:tcW w:w="4788" w:type="dxa"/>
            <w:shd w:val="clear" w:color="auto" w:fill="auto"/>
          </w:tcPr>
          <w:p w14:paraId="7BAF2736"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ASOCIACIÓN MEXICANA DE LA INDUSTRIA AUTOMOTRIZ, A.C.</w:t>
            </w:r>
          </w:p>
        </w:tc>
        <w:tc>
          <w:tcPr>
            <w:tcW w:w="4788" w:type="dxa"/>
          </w:tcPr>
          <w:p w14:paraId="09802BD2" w14:textId="77777777" w:rsidR="008A0760" w:rsidRPr="00356B54" w:rsidRDefault="008A0760" w:rsidP="008A0760">
            <w:pPr>
              <w:spacing w:after="80" w:line="205" w:lineRule="atLeast"/>
              <w:jc w:val="both"/>
              <w:rPr>
                <w:lang w:val="en-US"/>
              </w:rPr>
            </w:pPr>
            <w:r w:rsidRPr="00356B54">
              <w:rPr>
                <w:rFonts w:ascii="Verdana" w:hAnsi="Verdana"/>
                <w:sz w:val="16"/>
                <w:szCs w:val="16"/>
                <w:lang w:val="en-US"/>
              </w:rPr>
              <w:t>MEXICAN ASSOCIATION OF THE AUTOMOTIVE INDUSTRY, AC</w:t>
            </w:r>
            <w:r w:rsidRPr="00356B54">
              <w:rPr>
                <w:lang w:val="en-US"/>
              </w:rPr>
              <w:t xml:space="preserve"> </w:t>
            </w:r>
          </w:p>
        </w:tc>
      </w:tr>
      <w:tr w:rsidR="008A0760" w:rsidRPr="00743A20" w14:paraId="7D4B13DC" w14:textId="77777777" w:rsidTr="008E445B">
        <w:tc>
          <w:tcPr>
            <w:tcW w:w="4788" w:type="dxa"/>
            <w:shd w:val="clear" w:color="auto" w:fill="auto"/>
          </w:tcPr>
          <w:p w14:paraId="331B1153" w14:textId="77777777" w:rsidR="008A0760" w:rsidRPr="009E79D2" w:rsidRDefault="008A0760" w:rsidP="008A0760">
            <w:pPr>
              <w:pStyle w:val="Texto"/>
              <w:spacing w:after="80" w:line="205" w:lineRule="exact"/>
              <w:ind w:firstLine="0"/>
              <w:rPr>
                <w:rFonts w:ascii="Verdana" w:hAnsi="Verdana"/>
                <w:spacing w:val="-4"/>
                <w:sz w:val="16"/>
                <w:szCs w:val="16"/>
              </w:rPr>
            </w:pPr>
            <w:r w:rsidRPr="009E79D2">
              <w:rPr>
                <w:rFonts w:ascii="Verdana" w:hAnsi="Verdana"/>
                <w:spacing w:val="-4"/>
                <w:sz w:val="16"/>
                <w:szCs w:val="16"/>
              </w:rPr>
              <w:t>ASOCIACIÓN NACIONAL DE PRODUCTORES DE AUTOBUSES, CAMIONES Y TRACTOCAMIONES, A.C.</w:t>
            </w:r>
          </w:p>
        </w:tc>
        <w:tc>
          <w:tcPr>
            <w:tcW w:w="4788" w:type="dxa"/>
          </w:tcPr>
          <w:p w14:paraId="30746B74" w14:textId="77777777" w:rsidR="008A0760" w:rsidRPr="00356B54" w:rsidRDefault="008A0760" w:rsidP="008A0760">
            <w:pPr>
              <w:spacing w:after="80" w:line="205" w:lineRule="atLeast"/>
              <w:jc w:val="both"/>
              <w:rPr>
                <w:lang w:val="en-US"/>
              </w:rPr>
            </w:pPr>
            <w:r w:rsidRPr="00356B54">
              <w:rPr>
                <w:rFonts w:ascii="Verdana" w:hAnsi="Verdana"/>
                <w:spacing w:val="-4"/>
                <w:sz w:val="16"/>
                <w:szCs w:val="16"/>
                <w:lang w:val="en-US"/>
              </w:rPr>
              <w:t>NATIONAL ASSOCIATION OF BUS PRODUCERS, TRUCKS AND TRACTOCAMIONES, AC</w:t>
            </w:r>
            <w:r w:rsidRPr="00356B54">
              <w:rPr>
                <w:lang w:val="en-US"/>
              </w:rPr>
              <w:t xml:space="preserve"> </w:t>
            </w:r>
          </w:p>
        </w:tc>
      </w:tr>
      <w:tr w:rsidR="008A0760" w:rsidRPr="00743A20" w14:paraId="3D4AF71C" w14:textId="77777777" w:rsidTr="008E445B">
        <w:tc>
          <w:tcPr>
            <w:tcW w:w="4788" w:type="dxa"/>
            <w:shd w:val="clear" w:color="auto" w:fill="auto"/>
          </w:tcPr>
          <w:p w14:paraId="4445CD24"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CENTRO MEXICANO DE DERECHO AMBIENTAL, A.C.</w:t>
            </w:r>
          </w:p>
        </w:tc>
        <w:tc>
          <w:tcPr>
            <w:tcW w:w="4788" w:type="dxa"/>
          </w:tcPr>
          <w:p w14:paraId="44DBBF69" w14:textId="77777777" w:rsidR="008A0760" w:rsidRPr="00356B54" w:rsidRDefault="008A0760" w:rsidP="008A0760">
            <w:pPr>
              <w:spacing w:after="80" w:line="205" w:lineRule="atLeast"/>
              <w:jc w:val="both"/>
              <w:rPr>
                <w:lang w:val="en-US"/>
              </w:rPr>
            </w:pPr>
            <w:r w:rsidRPr="00356B54">
              <w:rPr>
                <w:rFonts w:ascii="Verdana" w:hAnsi="Verdana"/>
                <w:sz w:val="16"/>
                <w:szCs w:val="16"/>
                <w:lang w:val="en-US"/>
              </w:rPr>
              <w:t>MEXICAN CENTER OF ENVIRONMENTAL LAW, AC</w:t>
            </w:r>
            <w:r w:rsidRPr="00356B54">
              <w:rPr>
                <w:lang w:val="en-US"/>
              </w:rPr>
              <w:t xml:space="preserve"> </w:t>
            </w:r>
          </w:p>
        </w:tc>
      </w:tr>
      <w:tr w:rsidR="008A0760" w:rsidRPr="00743A20" w14:paraId="50692374" w14:textId="77777777" w:rsidTr="008E445B">
        <w:tc>
          <w:tcPr>
            <w:tcW w:w="4788" w:type="dxa"/>
            <w:shd w:val="clear" w:color="auto" w:fill="auto"/>
          </w:tcPr>
          <w:p w14:paraId="7FF6D073"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COOPERACIÓN ALEMANA AL DESARROLLO (GIZ)</w:t>
            </w:r>
          </w:p>
        </w:tc>
        <w:tc>
          <w:tcPr>
            <w:tcW w:w="4788" w:type="dxa"/>
          </w:tcPr>
          <w:p w14:paraId="3AA7BF78" w14:textId="77777777" w:rsidR="008A0760" w:rsidRPr="00356B54" w:rsidRDefault="008A0760" w:rsidP="008A0760">
            <w:pPr>
              <w:spacing w:after="80" w:line="205" w:lineRule="atLeast"/>
              <w:jc w:val="both"/>
              <w:rPr>
                <w:lang w:val="en-US"/>
              </w:rPr>
            </w:pPr>
            <w:r w:rsidRPr="00356B54">
              <w:rPr>
                <w:rFonts w:ascii="Verdana" w:hAnsi="Verdana"/>
                <w:sz w:val="16"/>
                <w:szCs w:val="16"/>
                <w:lang w:val="en-US"/>
              </w:rPr>
              <w:t>GERMAN COOPERATION TO DEVELOPMENT (GIZ)</w:t>
            </w:r>
            <w:r w:rsidRPr="00356B54">
              <w:rPr>
                <w:lang w:val="en-US"/>
              </w:rPr>
              <w:t xml:space="preserve"> </w:t>
            </w:r>
          </w:p>
        </w:tc>
      </w:tr>
      <w:tr w:rsidR="008A0760" w:rsidRPr="009E79D2" w14:paraId="38575512" w14:textId="77777777" w:rsidTr="008E445B">
        <w:tc>
          <w:tcPr>
            <w:tcW w:w="4788" w:type="dxa"/>
            <w:shd w:val="clear" w:color="auto" w:fill="auto"/>
          </w:tcPr>
          <w:p w14:paraId="6C81F034"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CUMMINS COMERCIALIZADORA, S. DE R.L. DE C.V.</w:t>
            </w:r>
          </w:p>
        </w:tc>
        <w:tc>
          <w:tcPr>
            <w:tcW w:w="4788" w:type="dxa"/>
          </w:tcPr>
          <w:p w14:paraId="4FE8FDA4" w14:textId="77777777" w:rsidR="008A0760" w:rsidRPr="00356B54" w:rsidRDefault="008A0760" w:rsidP="008A0760">
            <w:pPr>
              <w:spacing w:after="80" w:line="205" w:lineRule="atLeast"/>
              <w:jc w:val="both"/>
            </w:pPr>
            <w:r w:rsidRPr="00356B54">
              <w:rPr>
                <w:rFonts w:ascii="Verdana" w:hAnsi="Verdana"/>
                <w:sz w:val="16"/>
                <w:szCs w:val="16"/>
              </w:rPr>
              <w:t>CUMMINS COMERCIALIZADORA, S. DE RL DE CV</w:t>
            </w:r>
            <w:r w:rsidRPr="00356B54">
              <w:t xml:space="preserve"> </w:t>
            </w:r>
          </w:p>
        </w:tc>
      </w:tr>
      <w:tr w:rsidR="008A0760" w:rsidRPr="009E79D2" w14:paraId="2E38E00B" w14:textId="77777777" w:rsidTr="008E445B">
        <w:tc>
          <w:tcPr>
            <w:tcW w:w="4788" w:type="dxa"/>
            <w:shd w:val="clear" w:color="auto" w:fill="auto"/>
          </w:tcPr>
          <w:p w14:paraId="09675AE0"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DAIMLER VEHÍCULOS COMERCIALES MÉXICO, S.A. DE C.V.</w:t>
            </w:r>
          </w:p>
        </w:tc>
        <w:tc>
          <w:tcPr>
            <w:tcW w:w="4788" w:type="dxa"/>
          </w:tcPr>
          <w:p w14:paraId="5D15F3DA" w14:textId="77777777" w:rsidR="008A0760" w:rsidRPr="00356B54" w:rsidRDefault="008A0760" w:rsidP="008A0760">
            <w:pPr>
              <w:spacing w:after="80" w:line="205" w:lineRule="atLeast"/>
              <w:jc w:val="both"/>
            </w:pPr>
            <w:r w:rsidRPr="00356B54">
              <w:rPr>
                <w:rFonts w:ascii="Verdana" w:hAnsi="Verdana"/>
                <w:sz w:val="16"/>
                <w:szCs w:val="16"/>
              </w:rPr>
              <w:t>DAIMLER VEHÍCULOS COMERCIALES MÉXICO, SA DE CV</w:t>
            </w:r>
            <w:r w:rsidRPr="00356B54">
              <w:t xml:space="preserve"> </w:t>
            </w:r>
          </w:p>
        </w:tc>
      </w:tr>
      <w:tr w:rsidR="008A0760" w:rsidRPr="009E79D2" w14:paraId="24B2E5EB" w14:textId="77777777" w:rsidTr="008E445B">
        <w:tc>
          <w:tcPr>
            <w:tcW w:w="4788" w:type="dxa"/>
            <w:shd w:val="clear" w:color="auto" w:fill="auto"/>
          </w:tcPr>
          <w:p w14:paraId="56F7C469"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DINA CAMIONES, S.A. DE C.V.</w:t>
            </w:r>
          </w:p>
        </w:tc>
        <w:tc>
          <w:tcPr>
            <w:tcW w:w="4788" w:type="dxa"/>
          </w:tcPr>
          <w:p w14:paraId="7A36D5BE" w14:textId="77777777" w:rsidR="008A0760" w:rsidRPr="00356B54" w:rsidRDefault="008A0760" w:rsidP="008A0760">
            <w:pPr>
              <w:spacing w:after="80" w:line="205" w:lineRule="atLeast"/>
              <w:jc w:val="both"/>
            </w:pPr>
            <w:r w:rsidRPr="00356B54">
              <w:rPr>
                <w:rFonts w:ascii="Verdana" w:hAnsi="Verdana"/>
                <w:sz w:val="16"/>
                <w:szCs w:val="16"/>
              </w:rPr>
              <w:t>DINA CAMIONES, SA DE CV</w:t>
            </w:r>
            <w:r w:rsidRPr="00356B54">
              <w:t xml:space="preserve"> </w:t>
            </w:r>
          </w:p>
        </w:tc>
      </w:tr>
      <w:tr w:rsidR="008A0760" w:rsidRPr="009E79D2" w14:paraId="4EBE1868" w14:textId="77777777" w:rsidTr="008E445B">
        <w:tc>
          <w:tcPr>
            <w:tcW w:w="4788" w:type="dxa"/>
            <w:shd w:val="clear" w:color="auto" w:fill="auto"/>
          </w:tcPr>
          <w:p w14:paraId="7E2B20A4"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HINO MOTORS SALES MÉXICO, S.A. DE C.V.</w:t>
            </w:r>
          </w:p>
        </w:tc>
        <w:tc>
          <w:tcPr>
            <w:tcW w:w="4788" w:type="dxa"/>
          </w:tcPr>
          <w:p w14:paraId="57901D3A" w14:textId="77777777" w:rsidR="008A0760" w:rsidRPr="00356B54" w:rsidRDefault="008A0760" w:rsidP="008A0760">
            <w:pPr>
              <w:spacing w:after="80" w:line="205" w:lineRule="atLeast"/>
              <w:jc w:val="both"/>
            </w:pPr>
            <w:r w:rsidRPr="00356B54">
              <w:rPr>
                <w:rFonts w:ascii="Verdana" w:hAnsi="Verdana"/>
                <w:sz w:val="16"/>
                <w:szCs w:val="16"/>
              </w:rPr>
              <w:t>HINO MOTORS SALES MEXICO, SA DE CV</w:t>
            </w:r>
            <w:r w:rsidRPr="00356B54">
              <w:t xml:space="preserve"> </w:t>
            </w:r>
          </w:p>
        </w:tc>
      </w:tr>
      <w:tr w:rsidR="008A0760" w:rsidRPr="00743A20" w14:paraId="7A5F7363" w14:textId="77777777" w:rsidTr="008E445B">
        <w:tc>
          <w:tcPr>
            <w:tcW w:w="4788" w:type="dxa"/>
            <w:shd w:val="clear" w:color="auto" w:fill="auto"/>
          </w:tcPr>
          <w:p w14:paraId="6DBB1B8E" w14:textId="77777777" w:rsidR="008A0760" w:rsidRPr="009E79D2" w:rsidRDefault="008A0760" w:rsidP="008A0760">
            <w:pPr>
              <w:pStyle w:val="Texto"/>
              <w:spacing w:after="0" w:line="205" w:lineRule="exact"/>
              <w:ind w:firstLine="0"/>
              <w:rPr>
                <w:rFonts w:ascii="Verdana" w:hAnsi="Verdana"/>
                <w:sz w:val="16"/>
                <w:szCs w:val="16"/>
              </w:rPr>
            </w:pPr>
            <w:r w:rsidRPr="009E79D2">
              <w:rPr>
                <w:rFonts w:ascii="Verdana" w:hAnsi="Verdana"/>
                <w:sz w:val="16"/>
                <w:szCs w:val="16"/>
              </w:rPr>
              <w:t>INSTITUTO NACIONAL DE ECOLOGÍA Y CAMBIO CLIMÁTICO</w:t>
            </w:r>
          </w:p>
        </w:tc>
        <w:tc>
          <w:tcPr>
            <w:tcW w:w="4788" w:type="dxa"/>
          </w:tcPr>
          <w:p w14:paraId="3E1D0541" w14:textId="77777777" w:rsidR="008A0760" w:rsidRPr="00356B54" w:rsidRDefault="008A0760" w:rsidP="008A0760">
            <w:pPr>
              <w:spacing w:line="205" w:lineRule="atLeast"/>
              <w:jc w:val="both"/>
              <w:rPr>
                <w:lang w:val="en-US"/>
              </w:rPr>
            </w:pPr>
            <w:r w:rsidRPr="00356B54">
              <w:rPr>
                <w:rFonts w:ascii="Verdana" w:hAnsi="Verdana"/>
                <w:sz w:val="16"/>
                <w:szCs w:val="16"/>
                <w:lang w:val="en-US"/>
              </w:rPr>
              <w:t>NATIONAL INSTITUTE OF ECOLOGY AND CLIMATE CHANGE</w:t>
            </w:r>
            <w:r w:rsidRPr="00356B54">
              <w:rPr>
                <w:lang w:val="en-US"/>
              </w:rPr>
              <w:t xml:space="preserve"> </w:t>
            </w:r>
          </w:p>
        </w:tc>
      </w:tr>
      <w:tr w:rsidR="008A0760" w:rsidRPr="00743A20" w14:paraId="2CC6A379" w14:textId="77777777" w:rsidTr="008E445B">
        <w:tc>
          <w:tcPr>
            <w:tcW w:w="4788" w:type="dxa"/>
            <w:shd w:val="clear" w:color="auto" w:fill="auto"/>
          </w:tcPr>
          <w:p w14:paraId="3ADAA8EE"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Coordinación General de Contaminación y Salud Ambiental</w:t>
            </w:r>
          </w:p>
        </w:tc>
        <w:tc>
          <w:tcPr>
            <w:tcW w:w="4788" w:type="dxa"/>
          </w:tcPr>
          <w:p w14:paraId="718F97FC" w14:textId="77777777" w:rsidR="008A0760" w:rsidRPr="00356B54" w:rsidRDefault="008A0760" w:rsidP="008A0760">
            <w:pPr>
              <w:spacing w:after="80" w:line="205" w:lineRule="atLeast"/>
              <w:jc w:val="both"/>
              <w:rPr>
                <w:lang w:val="en-US"/>
              </w:rPr>
            </w:pPr>
            <w:r w:rsidRPr="00356B54">
              <w:rPr>
                <w:rFonts w:ascii="Verdana" w:hAnsi="Verdana"/>
                <w:sz w:val="16"/>
                <w:szCs w:val="16"/>
                <w:lang w:val="en-US"/>
              </w:rPr>
              <w:t>General Coordination of Pollution and Environmental Health</w:t>
            </w:r>
            <w:r w:rsidRPr="00356B54">
              <w:rPr>
                <w:lang w:val="en-US"/>
              </w:rPr>
              <w:t xml:space="preserve"> </w:t>
            </w:r>
          </w:p>
        </w:tc>
      </w:tr>
      <w:tr w:rsidR="008A0760" w:rsidRPr="009E79D2" w14:paraId="66A8E5E7" w14:textId="77777777" w:rsidTr="008E445B">
        <w:tc>
          <w:tcPr>
            <w:tcW w:w="4788" w:type="dxa"/>
            <w:shd w:val="clear" w:color="auto" w:fill="auto"/>
          </w:tcPr>
          <w:p w14:paraId="5B7A156C"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ISUZU MOTORS DE MÉXICO, S. DE R.L.</w:t>
            </w:r>
          </w:p>
        </w:tc>
        <w:tc>
          <w:tcPr>
            <w:tcW w:w="4788" w:type="dxa"/>
          </w:tcPr>
          <w:p w14:paraId="7594C079" w14:textId="77777777" w:rsidR="008A0760" w:rsidRPr="00356B54" w:rsidRDefault="008A0760" w:rsidP="008A0760">
            <w:pPr>
              <w:spacing w:after="80" w:line="205" w:lineRule="atLeast"/>
              <w:jc w:val="both"/>
            </w:pPr>
            <w:r w:rsidRPr="00356B54">
              <w:rPr>
                <w:rFonts w:ascii="Verdana" w:hAnsi="Verdana"/>
                <w:sz w:val="16"/>
                <w:szCs w:val="16"/>
              </w:rPr>
              <w:t>ISUZU MOTORS OF MEXICO, S. DE RL</w:t>
            </w:r>
            <w:r w:rsidRPr="00356B54">
              <w:t xml:space="preserve"> </w:t>
            </w:r>
          </w:p>
        </w:tc>
      </w:tr>
      <w:tr w:rsidR="008A0760" w:rsidRPr="009E79D2" w14:paraId="2F22C26E" w14:textId="77777777" w:rsidTr="008E445B">
        <w:tc>
          <w:tcPr>
            <w:tcW w:w="4788" w:type="dxa"/>
            <w:shd w:val="clear" w:color="auto" w:fill="auto"/>
          </w:tcPr>
          <w:p w14:paraId="7888CA2C"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lastRenderedPageBreak/>
              <w:t>KENWORTH MEXICANA, S.A. DE C.V.</w:t>
            </w:r>
          </w:p>
        </w:tc>
        <w:tc>
          <w:tcPr>
            <w:tcW w:w="4788" w:type="dxa"/>
          </w:tcPr>
          <w:p w14:paraId="32C0F278" w14:textId="77777777" w:rsidR="008A0760" w:rsidRPr="00356B54" w:rsidRDefault="008A0760" w:rsidP="008A0760">
            <w:pPr>
              <w:spacing w:after="80" w:line="205" w:lineRule="atLeast"/>
              <w:jc w:val="both"/>
            </w:pPr>
            <w:r w:rsidRPr="00356B54">
              <w:rPr>
                <w:rFonts w:ascii="Verdana" w:hAnsi="Verdana"/>
                <w:sz w:val="16"/>
                <w:szCs w:val="16"/>
              </w:rPr>
              <w:t>KENWORTH MEXICANA, SA DE CV</w:t>
            </w:r>
            <w:r w:rsidRPr="00356B54">
              <w:t xml:space="preserve"> </w:t>
            </w:r>
          </w:p>
        </w:tc>
      </w:tr>
      <w:tr w:rsidR="008A0760" w:rsidRPr="009E79D2" w14:paraId="67D338E0" w14:textId="77777777" w:rsidTr="008E445B">
        <w:tc>
          <w:tcPr>
            <w:tcW w:w="4788" w:type="dxa"/>
            <w:shd w:val="clear" w:color="auto" w:fill="auto"/>
          </w:tcPr>
          <w:p w14:paraId="6389D1D2"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MAN TRUCK &amp; BUS MÉXICO, S.A. DE C.V.</w:t>
            </w:r>
          </w:p>
        </w:tc>
        <w:tc>
          <w:tcPr>
            <w:tcW w:w="4788" w:type="dxa"/>
          </w:tcPr>
          <w:p w14:paraId="394359A7" w14:textId="77777777" w:rsidR="008A0760" w:rsidRPr="00356B54" w:rsidRDefault="008A0760" w:rsidP="008A0760">
            <w:pPr>
              <w:spacing w:after="80" w:line="205" w:lineRule="atLeast"/>
              <w:jc w:val="both"/>
            </w:pPr>
            <w:r w:rsidRPr="00356B54">
              <w:rPr>
                <w:rFonts w:ascii="Verdana" w:hAnsi="Verdana"/>
                <w:sz w:val="16"/>
                <w:szCs w:val="16"/>
              </w:rPr>
              <w:t>MAN TRUCK &amp; BUS MEXICO, SA DE CV</w:t>
            </w:r>
            <w:r w:rsidRPr="00356B54">
              <w:t xml:space="preserve"> </w:t>
            </w:r>
          </w:p>
        </w:tc>
      </w:tr>
      <w:tr w:rsidR="008A0760" w:rsidRPr="009E79D2" w14:paraId="25AAF044" w14:textId="77777777" w:rsidTr="008E445B">
        <w:tc>
          <w:tcPr>
            <w:tcW w:w="4788" w:type="dxa"/>
            <w:shd w:val="clear" w:color="auto" w:fill="auto"/>
          </w:tcPr>
          <w:p w14:paraId="2D39E815"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NAVISTAR MÉXICO, S. DE R.L. DE C.V.</w:t>
            </w:r>
          </w:p>
        </w:tc>
        <w:tc>
          <w:tcPr>
            <w:tcW w:w="4788" w:type="dxa"/>
          </w:tcPr>
          <w:p w14:paraId="21892707" w14:textId="77777777" w:rsidR="008A0760" w:rsidRPr="00356B54" w:rsidRDefault="008A0760" w:rsidP="008A0760">
            <w:pPr>
              <w:spacing w:after="80" w:line="205" w:lineRule="atLeast"/>
              <w:jc w:val="both"/>
            </w:pPr>
            <w:r w:rsidRPr="00356B54">
              <w:rPr>
                <w:rFonts w:ascii="Verdana" w:hAnsi="Verdana"/>
                <w:sz w:val="16"/>
                <w:szCs w:val="16"/>
              </w:rPr>
              <w:t>NAVISTAR MEXICO, S. DE RL DE CV</w:t>
            </w:r>
            <w:r w:rsidRPr="00356B54">
              <w:t xml:space="preserve"> </w:t>
            </w:r>
          </w:p>
        </w:tc>
      </w:tr>
      <w:tr w:rsidR="008A0760" w:rsidRPr="00743A20" w14:paraId="721CA8E4" w14:textId="77777777" w:rsidTr="008E445B">
        <w:tc>
          <w:tcPr>
            <w:tcW w:w="4788" w:type="dxa"/>
            <w:shd w:val="clear" w:color="auto" w:fill="auto"/>
          </w:tcPr>
          <w:p w14:paraId="29D02770" w14:textId="77777777" w:rsidR="008A0760" w:rsidRPr="009E79D2" w:rsidRDefault="008A0760" w:rsidP="008A0760">
            <w:pPr>
              <w:pStyle w:val="Texto"/>
              <w:spacing w:after="0" w:line="205" w:lineRule="exact"/>
              <w:ind w:firstLine="0"/>
              <w:rPr>
                <w:rFonts w:ascii="Verdana" w:hAnsi="Verdana"/>
                <w:sz w:val="16"/>
                <w:szCs w:val="16"/>
              </w:rPr>
            </w:pPr>
            <w:r w:rsidRPr="009E79D2">
              <w:rPr>
                <w:rFonts w:ascii="Verdana" w:hAnsi="Verdana"/>
                <w:sz w:val="16"/>
                <w:szCs w:val="16"/>
              </w:rPr>
              <w:t>PROCURADURÍA FEDERAL DE PROTECCIÓN AL AMBIENTE</w:t>
            </w:r>
          </w:p>
        </w:tc>
        <w:tc>
          <w:tcPr>
            <w:tcW w:w="4788" w:type="dxa"/>
          </w:tcPr>
          <w:p w14:paraId="3185B926" w14:textId="77777777" w:rsidR="008A0760" w:rsidRPr="00356B54" w:rsidRDefault="008A0760" w:rsidP="008A0760">
            <w:pPr>
              <w:spacing w:line="205" w:lineRule="atLeast"/>
              <w:jc w:val="both"/>
              <w:rPr>
                <w:lang w:val="en-US"/>
              </w:rPr>
            </w:pPr>
            <w:r w:rsidRPr="00356B54">
              <w:rPr>
                <w:rFonts w:ascii="Verdana" w:hAnsi="Verdana"/>
                <w:sz w:val="16"/>
                <w:szCs w:val="16"/>
                <w:lang w:val="en-US"/>
              </w:rPr>
              <w:t>FEDERAL ATTORNEY FOR ENVIRONMENTAL PROTECTION</w:t>
            </w:r>
            <w:r w:rsidRPr="00356B54">
              <w:rPr>
                <w:lang w:val="en-US"/>
              </w:rPr>
              <w:t xml:space="preserve"> </w:t>
            </w:r>
          </w:p>
        </w:tc>
      </w:tr>
      <w:tr w:rsidR="008A0760" w:rsidRPr="00743A20" w14:paraId="75C0766A" w14:textId="77777777" w:rsidTr="008E445B">
        <w:tc>
          <w:tcPr>
            <w:tcW w:w="4788" w:type="dxa"/>
            <w:shd w:val="clear" w:color="auto" w:fill="auto"/>
          </w:tcPr>
          <w:p w14:paraId="5088149C" w14:textId="77777777" w:rsidR="008A0760" w:rsidRPr="009E79D2" w:rsidRDefault="008A0760" w:rsidP="008A0760">
            <w:pPr>
              <w:pStyle w:val="Texto"/>
              <w:spacing w:line="205" w:lineRule="exact"/>
              <w:ind w:firstLine="0"/>
              <w:rPr>
                <w:rFonts w:ascii="Verdana" w:hAnsi="Verdana"/>
                <w:sz w:val="16"/>
                <w:szCs w:val="16"/>
              </w:rPr>
            </w:pPr>
            <w:r w:rsidRPr="009E79D2">
              <w:rPr>
                <w:rFonts w:ascii="Verdana" w:hAnsi="Verdana"/>
                <w:sz w:val="16"/>
                <w:szCs w:val="16"/>
              </w:rPr>
              <w:t>Subprocuraduría de Inspección Industrial</w:t>
            </w:r>
          </w:p>
        </w:tc>
        <w:tc>
          <w:tcPr>
            <w:tcW w:w="4788" w:type="dxa"/>
          </w:tcPr>
          <w:p w14:paraId="0F8B802A" w14:textId="77777777" w:rsidR="008A0760" w:rsidRPr="00356B54" w:rsidRDefault="008A0760" w:rsidP="008A0760">
            <w:pPr>
              <w:spacing w:after="101" w:line="205" w:lineRule="atLeast"/>
              <w:jc w:val="both"/>
              <w:rPr>
                <w:lang w:val="en-US"/>
              </w:rPr>
            </w:pPr>
            <w:r w:rsidRPr="00356B54">
              <w:rPr>
                <w:rFonts w:ascii="Verdana" w:hAnsi="Verdana"/>
                <w:sz w:val="16"/>
                <w:szCs w:val="16"/>
                <w:lang w:val="en-US"/>
              </w:rPr>
              <w:t>Deputy Attorney General of Industrial Inspection</w:t>
            </w:r>
            <w:r w:rsidRPr="00356B54">
              <w:rPr>
                <w:lang w:val="en-US"/>
              </w:rPr>
              <w:t xml:space="preserve"> </w:t>
            </w:r>
          </w:p>
        </w:tc>
      </w:tr>
      <w:tr w:rsidR="008A0760" w:rsidRPr="009E79D2" w14:paraId="5CD2AEB6" w14:textId="77777777" w:rsidTr="008E445B">
        <w:tc>
          <w:tcPr>
            <w:tcW w:w="4788" w:type="dxa"/>
            <w:shd w:val="clear" w:color="auto" w:fill="auto"/>
          </w:tcPr>
          <w:p w14:paraId="738BB252"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SCANIA COMERCIAL, S.A. DE C.V.</w:t>
            </w:r>
          </w:p>
        </w:tc>
        <w:tc>
          <w:tcPr>
            <w:tcW w:w="4788" w:type="dxa"/>
          </w:tcPr>
          <w:p w14:paraId="5144F0B2" w14:textId="77777777" w:rsidR="008A0760" w:rsidRPr="00356B54" w:rsidRDefault="008A0760" w:rsidP="008A0760">
            <w:pPr>
              <w:spacing w:after="80" w:line="205" w:lineRule="atLeast"/>
              <w:jc w:val="both"/>
            </w:pPr>
            <w:r w:rsidRPr="00356B54">
              <w:rPr>
                <w:rFonts w:ascii="Verdana" w:hAnsi="Verdana"/>
                <w:sz w:val="16"/>
                <w:szCs w:val="16"/>
              </w:rPr>
              <w:t>SCANIA COMERCIAL, SA DE CV</w:t>
            </w:r>
            <w:r w:rsidRPr="00356B54">
              <w:t xml:space="preserve"> </w:t>
            </w:r>
          </w:p>
        </w:tc>
      </w:tr>
      <w:tr w:rsidR="008A0760" w:rsidRPr="00743A20" w14:paraId="6631FF08" w14:textId="77777777" w:rsidTr="008E445B">
        <w:tc>
          <w:tcPr>
            <w:tcW w:w="4788" w:type="dxa"/>
            <w:shd w:val="clear" w:color="auto" w:fill="auto"/>
          </w:tcPr>
          <w:p w14:paraId="198551FD" w14:textId="77777777" w:rsidR="008A0760" w:rsidRPr="009E79D2" w:rsidRDefault="008A0760" w:rsidP="008A0760">
            <w:pPr>
              <w:pStyle w:val="Texto"/>
              <w:spacing w:after="0" w:line="205" w:lineRule="exact"/>
              <w:ind w:firstLine="0"/>
              <w:rPr>
                <w:rFonts w:ascii="Verdana" w:hAnsi="Verdana"/>
                <w:sz w:val="16"/>
                <w:szCs w:val="16"/>
              </w:rPr>
            </w:pPr>
            <w:r w:rsidRPr="009E79D2">
              <w:rPr>
                <w:rFonts w:ascii="Verdana" w:hAnsi="Verdana"/>
                <w:sz w:val="16"/>
                <w:szCs w:val="16"/>
              </w:rPr>
              <w:t>SECRETARÍA DE MEDIO AMBIENTE Y RECURSOS NATURALES</w:t>
            </w:r>
          </w:p>
        </w:tc>
        <w:tc>
          <w:tcPr>
            <w:tcW w:w="4788" w:type="dxa"/>
          </w:tcPr>
          <w:p w14:paraId="2AA71088" w14:textId="77777777" w:rsidR="008A0760" w:rsidRPr="00356B54" w:rsidRDefault="008A0760" w:rsidP="008A0760">
            <w:pPr>
              <w:spacing w:line="205" w:lineRule="atLeast"/>
              <w:jc w:val="both"/>
              <w:rPr>
                <w:lang w:val="en-US"/>
              </w:rPr>
            </w:pPr>
            <w:r w:rsidRPr="00356B54">
              <w:rPr>
                <w:rFonts w:ascii="Verdana" w:hAnsi="Verdana"/>
                <w:sz w:val="16"/>
                <w:szCs w:val="16"/>
                <w:lang w:val="en-US"/>
              </w:rPr>
              <w:t>SECRETARIAT OF ENVIRONMENT AND NATURAL RESOURCES</w:t>
            </w:r>
            <w:r w:rsidRPr="00356B54">
              <w:rPr>
                <w:lang w:val="en-US"/>
              </w:rPr>
              <w:t xml:space="preserve"> </w:t>
            </w:r>
          </w:p>
        </w:tc>
      </w:tr>
      <w:tr w:rsidR="008A0760" w:rsidRPr="00743A20" w14:paraId="0D469AC8" w14:textId="77777777" w:rsidTr="008E445B">
        <w:tc>
          <w:tcPr>
            <w:tcW w:w="4788" w:type="dxa"/>
            <w:shd w:val="clear" w:color="auto" w:fill="auto"/>
          </w:tcPr>
          <w:p w14:paraId="2711B6A4" w14:textId="77777777" w:rsidR="008A0760" w:rsidRPr="009E79D2" w:rsidRDefault="008A0760" w:rsidP="008A0760">
            <w:pPr>
              <w:pStyle w:val="Texto"/>
              <w:spacing w:after="0" w:line="205" w:lineRule="exact"/>
              <w:ind w:firstLine="0"/>
              <w:rPr>
                <w:rFonts w:ascii="Verdana" w:hAnsi="Verdana"/>
                <w:sz w:val="16"/>
                <w:szCs w:val="16"/>
              </w:rPr>
            </w:pPr>
            <w:r w:rsidRPr="009E79D2">
              <w:rPr>
                <w:rFonts w:ascii="Verdana" w:hAnsi="Verdana"/>
                <w:sz w:val="16"/>
                <w:szCs w:val="16"/>
              </w:rPr>
              <w:t>Subsecretaría Fomento y Normatividad Ambiental</w:t>
            </w:r>
          </w:p>
        </w:tc>
        <w:tc>
          <w:tcPr>
            <w:tcW w:w="4788" w:type="dxa"/>
          </w:tcPr>
          <w:p w14:paraId="6D987828" w14:textId="77777777" w:rsidR="008A0760" w:rsidRPr="00356B54" w:rsidRDefault="008A0760" w:rsidP="008A0760">
            <w:pPr>
              <w:spacing w:line="205" w:lineRule="atLeast"/>
              <w:jc w:val="both"/>
              <w:rPr>
                <w:lang w:val="en-US"/>
              </w:rPr>
            </w:pPr>
            <w:r w:rsidRPr="00356B54">
              <w:rPr>
                <w:rFonts w:ascii="Verdana" w:hAnsi="Verdana"/>
                <w:sz w:val="16"/>
                <w:szCs w:val="16"/>
                <w:lang w:val="en-US"/>
              </w:rPr>
              <w:t>Undersecretary of Environmental Promotion and Regulations</w:t>
            </w:r>
            <w:r w:rsidRPr="00356B54">
              <w:rPr>
                <w:lang w:val="en-US"/>
              </w:rPr>
              <w:t xml:space="preserve"> </w:t>
            </w:r>
          </w:p>
        </w:tc>
      </w:tr>
      <w:tr w:rsidR="008A0760" w:rsidRPr="00743A20" w14:paraId="6BA4621C" w14:textId="77777777" w:rsidTr="008E445B">
        <w:tc>
          <w:tcPr>
            <w:tcW w:w="4788" w:type="dxa"/>
            <w:shd w:val="clear" w:color="auto" w:fill="auto"/>
          </w:tcPr>
          <w:p w14:paraId="68ACB50F" w14:textId="77777777" w:rsidR="008A0760" w:rsidRPr="009E79D2" w:rsidRDefault="008A0760" w:rsidP="008A0760">
            <w:pPr>
              <w:pStyle w:val="Texto"/>
              <w:spacing w:after="0" w:line="205" w:lineRule="exact"/>
              <w:ind w:firstLine="0"/>
              <w:rPr>
                <w:rFonts w:ascii="Verdana" w:hAnsi="Verdana"/>
                <w:sz w:val="16"/>
                <w:szCs w:val="16"/>
              </w:rPr>
            </w:pPr>
            <w:r w:rsidRPr="009E79D2">
              <w:rPr>
                <w:rFonts w:ascii="Verdana" w:hAnsi="Verdana"/>
                <w:sz w:val="16"/>
                <w:szCs w:val="16"/>
              </w:rPr>
              <w:t>Subsecretaría de Gestión para la Protección Ambiental</w:t>
            </w:r>
          </w:p>
        </w:tc>
        <w:tc>
          <w:tcPr>
            <w:tcW w:w="4788" w:type="dxa"/>
          </w:tcPr>
          <w:p w14:paraId="44AAE873" w14:textId="77777777" w:rsidR="008A0760" w:rsidRPr="00356B54" w:rsidRDefault="008A0760" w:rsidP="008A0760">
            <w:pPr>
              <w:spacing w:line="205" w:lineRule="atLeast"/>
              <w:jc w:val="both"/>
              <w:rPr>
                <w:lang w:val="en-US"/>
              </w:rPr>
            </w:pPr>
            <w:r w:rsidRPr="00356B54">
              <w:rPr>
                <w:rFonts w:ascii="Verdana" w:hAnsi="Verdana"/>
                <w:sz w:val="16"/>
                <w:szCs w:val="16"/>
                <w:lang w:val="en-US"/>
              </w:rPr>
              <w:t>Undersecretar</w:t>
            </w:r>
            <w:r w:rsidR="00A341BE">
              <w:rPr>
                <w:rFonts w:ascii="Verdana" w:hAnsi="Verdana"/>
                <w:sz w:val="16"/>
                <w:szCs w:val="16"/>
                <w:lang w:val="en-US"/>
              </w:rPr>
              <w:t>y</w:t>
            </w:r>
            <w:r w:rsidRPr="00356B54">
              <w:rPr>
                <w:rFonts w:ascii="Verdana" w:hAnsi="Verdana"/>
                <w:sz w:val="16"/>
                <w:szCs w:val="16"/>
                <w:lang w:val="en-US"/>
              </w:rPr>
              <w:t xml:space="preserve"> of Management for Environmental Protection</w:t>
            </w:r>
            <w:r w:rsidRPr="00356B54">
              <w:rPr>
                <w:lang w:val="en-US"/>
              </w:rPr>
              <w:t xml:space="preserve"> </w:t>
            </w:r>
          </w:p>
        </w:tc>
      </w:tr>
      <w:tr w:rsidR="008A0760" w:rsidRPr="00743A20" w14:paraId="30A90B98" w14:textId="77777777" w:rsidTr="008E445B">
        <w:tc>
          <w:tcPr>
            <w:tcW w:w="4788" w:type="dxa"/>
            <w:shd w:val="clear" w:color="auto" w:fill="auto"/>
          </w:tcPr>
          <w:p w14:paraId="1C54C050"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Subsecretaría de Planeación y Política Ambiental</w:t>
            </w:r>
          </w:p>
        </w:tc>
        <w:tc>
          <w:tcPr>
            <w:tcW w:w="4788" w:type="dxa"/>
          </w:tcPr>
          <w:p w14:paraId="7A628584" w14:textId="77777777" w:rsidR="008A0760" w:rsidRPr="00356B54" w:rsidRDefault="008A0760" w:rsidP="008A0760">
            <w:pPr>
              <w:spacing w:after="80" w:line="205" w:lineRule="atLeast"/>
              <w:jc w:val="both"/>
              <w:rPr>
                <w:lang w:val="en-US"/>
              </w:rPr>
            </w:pPr>
            <w:r w:rsidRPr="00356B54">
              <w:rPr>
                <w:rFonts w:ascii="Verdana" w:hAnsi="Verdana"/>
                <w:sz w:val="16"/>
                <w:szCs w:val="16"/>
                <w:lang w:val="en-US"/>
              </w:rPr>
              <w:t>Undersecretary of Planning and Environmental Policy</w:t>
            </w:r>
            <w:r w:rsidRPr="00356B54">
              <w:rPr>
                <w:lang w:val="en-US"/>
              </w:rPr>
              <w:t xml:space="preserve"> </w:t>
            </w:r>
          </w:p>
        </w:tc>
      </w:tr>
      <w:tr w:rsidR="008A0760" w:rsidRPr="009E79D2" w14:paraId="08B21877" w14:textId="77777777" w:rsidTr="008E445B">
        <w:tc>
          <w:tcPr>
            <w:tcW w:w="4788" w:type="dxa"/>
            <w:shd w:val="clear" w:color="auto" w:fill="auto"/>
          </w:tcPr>
          <w:p w14:paraId="602E9CC2"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VOLKSWAGEN DE MÉXICO, S.A. DE C.V.</w:t>
            </w:r>
          </w:p>
        </w:tc>
        <w:tc>
          <w:tcPr>
            <w:tcW w:w="4788" w:type="dxa"/>
          </w:tcPr>
          <w:p w14:paraId="7740B6CF" w14:textId="77777777" w:rsidR="008A0760" w:rsidRPr="00356B54" w:rsidRDefault="008A0760" w:rsidP="008A0760">
            <w:pPr>
              <w:spacing w:after="80" w:line="205" w:lineRule="atLeast"/>
              <w:jc w:val="both"/>
            </w:pPr>
            <w:r w:rsidRPr="00356B54">
              <w:rPr>
                <w:rFonts w:ascii="Verdana" w:hAnsi="Verdana"/>
                <w:sz w:val="16"/>
                <w:szCs w:val="16"/>
              </w:rPr>
              <w:t>VOLKSWAGEN DE MÉXICO, SA DE CV</w:t>
            </w:r>
            <w:r w:rsidRPr="00356B54">
              <w:t xml:space="preserve"> </w:t>
            </w:r>
          </w:p>
        </w:tc>
      </w:tr>
      <w:tr w:rsidR="008A0760" w:rsidRPr="009E79D2" w14:paraId="3BF610E6" w14:textId="77777777" w:rsidTr="008E445B">
        <w:tc>
          <w:tcPr>
            <w:tcW w:w="4788" w:type="dxa"/>
            <w:shd w:val="clear" w:color="auto" w:fill="auto"/>
          </w:tcPr>
          <w:p w14:paraId="33614B0C"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sz w:val="16"/>
                <w:szCs w:val="16"/>
              </w:rPr>
              <w:t>VOLVO GROUP MÉXICO, S.A. DE C.V.</w:t>
            </w:r>
          </w:p>
        </w:tc>
        <w:tc>
          <w:tcPr>
            <w:tcW w:w="4788" w:type="dxa"/>
          </w:tcPr>
          <w:p w14:paraId="3688DF94" w14:textId="77777777" w:rsidR="008A0760" w:rsidRPr="00356B54" w:rsidRDefault="008A0760" w:rsidP="008A0760">
            <w:pPr>
              <w:spacing w:after="80" w:line="205" w:lineRule="atLeast"/>
              <w:jc w:val="both"/>
            </w:pPr>
            <w:r w:rsidRPr="00356B54">
              <w:rPr>
                <w:rFonts w:ascii="Verdana" w:hAnsi="Verdana"/>
                <w:sz w:val="16"/>
                <w:szCs w:val="16"/>
              </w:rPr>
              <w:t>VOLVO GROUP MÉXICO, SA DE CV</w:t>
            </w:r>
            <w:r w:rsidRPr="00356B54">
              <w:t xml:space="preserve"> </w:t>
            </w:r>
          </w:p>
        </w:tc>
      </w:tr>
      <w:tr w:rsidR="008A0760" w:rsidRPr="009E79D2" w14:paraId="510FD9A9" w14:textId="77777777" w:rsidTr="008E445B">
        <w:tc>
          <w:tcPr>
            <w:tcW w:w="4788" w:type="dxa"/>
            <w:shd w:val="clear" w:color="auto" w:fill="auto"/>
          </w:tcPr>
          <w:p w14:paraId="69F3231D" w14:textId="77777777" w:rsidR="008A0760" w:rsidRPr="009E79D2" w:rsidRDefault="008A0760" w:rsidP="008A0760">
            <w:pPr>
              <w:pStyle w:val="Texto"/>
              <w:spacing w:after="80" w:line="205" w:lineRule="exact"/>
              <w:ind w:firstLine="0"/>
              <w:jc w:val="center"/>
              <w:rPr>
                <w:rFonts w:ascii="Verdana" w:hAnsi="Verdana"/>
                <w:b/>
                <w:sz w:val="16"/>
                <w:szCs w:val="16"/>
                <w:lang w:val="pt-BR"/>
              </w:rPr>
            </w:pPr>
          </w:p>
        </w:tc>
        <w:tc>
          <w:tcPr>
            <w:tcW w:w="4788" w:type="dxa"/>
          </w:tcPr>
          <w:p w14:paraId="2F970E64" w14:textId="77777777" w:rsidR="008A0760" w:rsidRPr="00356B54" w:rsidRDefault="008A0760" w:rsidP="008A0760">
            <w:pPr>
              <w:spacing w:after="80" w:line="205" w:lineRule="atLeast"/>
              <w:jc w:val="center"/>
            </w:pPr>
            <w:r w:rsidRPr="00356B54">
              <w:rPr>
                <w:rFonts w:ascii="Verdana" w:hAnsi="Verdana"/>
                <w:b/>
                <w:bCs/>
                <w:sz w:val="16"/>
                <w:szCs w:val="16"/>
              </w:rPr>
              <w:t> </w:t>
            </w:r>
          </w:p>
        </w:tc>
      </w:tr>
      <w:tr w:rsidR="008A0760" w:rsidRPr="00743A20" w14:paraId="58CE0E5B" w14:textId="77777777" w:rsidTr="008E445B">
        <w:tc>
          <w:tcPr>
            <w:tcW w:w="4788" w:type="dxa"/>
            <w:shd w:val="clear" w:color="auto" w:fill="auto"/>
          </w:tcPr>
          <w:p w14:paraId="681DFF3C" w14:textId="77777777" w:rsidR="008A0760" w:rsidRPr="009E79D2" w:rsidRDefault="008A0760" w:rsidP="008A0760">
            <w:pPr>
              <w:pStyle w:val="ANOTACION"/>
              <w:spacing w:after="80" w:line="205" w:lineRule="exact"/>
              <w:rPr>
                <w:rFonts w:ascii="Verdana" w:hAnsi="Verdana"/>
                <w:sz w:val="16"/>
                <w:szCs w:val="16"/>
              </w:rPr>
            </w:pPr>
            <w:r w:rsidRPr="009E79D2">
              <w:rPr>
                <w:rFonts w:ascii="Verdana" w:hAnsi="Verdana"/>
                <w:sz w:val="16"/>
                <w:szCs w:val="16"/>
              </w:rPr>
              <w:t>NORMA OFICIAL MEXICANA NOM-044-SEMARNAT-2017, QUE ESTABLECE LOS LÍMITES  MÁXIMOS PERMISIBLES DE EMISIÓN DE MONÓXIDO DE CARBONO, ÓXIDOS DE NITRÓGENO, HIDROCARBUROS NO METANO, HIDROCARBUROS NO METANO MÁS ÓXIDOS DE NITRÓGENO, PARTÍCULAS Y AMONIACO, PROVENIENTES DEL ESCAPE DE MOTORES NUEVOS QUE UTILIZAN DIÉSEL COMO COMBUSTIBLE Y QUE SE UTILIZARÁN PARA LA PROPULSIÓN DE VEHÍCULOS AUTOMOTORES CON PESO BRUTO VEHICULAR MAYOR A 3,857 KILOGRAMOS, ASÍ COMO DEL ESCAPE DE VEHÍCULOS AUTOMOTORES NUEVOS CON PESO BRUTO VEHICULAR MAYOR A 3,857 KILOGRAMOS EQUIPADOS CON ESTE TIPO DE MOTORES</w:t>
            </w:r>
          </w:p>
        </w:tc>
        <w:tc>
          <w:tcPr>
            <w:tcW w:w="4788" w:type="dxa"/>
          </w:tcPr>
          <w:p w14:paraId="61D58EA4" w14:textId="77777777" w:rsidR="008A0760" w:rsidRPr="00356B54" w:rsidRDefault="00735A37" w:rsidP="008A0760">
            <w:pPr>
              <w:spacing w:before="101" w:after="80" w:line="205" w:lineRule="atLeast"/>
              <w:jc w:val="center"/>
              <w:rPr>
                <w:lang w:val="en-US"/>
              </w:rPr>
            </w:pPr>
            <w:r>
              <w:rPr>
                <w:rFonts w:ascii="Verdana" w:hAnsi="Verdana"/>
                <w:b/>
                <w:bCs/>
                <w:sz w:val="16"/>
                <w:szCs w:val="16"/>
                <w:lang w:val="en-US"/>
              </w:rPr>
              <w:t xml:space="preserve">OFFICIAL MEXICAN </w:t>
            </w:r>
            <w:r w:rsidR="00A341BE">
              <w:rPr>
                <w:rFonts w:ascii="Verdana" w:hAnsi="Verdana"/>
                <w:b/>
                <w:bCs/>
                <w:sz w:val="16"/>
                <w:szCs w:val="16"/>
                <w:lang w:val="en-US"/>
              </w:rPr>
              <w:t>STANDARD</w:t>
            </w:r>
            <w:r w:rsidR="00A341BE" w:rsidRPr="00356B54">
              <w:rPr>
                <w:rFonts w:ascii="Verdana" w:hAnsi="Verdana"/>
                <w:b/>
                <w:bCs/>
                <w:sz w:val="16"/>
                <w:szCs w:val="16"/>
                <w:lang w:val="en-US"/>
              </w:rPr>
              <w:t xml:space="preserve"> </w:t>
            </w:r>
            <w:r w:rsidR="00A341BE" w:rsidRPr="00A341BE">
              <w:rPr>
                <w:rFonts w:ascii="Verdana" w:hAnsi="Verdana"/>
                <w:b/>
                <w:bCs/>
                <w:sz w:val="16"/>
                <w:szCs w:val="16"/>
                <w:lang w:val="en-US"/>
              </w:rPr>
              <w:t xml:space="preserve">NOM-044-SEMARNAT-2017, THAT ESTABLISHES THE MAXIMUM PERMISSIBLE LIMITS OF EMISSIONS OF CARBON MONOXIDE, NITROGEN OXIDES, NON-METHANE HYDROCARBONS, NON-METHANE HYDROCARBONS PLUS NITROGEN OXIDES, PARTICULATES AND AMMONIUM, ORIGINATING FROM THE EXHAUST OF NEW MOTORS THAT USE DIESEL AS FUEL AND THAT WILL BE UTILIZED FOR THE PROPULSION OF AUTOMOTIVE VEHICLES, WITH GROSS VEHICULAR WEIGHT GREATER THAN 3,857 KILOGRAMS, AS WELL AS THE EXHAUST OF AUTOMOTIVE VEHICLES WITH GROSS VEHICULAR WEIGHT GREATER THAN 3,857 KILOGRAMS EQUIPPED WITH THIS TYPE OF MOTORS.    </w:t>
            </w:r>
          </w:p>
        </w:tc>
      </w:tr>
      <w:tr w:rsidR="008A0760" w:rsidRPr="009E79D2" w14:paraId="3B95A25F" w14:textId="77777777" w:rsidTr="008E445B">
        <w:tc>
          <w:tcPr>
            <w:tcW w:w="4788" w:type="dxa"/>
            <w:shd w:val="clear" w:color="auto" w:fill="auto"/>
          </w:tcPr>
          <w:p w14:paraId="74099EA9" w14:textId="77777777" w:rsidR="008A0760" w:rsidRPr="009E79D2" w:rsidRDefault="008A0760" w:rsidP="008A0760">
            <w:pPr>
              <w:pStyle w:val="Texto"/>
              <w:spacing w:after="80" w:line="205" w:lineRule="exact"/>
              <w:ind w:firstLine="0"/>
              <w:jc w:val="center"/>
              <w:rPr>
                <w:rFonts w:ascii="Verdana" w:hAnsi="Verdana"/>
                <w:b/>
                <w:sz w:val="16"/>
                <w:szCs w:val="16"/>
                <w:lang w:val="pt-BR"/>
              </w:rPr>
            </w:pPr>
            <w:r w:rsidRPr="009E79D2">
              <w:rPr>
                <w:rFonts w:ascii="Verdana" w:hAnsi="Verdana"/>
                <w:b/>
                <w:sz w:val="16"/>
                <w:szCs w:val="16"/>
                <w:lang w:val="pt-BR"/>
              </w:rPr>
              <w:t xml:space="preserve">ÍNDICE </w:t>
            </w:r>
          </w:p>
        </w:tc>
        <w:tc>
          <w:tcPr>
            <w:tcW w:w="4788" w:type="dxa"/>
          </w:tcPr>
          <w:p w14:paraId="30189EEC" w14:textId="77777777" w:rsidR="008A0760" w:rsidRPr="00356B54" w:rsidRDefault="008A0760" w:rsidP="008A0760">
            <w:pPr>
              <w:spacing w:after="80" w:line="205" w:lineRule="atLeast"/>
              <w:jc w:val="center"/>
            </w:pPr>
            <w:r w:rsidRPr="00356B54">
              <w:rPr>
                <w:rFonts w:ascii="Verdana" w:hAnsi="Verdana"/>
                <w:b/>
                <w:bCs/>
                <w:sz w:val="16"/>
                <w:szCs w:val="16"/>
              </w:rPr>
              <w:t xml:space="preserve">INDEX </w:t>
            </w:r>
          </w:p>
        </w:tc>
      </w:tr>
      <w:tr w:rsidR="008A0760" w:rsidRPr="00743A20" w14:paraId="7A713485" w14:textId="77777777" w:rsidTr="008E445B">
        <w:tc>
          <w:tcPr>
            <w:tcW w:w="4788" w:type="dxa"/>
            <w:shd w:val="clear" w:color="auto" w:fill="auto"/>
          </w:tcPr>
          <w:p w14:paraId="7682D9CB" w14:textId="77777777" w:rsidR="008A0760" w:rsidRPr="009E79D2" w:rsidRDefault="008A0760" w:rsidP="008A0760">
            <w:pPr>
              <w:pStyle w:val="ROMANOS"/>
              <w:tabs>
                <w:tab w:val="left" w:pos="303"/>
              </w:tabs>
              <w:spacing w:after="80" w:line="205" w:lineRule="exact"/>
              <w:ind w:left="0" w:firstLine="0"/>
              <w:rPr>
                <w:rFonts w:ascii="Verdana" w:hAnsi="Verdana"/>
                <w:sz w:val="16"/>
                <w:szCs w:val="16"/>
              </w:rPr>
            </w:pPr>
            <w:r w:rsidRPr="009E79D2">
              <w:rPr>
                <w:rFonts w:ascii="Verdana" w:hAnsi="Verdana"/>
                <w:b/>
                <w:sz w:val="16"/>
                <w:szCs w:val="16"/>
              </w:rPr>
              <w:t>1.</w:t>
            </w:r>
            <w:r w:rsidRPr="009E79D2">
              <w:rPr>
                <w:rFonts w:ascii="Verdana" w:hAnsi="Verdana"/>
                <w:b/>
                <w:sz w:val="16"/>
                <w:szCs w:val="16"/>
              </w:rPr>
              <w:tab/>
            </w:r>
            <w:r w:rsidRPr="009E79D2">
              <w:rPr>
                <w:rFonts w:ascii="Verdana" w:hAnsi="Verdana"/>
                <w:sz w:val="16"/>
                <w:szCs w:val="16"/>
              </w:rPr>
              <w:t>OBJETIVO Y CAMPO DE APLICACIÓN.</w:t>
            </w:r>
          </w:p>
        </w:tc>
        <w:tc>
          <w:tcPr>
            <w:tcW w:w="4788" w:type="dxa"/>
          </w:tcPr>
          <w:p w14:paraId="14EA454C" w14:textId="77777777" w:rsidR="008A0760" w:rsidRPr="00356B54" w:rsidRDefault="008A0760" w:rsidP="008A0760">
            <w:pPr>
              <w:spacing w:after="80" w:line="205" w:lineRule="atLeast"/>
              <w:jc w:val="both"/>
              <w:rPr>
                <w:lang w:val="en-US"/>
              </w:rPr>
            </w:pPr>
            <w:r w:rsidRPr="00356B54">
              <w:rPr>
                <w:rFonts w:ascii="Verdana" w:hAnsi="Verdana"/>
                <w:b/>
                <w:bCs/>
                <w:sz w:val="16"/>
                <w:szCs w:val="16"/>
                <w:lang w:val="en-US"/>
              </w:rPr>
              <w:t>1.</w:t>
            </w:r>
            <w:r w:rsidRPr="00356B54">
              <w:rPr>
                <w:lang w:val="en-US"/>
              </w:rPr>
              <w:t xml:space="preserve"> </w:t>
            </w:r>
            <w:r w:rsidRPr="00356B54">
              <w:rPr>
                <w:rFonts w:ascii="Verdana" w:hAnsi="Verdana"/>
                <w:b/>
                <w:bCs/>
                <w:sz w:val="16"/>
                <w:szCs w:val="16"/>
                <w:lang w:val="en-US"/>
              </w:rPr>
              <w:t xml:space="preserve">              </w:t>
            </w:r>
            <w:r w:rsidRPr="00356B54">
              <w:rPr>
                <w:rFonts w:ascii="Verdana" w:hAnsi="Verdana"/>
                <w:sz w:val="16"/>
                <w:szCs w:val="16"/>
                <w:lang w:val="en-US"/>
              </w:rPr>
              <w:t>OBJECTIVE AND FIELD OF APPLICATION.</w:t>
            </w:r>
            <w:r w:rsidRPr="00356B54">
              <w:rPr>
                <w:lang w:val="en-US"/>
              </w:rPr>
              <w:t xml:space="preserve"> </w:t>
            </w:r>
          </w:p>
        </w:tc>
      </w:tr>
      <w:tr w:rsidR="008A0760" w:rsidRPr="009E79D2" w14:paraId="575235B0" w14:textId="77777777" w:rsidTr="008E445B">
        <w:tc>
          <w:tcPr>
            <w:tcW w:w="4788" w:type="dxa"/>
            <w:shd w:val="clear" w:color="auto" w:fill="auto"/>
          </w:tcPr>
          <w:p w14:paraId="63F8D032" w14:textId="77777777" w:rsidR="008A0760" w:rsidRPr="009E79D2" w:rsidRDefault="008A0760" w:rsidP="008A0760">
            <w:pPr>
              <w:pStyle w:val="ROMANOS"/>
              <w:tabs>
                <w:tab w:val="left" w:pos="303"/>
              </w:tabs>
              <w:spacing w:after="80" w:line="205" w:lineRule="exact"/>
              <w:ind w:left="0" w:firstLine="0"/>
              <w:rPr>
                <w:rFonts w:ascii="Verdana" w:hAnsi="Verdana"/>
                <w:sz w:val="16"/>
                <w:szCs w:val="16"/>
              </w:rPr>
            </w:pPr>
            <w:r w:rsidRPr="009E79D2">
              <w:rPr>
                <w:rFonts w:ascii="Verdana" w:hAnsi="Verdana"/>
                <w:b/>
                <w:sz w:val="16"/>
                <w:szCs w:val="16"/>
              </w:rPr>
              <w:t>2.</w:t>
            </w:r>
            <w:r w:rsidRPr="009E79D2">
              <w:rPr>
                <w:rFonts w:ascii="Verdana" w:hAnsi="Verdana"/>
                <w:b/>
                <w:sz w:val="16"/>
                <w:szCs w:val="16"/>
              </w:rPr>
              <w:tab/>
            </w:r>
            <w:r w:rsidRPr="009E79D2">
              <w:rPr>
                <w:rFonts w:ascii="Verdana" w:hAnsi="Verdana"/>
                <w:sz w:val="16"/>
                <w:szCs w:val="16"/>
              </w:rPr>
              <w:t>REFERENCIAS NORMATIVAS.</w:t>
            </w:r>
          </w:p>
        </w:tc>
        <w:tc>
          <w:tcPr>
            <w:tcW w:w="4788" w:type="dxa"/>
          </w:tcPr>
          <w:p w14:paraId="5B57EDFF" w14:textId="77777777" w:rsidR="008A0760" w:rsidRPr="00356B54" w:rsidRDefault="008A0760" w:rsidP="008A0760">
            <w:pPr>
              <w:spacing w:after="80" w:line="205" w:lineRule="atLeast"/>
              <w:jc w:val="both"/>
            </w:pPr>
            <w:r w:rsidRPr="00356B54">
              <w:rPr>
                <w:rFonts w:ascii="Verdana" w:hAnsi="Verdana"/>
                <w:b/>
                <w:bCs/>
                <w:sz w:val="16"/>
                <w:szCs w:val="16"/>
              </w:rPr>
              <w:t>2.</w:t>
            </w:r>
            <w:r w:rsidRPr="00356B54">
              <w:t xml:space="preserve"> </w:t>
            </w:r>
            <w:r w:rsidRPr="00356B54">
              <w:rPr>
                <w:rFonts w:ascii="Verdana" w:hAnsi="Verdana"/>
                <w:b/>
                <w:bCs/>
                <w:sz w:val="16"/>
                <w:szCs w:val="16"/>
              </w:rPr>
              <w:t xml:space="preserve">              </w:t>
            </w:r>
            <w:r w:rsidRPr="00356B54">
              <w:rPr>
                <w:rFonts w:ascii="Verdana" w:hAnsi="Verdana"/>
                <w:sz w:val="16"/>
                <w:szCs w:val="16"/>
              </w:rPr>
              <w:t>NORMATIVE REFERENCES.</w:t>
            </w:r>
            <w:r w:rsidRPr="00356B54">
              <w:t xml:space="preserve"> </w:t>
            </w:r>
          </w:p>
        </w:tc>
      </w:tr>
      <w:tr w:rsidR="008A0760" w:rsidRPr="009E79D2" w14:paraId="3C546C09" w14:textId="77777777" w:rsidTr="008E445B">
        <w:tc>
          <w:tcPr>
            <w:tcW w:w="4788" w:type="dxa"/>
            <w:shd w:val="clear" w:color="auto" w:fill="auto"/>
          </w:tcPr>
          <w:p w14:paraId="07E289EA" w14:textId="77777777" w:rsidR="008A0760" w:rsidRPr="009E79D2" w:rsidRDefault="008A0760" w:rsidP="008A0760">
            <w:pPr>
              <w:pStyle w:val="ROMANOS"/>
              <w:tabs>
                <w:tab w:val="left" w:pos="303"/>
              </w:tabs>
              <w:spacing w:after="80" w:line="205" w:lineRule="exact"/>
              <w:ind w:left="0" w:firstLine="0"/>
              <w:rPr>
                <w:rFonts w:ascii="Verdana" w:hAnsi="Verdana"/>
                <w:sz w:val="16"/>
                <w:szCs w:val="16"/>
              </w:rPr>
            </w:pPr>
            <w:r w:rsidRPr="009E79D2">
              <w:rPr>
                <w:rFonts w:ascii="Verdana" w:hAnsi="Verdana"/>
                <w:b/>
                <w:sz w:val="16"/>
                <w:szCs w:val="16"/>
              </w:rPr>
              <w:t>3.</w:t>
            </w:r>
            <w:r w:rsidRPr="009E79D2">
              <w:rPr>
                <w:rFonts w:ascii="Verdana" w:hAnsi="Verdana"/>
                <w:b/>
                <w:sz w:val="16"/>
                <w:szCs w:val="16"/>
              </w:rPr>
              <w:tab/>
            </w:r>
            <w:r w:rsidRPr="009E79D2">
              <w:rPr>
                <w:rFonts w:ascii="Verdana" w:hAnsi="Verdana"/>
                <w:sz w:val="16"/>
                <w:szCs w:val="16"/>
              </w:rPr>
              <w:t>TÉRMINOS Y DEFINICIONES.</w:t>
            </w:r>
          </w:p>
        </w:tc>
        <w:tc>
          <w:tcPr>
            <w:tcW w:w="4788" w:type="dxa"/>
          </w:tcPr>
          <w:p w14:paraId="18D19BD8" w14:textId="77777777" w:rsidR="008A0760" w:rsidRPr="00356B54" w:rsidRDefault="008A0760" w:rsidP="008A0760">
            <w:pPr>
              <w:spacing w:after="80" w:line="205" w:lineRule="atLeast"/>
              <w:jc w:val="both"/>
            </w:pPr>
            <w:r w:rsidRPr="00356B54">
              <w:rPr>
                <w:rFonts w:ascii="Verdana" w:hAnsi="Verdana"/>
                <w:b/>
                <w:bCs/>
                <w:sz w:val="16"/>
                <w:szCs w:val="16"/>
              </w:rPr>
              <w:t>3.</w:t>
            </w:r>
            <w:r w:rsidRPr="00356B54">
              <w:t xml:space="preserve"> </w:t>
            </w:r>
            <w:r w:rsidRPr="00356B54">
              <w:rPr>
                <w:rFonts w:ascii="Verdana" w:hAnsi="Verdana"/>
                <w:b/>
                <w:bCs/>
                <w:sz w:val="16"/>
                <w:szCs w:val="16"/>
              </w:rPr>
              <w:t xml:space="preserve">              </w:t>
            </w:r>
            <w:r w:rsidRPr="00356B54">
              <w:rPr>
                <w:rFonts w:ascii="Verdana" w:hAnsi="Verdana"/>
                <w:sz w:val="16"/>
                <w:szCs w:val="16"/>
              </w:rPr>
              <w:t>TERMS AND DEFINITIONS.</w:t>
            </w:r>
            <w:r w:rsidRPr="00356B54">
              <w:t xml:space="preserve"> </w:t>
            </w:r>
          </w:p>
        </w:tc>
      </w:tr>
      <w:tr w:rsidR="008A0760" w:rsidRPr="009E79D2" w14:paraId="17248E57" w14:textId="77777777" w:rsidTr="008E445B">
        <w:tc>
          <w:tcPr>
            <w:tcW w:w="4788" w:type="dxa"/>
            <w:shd w:val="clear" w:color="auto" w:fill="auto"/>
          </w:tcPr>
          <w:p w14:paraId="0DC16273" w14:textId="77777777" w:rsidR="008A0760" w:rsidRPr="009E79D2" w:rsidRDefault="008A0760" w:rsidP="008A0760">
            <w:pPr>
              <w:pStyle w:val="ROMANOS"/>
              <w:tabs>
                <w:tab w:val="left" w:pos="303"/>
              </w:tabs>
              <w:spacing w:after="80" w:line="205" w:lineRule="exact"/>
              <w:ind w:left="0" w:firstLine="0"/>
              <w:rPr>
                <w:rFonts w:ascii="Verdana" w:hAnsi="Verdana"/>
                <w:sz w:val="16"/>
                <w:szCs w:val="16"/>
              </w:rPr>
            </w:pPr>
            <w:r w:rsidRPr="009E79D2">
              <w:rPr>
                <w:rFonts w:ascii="Verdana" w:hAnsi="Verdana"/>
                <w:b/>
                <w:sz w:val="16"/>
                <w:szCs w:val="16"/>
              </w:rPr>
              <w:t>4.</w:t>
            </w:r>
            <w:r w:rsidRPr="009E79D2">
              <w:rPr>
                <w:rFonts w:ascii="Verdana" w:hAnsi="Verdana"/>
                <w:b/>
                <w:sz w:val="16"/>
                <w:szCs w:val="16"/>
              </w:rPr>
              <w:tab/>
            </w:r>
            <w:r w:rsidRPr="009E79D2">
              <w:rPr>
                <w:rFonts w:ascii="Verdana" w:hAnsi="Verdana"/>
                <w:sz w:val="16"/>
                <w:szCs w:val="16"/>
              </w:rPr>
              <w:t>ESPECIFICACIONES.</w:t>
            </w:r>
          </w:p>
        </w:tc>
        <w:tc>
          <w:tcPr>
            <w:tcW w:w="4788" w:type="dxa"/>
          </w:tcPr>
          <w:p w14:paraId="4EEA8CB3" w14:textId="77777777" w:rsidR="008A0760" w:rsidRPr="00356B54" w:rsidRDefault="00A341BE" w:rsidP="008A0760">
            <w:pPr>
              <w:spacing w:after="80" w:line="205" w:lineRule="atLeast"/>
              <w:jc w:val="both"/>
            </w:pPr>
            <w:r>
              <w:rPr>
                <w:rFonts w:ascii="Verdana" w:hAnsi="Verdana"/>
                <w:b/>
                <w:bCs/>
                <w:sz w:val="16"/>
                <w:szCs w:val="16"/>
              </w:rPr>
              <w:t>4</w:t>
            </w:r>
            <w:r w:rsidR="008A0760" w:rsidRPr="00356B54">
              <w:rPr>
                <w:rFonts w:ascii="Verdana" w:hAnsi="Verdana"/>
                <w:b/>
                <w:bCs/>
                <w:sz w:val="16"/>
                <w:szCs w:val="16"/>
              </w:rPr>
              <w:t>.</w:t>
            </w:r>
            <w:r w:rsidR="008A0760" w:rsidRPr="00356B54">
              <w:t xml:space="preserve"> </w:t>
            </w:r>
            <w:r w:rsidR="008A0760" w:rsidRPr="00356B54">
              <w:rPr>
                <w:rFonts w:ascii="Verdana" w:hAnsi="Verdana"/>
                <w:b/>
                <w:bCs/>
                <w:sz w:val="16"/>
                <w:szCs w:val="16"/>
              </w:rPr>
              <w:t xml:space="preserve">              </w:t>
            </w:r>
            <w:r w:rsidR="008A0760" w:rsidRPr="00356B54">
              <w:rPr>
                <w:rFonts w:ascii="Verdana" w:hAnsi="Verdana"/>
                <w:sz w:val="16"/>
                <w:szCs w:val="16"/>
              </w:rPr>
              <w:t>SPECIFICATIONS.</w:t>
            </w:r>
            <w:r w:rsidR="008A0760" w:rsidRPr="00356B54">
              <w:t xml:space="preserve"> </w:t>
            </w:r>
          </w:p>
        </w:tc>
      </w:tr>
      <w:tr w:rsidR="008A0760" w:rsidRPr="00743A20" w14:paraId="7C8E36E2" w14:textId="77777777" w:rsidTr="008E445B">
        <w:tc>
          <w:tcPr>
            <w:tcW w:w="4788" w:type="dxa"/>
            <w:shd w:val="clear" w:color="auto" w:fill="auto"/>
          </w:tcPr>
          <w:p w14:paraId="707554E0" w14:textId="77777777" w:rsidR="008A0760" w:rsidRPr="009E79D2" w:rsidRDefault="008A0760" w:rsidP="008A0760">
            <w:pPr>
              <w:pStyle w:val="ROMANOS"/>
              <w:tabs>
                <w:tab w:val="left" w:pos="303"/>
              </w:tabs>
              <w:spacing w:after="80" w:line="205" w:lineRule="exact"/>
              <w:ind w:left="0" w:firstLine="0"/>
              <w:rPr>
                <w:rFonts w:ascii="Verdana" w:hAnsi="Verdana"/>
                <w:sz w:val="16"/>
                <w:szCs w:val="16"/>
              </w:rPr>
            </w:pPr>
            <w:r w:rsidRPr="009E79D2">
              <w:rPr>
                <w:rFonts w:ascii="Verdana" w:hAnsi="Verdana"/>
                <w:b/>
                <w:sz w:val="16"/>
                <w:szCs w:val="16"/>
              </w:rPr>
              <w:t>5.</w:t>
            </w:r>
            <w:r w:rsidRPr="009E79D2">
              <w:rPr>
                <w:rFonts w:ascii="Verdana" w:hAnsi="Verdana"/>
                <w:b/>
                <w:sz w:val="16"/>
                <w:szCs w:val="16"/>
              </w:rPr>
              <w:tab/>
            </w:r>
            <w:r w:rsidRPr="009E79D2">
              <w:rPr>
                <w:rFonts w:ascii="Verdana" w:hAnsi="Verdana"/>
                <w:sz w:val="16"/>
                <w:szCs w:val="16"/>
              </w:rPr>
              <w:t>PROCEDIMIENTO PARA LA EVALUACIÓN DE LA CONFORMIDAD.</w:t>
            </w:r>
          </w:p>
        </w:tc>
        <w:tc>
          <w:tcPr>
            <w:tcW w:w="4788" w:type="dxa"/>
          </w:tcPr>
          <w:p w14:paraId="60461B32" w14:textId="77777777" w:rsidR="008A0760" w:rsidRPr="00356B54" w:rsidRDefault="008A0760" w:rsidP="008A0760">
            <w:pPr>
              <w:spacing w:after="80" w:line="205" w:lineRule="atLeast"/>
              <w:jc w:val="both"/>
              <w:rPr>
                <w:lang w:val="en-US"/>
              </w:rPr>
            </w:pPr>
            <w:r w:rsidRPr="00356B54">
              <w:rPr>
                <w:rFonts w:ascii="Verdana" w:hAnsi="Verdana"/>
                <w:b/>
                <w:bCs/>
                <w:sz w:val="16"/>
                <w:szCs w:val="16"/>
                <w:lang w:val="en-US"/>
              </w:rPr>
              <w:t>5.</w:t>
            </w:r>
            <w:r w:rsidRPr="00356B54">
              <w:rPr>
                <w:lang w:val="en-US"/>
              </w:rPr>
              <w:t xml:space="preserve"> </w:t>
            </w:r>
            <w:r w:rsidRPr="00356B54">
              <w:rPr>
                <w:rFonts w:ascii="Verdana" w:hAnsi="Verdana"/>
                <w:b/>
                <w:bCs/>
                <w:sz w:val="16"/>
                <w:szCs w:val="16"/>
                <w:lang w:val="en-US"/>
              </w:rPr>
              <w:t xml:space="preserve">              </w:t>
            </w:r>
            <w:r w:rsidRPr="00356B54">
              <w:rPr>
                <w:rFonts w:ascii="Verdana" w:hAnsi="Verdana"/>
                <w:sz w:val="16"/>
                <w:szCs w:val="16"/>
                <w:lang w:val="en-US"/>
              </w:rPr>
              <w:t>PROCEDURE FOR THE EVALUATION OF CONFORMITY.</w:t>
            </w:r>
            <w:r w:rsidRPr="00356B54">
              <w:rPr>
                <w:lang w:val="en-US"/>
              </w:rPr>
              <w:t xml:space="preserve"> </w:t>
            </w:r>
          </w:p>
        </w:tc>
      </w:tr>
      <w:tr w:rsidR="008A0760" w:rsidRPr="009E79D2" w14:paraId="4077F16C" w14:textId="77777777" w:rsidTr="008E445B">
        <w:tc>
          <w:tcPr>
            <w:tcW w:w="4788" w:type="dxa"/>
            <w:shd w:val="clear" w:color="auto" w:fill="auto"/>
          </w:tcPr>
          <w:p w14:paraId="76DC879D" w14:textId="77777777" w:rsidR="008A0760" w:rsidRPr="009E79D2" w:rsidRDefault="008A0760" w:rsidP="008A0760">
            <w:pPr>
              <w:pStyle w:val="ROMANOS"/>
              <w:tabs>
                <w:tab w:val="left" w:pos="303"/>
              </w:tabs>
              <w:spacing w:after="80" w:line="205" w:lineRule="exact"/>
              <w:ind w:left="0" w:firstLine="0"/>
              <w:rPr>
                <w:rFonts w:ascii="Verdana" w:hAnsi="Verdana"/>
                <w:sz w:val="16"/>
                <w:szCs w:val="16"/>
              </w:rPr>
            </w:pPr>
            <w:r w:rsidRPr="009E79D2">
              <w:rPr>
                <w:rFonts w:ascii="Verdana" w:hAnsi="Verdana"/>
                <w:b/>
                <w:sz w:val="16"/>
                <w:szCs w:val="16"/>
              </w:rPr>
              <w:t>6.</w:t>
            </w:r>
            <w:r w:rsidRPr="009E79D2">
              <w:rPr>
                <w:rFonts w:ascii="Verdana" w:hAnsi="Verdana"/>
                <w:b/>
                <w:sz w:val="16"/>
                <w:szCs w:val="16"/>
              </w:rPr>
              <w:tab/>
            </w:r>
            <w:r w:rsidRPr="009E79D2">
              <w:rPr>
                <w:rFonts w:ascii="Verdana" w:hAnsi="Verdana"/>
                <w:sz w:val="16"/>
                <w:szCs w:val="16"/>
              </w:rPr>
              <w:t>CONCORDANCIA CON NORMAS INTERNACIONALES.</w:t>
            </w:r>
          </w:p>
        </w:tc>
        <w:tc>
          <w:tcPr>
            <w:tcW w:w="4788" w:type="dxa"/>
          </w:tcPr>
          <w:p w14:paraId="054B9AA2" w14:textId="77777777" w:rsidR="008A0760" w:rsidRPr="00356B54" w:rsidRDefault="008A0760" w:rsidP="008A0760">
            <w:pPr>
              <w:spacing w:after="80" w:line="205" w:lineRule="atLeast"/>
              <w:jc w:val="both"/>
            </w:pPr>
            <w:r w:rsidRPr="00356B54">
              <w:rPr>
                <w:rFonts w:ascii="Verdana" w:hAnsi="Verdana"/>
                <w:b/>
                <w:bCs/>
                <w:sz w:val="16"/>
                <w:szCs w:val="16"/>
              </w:rPr>
              <w:t>6</w:t>
            </w:r>
            <w:r w:rsidRPr="00356B54">
              <w:t xml:space="preserve"> </w:t>
            </w:r>
            <w:r w:rsidRPr="00356B54">
              <w:rPr>
                <w:rFonts w:ascii="Verdana" w:hAnsi="Verdana"/>
                <w:b/>
                <w:bCs/>
                <w:sz w:val="16"/>
                <w:szCs w:val="16"/>
              </w:rPr>
              <w:t xml:space="preserve">              </w:t>
            </w:r>
            <w:r w:rsidRPr="00356B54">
              <w:rPr>
                <w:rFonts w:ascii="Verdana" w:hAnsi="Verdana"/>
                <w:sz w:val="16"/>
                <w:szCs w:val="16"/>
              </w:rPr>
              <w:t>CONCORDANCE WITH INTERNATIONAL STANDARDS.</w:t>
            </w:r>
            <w:r w:rsidRPr="00356B54">
              <w:t xml:space="preserve"> </w:t>
            </w:r>
          </w:p>
        </w:tc>
      </w:tr>
      <w:tr w:rsidR="008A0760" w:rsidRPr="009E79D2" w14:paraId="62A7C707" w14:textId="77777777" w:rsidTr="008E445B">
        <w:tc>
          <w:tcPr>
            <w:tcW w:w="4788" w:type="dxa"/>
            <w:shd w:val="clear" w:color="auto" w:fill="auto"/>
          </w:tcPr>
          <w:p w14:paraId="54759B64" w14:textId="77777777" w:rsidR="008A0760" w:rsidRPr="009E79D2" w:rsidRDefault="008A0760" w:rsidP="008A0760">
            <w:pPr>
              <w:pStyle w:val="ROMANOS"/>
              <w:tabs>
                <w:tab w:val="left" w:pos="303"/>
              </w:tabs>
              <w:spacing w:after="80" w:line="205" w:lineRule="exact"/>
              <w:ind w:left="0" w:firstLine="0"/>
              <w:rPr>
                <w:rFonts w:ascii="Verdana" w:hAnsi="Verdana"/>
                <w:sz w:val="16"/>
                <w:szCs w:val="16"/>
              </w:rPr>
            </w:pPr>
            <w:r w:rsidRPr="009E79D2">
              <w:rPr>
                <w:rFonts w:ascii="Verdana" w:hAnsi="Verdana"/>
                <w:b/>
                <w:sz w:val="16"/>
                <w:szCs w:val="16"/>
              </w:rPr>
              <w:t>7.</w:t>
            </w:r>
            <w:r w:rsidRPr="009E79D2">
              <w:rPr>
                <w:rFonts w:ascii="Verdana" w:hAnsi="Verdana"/>
                <w:b/>
                <w:sz w:val="16"/>
                <w:szCs w:val="16"/>
              </w:rPr>
              <w:tab/>
            </w:r>
            <w:r w:rsidRPr="009E79D2">
              <w:rPr>
                <w:rFonts w:ascii="Verdana" w:hAnsi="Verdana"/>
                <w:sz w:val="16"/>
                <w:szCs w:val="16"/>
              </w:rPr>
              <w:t>BIBLIOGRAFÍA.</w:t>
            </w:r>
          </w:p>
        </w:tc>
        <w:tc>
          <w:tcPr>
            <w:tcW w:w="4788" w:type="dxa"/>
          </w:tcPr>
          <w:p w14:paraId="3ED73F64" w14:textId="77777777" w:rsidR="008A0760" w:rsidRPr="00356B54" w:rsidRDefault="008A0760" w:rsidP="008A0760">
            <w:pPr>
              <w:spacing w:after="80" w:line="205" w:lineRule="atLeast"/>
              <w:jc w:val="both"/>
            </w:pPr>
            <w:r w:rsidRPr="00356B54">
              <w:rPr>
                <w:rFonts w:ascii="Verdana" w:hAnsi="Verdana"/>
                <w:b/>
                <w:bCs/>
                <w:sz w:val="16"/>
                <w:szCs w:val="16"/>
              </w:rPr>
              <w:t>7</w:t>
            </w:r>
            <w:r w:rsidRPr="00356B54">
              <w:t xml:space="preserve"> </w:t>
            </w:r>
            <w:r w:rsidRPr="00356B54">
              <w:rPr>
                <w:rFonts w:ascii="Verdana" w:hAnsi="Verdana"/>
                <w:b/>
                <w:bCs/>
                <w:sz w:val="16"/>
                <w:szCs w:val="16"/>
              </w:rPr>
              <w:t xml:space="preserve">              </w:t>
            </w:r>
            <w:r w:rsidRPr="00356B54">
              <w:rPr>
                <w:rFonts w:ascii="Verdana" w:hAnsi="Verdana"/>
                <w:sz w:val="16"/>
                <w:szCs w:val="16"/>
              </w:rPr>
              <w:t>BIBLIOGRAPHY.</w:t>
            </w:r>
            <w:r w:rsidRPr="00356B54">
              <w:t xml:space="preserve"> </w:t>
            </w:r>
          </w:p>
        </w:tc>
      </w:tr>
      <w:tr w:rsidR="008A0760" w:rsidRPr="009E79D2" w14:paraId="50B466F3" w14:textId="77777777" w:rsidTr="008E445B">
        <w:tc>
          <w:tcPr>
            <w:tcW w:w="4788" w:type="dxa"/>
            <w:shd w:val="clear" w:color="auto" w:fill="auto"/>
          </w:tcPr>
          <w:p w14:paraId="598B405E" w14:textId="77777777" w:rsidR="008A0760" w:rsidRPr="009E79D2" w:rsidRDefault="008A0760" w:rsidP="008A0760">
            <w:pPr>
              <w:pStyle w:val="ROMANOS"/>
              <w:tabs>
                <w:tab w:val="left" w:pos="303"/>
              </w:tabs>
              <w:spacing w:after="80" w:line="205" w:lineRule="exact"/>
              <w:ind w:left="0" w:firstLine="0"/>
              <w:rPr>
                <w:rFonts w:ascii="Verdana" w:hAnsi="Verdana"/>
                <w:sz w:val="16"/>
                <w:szCs w:val="16"/>
              </w:rPr>
            </w:pPr>
            <w:r w:rsidRPr="009E79D2">
              <w:rPr>
                <w:rFonts w:ascii="Verdana" w:hAnsi="Verdana"/>
                <w:b/>
                <w:sz w:val="16"/>
                <w:szCs w:val="16"/>
              </w:rPr>
              <w:t>8.</w:t>
            </w:r>
            <w:r w:rsidRPr="009E79D2">
              <w:rPr>
                <w:rFonts w:ascii="Verdana" w:hAnsi="Verdana"/>
                <w:b/>
                <w:sz w:val="16"/>
                <w:szCs w:val="16"/>
              </w:rPr>
              <w:tab/>
            </w:r>
            <w:r w:rsidRPr="009E79D2">
              <w:rPr>
                <w:rFonts w:ascii="Verdana" w:hAnsi="Verdana"/>
                <w:sz w:val="16"/>
                <w:szCs w:val="16"/>
              </w:rPr>
              <w:t>VIGILANCIA.</w:t>
            </w:r>
          </w:p>
        </w:tc>
        <w:tc>
          <w:tcPr>
            <w:tcW w:w="4788" w:type="dxa"/>
          </w:tcPr>
          <w:p w14:paraId="4E313468" w14:textId="77777777" w:rsidR="008A0760" w:rsidRPr="00356B54" w:rsidRDefault="008A0760" w:rsidP="008A0760">
            <w:pPr>
              <w:spacing w:after="80" w:line="205" w:lineRule="atLeast"/>
              <w:jc w:val="both"/>
            </w:pPr>
            <w:r w:rsidRPr="00356B54">
              <w:rPr>
                <w:rFonts w:ascii="Verdana" w:hAnsi="Verdana"/>
                <w:b/>
                <w:bCs/>
                <w:sz w:val="16"/>
                <w:szCs w:val="16"/>
              </w:rPr>
              <w:t>8</w:t>
            </w:r>
            <w:r w:rsidRPr="00356B54">
              <w:t xml:space="preserve"> </w:t>
            </w:r>
            <w:r w:rsidRPr="00356B54">
              <w:rPr>
                <w:rFonts w:ascii="Verdana" w:hAnsi="Verdana"/>
                <w:b/>
                <w:bCs/>
                <w:sz w:val="16"/>
                <w:szCs w:val="16"/>
              </w:rPr>
              <w:t xml:space="preserve">              </w:t>
            </w:r>
            <w:r w:rsidR="00A341BE">
              <w:rPr>
                <w:rFonts w:ascii="Verdana" w:hAnsi="Verdana"/>
                <w:sz w:val="16"/>
                <w:szCs w:val="16"/>
              </w:rPr>
              <w:t>OVERSIGHT</w:t>
            </w:r>
            <w:r w:rsidRPr="00356B54">
              <w:rPr>
                <w:rFonts w:ascii="Verdana" w:hAnsi="Verdana"/>
                <w:sz w:val="16"/>
                <w:szCs w:val="16"/>
              </w:rPr>
              <w:t>.</w:t>
            </w:r>
            <w:r w:rsidRPr="00356B54">
              <w:t xml:space="preserve"> </w:t>
            </w:r>
          </w:p>
        </w:tc>
      </w:tr>
      <w:tr w:rsidR="008A0760" w:rsidRPr="009E79D2" w14:paraId="7DFCEA04" w14:textId="77777777" w:rsidTr="008E445B">
        <w:tc>
          <w:tcPr>
            <w:tcW w:w="4788" w:type="dxa"/>
            <w:shd w:val="clear" w:color="auto" w:fill="auto"/>
          </w:tcPr>
          <w:p w14:paraId="33DE6B12" w14:textId="77777777" w:rsidR="008A0760" w:rsidRPr="009E79D2" w:rsidRDefault="008A0760" w:rsidP="008A0760">
            <w:pPr>
              <w:pStyle w:val="ROMANOS"/>
              <w:tabs>
                <w:tab w:val="left" w:pos="303"/>
              </w:tabs>
              <w:spacing w:after="80" w:line="205" w:lineRule="exact"/>
              <w:ind w:left="0" w:firstLine="0"/>
              <w:rPr>
                <w:rFonts w:ascii="Verdana" w:hAnsi="Verdana"/>
                <w:sz w:val="16"/>
                <w:szCs w:val="16"/>
              </w:rPr>
            </w:pPr>
            <w:r w:rsidRPr="009E79D2">
              <w:rPr>
                <w:rFonts w:ascii="Verdana" w:hAnsi="Verdana"/>
                <w:b/>
                <w:sz w:val="16"/>
                <w:szCs w:val="16"/>
              </w:rPr>
              <w:t>9.</w:t>
            </w:r>
            <w:r w:rsidRPr="009E79D2">
              <w:rPr>
                <w:rFonts w:ascii="Verdana" w:hAnsi="Verdana"/>
                <w:b/>
                <w:sz w:val="16"/>
                <w:szCs w:val="16"/>
              </w:rPr>
              <w:tab/>
            </w:r>
            <w:r w:rsidRPr="009E79D2">
              <w:rPr>
                <w:rFonts w:ascii="Verdana" w:hAnsi="Verdana"/>
                <w:sz w:val="16"/>
                <w:szCs w:val="16"/>
              </w:rPr>
              <w:t>SANCIONES.</w:t>
            </w:r>
          </w:p>
        </w:tc>
        <w:tc>
          <w:tcPr>
            <w:tcW w:w="4788" w:type="dxa"/>
          </w:tcPr>
          <w:p w14:paraId="76BE4F80" w14:textId="77777777" w:rsidR="008A0760" w:rsidRPr="00356B54" w:rsidRDefault="008A0760" w:rsidP="008A0760">
            <w:pPr>
              <w:spacing w:after="80" w:line="205" w:lineRule="atLeast"/>
              <w:jc w:val="both"/>
            </w:pPr>
            <w:r w:rsidRPr="00356B54">
              <w:rPr>
                <w:rFonts w:ascii="Verdana" w:hAnsi="Verdana"/>
                <w:b/>
                <w:bCs/>
                <w:sz w:val="16"/>
                <w:szCs w:val="16"/>
              </w:rPr>
              <w:t>9.</w:t>
            </w:r>
            <w:r w:rsidRPr="00356B54">
              <w:t xml:space="preserve"> </w:t>
            </w:r>
            <w:r w:rsidRPr="00356B54">
              <w:rPr>
                <w:rFonts w:ascii="Verdana" w:hAnsi="Verdana"/>
                <w:b/>
                <w:bCs/>
                <w:sz w:val="16"/>
                <w:szCs w:val="16"/>
              </w:rPr>
              <w:t xml:space="preserve">              </w:t>
            </w:r>
            <w:r w:rsidRPr="00356B54">
              <w:rPr>
                <w:rFonts w:ascii="Verdana" w:hAnsi="Verdana"/>
                <w:sz w:val="16"/>
                <w:szCs w:val="16"/>
              </w:rPr>
              <w:t>SANCTIONS</w:t>
            </w:r>
            <w:r w:rsidRPr="00356B54">
              <w:t xml:space="preserve"> </w:t>
            </w:r>
          </w:p>
        </w:tc>
      </w:tr>
      <w:tr w:rsidR="008A0760" w:rsidRPr="009E79D2" w14:paraId="1E74BE47" w14:textId="77777777" w:rsidTr="008E445B">
        <w:tc>
          <w:tcPr>
            <w:tcW w:w="4788" w:type="dxa"/>
            <w:shd w:val="clear" w:color="auto" w:fill="auto"/>
          </w:tcPr>
          <w:p w14:paraId="6AAA99DB" w14:textId="77777777" w:rsidR="008A0760" w:rsidRPr="009E79D2" w:rsidRDefault="008A0760" w:rsidP="008A0760">
            <w:pPr>
              <w:pStyle w:val="Texto"/>
              <w:spacing w:after="80" w:line="205" w:lineRule="exact"/>
              <w:ind w:firstLine="0"/>
              <w:rPr>
                <w:rFonts w:ascii="Verdana" w:hAnsi="Verdana"/>
                <w:b/>
                <w:sz w:val="16"/>
                <w:szCs w:val="16"/>
              </w:rPr>
            </w:pPr>
            <w:r w:rsidRPr="009E79D2">
              <w:rPr>
                <w:rFonts w:ascii="Verdana" w:hAnsi="Verdana"/>
                <w:b/>
                <w:sz w:val="16"/>
                <w:szCs w:val="16"/>
              </w:rPr>
              <w:t>TRANSITORIOS</w:t>
            </w:r>
          </w:p>
        </w:tc>
        <w:tc>
          <w:tcPr>
            <w:tcW w:w="4788" w:type="dxa"/>
          </w:tcPr>
          <w:p w14:paraId="2DDD50E2" w14:textId="77777777" w:rsidR="008A0760" w:rsidRPr="00356B54" w:rsidRDefault="00A341BE" w:rsidP="008A0760">
            <w:pPr>
              <w:spacing w:after="80" w:line="205" w:lineRule="atLeast"/>
              <w:jc w:val="both"/>
            </w:pPr>
            <w:r>
              <w:rPr>
                <w:rFonts w:ascii="Verdana" w:hAnsi="Verdana"/>
                <w:b/>
                <w:bCs/>
                <w:sz w:val="16"/>
                <w:szCs w:val="16"/>
              </w:rPr>
              <w:t>TRANSITIONAL ARTICLES</w:t>
            </w:r>
            <w:r w:rsidR="008A0760" w:rsidRPr="00356B54">
              <w:t xml:space="preserve"> </w:t>
            </w:r>
          </w:p>
        </w:tc>
      </w:tr>
      <w:tr w:rsidR="008A0760" w:rsidRPr="00743A20" w14:paraId="18D80127" w14:textId="77777777" w:rsidTr="008E445B">
        <w:tc>
          <w:tcPr>
            <w:tcW w:w="4788" w:type="dxa"/>
            <w:shd w:val="clear" w:color="auto" w:fill="auto"/>
          </w:tcPr>
          <w:p w14:paraId="7FB46AE7" w14:textId="77777777" w:rsidR="008A0760" w:rsidRPr="009E79D2" w:rsidRDefault="008A0760" w:rsidP="008A0760">
            <w:pPr>
              <w:pStyle w:val="Texto"/>
              <w:spacing w:after="80" w:line="205" w:lineRule="exact"/>
              <w:ind w:firstLine="0"/>
              <w:jc w:val="left"/>
              <w:rPr>
                <w:rFonts w:ascii="Verdana" w:hAnsi="Verdana"/>
                <w:sz w:val="16"/>
                <w:szCs w:val="16"/>
              </w:rPr>
            </w:pPr>
            <w:r w:rsidRPr="009E79D2">
              <w:rPr>
                <w:rFonts w:ascii="Verdana" w:hAnsi="Verdana"/>
                <w:b/>
                <w:sz w:val="16"/>
                <w:szCs w:val="16"/>
              </w:rPr>
              <w:lastRenderedPageBreak/>
              <w:t>APÉNDICE A. NORMATIVO -</w:t>
            </w:r>
            <w:r w:rsidRPr="009E79D2">
              <w:rPr>
                <w:rFonts w:ascii="Verdana" w:hAnsi="Verdana"/>
                <w:sz w:val="16"/>
                <w:szCs w:val="16"/>
              </w:rPr>
              <w:tab/>
              <w:t>Características técnicas del Sistema de Diagnóstico a Bordo (SDB/OBD).</w:t>
            </w:r>
          </w:p>
        </w:tc>
        <w:tc>
          <w:tcPr>
            <w:tcW w:w="4788" w:type="dxa"/>
          </w:tcPr>
          <w:p w14:paraId="47761A33" w14:textId="77777777" w:rsidR="008A0760" w:rsidRPr="00356B54" w:rsidRDefault="008A0760" w:rsidP="008A0760">
            <w:pPr>
              <w:spacing w:after="80" w:line="205" w:lineRule="atLeast"/>
              <w:rPr>
                <w:lang w:val="en-US"/>
              </w:rPr>
            </w:pPr>
            <w:r w:rsidRPr="00356B54">
              <w:rPr>
                <w:rFonts w:ascii="Verdana" w:hAnsi="Verdana"/>
                <w:b/>
                <w:bCs/>
                <w:sz w:val="16"/>
                <w:szCs w:val="16"/>
                <w:lang w:val="en-US"/>
              </w:rPr>
              <w:t xml:space="preserve">APPENDIX A. </w:t>
            </w:r>
            <w:r w:rsidR="00A341BE">
              <w:rPr>
                <w:rFonts w:ascii="Verdana" w:hAnsi="Verdana"/>
                <w:b/>
                <w:bCs/>
                <w:sz w:val="16"/>
                <w:szCs w:val="16"/>
                <w:lang w:val="en-US"/>
              </w:rPr>
              <w:t>MANDATORY</w:t>
            </w:r>
            <w:r w:rsidRPr="00356B54">
              <w:rPr>
                <w:rFonts w:ascii="Verdana" w:hAnsi="Verdana"/>
                <w:b/>
                <w:bCs/>
                <w:sz w:val="16"/>
                <w:szCs w:val="16"/>
                <w:lang w:val="en-US"/>
              </w:rPr>
              <w:t xml:space="preserve"> -</w:t>
            </w:r>
            <w:r w:rsidRPr="00356B54">
              <w:rPr>
                <w:lang w:val="en-US"/>
              </w:rPr>
              <w:t xml:space="preserve"> </w:t>
            </w:r>
            <w:r w:rsidRPr="00356B54">
              <w:rPr>
                <w:rFonts w:ascii="Verdana" w:hAnsi="Verdana"/>
                <w:sz w:val="16"/>
                <w:szCs w:val="16"/>
                <w:lang w:val="en-US"/>
              </w:rPr>
              <w:t>              Technical characteristics of the On-Board Diagnostic System (SDB/OBD).</w:t>
            </w:r>
            <w:r w:rsidRPr="00356B54">
              <w:rPr>
                <w:lang w:val="en-US"/>
              </w:rPr>
              <w:t xml:space="preserve"> </w:t>
            </w:r>
          </w:p>
        </w:tc>
      </w:tr>
      <w:tr w:rsidR="008A0760" w:rsidRPr="00743A20" w14:paraId="6E6E8ADA" w14:textId="77777777" w:rsidTr="008E445B">
        <w:tc>
          <w:tcPr>
            <w:tcW w:w="4788" w:type="dxa"/>
            <w:shd w:val="clear" w:color="auto" w:fill="auto"/>
          </w:tcPr>
          <w:p w14:paraId="31B0FADA"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b/>
                <w:sz w:val="16"/>
                <w:szCs w:val="16"/>
              </w:rPr>
              <w:t>APÉNDICE B. NORMATIVO -</w:t>
            </w:r>
            <w:r w:rsidRPr="009E79D2">
              <w:rPr>
                <w:rFonts w:ascii="Verdana" w:hAnsi="Verdana"/>
                <w:sz w:val="16"/>
                <w:szCs w:val="16"/>
              </w:rPr>
              <w:tab/>
              <w:t>Características técnicas para el Sistema de Control de NOx.</w:t>
            </w:r>
          </w:p>
        </w:tc>
        <w:tc>
          <w:tcPr>
            <w:tcW w:w="4788" w:type="dxa"/>
          </w:tcPr>
          <w:p w14:paraId="6D94542F" w14:textId="77777777" w:rsidR="008A0760" w:rsidRPr="00356B54" w:rsidRDefault="008A0760" w:rsidP="008A0760">
            <w:pPr>
              <w:spacing w:after="80" w:line="205" w:lineRule="atLeast"/>
              <w:jc w:val="both"/>
              <w:rPr>
                <w:lang w:val="en-US"/>
              </w:rPr>
            </w:pPr>
            <w:r w:rsidRPr="00356B54">
              <w:rPr>
                <w:rFonts w:ascii="Verdana" w:hAnsi="Verdana"/>
                <w:b/>
                <w:bCs/>
                <w:sz w:val="16"/>
                <w:szCs w:val="16"/>
                <w:lang w:val="en-US"/>
              </w:rPr>
              <w:t xml:space="preserve">APPENDIX B. </w:t>
            </w:r>
            <w:r w:rsidR="00A341BE">
              <w:rPr>
                <w:rFonts w:ascii="Verdana" w:hAnsi="Verdana"/>
                <w:b/>
                <w:bCs/>
                <w:sz w:val="16"/>
                <w:szCs w:val="16"/>
                <w:lang w:val="en-US"/>
              </w:rPr>
              <w:t>MANDATORY</w:t>
            </w:r>
            <w:r w:rsidRPr="00356B54">
              <w:rPr>
                <w:rFonts w:ascii="Verdana" w:hAnsi="Verdana"/>
                <w:b/>
                <w:bCs/>
                <w:sz w:val="16"/>
                <w:szCs w:val="16"/>
                <w:lang w:val="en-US"/>
              </w:rPr>
              <w:t xml:space="preserve"> -</w:t>
            </w:r>
            <w:r w:rsidRPr="00356B54">
              <w:rPr>
                <w:lang w:val="en-US"/>
              </w:rPr>
              <w:t xml:space="preserve"> </w:t>
            </w:r>
            <w:r w:rsidRPr="00356B54">
              <w:rPr>
                <w:rFonts w:ascii="Verdana" w:hAnsi="Verdana"/>
                <w:sz w:val="16"/>
                <w:szCs w:val="16"/>
                <w:lang w:val="en-US"/>
              </w:rPr>
              <w:t>              Technical characteristics for the</w:t>
            </w:r>
            <w:r w:rsidRPr="00356B54">
              <w:rPr>
                <w:lang w:val="en-US"/>
              </w:rPr>
              <w:t xml:space="preserve"> </w:t>
            </w:r>
            <w:r w:rsidRPr="00356B54">
              <w:rPr>
                <w:rFonts w:ascii="Verdana" w:hAnsi="Verdana"/>
                <w:sz w:val="16"/>
                <w:szCs w:val="16"/>
                <w:lang w:val="en-US"/>
              </w:rPr>
              <w:t>NOx</w:t>
            </w:r>
            <w:r w:rsidRPr="00356B54">
              <w:rPr>
                <w:lang w:val="en-US"/>
              </w:rPr>
              <w:t xml:space="preserve"> </w:t>
            </w:r>
            <w:r w:rsidRPr="00356B54">
              <w:rPr>
                <w:rFonts w:ascii="Verdana" w:hAnsi="Verdana"/>
                <w:sz w:val="16"/>
                <w:szCs w:val="16"/>
                <w:lang w:val="en-US"/>
              </w:rPr>
              <w:t>Control System.</w:t>
            </w:r>
            <w:r w:rsidRPr="00356B54">
              <w:rPr>
                <w:lang w:val="en-US"/>
              </w:rPr>
              <w:t xml:space="preserve"> </w:t>
            </w:r>
          </w:p>
        </w:tc>
      </w:tr>
      <w:tr w:rsidR="008A0760" w:rsidRPr="00743A20" w14:paraId="0736E3E6" w14:textId="77777777" w:rsidTr="008E445B">
        <w:tc>
          <w:tcPr>
            <w:tcW w:w="4788" w:type="dxa"/>
            <w:shd w:val="clear" w:color="auto" w:fill="auto"/>
          </w:tcPr>
          <w:p w14:paraId="21D1D019"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b/>
                <w:sz w:val="16"/>
                <w:szCs w:val="16"/>
              </w:rPr>
              <w:t>APÉNDICE C. NORMATIVO -</w:t>
            </w:r>
            <w:r w:rsidRPr="009E79D2">
              <w:rPr>
                <w:rFonts w:ascii="Verdana" w:hAnsi="Verdana"/>
                <w:sz w:val="16"/>
                <w:szCs w:val="16"/>
              </w:rPr>
              <w:tab/>
              <w:t>Especificaciones técnicas de la familia de motor o de los vehículos automotores nuevos y su sistema de post-tratamiento.</w:t>
            </w:r>
          </w:p>
        </w:tc>
        <w:tc>
          <w:tcPr>
            <w:tcW w:w="4788" w:type="dxa"/>
          </w:tcPr>
          <w:p w14:paraId="09290F26" w14:textId="77777777" w:rsidR="008A0760" w:rsidRPr="00356B54" w:rsidRDefault="008A0760" w:rsidP="008A0760">
            <w:pPr>
              <w:spacing w:after="80" w:line="205" w:lineRule="atLeast"/>
              <w:jc w:val="both"/>
              <w:rPr>
                <w:lang w:val="en-US"/>
              </w:rPr>
            </w:pPr>
            <w:r w:rsidRPr="00356B54">
              <w:rPr>
                <w:rFonts w:ascii="Verdana" w:hAnsi="Verdana"/>
                <w:b/>
                <w:bCs/>
                <w:sz w:val="16"/>
                <w:szCs w:val="16"/>
                <w:lang w:val="en-US"/>
              </w:rPr>
              <w:t xml:space="preserve">APPENDIX C. </w:t>
            </w:r>
            <w:r w:rsidR="00A341BE">
              <w:rPr>
                <w:rFonts w:ascii="Verdana" w:hAnsi="Verdana"/>
                <w:b/>
                <w:bCs/>
                <w:sz w:val="16"/>
                <w:szCs w:val="16"/>
                <w:lang w:val="en-US"/>
              </w:rPr>
              <w:t>MANDATORY</w:t>
            </w:r>
            <w:r w:rsidRPr="00356B54">
              <w:rPr>
                <w:rFonts w:ascii="Verdana" w:hAnsi="Verdana"/>
                <w:b/>
                <w:bCs/>
                <w:sz w:val="16"/>
                <w:szCs w:val="16"/>
                <w:lang w:val="en-US"/>
              </w:rPr>
              <w:t xml:space="preserve"> -</w:t>
            </w:r>
            <w:r w:rsidRPr="00356B54">
              <w:rPr>
                <w:lang w:val="en-US"/>
              </w:rPr>
              <w:t xml:space="preserve"> </w:t>
            </w:r>
            <w:r w:rsidRPr="00356B54">
              <w:rPr>
                <w:rFonts w:ascii="Verdana" w:hAnsi="Verdana"/>
                <w:sz w:val="16"/>
                <w:szCs w:val="16"/>
                <w:lang w:val="en-US"/>
              </w:rPr>
              <w:t>              Technical specifications of the engine family or new automotive vehicles and their post-treatment system.</w:t>
            </w:r>
            <w:r w:rsidRPr="00356B54">
              <w:rPr>
                <w:lang w:val="en-US"/>
              </w:rPr>
              <w:t xml:space="preserve"> </w:t>
            </w:r>
          </w:p>
        </w:tc>
      </w:tr>
      <w:tr w:rsidR="008A0760" w:rsidRPr="00743A20" w14:paraId="75C4446F" w14:textId="77777777" w:rsidTr="008E445B">
        <w:tc>
          <w:tcPr>
            <w:tcW w:w="4788" w:type="dxa"/>
            <w:shd w:val="clear" w:color="auto" w:fill="auto"/>
          </w:tcPr>
          <w:p w14:paraId="5FD19FC8" w14:textId="77777777" w:rsidR="008A0760" w:rsidRPr="009E79D2" w:rsidRDefault="008A0760" w:rsidP="008A0760">
            <w:pPr>
              <w:pStyle w:val="Texto"/>
              <w:spacing w:after="80" w:line="205" w:lineRule="exact"/>
              <w:ind w:firstLine="0"/>
              <w:rPr>
                <w:rFonts w:ascii="Verdana" w:hAnsi="Verdana"/>
                <w:sz w:val="16"/>
                <w:szCs w:val="16"/>
              </w:rPr>
            </w:pPr>
            <w:r w:rsidRPr="009E79D2">
              <w:rPr>
                <w:rFonts w:ascii="Verdana" w:hAnsi="Verdana"/>
                <w:b/>
                <w:sz w:val="16"/>
                <w:szCs w:val="16"/>
              </w:rPr>
              <w:t>APÉNDICE D. INFORMATIVO -</w:t>
            </w:r>
            <w:r w:rsidRPr="009E79D2">
              <w:rPr>
                <w:rFonts w:ascii="Verdana" w:hAnsi="Verdana"/>
                <w:sz w:val="16"/>
                <w:szCs w:val="16"/>
              </w:rPr>
              <w:tab/>
              <w:t>Tabla de equivalencias en gramos por milla de los estándares 3A y 3B.</w:t>
            </w:r>
          </w:p>
        </w:tc>
        <w:tc>
          <w:tcPr>
            <w:tcW w:w="4788" w:type="dxa"/>
          </w:tcPr>
          <w:p w14:paraId="07EBA276" w14:textId="77777777" w:rsidR="008A0760" w:rsidRPr="00356B54" w:rsidRDefault="008A0760" w:rsidP="008A0760">
            <w:pPr>
              <w:spacing w:after="80" w:line="205" w:lineRule="atLeast"/>
              <w:jc w:val="both"/>
              <w:rPr>
                <w:lang w:val="en-US"/>
              </w:rPr>
            </w:pPr>
            <w:r w:rsidRPr="00356B54">
              <w:rPr>
                <w:rFonts w:ascii="Verdana" w:hAnsi="Verdana"/>
                <w:b/>
                <w:bCs/>
                <w:sz w:val="16"/>
                <w:szCs w:val="16"/>
                <w:lang w:val="en-US"/>
              </w:rPr>
              <w:t>APPENDIX D. INFORMATIVE -</w:t>
            </w:r>
            <w:r w:rsidRPr="00356B54">
              <w:rPr>
                <w:lang w:val="en-US"/>
              </w:rPr>
              <w:t xml:space="preserve"> </w:t>
            </w:r>
            <w:r w:rsidRPr="00356B54">
              <w:rPr>
                <w:rFonts w:ascii="Verdana" w:hAnsi="Verdana"/>
                <w:sz w:val="16"/>
                <w:szCs w:val="16"/>
                <w:lang w:val="en-US"/>
              </w:rPr>
              <w:t>              Table of equivalences in grams per mile of standards 3A and 3B.</w:t>
            </w:r>
            <w:r w:rsidRPr="00356B54">
              <w:rPr>
                <w:lang w:val="en-US"/>
              </w:rPr>
              <w:t xml:space="preserve"> </w:t>
            </w:r>
          </w:p>
        </w:tc>
      </w:tr>
      <w:tr w:rsidR="008A0760" w:rsidRPr="00743A20" w14:paraId="32E6BEF6" w14:textId="77777777" w:rsidTr="008E445B">
        <w:tc>
          <w:tcPr>
            <w:tcW w:w="4788" w:type="dxa"/>
            <w:shd w:val="clear" w:color="auto" w:fill="auto"/>
          </w:tcPr>
          <w:p w14:paraId="05823FAD" w14:textId="77777777" w:rsidR="008A0760" w:rsidRPr="009E79D2" w:rsidRDefault="008A0760" w:rsidP="008A0760">
            <w:pPr>
              <w:pStyle w:val="Texto"/>
              <w:spacing w:line="231" w:lineRule="exact"/>
              <w:ind w:firstLine="0"/>
              <w:rPr>
                <w:rFonts w:ascii="Verdana" w:hAnsi="Verdana"/>
                <w:b/>
                <w:sz w:val="16"/>
                <w:szCs w:val="16"/>
              </w:rPr>
            </w:pPr>
            <w:r w:rsidRPr="009E79D2">
              <w:rPr>
                <w:rFonts w:ascii="Verdana" w:hAnsi="Verdana"/>
                <w:b/>
                <w:sz w:val="16"/>
                <w:szCs w:val="16"/>
              </w:rPr>
              <w:t>1.</w:t>
            </w:r>
            <w:r w:rsidRPr="009E79D2">
              <w:rPr>
                <w:rFonts w:ascii="Verdana" w:hAnsi="Verdana"/>
                <w:b/>
                <w:sz w:val="16"/>
                <w:szCs w:val="16"/>
              </w:rPr>
              <w:tab/>
              <w:t>OBJETIVO Y CAMPO DE APLICACIÓN</w:t>
            </w:r>
          </w:p>
        </w:tc>
        <w:tc>
          <w:tcPr>
            <w:tcW w:w="4788" w:type="dxa"/>
          </w:tcPr>
          <w:p w14:paraId="70D1924E" w14:textId="77777777" w:rsidR="008A0760" w:rsidRPr="00356B54" w:rsidRDefault="008A0760" w:rsidP="008A0760">
            <w:pPr>
              <w:spacing w:after="101" w:line="231" w:lineRule="atLeast"/>
              <w:jc w:val="both"/>
              <w:rPr>
                <w:lang w:val="en-US"/>
              </w:rPr>
            </w:pPr>
            <w:r w:rsidRPr="00356B54">
              <w:rPr>
                <w:rFonts w:ascii="Verdana" w:hAnsi="Verdana"/>
                <w:b/>
                <w:bCs/>
                <w:sz w:val="16"/>
                <w:szCs w:val="16"/>
                <w:lang w:val="en-US"/>
              </w:rPr>
              <w:t>1.</w:t>
            </w:r>
            <w:r w:rsidRPr="00356B54">
              <w:rPr>
                <w:lang w:val="en-US"/>
              </w:rPr>
              <w:t xml:space="preserve"> </w:t>
            </w:r>
            <w:r w:rsidRPr="00356B54">
              <w:rPr>
                <w:rFonts w:ascii="Verdana" w:hAnsi="Verdana"/>
                <w:b/>
                <w:bCs/>
                <w:sz w:val="16"/>
                <w:szCs w:val="16"/>
                <w:lang w:val="en-US"/>
              </w:rPr>
              <w:t>  OBJECTIVE AND FIELD OF APPLICATION</w:t>
            </w:r>
            <w:r w:rsidRPr="00356B54">
              <w:rPr>
                <w:lang w:val="en-US"/>
              </w:rPr>
              <w:t xml:space="preserve"> </w:t>
            </w:r>
          </w:p>
        </w:tc>
      </w:tr>
      <w:tr w:rsidR="008A0760" w:rsidRPr="00743A20" w14:paraId="6D4C000A" w14:textId="77777777" w:rsidTr="008E445B">
        <w:tc>
          <w:tcPr>
            <w:tcW w:w="4788" w:type="dxa"/>
            <w:shd w:val="clear" w:color="auto" w:fill="auto"/>
          </w:tcPr>
          <w:p w14:paraId="5938AA53" w14:textId="77777777" w:rsidR="008A0760" w:rsidRPr="009E79D2" w:rsidRDefault="008A0760" w:rsidP="008A0760">
            <w:pPr>
              <w:pStyle w:val="Texto"/>
              <w:spacing w:line="231" w:lineRule="exact"/>
              <w:ind w:firstLine="0"/>
              <w:rPr>
                <w:rFonts w:ascii="Verdana" w:hAnsi="Verdana"/>
                <w:sz w:val="16"/>
                <w:szCs w:val="16"/>
              </w:rPr>
            </w:pPr>
            <w:r w:rsidRPr="009E79D2">
              <w:rPr>
                <w:rFonts w:ascii="Verdana" w:hAnsi="Verdana"/>
                <w:sz w:val="16"/>
                <w:szCs w:val="16"/>
              </w:rPr>
              <w:t>Esta Norma Oficial Mexicana establece los límites máximos permisibles de emisiones de monóxido de carbono, óxidos de nitrógeno (NOx), hidrocarburos no metano (HCNM), hidrocarburos no metano más óxidos de nitrógeno (HCNM + NOx), partículas (Part), e incluso de amoniaco (NH</w:t>
            </w:r>
            <w:r w:rsidRPr="009E79D2">
              <w:rPr>
                <w:rFonts w:ascii="Verdana" w:hAnsi="Verdana"/>
                <w:sz w:val="16"/>
                <w:szCs w:val="16"/>
                <w:vertAlign w:val="subscript"/>
              </w:rPr>
              <w:t>3</w:t>
            </w:r>
            <w:r w:rsidRPr="009E79D2">
              <w:rPr>
                <w:rFonts w:ascii="Verdana" w:hAnsi="Verdana"/>
                <w:sz w:val="16"/>
                <w:szCs w:val="16"/>
              </w:rPr>
              <w:t>), conforme a lo especificado en las Tablas 1, 2, 3 y 4 de la presente norma oficial mexicana; todos ellos, contaminantes provenientes del escape de motores nuevos que utilizan diésel como combustible y que se utilizarán para la propulsión de vehículos automotores con peso bruto vehicular mayor a 3,857 kilogramos, así como del escape de vehículos automotores nuevos con peso bruto vehicular mayor a 3,857 kilogramos equipados con este tipo de motores.</w:t>
            </w:r>
          </w:p>
        </w:tc>
        <w:tc>
          <w:tcPr>
            <w:tcW w:w="4788" w:type="dxa"/>
          </w:tcPr>
          <w:p w14:paraId="6DEB0C83" w14:textId="77777777" w:rsidR="008A0760" w:rsidRPr="00356B54" w:rsidRDefault="008A0760" w:rsidP="008A0760">
            <w:pPr>
              <w:spacing w:after="101" w:line="231" w:lineRule="atLeast"/>
              <w:jc w:val="both"/>
              <w:rPr>
                <w:lang w:val="en-US"/>
              </w:rPr>
            </w:pPr>
            <w:r w:rsidRPr="00356B54">
              <w:rPr>
                <w:rFonts w:ascii="Verdana" w:hAnsi="Verdana"/>
                <w:sz w:val="16"/>
                <w:szCs w:val="16"/>
                <w:lang w:val="en-US"/>
              </w:rPr>
              <w:t>This Official Mexican Standard establishes the maximum permissible limits of emissions of carbon monoxide, nitrogen oxides (NOx), non-methane hydrocarbons (HCNM), non-methane hydrocarbons plus nitrogen oxides (HCNM +</w:t>
            </w:r>
            <w:r w:rsidRPr="00356B54">
              <w:rPr>
                <w:lang w:val="en-US"/>
              </w:rPr>
              <w:t xml:space="preserve"> </w:t>
            </w:r>
            <w:r w:rsidRPr="00356B54">
              <w:rPr>
                <w:rFonts w:ascii="Verdana" w:hAnsi="Verdana"/>
                <w:sz w:val="16"/>
                <w:szCs w:val="16"/>
                <w:lang w:val="en-US"/>
              </w:rPr>
              <w:t>NOx), particles (Part), and even of ammonia (NH</w:t>
            </w:r>
            <w:r w:rsidRPr="00356B54">
              <w:rPr>
                <w:rFonts w:ascii="Verdana" w:hAnsi="Verdana"/>
                <w:sz w:val="11"/>
                <w:szCs w:val="11"/>
                <w:vertAlign w:val="subscript"/>
                <w:lang w:val="en-US"/>
              </w:rPr>
              <w:t>3</w:t>
            </w:r>
            <w:r w:rsidRPr="00356B54">
              <w:rPr>
                <w:rFonts w:ascii="Verdana" w:hAnsi="Verdana"/>
                <w:sz w:val="16"/>
                <w:szCs w:val="16"/>
                <w:lang w:val="en-US"/>
              </w:rPr>
              <w:t xml:space="preserve">), as specified in Tables 1, 2, 3 and 4 of this </w:t>
            </w:r>
            <w:r w:rsidR="00735A37">
              <w:rPr>
                <w:rFonts w:ascii="Verdana" w:hAnsi="Verdana"/>
                <w:sz w:val="16"/>
                <w:szCs w:val="16"/>
                <w:lang w:val="en-US"/>
              </w:rPr>
              <w:t>Official Mexican Standard</w:t>
            </w:r>
            <w:r w:rsidRPr="00356B54">
              <w:rPr>
                <w:rFonts w:ascii="Verdana" w:hAnsi="Verdana"/>
                <w:sz w:val="16"/>
                <w:szCs w:val="16"/>
                <w:lang w:val="en-US"/>
              </w:rPr>
              <w:t>;</w:t>
            </w:r>
            <w:r w:rsidRPr="00356B54">
              <w:rPr>
                <w:lang w:val="en-US"/>
              </w:rPr>
              <w:t xml:space="preserve"> </w:t>
            </w:r>
            <w:r w:rsidRPr="00356B54">
              <w:rPr>
                <w:rFonts w:ascii="Verdana" w:hAnsi="Verdana"/>
                <w:sz w:val="16"/>
                <w:szCs w:val="16"/>
                <w:lang w:val="en-US"/>
              </w:rPr>
              <w:t>all of them, pollutants from the exhaust of new engines that use diesel as fuel and that will be used for the propulsion of automotive vehicles with gross vehicle weight greater than 3,857 kilograms, as well as the escape of new automotive vehicles with gross vehicle weight greater than 3,857 kilograms equipped with this type of engines.</w:t>
            </w:r>
            <w:r w:rsidRPr="00356B54">
              <w:rPr>
                <w:lang w:val="en-US"/>
              </w:rPr>
              <w:t xml:space="preserve"> </w:t>
            </w:r>
          </w:p>
        </w:tc>
      </w:tr>
      <w:tr w:rsidR="008A0760" w:rsidRPr="00743A20" w14:paraId="5A7B7868" w14:textId="77777777" w:rsidTr="008E445B">
        <w:tc>
          <w:tcPr>
            <w:tcW w:w="4788" w:type="dxa"/>
            <w:shd w:val="clear" w:color="auto" w:fill="auto"/>
          </w:tcPr>
          <w:p w14:paraId="17AA629E" w14:textId="77777777" w:rsidR="008A0760" w:rsidRPr="009E79D2" w:rsidRDefault="008A0760" w:rsidP="008A0760">
            <w:pPr>
              <w:pStyle w:val="Texto"/>
              <w:spacing w:line="231" w:lineRule="exact"/>
              <w:ind w:firstLine="0"/>
              <w:rPr>
                <w:rFonts w:ascii="Verdana" w:hAnsi="Verdana"/>
                <w:sz w:val="16"/>
                <w:szCs w:val="16"/>
              </w:rPr>
            </w:pPr>
            <w:r w:rsidRPr="009E79D2">
              <w:rPr>
                <w:rFonts w:ascii="Verdana" w:hAnsi="Verdana"/>
                <w:sz w:val="16"/>
                <w:szCs w:val="16"/>
              </w:rPr>
              <w:t>Esta Norma Oficial Mexicana es aplicable en todo el territorio nacional y es de observancia obligatoria para los fabricantes e importadores de los motores nuevos que usan diésel como combustible y que se utilizarán para la propulsión de vehículos automotores nuevos con peso bruto vehicular mayor a 3,857 kilogramos, así como para los vehículos automotores nuevos con peso bruto vehicular mayor a 3,857 kilogramos equipados con este tipo de motores.</w:t>
            </w:r>
          </w:p>
        </w:tc>
        <w:tc>
          <w:tcPr>
            <w:tcW w:w="4788" w:type="dxa"/>
          </w:tcPr>
          <w:p w14:paraId="7E95F8EC" w14:textId="77777777" w:rsidR="008A0760" w:rsidRPr="00356B54" w:rsidRDefault="008A0760" w:rsidP="008A0760">
            <w:pPr>
              <w:spacing w:after="101" w:line="231" w:lineRule="atLeast"/>
              <w:jc w:val="both"/>
              <w:rPr>
                <w:lang w:val="en-US"/>
              </w:rPr>
            </w:pPr>
            <w:r w:rsidRPr="00356B54">
              <w:rPr>
                <w:rFonts w:ascii="Verdana" w:hAnsi="Verdana"/>
                <w:sz w:val="16"/>
                <w:szCs w:val="16"/>
                <w:lang w:val="en-US"/>
              </w:rPr>
              <w:t>This Official Mexican Standard is applicable throughout the national territory and is mandatory for manufacturers and importers of new engines that use diesel as fuel and that will be used for the propulsion of new automotive vehicles with gross vehicle weight greater than 3,857 kilograms, as well as for new automotive vehicles with gross vehicle weight greater than 3,857 kilograms equipped with this type of engines.</w:t>
            </w:r>
            <w:r w:rsidRPr="00356B54">
              <w:rPr>
                <w:lang w:val="en-US"/>
              </w:rPr>
              <w:t xml:space="preserve"> </w:t>
            </w:r>
          </w:p>
        </w:tc>
      </w:tr>
      <w:tr w:rsidR="008A0760" w:rsidRPr="009E79D2" w14:paraId="70605FFA" w14:textId="77777777" w:rsidTr="008E445B">
        <w:tc>
          <w:tcPr>
            <w:tcW w:w="4788" w:type="dxa"/>
            <w:shd w:val="clear" w:color="auto" w:fill="auto"/>
          </w:tcPr>
          <w:p w14:paraId="4DC72597" w14:textId="77777777" w:rsidR="008A0760" w:rsidRPr="009E79D2" w:rsidRDefault="008A0760" w:rsidP="008A0760">
            <w:pPr>
              <w:pStyle w:val="Texto"/>
              <w:spacing w:line="231" w:lineRule="exact"/>
              <w:ind w:firstLine="0"/>
              <w:rPr>
                <w:rFonts w:ascii="Verdana" w:hAnsi="Verdana"/>
                <w:b/>
                <w:sz w:val="16"/>
                <w:szCs w:val="16"/>
              </w:rPr>
            </w:pPr>
            <w:r w:rsidRPr="009E79D2">
              <w:rPr>
                <w:rFonts w:ascii="Verdana" w:hAnsi="Verdana"/>
                <w:b/>
                <w:sz w:val="16"/>
                <w:szCs w:val="16"/>
              </w:rPr>
              <w:t>2.</w:t>
            </w:r>
            <w:r w:rsidRPr="009E79D2">
              <w:rPr>
                <w:rFonts w:ascii="Verdana" w:hAnsi="Verdana"/>
                <w:b/>
                <w:sz w:val="16"/>
                <w:szCs w:val="16"/>
              </w:rPr>
              <w:tab/>
              <w:t>REFERENCIAS NORMATIVAS</w:t>
            </w:r>
          </w:p>
        </w:tc>
        <w:tc>
          <w:tcPr>
            <w:tcW w:w="4788" w:type="dxa"/>
          </w:tcPr>
          <w:p w14:paraId="6BF9FCB3" w14:textId="77777777" w:rsidR="008A0760" w:rsidRPr="00356B54" w:rsidRDefault="008A0760" w:rsidP="008A0760">
            <w:pPr>
              <w:spacing w:after="101" w:line="231" w:lineRule="atLeast"/>
              <w:jc w:val="both"/>
            </w:pPr>
            <w:r w:rsidRPr="00356B54">
              <w:rPr>
                <w:rFonts w:ascii="Verdana" w:hAnsi="Verdana"/>
                <w:b/>
                <w:bCs/>
                <w:sz w:val="16"/>
                <w:szCs w:val="16"/>
              </w:rPr>
              <w:t>2.</w:t>
            </w:r>
            <w:r w:rsidRPr="00356B54">
              <w:t xml:space="preserve"> </w:t>
            </w:r>
            <w:r w:rsidRPr="00356B54">
              <w:rPr>
                <w:rFonts w:ascii="Verdana" w:hAnsi="Verdana"/>
                <w:b/>
                <w:bCs/>
                <w:sz w:val="16"/>
                <w:szCs w:val="16"/>
              </w:rPr>
              <w:t xml:space="preserve">              </w:t>
            </w:r>
            <w:r w:rsidR="00A341BE">
              <w:rPr>
                <w:rFonts w:ascii="Verdana" w:hAnsi="Verdana"/>
                <w:b/>
                <w:bCs/>
                <w:sz w:val="16"/>
                <w:szCs w:val="16"/>
              </w:rPr>
              <w:t>REGULATORY</w:t>
            </w:r>
            <w:r w:rsidRPr="00356B54">
              <w:rPr>
                <w:rFonts w:ascii="Verdana" w:hAnsi="Verdana"/>
                <w:b/>
                <w:bCs/>
                <w:sz w:val="16"/>
                <w:szCs w:val="16"/>
              </w:rPr>
              <w:t xml:space="preserve"> REFERENCES</w:t>
            </w:r>
            <w:r w:rsidRPr="00356B54">
              <w:t xml:space="preserve"> </w:t>
            </w:r>
          </w:p>
        </w:tc>
      </w:tr>
      <w:tr w:rsidR="008A0760" w:rsidRPr="00743A20" w14:paraId="235A9B8B" w14:textId="77777777" w:rsidTr="008E445B">
        <w:tc>
          <w:tcPr>
            <w:tcW w:w="4788" w:type="dxa"/>
            <w:shd w:val="clear" w:color="auto" w:fill="auto"/>
          </w:tcPr>
          <w:p w14:paraId="3C4EEAE3" w14:textId="77777777" w:rsidR="008A0760" w:rsidRPr="009E79D2" w:rsidRDefault="008A0760" w:rsidP="008A0760">
            <w:pPr>
              <w:pStyle w:val="Texto"/>
              <w:spacing w:line="231" w:lineRule="exact"/>
              <w:ind w:firstLine="0"/>
              <w:rPr>
                <w:rFonts w:ascii="Verdana" w:hAnsi="Verdana"/>
                <w:sz w:val="16"/>
                <w:szCs w:val="16"/>
              </w:rPr>
            </w:pPr>
            <w:r w:rsidRPr="009E79D2">
              <w:rPr>
                <w:rFonts w:ascii="Verdana" w:hAnsi="Verdana"/>
                <w:sz w:val="16"/>
                <w:szCs w:val="16"/>
              </w:rPr>
              <w:t>Para la correcta aplicación de esta Norma Oficial Mexicana se deben observar las siguientes Normas Oficiales Mexicanas y Normas Mexicanas vigentes o las que las sustituyan:</w:t>
            </w:r>
          </w:p>
        </w:tc>
        <w:tc>
          <w:tcPr>
            <w:tcW w:w="4788" w:type="dxa"/>
          </w:tcPr>
          <w:p w14:paraId="3A95E40D" w14:textId="77777777" w:rsidR="008A0760" w:rsidRPr="00356B54" w:rsidRDefault="008A0760" w:rsidP="008A0760">
            <w:pPr>
              <w:spacing w:after="101" w:line="231" w:lineRule="atLeast"/>
              <w:jc w:val="both"/>
              <w:rPr>
                <w:lang w:val="en-US"/>
              </w:rPr>
            </w:pPr>
            <w:r w:rsidRPr="00356B54">
              <w:rPr>
                <w:rFonts w:ascii="Verdana" w:hAnsi="Verdana"/>
                <w:sz w:val="16"/>
                <w:szCs w:val="16"/>
                <w:lang w:val="en-US"/>
              </w:rPr>
              <w:t xml:space="preserve">For the correct application of this Official Mexican Standard, the following Mexican Official </w:t>
            </w:r>
            <w:r w:rsidR="00A341BE">
              <w:rPr>
                <w:rFonts w:ascii="Verdana" w:hAnsi="Verdana"/>
                <w:sz w:val="16"/>
                <w:szCs w:val="16"/>
                <w:lang w:val="en-US"/>
              </w:rPr>
              <w:t>Standards</w:t>
            </w:r>
            <w:r w:rsidRPr="00356B54">
              <w:rPr>
                <w:rFonts w:ascii="Verdana" w:hAnsi="Verdana"/>
                <w:sz w:val="16"/>
                <w:szCs w:val="16"/>
                <w:lang w:val="en-US"/>
              </w:rPr>
              <w:t xml:space="preserve"> and Mexican Standards must be observed or those that substitute them:</w:t>
            </w:r>
            <w:r w:rsidRPr="00356B54">
              <w:rPr>
                <w:lang w:val="en-US"/>
              </w:rPr>
              <w:t xml:space="preserve"> </w:t>
            </w:r>
          </w:p>
        </w:tc>
      </w:tr>
      <w:tr w:rsidR="008A0760" w:rsidRPr="00743A20" w14:paraId="0E19E0D5" w14:textId="77777777" w:rsidTr="008E445B">
        <w:tc>
          <w:tcPr>
            <w:tcW w:w="4788" w:type="dxa"/>
            <w:shd w:val="clear" w:color="auto" w:fill="auto"/>
          </w:tcPr>
          <w:p w14:paraId="660DEEA6" w14:textId="77777777" w:rsidR="008A0760" w:rsidRPr="009E79D2" w:rsidRDefault="008A0760" w:rsidP="008A0760">
            <w:pPr>
              <w:pStyle w:val="Texto"/>
              <w:numPr>
                <w:ilvl w:val="0"/>
                <w:numId w:val="4"/>
              </w:numPr>
              <w:spacing w:line="231" w:lineRule="exact"/>
              <w:ind w:left="648"/>
              <w:rPr>
                <w:rFonts w:ascii="Verdana" w:hAnsi="Verdana"/>
                <w:sz w:val="16"/>
                <w:szCs w:val="16"/>
                <w:lang w:val="es-ES"/>
              </w:rPr>
            </w:pPr>
            <w:r w:rsidRPr="009E79D2">
              <w:rPr>
                <w:rFonts w:ascii="Verdana" w:hAnsi="Verdana"/>
                <w:b/>
                <w:sz w:val="16"/>
                <w:szCs w:val="16"/>
                <w:lang w:val="es-ES"/>
              </w:rPr>
              <w:t>Norma Mexicana NMX-AA-023-1986</w:t>
            </w:r>
            <w:r w:rsidRPr="009E79D2">
              <w:rPr>
                <w:rFonts w:ascii="Verdana" w:hAnsi="Verdana"/>
                <w:sz w:val="16"/>
                <w:szCs w:val="16"/>
                <w:lang w:val="es-ES"/>
              </w:rPr>
              <w:t>, Protección al Ambiente.- Contaminación Atmosférica. Terminología.- Declaratoria de vigencia publicada en el Diario Oficial de la Federación, el 15 de julio de 1986.</w:t>
            </w:r>
          </w:p>
        </w:tc>
        <w:tc>
          <w:tcPr>
            <w:tcW w:w="4788" w:type="dxa"/>
          </w:tcPr>
          <w:p w14:paraId="3F893743" w14:textId="77777777" w:rsidR="008A0760" w:rsidRPr="00356B54" w:rsidRDefault="008A0760" w:rsidP="008A0760">
            <w:pPr>
              <w:numPr>
                <w:ilvl w:val="0"/>
                <w:numId w:val="11"/>
              </w:numPr>
              <w:spacing w:after="101" w:line="231" w:lineRule="atLeast"/>
              <w:ind w:left="432" w:firstLine="0"/>
              <w:jc w:val="both"/>
              <w:rPr>
                <w:sz w:val="16"/>
                <w:szCs w:val="16"/>
                <w:lang w:val="en-US"/>
              </w:rPr>
            </w:pPr>
            <w:r w:rsidRPr="00356B54">
              <w:rPr>
                <w:rFonts w:ascii="Verdana" w:hAnsi="Verdana"/>
                <w:b/>
                <w:bCs/>
                <w:sz w:val="16"/>
                <w:szCs w:val="16"/>
                <w:lang w:val="en-US"/>
              </w:rPr>
              <w:t>Mexican Standard NMX-AA-023-1986</w:t>
            </w:r>
            <w:r w:rsidRPr="00356B54">
              <w:rPr>
                <w:rFonts w:ascii="Verdana" w:hAnsi="Verdana"/>
                <w:sz w:val="16"/>
                <w:szCs w:val="16"/>
                <w:lang w:val="en-US"/>
              </w:rPr>
              <w:t>, Protection of the</w:t>
            </w:r>
            <w:r w:rsidRPr="00356B54">
              <w:rPr>
                <w:sz w:val="16"/>
                <w:szCs w:val="16"/>
                <w:lang w:val="en-US"/>
              </w:rPr>
              <w:t xml:space="preserve"> </w:t>
            </w:r>
            <w:r w:rsidRPr="00356B54">
              <w:rPr>
                <w:rFonts w:ascii="Verdana" w:hAnsi="Verdana"/>
                <w:sz w:val="16"/>
                <w:szCs w:val="16"/>
                <w:lang w:val="en-US"/>
              </w:rPr>
              <w:t>Environment.-</w:t>
            </w:r>
            <w:r w:rsidRPr="00356B54">
              <w:rPr>
                <w:sz w:val="16"/>
                <w:szCs w:val="16"/>
                <w:lang w:val="en-US"/>
              </w:rPr>
              <w:t xml:space="preserve"> </w:t>
            </w:r>
            <w:r w:rsidRPr="00356B54">
              <w:rPr>
                <w:rFonts w:ascii="Verdana" w:hAnsi="Verdana"/>
                <w:sz w:val="16"/>
                <w:szCs w:val="16"/>
                <w:lang w:val="en-US"/>
              </w:rPr>
              <w:t>Atmospheric Pollution.</w:t>
            </w:r>
            <w:r w:rsidRPr="00356B54">
              <w:rPr>
                <w:sz w:val="16"/>
                <w:szCs w:val="16"/>
                <w:lang w:val="en-US"/>
              </w:rPr>
              <w:t xml:space="preserve"> </w:t>
            </w:r>
            <w:r w:rsidRPr="00356B54">
              <w:rPr>
                <w:rFonts w:ascii="Verdana" w:hAnsi="Verdana"/>
                <w:sz w:val="16"/>
                <w:szCs w:val="16"/>
                <w:lang w:val="en-US"/>
              </w:rPr>
              <w:t>Terminology.-</w:t>
            </w:r>
            <w:r w:rsidRPr="00356B54">
              <w:rPr>
                <w:sz w:val="16"/>
                <w:szCs w:val="16"/>
                <w:lang w:val="en-US"/>
              </w:rPr>
              <w:t xml:space="preserve"> </w:t>
            </w:r>
            <w:r w:rsidRPr="00356B54">
              <w:rPr>
                <w:rFonts w:ascii="Verdana" w:hAnsi="Verdana"/>
                <w:sz w:val="16"/>
                <w:szCs w:val="16"/>
                <w:lang w:val="en-US"/>
              </w:rPr>
              <w:t xml:space="preserve">Declaration of validity published in the Official </w:t>
            </w:r>
            <w:r w:rsidR="00735A37">
              <w:rPr>
                <w:rFonts w:ascii="Verdana" w:hAnsi="Verdana"/>
                <w:sz w:val="16"/>
                <w:szCs w:val="16"/>
                <w:lang w:val="en-US"/>
              </w:rPr>
              <w:t>Daily</w:t>
            </w:r>
            <w:r w:rsidRPr="00356B54">
              <w:rPr>
                <w:rFonts w:ascii="Verdana" w:hAnsi="Verdana"/>
                <w:sz w:val="16"/>
                <w:szCs w:val="16"/>
                <w:lang w:val="en-US"/>
              </w:rPr>
              <w:t xml:space="preserve"> of the Federation, on July 15, 1986.</w:t>
            </w:r>
            <w:r w:rsidRPr="00356B54">
              <w:rPr>
                <w:sz w:val="16"/>
                <w:szCs w:val="16"/>
                <w:lang w:val="en-US"/>
              </w:rPr>
              <w:t xml:space="preserve"> </w:t>
            </w:r>
          </w:p>
        </w:tc>
      </w:tr>
      <w:tr w:rsidR="008A0760" w:rsidRPr="00743A20" w14:paraId="36836BF6" w14:textId="77777777" w:rsidTr="008E445B">
        <w:tc>
          <w:tcPr>
            <w:tcW w:w="4788" w:type="dxa"/>
            <w:shd w:val="clear" w:color="auto" w:fill="auto"/>
          </w:tcPr>
          <w:p w14:paraId="11D2F68A" w14:textId="77777777" w:rsidR="008A0760" w:rsidRPr="009E79D2" w:rsidRDefault="008A0760" w:rsidP="008A0760">
            <w:pPr>
              <w:pStyle w:val="Texto"/>
              <w:numPr>
                <w:ilvl w:val="0"/>
                <w:numId w:val="4"/>
              </w:numPr>
              <w:spacing w:line="231" w:lineRule="exact"/>
              <w:ind w:left="648"/>
              <w:rPr>
                <w:rFonts w:ascii="Verdana" w:hAnsi="Verdana"/>
                <w:sz w:val="16"/>
                <w:szCs w:val="16"/>
                <w:lang w:val="es-ES_tradnl"/>
              </w:rPr>
            </w:pPr>
            <w:r w:rsidRPr="009E79D2">
              <w:rPr>
                <w:rFonts w:ascii="Verdana" w:hAnsi="Verdana"/>
                <w:b/>
                <w:sz w:val="16"/>
                <w:szCs w:val="16"/>
                <w:lang w:val="es-ES_tradnl"/>
              </w:rPr>
              <w:t>Norma Oficial Mexicana NOM-016-CRE-2016</w:t>
            </w:r>
            <w:r w:rsidRPr="009E79D2">
              <w:rPr>
                <w:rFonts w:ascii="Verdana" w:hAnsi="Verdana"/>
                <w:sz w:val="16"/>
                <w:szCs w:val="16"/>
                <w:lang w:val="es-ES_tradnl"/>
              </w:rPr>
              <w:t xml:space="preserve">. Especificaciones de calidad de los </w:t>
            </w:r>
            <w:r w:rsidRPr="009E79D2">
              <w:rPr>
                <w:rFonts w:ascii="Verdana" w:hAnsi="Verdana"/>
                <w:sz w:val="16"/>
                <w:szCs w:val="16"/>
                <w:lang w:val="es-ES_tradnl"/>
              </w:rPr>
              <w:lastRenderedPageBreak/>
              <w:t>petrolíferos, publicada en el Diario Oficial de la Federación, el 29 de agosto de 2016.</w:t>
            </w:r>
          </w:p>
        </w:tc>
        <w:tc>
          <w:tcPr>
            <w:tcW w:w="4788" w:type="dxa"/>
          </w:tcPr>
          <w:p w14:paraId="6548D795" w14:textId="77777777" w:rsidR="008A0760" w:rsidRPr="00356B54" w:rsidRDefault="008A0760" w:rsidP="008A0760">
            <w:pPr>
              <w:numPr>
                <w:ilvl w:val="0"/>
                <w:numId w:val="12"/>
              </w:numPr>
              <w:spacing w:after="101" w:line="231" w:lineRule="atLeast"/>
              <w:ind w:left="432" w:firstLine="0"/>
              <w:jc w:val="both"/>
              <w:rPr>
                <w:sz w:val="16"/>
                <w:szCs w:val="16"/>
                <w:lang w:val="en-US"/>
              </w:rPr>
            </w:pPr>
            <w:r w:rsidRPr="00356B54">
              <w:rPr>
                <w:rFonts w:ascii="Verdana" w:hAnsi="Verdana"/>
                <w:b/>
                <w:bCs/>
                <w:sz w:val="16"/>
                <w:szCs w:val="16"/>
                <w:lang w:val="en-US"/>
              </w:rPr>
              <w:lastRenderedPageBreak/>
              <w:t>Official Mexican Standard NOM-016-CRE-2016</w:t>
            </w:r>
            <w:r w:rsidRPr="00356B54">
              <w:rPr>
                <w:rFonts w:ascii="Verdana" w:hAnsi="Verdana"/>
                <w:sz w:val="16"/>
                <w:szCs w:val="16"/>
                <w:lang w:val="en-US"/>
              </w:rPr>
              <w:t>.</w:t>
            </w:r>
            <w:r w:rsidRPr="00356B54">
              <w:rPr>
                <w:sz w:val="16"/>
                <w:szCs w:val="16"/>
                <w:lang w:val="en-US"/>
              </w:rPr>
              <w:t xml:space="preserve"> </w:t>
            </w:r>
            <w:r w:rsidRPr="00356B54">
              <w:rPr>
                <w:rFonts w:ascii="Verdana" w:hAnsi="Verdana"/>
                <w:sz w:val="16"/>
                <w:szCs w:val="16"/>
                <w:lang w:val="en-US"/>
              </w:rPr>
              <w:t>Petroleum</w:t>
            </w:r>
            <w:r w:rsidRPr="00356B54">
              <w:rPr>
                <w:sz w:val="16"/>
                <w:szCs w:val="16"/>
                <w:lang w:val="en-US"/>
              </w:rPr>
              <w:t xml:space="preserve"> </w:t>
            </w:r>
            <w:r w:rsidRPr="00356B54">
              <w:rPr>
                <w:rFonts w:ascii="Verdana" w:hAnsi="Verdana"/>
                <w:sz w:val="16"/>
                <w:szCs w:val="16"/>
                <w:lang w:val="en-US"/>
              </w:rPr>
              <w:t>quality specifications</w:t>
            </w:r>
            <w:r w:rsidRPr="00356B54">
              <w:rPr>
                <w:sz w:val="16"/>
                <w:szCs w:val="16"/>
                <w:lang w:val="en-US"/>
              </w:rPr>
              <w:t xml:space="preserve"> </w:t>
            </w:r>
            <w:r w:rsidRPr="00356B54">
              <w:rPr>
                <w:rFonts w:ascii="Verdana" w:hAnsi="Verdana"/>
                <w:sz w:val="16"/>
                <w:szCs w:val="16"/>
                <w:lang w:val="en-US"/>
              </w:rPr>
              <w:t xml:space="preserve">, published </w:t>
            </w:r>
            <w:r w:rsidRPr="00356B54">
              <w:rPr>
                <w:rFonts w:ascii="Verdana" w:hAnsi="Verdana"/>
                <w:sz w:val="16"/>
                <w:szCs w:val="16"/>
                <w:lang w:val="en-US"/>
              </w:rPr>
              <w:lastRenderedPageBreak/>
              <w:t xml:space="preserve">in the Official </w:t>
            </w:r>
            <w:r w:rsidR="00735A37">
              <w:rPr>
                <w:rFonts w:ascii="Verdana" w:hAnsi="Verdana"/>
                <w:sz w:val="16"/>
                <w:szCs w:val="16"/>
                <w:lang w:val="en-US"/>
              </w:rPr>
              <w:t>Daily</w:t>
            </w:r>
            <w:r w:rsidRPr="00356B54">
              <w:rPr>
                <w:rFonts w:ascii="Verdana" w:hAnsi="Verdana"/>
                <w:sz w:val="16"/>
                <w:szCs w:val="16"/>
                <w:lang w:val="en-US"/>
              </w:rPr>
              <w:t xml:space="preserve"> of the Federation, on August 29, 2016.</w:t>
            </w:r>
            <w:r w:rsidRPr="00356B54">
              <w:rPr>
                <w:sz w:val="16"/>
                <w:szCs w:val="16"/>
                <w:lang w:val="en-US"/>
              </w:rPr>
              <w:t xml:space="preserve"> </w:t>
            </w:r>
          </w:p>
        </w:tc>
      </w:tr>
      <w:tr w:rsidR="008A0760" w:rsidRPr="00743A20" w14:paraId="405DB723" w14:textId="77777777" w:rsidTr="008E445B">
        <w:tc>
          <w:tcPr>
            <w:tcW w:w="4788" w:type="dxa"/>
            <w:shd w:val="clear" w:color="auto" w:fill="auto"/>
          </w:tcPr>
          <w:p w14:paraId="6AD1875E" w14:textId="77777777" w:rsidR="008A0760" w:rsidRPr="009E79D2" w:rsidRDefault="008A0760" w:rsidP="008A0760">
            <w:pPr>
              <w:pStyle w:val="Texto"/>
              <w:numPr>
                <w:ilvl w:val="0"/>
                <w:numId w:val="4"/>
              </w:numPr>
              <w:spacing w:line="231" w:lineRule="exact"/>
              <w:ind w:left="648"/>
              <w:rPr>
                <w:rFonts w:ascii="Verdana" w:hAnsi="Verdana"/>
                <w:sz w:val="16"/>
                <w:szCs w:val="16"/>
                <w:lang w:val="es-ES_tradnl"/>
              </w:rPr>
            </w:pPr>
            <w:r w:rsidRPr="009E79D2">
              <w:rPr>
                <w:rFonts w:ascii="Verdana" w:hAnsi="Verdana"/>
                <w:b/>
                <w:sz w:val="16"/>
                <w:szCs w:val="16"/>
                <w:lang w:val="es-ES_tradnl"/>
              </w:rPr>
              <w:lastRenderedPageBreak/>
              <w:t>Norma Mexicana NMX-D-316-IMNC-2016</w:t>
            </w:r>
            <w:r w:rsidRPr="009E79D2">
              <w:rPr>
                <w:rFonts w:ascii="Verdana" w:hAnsi="Verdana"/>
                <w:sz w:val="16"/>
                <w:szCs w:val="16"/>
                <w:lang w:val="es-ES_tradnl"/>
              </w:rPr>
              <w:t>, Motores Diésel-Agente de reducción de NOx. Declaratoria de vigencia publicada en el Diario Oficial de la Federación, el 26 de agosto de 2016.</w:t>
            </w:r>
          </w:p>
        </w:tc>
        <w:tc>
          <w:tcPr>
            <w:tcW w:w="4788" w:type="dxa"/>
          </w:tcPr>
          <w:p w14:paraId="03431A89" w14:textId="77777777" w:rsidR="008A0760" w:rsidRPr="00356B54" w:rsidRDefault="008A0760" w:rsidP="008A0760">
            <w:pPr>
              <w:numPr>
                <w:ilvl w:val="0"/>
                <w:numId w:val="13"/>
              </w:numPr>
              <w:spacing w:after="101" w:line="231" w:lineRule="atLeast"/>
              <w:ind w:left="432" w:firstLine="0"/>
              <w:jc w:val="both"/>
              <w:rPr>
                <w:sz w:val="16"/>
                <w:szCs w:val="16"/>
                <w:lang w:val="en-US"/>
              </w:rPr>
            </w:pPr>
            <w:r w:rsidRPr="00356B54">
              <w:rPr>
                <w:rFonts w:ascii="Verdana" w:hAnsi="Verdana"/>
                <w:b/>
                <w:bCs/>
                <w:sz w:val="16"/>
                <w:szCs w:val="16"/>
                <w:lang w:val="en-US"/>
              </w:rPr>
              <w:t>Mexican Standard NMX-D-316-IMNC-2016</w:t>
            </w:r>
            <w:r w:rsidRPr="00356B54">
              <w:rPr>
                <w:rFonts w:ascii="Verdana" w:hAnsi="Verdana"/>
                <w:sz w:val="16"/>
                <w:szCs w:val="16"/>
                <w:lang w:val="en-US"/>
              </w:rPr>
              <w:t>, Diesel Engines-</w:t>
            </w:r>
            <w:r w:rsidRPr="00356B54">
              <w:rPr>
                <w:sz w:val="16"/>
                <w:szCs w:val="16"/>
                <w:lang w:val="en-US"/>
              </w:rPr>
              <w:t xml:space="preserve"> </w:t>
            </w:r>
            <w:r w:rsidRPr="00356B54">
              <w:rPr>
                <w:rFonts w:ascii="Verdana" w:hAnsi="Verdana"/>
                <w:sz w:val="16"/>
                <w:szCs w:val="16"/>
                <w:lang w:val="en-US"/>
              </w:rPr>
              <w:t>NOx</w:t>
            </w:r>
            <w:r w:rsidRPr="00356B54">
              <w:rPr>
                <w:sz w:val="16"/>
                <w:szCs w:val="16"/>
                <w:lang w:val="en-US"/>
              </w:rPr>
              <w:t xml:space="preserve"> </w:t>
            </w:r>
            <w:r w:rsidRPr="00356B54">
              <w:rPr>
                <w:rFonts w:ascii="Verdana" w:hAnsi="Verdana"/>
                <w:sz w:val="16"/>
                <w:szCs w:val="16"/>
                <w:lang w:val="en-US"/>
              </w:rPr>
              <w:t>reduction agent.</w:t>
            </w:r>
            <w:r w:rsidRPr="00356B54">
              <w:rPr>
                <w:sz w:val="16"/>
                <w:szCs w:val="16"/>
                <w:lang w:val="en-US"/>
              </w:rPr>
              <w:t xml:space="preserve"> </w:t>
            </w:r>
            <w:r w:rsidRPr="00356B54">
              <w:rPr>
                <w:rFonts w:ascii="Verdana" w:hAnsi="Verdana"/>
                <w:sz w:val="16"/>
                <w:szCs w:val="16"/>
                <w:lang w:val="en-US"/>
              </w:rPr>
              <w:t xml:space="preserve">Declaration of validity published in the Official </w:t>
            </w:r>
            <w:r w:rsidR="00735A37">
              <w:rPr>
                <w:rFonts w:ascii="Verdana" w:hAnsi="Verdana"/>
                <w:sz w:val="16"/>
                <w:szCs w:val="16"/>
                <w:lang w:val="en-US"/>
              </w:rPr>
              <w:t>Daily</w:t>
            </w:r>
            <w:r w:rsidRPr="00356B54">
              <w:rPr>
                <w:rFonts w:ascii="Verdana" w:hAnsi="Verdana"/>
                <w:sz w:val="16"/>
                <w:szCs w:val="16"/>
                <w:lang w:val="en-US"/>
              </w:rPr>
              <w:t xml:space="preserve"> of the Federation, on August 26, 2016.</w:t>
            </w:r>
            <w:r w:rsidRPr="00356B54">
              <w:rPr>
                <w:sz w:val="16"/>
                <w:szCs w:val="16"/>
                <w:lang w:val="en-US"/>
              </w:rPr>
              <w:t xml:space="preserve"> </w:t>
            </w:r>
          </w:p>
        </w:tc>
      </w:tr>
      <w:tr w:rsidR="008A0760" w:rsidRPr="009E79D2" w14:paraId="3D13A8E5" w14:textId="77777777" w:rsidTr="008E445B">
        <w:tc>
          <w:tcPr>
            <w:tcW w:w="4788" w:type="dxa"/>
            <w:shd w:val="clear" w:color="auto" w:fill="auto"/>
          </w:tcPr>
          <w:p w14:paraId="66478A7D" w14:textId="77777777" w:rsidR="008A0760" w:rsidRPr="009E79D2" w:rsidRDefault="008A0760" w:rsidP="008A0760">
            <w:pPr>
              <w:pStyle w:val="Texto"/>
              <w:spacing w:line="231" w:lineRule="exact"/>
              <w:ind w:firstLine="0"/>
              <w:rPr>
                <w:rFonts w:ascii="Verdana" w:hAnsi="Verdana"/>
                <w:b/>
                <w:sz w:val="16"/>
                <w:szCs w:val="16"/>
              </w:rPr>
            </w:pPr>
            <w:r w:rsidRPr="009E79D2">
              <w:rPr>
                <w:rFonts w:ascii="Verdana" w:hAnsi="Verdana"/>
                <w:b/>
                <w:sz w:val="16"/>
                <w:szCs w:val="16"/>
              </w:rPr>
              <w:t>3.</w:t>
            </w:r>
            <w:r w:rsidRPr="009E79D2">
              <w:rPr>
                <w:rFonts w:ascii="Verdana" w:hAnsi="Verdana"/>
                <w:b/>
                <w:sz w:val="16"/>
                <w:szCs w:val="16"/>
              </w:rPr>
              <w:tab/>
              <w:t>TÉRMINOS Y DEFINICIONES</w:t>
            </w:r>
          </w:p>
        </w:tc>
        <w:tc>
          <w:tcPr>
            <w:tcW w:w="4788" w:type="dxa"/>
          </w:tcPr>
          <w:p w14:paraId="6198C6E8" w14:textId="77777777" w:rsidR="008A0760" w:rsidRPr="00356B54" w:rsidRDefault="008A0760" w:rsidP="008A0760">
            <w:pPr>
              <w:spacing w:after="101" w:line="231" w:lineRule="atLeast"/>
              <w:jc w:val="both"/>
            </w:pPr>
            <w:r w:rsidRPr="00356B54">
              <w:rPr>
                <w:rFonts w:ascii="Verdana" w:hAnsi="Verdana"/>
                <w:b/>
                <w:bCs/>
                <w:sz w:val="16"/>
                <w:szCs w:val="16"/>
              </w:rPr>
              <w:t>3.</w:t>
            </w:r>
            <w:r w:rsidRPr="00356B54">
              <w:t xml:space="preserve"> </w:t>
            </w:r>
            <w:r w:rsidRPr="00356B54">
              <w:rPr>
                <w:rFonts w:ascii="Verdana" w:hAnsi="Verdana"/>
                <w:b/>
                <w:bCs/>
                <w:sz w:val="16"/>
                <w:szCs w:val="16"/>
              </w:rPr>
              <w:t>              TERMS AND DEFINITIONS</w:t>
            </w:r>
            <w:r w:rsidRPr="00356B54">
              <w:t xml:space="preserve"> </w:t>
            </w:r>
          </w:p>
        </w:tc>
      </w:tr>
      <w:tr w:rsidR="008A0760" w:rsidRPr="00743A20" w14:paraId="310C7E12" w14:textId="77777777" w:rsidTr="008E445B">
        <w:tc>
          <w:tcPr>
            <w:tcW w:w="4788" w:type="dxa"/>
            <w:shd w:val="clear" w:color="auto" w:fill="auto"/>
          </w:tcPr>
          <w:p w14:paraId="36432146" w14:textId="77777777" w:rsidR="008A0760" w:rsidRPr="009E79D2" w:rsidRDefault="008A0760" w:rsidP="008A0760">
            <w:pPr>
              <w:pStyle w:val="Texto"/>
              <w:spacing w:line="231" w:lineRule="exact"/>
              <w:ind w:firstLine="0"/>
              <w:rPr>
                <w:rFonts w:ascii="Verdana" w:hAnsi="Verdana"/>
                <w:sz w:val="16"/>
                <w:szCs w:val="16"/>
              </w:rPr>
            </w:pPr>
            <w:r w:rsidRPr="009E79D2">
              <w:rPr>
                <w:rFonts w:ascii="Verdana" w:hAnsi="Verdana"/>
                <w:sz w:val="16"/>
                <w:szCs w:val="16"/>
              </w:rPr>
              <w:t>Para los propósitos de esta Norma se consideran las definiciones de la Ley General del Equilibrio Ecológico y la Protección al Ambiente (LGEEPA), el Reglamento de la LGEEPA en materia de Prevención y Control de la Contaminación de la Atmósfera, así como las siguientes:</w:t>
            </w:r>
          </w:p>
        </w:tc>
        <w:tc>
          <w:tcPr>
            <w:tcW w:w="4788" w:type="dxa"/>
          </w:tcPr>
          <w:p w14:paraId="48604A3A" w14:textId="77777777" w:rsidR="008A0760" w:rsidRPr="00356B54" w:rsidRDefault="008A0760" w:rsidP="008A0760">
            <w:pPr>
              <w:spacing w:after="101" w:line="231" w:lineRule="atLeast"/>
              <w:jc w:val="both"/>
              <w:rPr>
                <w:lang w:val="en-US"/>
              </w:rPr>
            </w:pPr>
            <w:r w:rsidRPr="00356B54">
              <w:rPr>
                <w:rFonts w:ascii="Verdana" w:hAnsi="Verdana"/>
                <w:sz w:val="16"/>
                <w:szCs w:val="16"/>
                <w:lang w:val="en-US"/>
              </w:rPr>
              <w:t xml:space="preserve">For the purposes of this Standard, the definitions of the </w:t>
            </w:r>
            <w:r w:rsidR="00A341BE">
              <w:rPr>
                <w:rFonts w:ascii="Verdana" w:hAnsi="Verdana"/>
                <w:sz w:val="16"/>
                <w:szCs w:val="16"/>
                <w:lang w:val="en-US"/>
              </w:rPr>
              <w:t>General Law of Ecological Equilibrium and Protection of the Environment</w:t>
            </w:r>
            <w:r w:rsidRPr="00356B54">
              <w:rPr>
                <w:rFonts w:ascii="Verdana" w:hAnsi="Verdana"/>
                <w:sz w:val="16"/>
                <w:szCs w:val="16"/>
                <w:lang w:val="en-US"/>
              </w:rPr>
              <w:t xml:space="preserve"> (LGEEPA), the</w:t>
            </w:r>
            <w:r w:rsidR="00A341BE">
              <w:rPr>
                <w:rFonts w:ascii="Verdana" w:hAnsi="Verdana"/>
                <w:sz w:val="16"/>
                <w:szCs w:val="16"/>
                <w:lang w:val="en-US"/>
              </w:rPr>
              <w:t xml:space="preserve"> Regulation of</w:t>
            </w:r>
            <w:r w:rsidRPr="00356B54">
              <w:rPr>
                <w:rFonts w:ascii="Verdana" w:hAnsi="Verdana"/>
                <w:sz w:val="16"/>
                <w:szCs w:val="16"/>
                <w:lang w:val="en-US"/>
              </w:rPr>
              <w:t xml:space="preserve"> LGEEPA on the Prevention and Control of Atmospheric Pollution, as well as the following are considered:</w:t>
            </w:r>
            <w:r w:rsidRPr="00356B54">
              <w:rPr>
                <w:lang w:val="en-US"/>
              </w:rPr>
              <w:t xml:space="preserve"> </w:t>
            </w:r>
          </w:p>
        </w:tc>
      </w:tr>
      <w:tr w:rsidR="008A0760" w:rsidRPr="00743A20" w14:paraId="23D02296" w14:textId="77777777" w:rsidTr="008E445B">
        <w:tc>
          <w:tcPr>
            <w:tcW w:w="4788" w:type="dxa"/>
            <w:shd w:val="clear" w:color="auto" w:fill="auto"/>
          </w:tcPr>
          <w:p w14:paraId="474D3AB3" w14:textId="77777777" w:rsidR="008A0760" w:rsidRPr="009E79D2" w:rsidRDefault="008A0760" w:rsidP="008A0760">
            <w:pPr>
              <w:pStyle w:val="Texto"/>
              <w:spacing w:line="231" w:lineRule="exact"/>
              <w:ind w:firstLine="0"/>
              <w:rPr>
                <w:rFonts w:ascii="Verdana" w:hAnsi="Verdana"/>
                <w:sz w:val="16"/>
                <w:szCs w:val="16"/>
              </w:rPr>
            </w:pPr>
            <w:r w:rsidRPr="009E79D2">
              <w:rPr>
                <w:rFonts w:ascii="Verdana" w:hAnsi="Verdana"/>
                <w:b/>
                <w:sz w:val="16"/>
                <w:szCs w:val="16"/>
              </w:rPr>
              <w:t>3.1. Año Calendario:</w:t>
            </w:r>
            <w:r w:rsidRPr="009E79D2">
              <w:rPr>
                <w:rFonts w:ascii="Verdana" w:hAnsi="Verdana"/>
                <w:sz w:val="16"/>
                <w:szCs w:val="16"/>
              </w:rPr>
              <w:t xml:space="preserve"> periodo comprendido del 1 de enero al 31 de diciembre del año calendario de fabricación del vehículo.</w:t>
            </w:r>
          </w:p>
        </w:tc>
        <w:tc>
          <w:tcPr>
            <w:tcW w:w="4788" w:type="dxa"/>
          </w:tcPr>
          <w:p w14:paraId="78D1CDC6" w14:textId="77777777" w:rsidR="008A0760" w:rsidRPr="00356B54" w:rsidRDefault="008A0760" w:rsidP="008A0760">
            <w:pPr>
              <w:spacing w:after="101" w:line="231" w:lineRule="atLeast"/>
              <w:jc w:val="both"/>
              <w:rPr>
                <w:lang w:val="en-US"/>
              </w:rPr>
            </w:pPr>
            <w:r w:rsidRPr="00356B54">
              <w:rPr>
                <w:rFonts w:ascii="Verdana" w:hAnsi="Verdana"/>
                <w:b/>
                <w:bCs/>
                <w:sz w:val="16"/>
                <w:szCs w:val="16"/>
                <w:lang w:val="en-US"/>
              </w:rPr>
              <w:t>3.1.</w:t>
            </w:r>
            <w:r w:rsidRPr="00356B54">
              <w:rPr>
                <w:lang w:val="en-US"/>
              </w:rPr>
              <w:t xml:space="preserve"> </w:t>
            </w:r>
            <w:r w:rsidRPr="00356B54">
              <w:rPr>
                <w:rFonts w:ascii="Verdana" w:hAnsi="Verdana"/>
                <w:b/>
                <w:bCs/>
                <w:sz w:val="16"/>
                <w:szCs w:val="16"/>
                <w:lang w:val="en-US"/>
              </w:rPr>
              <w:t>Calendar Year:</w:t>
            </w:r>
            <w:r w:rsidRPr="00356B54">
              <w:rPr>
                <w:lang w:val="en-US"/>
              </w:rPr>
              <w:t xml:space="preserve"> </w:t>
            </w:r>
            <w:r w:rsidRPr="00356B54">
              <w:rPr>
                <w:rFonts w:ascii="Verdana" w:hAnsi="Verdana"/>
                <w:sz w:val="16"/>
                <w:szCs w:val="16"/>
                <w:lang w:val="en-US"/>
              </w:rPr>
              <w:t>period from January 1 to December 31 of the calendar year of manufacture of the vehicle.</w:t>
            </w:r>
            <w:r w:rsidRPr="00356B54">
              <w:rPr>
                <w:lang w:val="en-US"/>
              </w:rPr>
              <w:t xml:space="preserve"> </w:t>
            </w:r>
          </w:p>
        </w:tc>
      </w:tr>
      <w:tr w:rsidR="008A0760" w:rsidRPr="00743A20" w14:paraId="576A4843" w14:textId="77777777" w:rsidTr="008E445B">
        <w:tc>
          <w:tcPr>
            <w:tcW w:w="4788" w:type="dxa"/>
            <w:shd w:val="clear" w:color="auto" w:fill="auto"/>
          </w:tcPr>
          <w:p w14:paraId="02CB9F80" w14:textId="77777777" w:rsidR="008A0760" w:rsidRPr="009E79D2" w:rsidRDefault="008A0760" w:rsidP="008A0760">
            <w:pPr>
              <w:pStyle w:val="Texto"/>
              <w:spacing w:line="231" w:lineRule="exact"/>
              <w:ind w:firstLine="0"/>
              <w:rPr>
                <w:rFonts w:ascii="Verdana" w:hAnsi="Verdana"/>
                <w:sz w:val="16"/>
                <w:szCs w:val="16"/>
              </w:rPr>
            </w:pPr>
            <w:r w:rsidRPr="009E79D2">
              <w:rPr>
                <w:rFonts w:ascii="Verdana" w:hAnsi="Verdana"/>
                <w:b/>
                <w:sz w:val="16"/>
                <w:szCs w:val="16"/>
              </w:rPr>
              <w:t>3.2. Año Modelo:</w:t>
            </w:r>
            <w:r w:rsidRPr="009E79D2">
              <w:rPr>
                <w:rFonts w:ascii="Verdana" w:hAnsi="Verdana"/>
                <w:sz w:val="16"/>
                <w:szCs w:val="16"/>
              </w:rPr>
              <w:t xml:space="preserve"> periodo comprendido entre el inicio de la producción de determinado tipo de vehículo automotor y el 31 de diciembre del año calendario con que dicho fabricante designe al modelo en cuestión.</w:t>
            </w:r>
          </w:p>
        </w:tc>
        <w:tc>
          <w:tcPr>
            <w:tcW w:w="4788" w:type="dxa"/>
          </w:tcPr>
          <w:p w14:paraId="58B29E28" w14:textId="77777777" w:rsidR="008A0760" w:rsidRPr="00356B54" w:rsidRDefault="008A0760" w:rsidP="008A0760">
            <w:pPr>
              <w:spacing w:after="101" w:line="231" w:lineRule="atLeast"/>
              <w:jc w:val="both"/>
              <w:rPr>
                <w:lang w:val="en-US"/>
              </w:rPr>
            </w:pPr>
            <w:r w:rsidRPr="00356B54">
              <w:rPr>
                <w:rFonts w:ascii="Verdana" w:hAnsi="Verdana"/>
                <w:b/>
                <w:bCs/>
                <w:sz w:val="16"/>
                <w:szCs w:val="16"/>
                <w:lang w:val="en-US"/>
              </w:rPr>
              <w:t>3.2.</w:t>
            </w:r>
            <w:r w:rsidRPr="00356B54">
              <w:rPr>
                <w:lang w:val="en-US"/>
              </w:rPr>
              <w:t xml:space="preserve"> </w:t>
            </w:r>
            <w:r w:rsidRPr="00356B54">
              <w:rPr>
                <w:rFonts w:ascii="Verdana" w:hAnsi="Verdana"/>
                <w:b/>
                <w:bCs/>
                <w:sz w:val="16"/>
                <w:szCs w:val="16"/>
                <w:lang w:val="en-US"/>
              </w:rPr>
              <w:t>Model year:</w:t>
            </w:r>
            <w:r w:rsidRPr="00356B54">
              <w:rPr>
                <w:lang w:val="en-US"/>
              </w:rPr>
              <w:t xml:space="preserve"> </w:t>
            </w:r>
            <w:r w:rsidRPr="00356B54">
              <w:rPr>
                <w:rFonts w:ascii="Verdana" w:hAnsi="Verdana"/>
                <w:sz w:val="16"/>
                <w:szCs w:val="16"/>
                <w:lang w:val="en-US"/>
              </w:rPr>
              <w:t>period between the start of the production of a certain type of motor vehicle and December 31 of the calendar year with which said manufacturer designates the model in question.</w:t>
            </w:r>
            <w:r w:rsidRPr="00356B54">
              <w:rPr>
                <w:lang w:val="en-US"/>
              </w:rPr>
              <w:t xml:space="preserve"> </w:t>
            </w:r>
          </w:p>
        </w:tc>
      </w:tr>
      <w:tr w:rsidR="008A0760" w:rsidRPr="00743A20" w14:paraId="5A1202A7" w14:textId="77777777" w:rsidTr="008E445B">
        <w:tc>
          <w:tcPr>
            <w:tcW w:w="4788" w:type="dxa"/>
            <w:shd w:val="clear" w:color="auto" w:fill="auto"/>
          </w:tcPr>
          <w:p w14:paraId="23631A1E" w14:textId="77777777" w:rsidR="008A0760" w:rsidRPr="009E79D2" w:rsidRDefault="008A0760" w:rsidP="008A0760">
            <w:pPr>
              <w:pStyle w:val="Texto"/>
              <w:spacing w:line="231" w:lineRule="exact"/>
              <w:ind w:firstLine="0"/>
              <w:rPr>
                <w:rFonts w:ascii="Verdana" w:hAnsi="Verdana"/>
                <w:sz w:val="16"/>
                <w:szCs w:val="16"/>
              </w:rPr>
            </w:pPr>
            <w:r w:rsidRPr="009E79D2">
              <w:rPr>
                <w:rFonts w:ascii="Verdana" w:hAnsi="Verdana"/>
                <w:b/>
                <w:sz w:val="16"/>
                <w:szCs w:val="16"/>
              </w:rPr>
              <w:t xml:space="preserve">3.3. Cárter del motor: </w:t>
            </w:r>
            <w:r w:rsidRPr="009E79D2">
              <w:rPr>
                <w:rFonts w:ascii="Verdana" w:hAnsi="Verdana"/>
                <w:sz w:val="16"/>
                <w:szCs w:val="16"/>
              </w:rPr>
              <w:t>los espacios existentes dentro o fuera del motor que están unidos al colector del aceite lubricante por conductos internos o externos por los que pueden escapar los gases y vapores.</w:t>
            </w:r>
          </w:p>
        </w:tc>
        <w:tc>
          <w:tcPr>
            <w:tcW w:w="4788" w:type="dxa"/>
          </w:tcPr>
          <w:p w14:paraId="2BEDBA54" w14:textId="77777777" w:rsidR="008A0760" w:rsidRPr="00356B54" w:rsidRDefault="008A0760" w:rsidP="008A0760">
            <w:pPr>
              <w:spacing w:after="101" w:line="231" w:lineRule="atLeast"/>
              <w:jc w:val="both"/>
              <w:rPr>
                <w:lang w:val="en-US"/>
              </w:rPr>
            </w:pPr>
            <w:r w:rsidRPr="00356B54">
              <w:rPr>
                <w:rFonts w:ascii="Verdana" w:hAnsi="Verdana"/>
                <w:b/>
                <w:bCs/>
                <w:sz w:val="16"/>
                <w:szCs w:val="16"/>
                <w:lang w:val="en-US"/>
              </w:rPr>
              <w:t>3.3.</w:t>
            </w:r>
            <w:r w:rsidRPr="00356B54">
              <w:rPr>
                <w:lang w:val="en-US"/>
              </w:rPr>
              <w:t xml:space="preserve"> </w:t>
            </w:r>
            <w:r w:rsidRPr="00356B54">
              <w:rPr>
                <w:rFonts w:ascii="Verdana" w:hAnsi="Verdana"/>
                <w:b/>
                <w:bCs/>
                <w:sz w:val="16"/>
                <w:szCs w:val="16"/>
                <w:lang w:val="en-US"/>
              </w:rPr>
              <w:t>Crankcase:</w:t>
            </w:r>
            <w:r w:rsidRPr="00356B54">
              <w:rPr>
                <w:lang w:val="en-US"/>
              </w:rPr>
              <w:t xml:space="preserve"> </w:t>
            </w:r>
            <w:r w:rsidRPr="00356B54">
              <w:rPr>
                <w:rFonts w:ascii="Verdana" w:hAnsi="Verdana"/>
                <w:sz w:val="16"/>
                <w:szCs w:val="16"/>
                <w:lang w:val="en-US"/>
              </w:rPr>
              <w:t>the spaces inside or outside the engine that are attached to the lubricant oil collector by internal or external conduits through which gases and vapors can escape.</w:t>
            </w:r>
            <w:r w:rsidRPr="00356B54">
              <w:rPr>
                <w:lang w:val="en-US"/>
              </w:rPr>
              <w:t xml:space="preserve"> </w:t>
            </w:r>
          </w:p>
        </w:tc>
      </w:tr>
      <w:tr w:rsidR="008A0760" w:rsidRPr="00743A20" w14:paraId="6C90A043" w14:textId="77777777" w:rsidTr="008E445B">
        <w:tc>
          <w:tcPr>
            <w:tcW w:w="4788" w:type="dxa"/>
            <w:shd w:val="clear" w:color="auto" w:fill="auto"/>
          </w:tcPr>
          <w:p w14:paraId="7FFCAE36" w14:textId="77777777" w:rsidR="008A0760" w:rsidRPr="009E79D2" w:rsidRDefault="008A0760" w:rsidP="008A0760">
            <w:pPr>
              <w:pStyle w:val="Texto"/>
              <w:spacing w:line="231" w:lineRule="exact"/>
              <w:ind w:firstLine="0"/>
              <w:rPr>
                <w:rFonts w:ascii="Verdana" w:hAnsi="Verdana"/>
                <w:sz w:val="16"/>
                <w:szCs w:val="16"/>
              </w:rPr>
            </w:pPr>
            <w:r w:rsidRPr="009E79D2">
              <w:rPr>
                <w:rFonts w:ascii="Verdana" w:hAnsi="Verdana"/>
                <w:b/>
                <w:sz w:val="16"/>
                <w:szCs w:val="16"/>
              </w:rPr>
              <w:t xml:space="preserve">3.4. Certificado NOM: </w:t>
            </w:r>
            <w:r w:rsidRPr="009E79D2">
              <w:rPr>
                <w:rFonts w:ascii="Verdana" w:hAnsi="Verdana"/>
                <w:sz w:val="16"/>
                <w:szCs w:val="16"/>
              </w:rPr>
              <w:t>es un documento que expide la PROFEPA de validez oficial por medio del cual se hace constar que los motores nuevos a diésel y los vehículos automotores nuevos equipados con motor nuevo</w:t>
            </w:r>
            <w:r w:rsidRPr="009E79D2">
              <w:rPr>
                <w:rFonts w:ascii="Verdana" w:hAnsi="Verdana"/>
                <w:b/>
                <w:sz w:val="16"/>
                <w:szCs w:val="16"/>
              </w:rPr>
              <w:t xml:space="preserve"> </w:t>
            </w:r>
            <w:r w:rsidRPr="009E79D2">
              <w:rPr>
                <w:rFonts w:ascii="Verdana" w:hAnsi="Verdana"/>
                <w:sz w:val="16"/>
                <w:szCs w:val="16"/>
              </w:rPr>
              <w:t>a diésel con peso bruto vehicular mayor a 3,857 kilogramos, que la industria automotriz fabrica e importa para su comercialización en el territorio nacional cumplen con los límites máximos permisibles señalados en la presente norma oficial mexicana.</w:t>
            </w:r>
          </w:p>
        </w:tc>
        <w:tc>
          <w:tcPr>
            <w:tcW w:w="4788" w:type="dxa"/>
          </w:tcPr>
          <w:p w14:paraId="1BB43CE3" w14:textId="77777777" w:rsidR="008A0760" w:rsidRPr="00356B54" w:rsidRDefault="008A0760" w:rsidP="008A0760">
            <w:pPr>
              <w:spacing w:after="101" w:line="231" w:lineRule="atLeast"/>
              <w:jc w:val="both"/>
              <w:rPr>
                <w:lang w:val="en-US"/>
              </w:rPr>
            </w:pPr>
            <w:r w:rsidRPr="00356B54">
              <w:rPr>
                <w:rFonts w:ascii="Verdana" w:hAnsi="Verdana"/>
                <w:b/>
                <w:bCs/>
                <w:sz w:val="16"/>
                <w:szCs w:val="16"/>
                <w:lang w:val="en-US"/>
              </w:rPr>
              <w:t>3.4.</w:t>
            </w:r>
            <w:r w:rsidRPr="00356B54">
              <w:rPr>
                <w:lang w:val="en-US"/>
              </w:rPr>
              <w:t xml:space="preserve"> </w:t>
            </w:r>
            <w:r w:rsidRPr="00356B54">
              <w:rPr>
                <w:rFonts w:ascii="Verdana" w:hAnsi="Verdana"/>
                <w:b/>
                <w:bCs/>
                <w:sz w:val="16"/>
                <w:szCs w:val="16"/>
                <w:lang w:val="en-US"/>
              </w:rPr>
              <w:t>NOM Certificate:</w:t>
            </w:r>
            <w:r w:rsidRPr="00356B54">
              <w:rPr>
                <w:lang w:val="en-US"/>
              </w:rPr>
              <w:t xml:space="preserve"> </w:t>
            </w:r>
            <w:r w:rsidRPr="00356B54">
              <w:rPr>
                <w:rFonts w:ascii="Verdana" w:hAnsi="Verdana"/>
                <w:sz w:val="16"/>
                <w:szCs w:val="16"/>
                <w:lang w:val="en-US"/>
              </w:rPr>
              <w:t xml:space="preserve">is a document issued by the PROFEPA </w:t>
            </w:r>
            <w:r w:rsidR="00A341BE">
              <w:rPr>
                <w:rFonts w:ascii="Verdana" w:hAnsi="Verdana"/>
                <w:sz w:val="16"/>
                <w:szCs w:val="16"/>
                <w:lang w:val="en-US"/>
              </w:rPr>
              <w:t>with</w:t>
            </w:r>
            <w:r w:rsidRPr="00356B54">
              <w:rPr>
                <w:rFonts w:ascii="Verdana" w:hAnsi="Verdana"/>
                <w:sz w:val="16"/>
                <w:szCs w:val="16"/>
                <w:lang w:val="en-US"/>
              </w:rPr>
              <w:t xml:space="preserve"> official validity by means of which it is stated that new diesel engines and new motor vehicles equipped with a new engine</w:t>
            </w:r>
            <w:r w:rsidRPr="00356B54">
              <w:rPr>
                <w:lang w:val="en-US"/>
              </w:rPr>
              <w:t xml:space="preserve"> </w:t>
            </w:r>
            <w:r w:rsidRPr="00356B54">
              <w:rPr>
                <w:rFonts w:ascii="Verdana" w:hAnsi="Verdana"/>
                <w:sz w:val="16"/>
                <w:szCs w:val="16"/>
                <w:lang w:val="en-US"/>
              </w:rPr>
              <w:t xml:space="preserve">to diesel with gross vehicle weight greater than 3,857 kilograms, which the automotive industry manufactures and imports for commercialization in the national territory comply with the maximum permissible limits indicated in this </w:t>
            </w:r>
            <w:r w:rsidR="001F59CA">
              <w:rPr>
                <w:rFonts w:ascii="Verdana" w:hAnsi="Verdana"/>
                <w:sz w:val="16"/>
                <w:szCs w:val="16"/>
                <w:lang w:val="en-US"/>
              </w:rPr>
              <w:t>Official Mexican Standard</w:t>
            </w:r>
            <w:r w:rsidRPr="00356B54">
              <w:rPr>
                <w:rFonts w:ascii="Verdana" w:hAnsi="Verdana"/>
                <w:sz w:val="16"/>
                <w:szCs w:val="16"/>
                <w:lang w:val="en-US"/>
              </w:rPr>
              <w:t>.</w:t>
            </w:r>
            <w:r w:rsidRPr="00356B54">
              <w:rPr>
                <w:lang w:val="en-US"/>
              </w:rPr>
              <w:t xml:space="preserve"> </w:t>
            </w:r>
          </w:p>
        </w:tc>
      </w:tr>
      <w:tr w:rsidR="008A0760" w:rsidRPr="00743A20" w14:paraId="466583F4" w14:textId="77777777" w:rsidTr="008E445B">
        <w:tc>
          <w:tcPr>
            <w:tcW w:w="4788" w:type="dxa"/>
            <w:shd w:val="clear" w:color="auto" w:fill="auto"/>
          </w:tcPr>
          <w:p w14:paraId="03611557" w14:textId="77777777" w:rsidR="008A0760" w:rsidRPr="009E79D2" w:rsidRDefault="008A0760" w:rsidP="008A0760">
            <w:pPr>
              <w:pStyle w:val="Texto"/>
              <w:spacing w:line="230" w:lineRule="exact"/>
              <w:ind w:firstLine="0"/>
              <w:rPr>
                <w:rFonts w:ascii="Verdana" w:hAnsi="Verdana"/>
                <w:sz w:val="16"/>
                <w:szCs w:val="16"/>
              </w:rPr>
            </w:pPr>
            <w:r w:rsidRPr="009E79D2">
              <w:rPr>
                <w:rFonts w:ascii="Verdana" w:hAnsi="Verdana"/>
                <w:b/>
                <w:sz w:val="16"/>
                <w:szCs w:val="16"/>
              </w:rPr>
              <w:t xml:space="preserve">3.5. Ciclo en Ciudad FTP (FTP 75): </w:t>
            </w:r>
            <w:r w:rsidRPr="009E79D2">
              <w:rPr>
                <w:rFonts w:ascii="Verdana" w:hAnsi="Verdana"/>
                <w:sz w:val="16"/>
                <w:szCs w:val="16"/>
              </w:rPr>
              <w:t>ciclo de prueba consistente en tres fases, en donde se simula en un dinamómetro de chasis la operación del vehículo bajo condiciones de manejo urbano. Las fases son la de arranque en frío, la transitoria y la última de arranque en caliente.</w:t>
            </w:r>
          </w:p>
        </w:tc>
        <w:tc>
          <w:tcPr>
            <w:tcW w:w="4788" w:type="dxa"/>
          </w:tcPr>
          <w:p w14:paraId="3E7C6CC4" w14:textId="77777777" w:rsidR="008A0760" w:rsidRPr="00356B54" w:rsidRDefault="008A0760" w:rsidP="008A0760">
            <w:pPr>
              <w:spacing w:after="101" w:line="230" w:lineRule="atLeast"/>
              <w:jc w:val="both"/>
              <w:rPr>
                <w:lang w:val="en-US"/>
              </w:rPr>
            </w:pPr>
            <w:r w:rsidRPr="00356B54">
              <w:rPr>
                <w:rFonts w:ascii="Verdana" w:hAnsi="Verdana"/>
                <w:b/>
                <w:bCs/>
                <w:sz w:val="16"/>
                <w:szCs w:val="16"/>
                <w:lang w:val="en-US"/>
              </w:rPr>
              <w:t>3.5.</w:t>
            </w:r>
            <w:r w:rsidRPr="00356B54">
              <w:rPr>
                <w:lang w:val="en-US"/>
              </w:rPr>
              <w:t xml:space="preserve"> </w:t>
            </w:r>
            <w:r w:rsidR="00A341BE">
              <w:rPr>
                <w:rFonts w:ascii="Verdana" w:hAnsi="Verdana"/>
                <w:b/>
                <w:bCs/>
                <w:sz w:val="16"/>
                <w:szCs w:val="16"/>
                <w:lang w:val="en-US"/>
              </w:rPr>
              <w:t>City Driving Cycle</w:t>
            </w:r>
            <w:r w:rsidRPr="00356B54">
              <w:rPr>
                <w:rFonts w:ascii="Verdana" w:hAnsi="Verdana"/>
                <w:b/>
                <w:bCs/>
                <w:sz w:val="16"/>
                <w:szCs w:val="16"/>
                <w:lang w:val="en-US"/>
              </w:rPr>
              <w:t xml:space="preserve"> </w:t>
            </w:r>
            <w:r w:rsidR="00A341BE" w:rsidRPr="00356B54">
              <w:rPr>
                <w:rFonts w:ascii="Verdana" w:hAnsi="Verdana"/>
                <w:b/>
                <w:bCs/>
                <w:sz w:val="16"/>
                <w:szCs w:val="16"/>
                <w:lang w:val="en-US"/>
              </w:rPr>
              <w:t xml:space="preserve">FTP </w:t>
            </w:r>
            <w:r w:rsidRPr="00356B54">
              <w:rPr>
                <w:rFonts w:ascii="Verdana" w:hAnsi="Verdana"/>
                <w:b/>
                <w:bCs/>
                <w:sz w:val="16"/>
                <w:szCs w:val="16"/>
                <w:lang w:val="en-US"/>
              </w:rPr>
              <w:t>(FTP 75):</w:t>
            </w:r>
            <w:r w:rsidRPr="00356B54">
              <w:rPr>
                <w:lang w:val="en-US"/>
              </w:rPr>
              <w:t xml:space="preserve"> </w:t>
            </w:r>
            <w:r w:rsidRPr="00356B54">
              <w:rPr>
                <w:rFonts w:ascii="Verdana" w:hAnsi="Verdana"/>
                <w:sz w:val="16"/>
                <w:szCs w:val="16"/>
                <w:lang w:val="en-US"/>
              </w:rPr>
              <w:t>test cycle consisting of three phases, where the operation of the vehicle under urban driving conditions is simulated in a chassis dynamometer.</w:t>
            </w:r>
            <w:r w:rsidRPr="00356B54">
              <w:rPr>
                <w:lang w:val="en-US"/>
              </w:rPr>
              <w:t xml:space="preserve"> </w:t>
            </w:r>
            <w:r w:rsidRPr="00356B54">
              <w:rPr>
                <w:rFonts w:ascii="Verdana" w:hAnsi="Verdana"/>
                <w:sz w:val="16"/>
                <w:szCs w:val="16"/>
                <w:lang w:val="en-US"/>
              </w:rPr>
              <w:t>The phases are the cold start, the trans</w:t>
            </w:r>
            <w:r w:rsidR="00141651">
              <w:rPr>
                <w:rFonts w:ascii="Verdana" w:hAnsi="Verdana"/>
                <w:sz w:val="16"/>
                <w:szCs w:val="16"/>
                <w:lang w:val="en-US"/>
              </w:rPr>
              <w:t>ient</w:t>
            </w:r>
            <w:r w:rsidRPr="00356B54">
              <w:rPr>
                <w:rFonts w:ascii="Verdana" w:hAnsi="Verdana"/>
                <w:sz w:val="16"/>
                <w:szCs w:val="16"/>
                <w:lang w:val="en-US"/>
              </w:rPr>
              <w:t xml:space="preserve"> and the last hot start.</w:t>
            </w:r>
            <w:r w:rsidRPr="00356B54">
              <w:rPr>
                <w:lang w:val="en-US"/>
              </w:rPr>
              <w:t xml:space="preserve"> </w:t>
            </w:r>
          </w:p>
        </w:tc>
      </w:tr>
      <w:tr w:rsidR="008A0760" w:rsidRPr="00743A20" w14:paraId="4127B41C" w14:textId="77777777" w:rsidTr="008E445B">
        <w:tc>
          <w:tcPr>
            <w:tcW w:w="4788" w:type="dxa"/>
            <w:shd w:val="clear" w:color="auto" w:fill="auto"/>
          </w:tcPr>
          <w:p w14:paraId="3F83FEEF" w14:textId="77777777" w:rsidR="008A0760" w:rsidRPr="009E79D2" w:rsidRDefault="008A0760" w:rsidP="008A0760">
            <w:pPr>
              <w:pStyle w:val="Texto"/>
              <w:spacing w:line="230" w:lineRule="exact"/>
              <w:ind w:firstLine="0"/>
              <w:rPr>
                <w:rFonts w:ascii="Verdana" w:hAnsi="Verdana"/>
                <w:sz w:val="16"/>
                <w:szCs w:val="16"/>
              </w:rPr>
            </w:pPr>
            <w:r w:rsidRPr="009E79D2">
              <w:rPr>
                <w:rFonts w:ascii="Verdana" w:hAnsi="Verdana"/>
                <w:b/>
                <w:sz w:val="16"/>
                <w:szCs w:val="16"/>
              </w:rPr>
              <w:t>3.6. Ciclo Estado Estable Mundial Armonizado de Prueba (CEEMAP):</w:t>
            </w:r>
            <w:r w:rsidRPr="009E79D2">
              <w:rPr>
                <w:rFonts w:ascii="Verdana" w:hAnsi="Verdana"/>
                <w:sz w:val="16"/>
                <w:szCs w:val="16"/>
              </w:rPr>
              <w:t xml:space="preserve"> ciclo de pruebas en dinamómetro de estado estable incremental para motores, consistente de una secuencia de modos de prueba de estado estable con 13 modos de velocidad del motor y torque que se convierten en los valores de referencia del motor correspondiente que se someta a ensayo, y </w:t>
            </w:r>
            <w:r w:rsidRPr="009E79D2">
              <w:rPr>
                <w:rFonts w:ascii="Verdana" w:hAnsi="Verdana"/>
                <w:sz w:val="16"/>
                <w:szCs w:val="16"/>
              </w:rPr>
              <w:lastRenderedPageBreak/>
              <w:t>con cambios incrementales entre modos también predefinidos.</w:t>
            </w:r>
          </w:p>
        </w:tc>
        <w:tc>
          <w:tcPr>
            <w:tcW w:w="4788" w:type="dxa"/>
          </w:tcPr>
          <w:p w14:paraId="45D7E1C1" w14:textId="77777777" w:rsidR="008A0760" w:rsidRDefault="008A0760" w:rsidP="008A0760">
            <w:pPr>
              <w:spacing w:after="101" w:line="230" w:lineRule="atLeast"/>
              <w:jc w:val="both"/>
              <w:rPr>
                <w:lang w:val="en-US"/>
              </w:rPr>
            </w:pPr>
            <w:r w:rsidRPr="00356B54">
              <w:rPr>
                <w:rFonts w:ascii="Verdana" w:hAnsi="Verdana"/>
                <w:b/>
                <w:bCs/>
                <w:sz w:val="16"/>
                <w:szCs w:val="16"/>
                <w:lang w:val="en-US"/>
              </w:rPr>
              <w:lastRenderedPageBreak/>
              <w:t>3.6.</w:t>
            </w:r>
            <w:r w:rsidRPr="00356B54">
              <w:rPr>
                <w:lang w:val="en-US"/>
              </w:rPr>
              <w:t xml:space="preserve"> </w:t>
            </w:r>
            <w:r w:rsidR="00141651">
              <w:rPr>
                <w:rFonts w:ascii="Verdana" w:hAnsi="Verdana"/>
                <w:b/>
                <w:bCs/>
                <w:sz w:val="16"/>
                <w:szCs w:val="16"/>
                <w:lang w:val="en-US"/>
              </w:rPr>
              <w:t>Steady</w:t>
            </w:r>
            <w:r w:rsidRPr="00356B54">
              <w:rPr>
                <w:rFonts w:ascii="Verdana" w:hAnsi="Verdana"/>
                <w:b/>
                <w:bCs/>
                <w:sz w:val="16"/>
                <w:szCs w:val="16"/>
                <w:lang w:val="en-US"/>
              </w:rPr>
              <w:t xml:space="preserve"> State </w:t>
            </w:r>
            <w:r w:rsidR="00141651" w:rsidRPr="00141651">
              <w:rPr>
                <w:rFonts w:ascii="Verdana" w:hAnsi="Verdana"/>
                <w:b/>
                <w:bCs/>
                <w:sz w:val="16"/>
                <w:szCs w:val="16"/>
                <w:lang w:val="en-US"/>
              </w:rPr>
              <w:t>World Harmonized Stationary Cycle (WHSC)</w:t>
            </w:r>
            <w:r w:rsidR="00141651">
              <w:rPr>
                <w:rFonts w:ascii="Verdana" w:hAnsi="Verdana"/>
                <w:b/>
                <w:bCs/>
                <w:sz w:val="16"/>
                <w:szCs w:val="16"/>
                <w:lang w:val="en-US"/>
              </w:rPr>
              <w:t xml:space="preserve">: </w:t>
            </w:r>
            <w:r w:rsidRPr="00356B54">
              <w:rPr>
                <w:rFonts w:ascii="Verdana" w:hAnsi="Verdana"/>
                <w:sz w:val="16"/>
                <w:szCs w:val="16"/>
                <w:lang w:val="en-US"/>
              </w:rPr>
              <w:t xml:space="preserve">test cycle in incremental steady-state dynamometer for engines, consisting of a sequence of stable-state test modes with 13 engine speed and torque modes that become the values </w:t>
            </w:r>
            <w:r w:rsidRPr="00356B54">
              <w:rPr>
                <w:rFonts w:ascii="Arial" w:hAnsi="Arial" w:cs="Arial"/>
                <w:sz w:val="16"/>
                <w:szCs w:val="16"/>
                <w:lang w:val="en-US"/>
              </w:rPr>
              <w:t>​​</w:t>
            </w:r>
            <w:r w:rsidRPr="00356B54">
              <w:rPr>
                <w:rFonts w:ascii="Verdana" w:hAnsi="Verdana"/>
                <w:sz w:val="16"/>
                <w:szCs w:val="16"/>
                <w:lang w:val="en-US"/>
              </w:rPr>
              <w:t>of reference of the corresponding engine to be tested, and with incremental changes between modes also predefined.</w:t>
            </w:r>
            <w:r w:rsidRPr="00356B54">
              <w:rPr>
                <w:lang w:val="en-US"/>
              </w:rPr>
              <w:t xml:space="preserve"> </w:t>
            </w:r>
          </w:p>
          <w:p w14:paraId="05FC752B" w14:textId="77777777" w:rsidR="00141651" w:rsidRPr="00356B54" w:rsidRDefault="00141651" w:rsidP="008A0760">
            <w:pPr>
              <w:spacing w:after="101" w:line="230" w:lineRule="atLeast"/>
              <w:jc w:val="both"/>
              <w:rPr>
                <w:lang w:val="en-US"/>
              </w:rPr>
            </w:pPr>
          </w:p>
        </w:tc>
      </w:tr>
      <w:tr w:rsidR="008A0760" w:rsidRPr="00743A20" w14:paraId="11109802" w14:textId="77777777" w:rsidTr="008E445B">
        <w:tc>
          <w:tcPr>
            <w:tcW w:w="4788" w:type="dxa"/>
            <w:shd w:val="clear" w:color="auto" w:fill="auto"/>
          </w:tcPr>
          <w:p w14:paraId="2B356692" w14:textId="77777777" w:rsidR="008A0760" w:rsidRPr="009E79D2" w:rsidRDefault="008A0760" w:rsidP="008A0760">
            <w:pPr>
              <w:pStyle w:val="Texto"/>
              <w:spacing w:line="230" w:lineRule="exact"/>
              <w:ind w:firstLine="0"/>
              <w:rPr>
                <w:rFonts w:ascii="Verdana" w:hAnsi="Verdana"/>
                <w:sz w:val="16"/>
                <w:szCs w:val="16"/>
              </w:rPr>
            </w:pPr>
            <w:r w:rsidRPr="009E79D2">
              <w:rPr>
                <w:rFonts w:ascii="Verdana" w:hAnsi="Verdana"/>
                <w:b/>
                <w:sz w:val="16"/>
                <w:szCs w:val="16"/>
              </w:rPr>
              <w:lastRenderedPageBreak/>
              <w:t xml:space="preserve">3.7. Ciclo Estado Transitorio Mundial Armonizado de Prueba (CETMAP): </w:t>
            </w:r>
            <w:r w:rsidRPr="009E79D2">
              <w:rPr>
                <w:rFonts w:ascii="Verdana" w:hAnsi="Verdana"/>
                <w:sz w:val="16"/>
                <w:szCs w:val="16"/>
              </w:rPr>
              <w:t>ciclo de pruebas en dinamómetro de estado transitorio para motores, el cual se define como una secuencia segundo a segundo de valores de velocidad del motor y torque normalizados. A efectos de la realización del ensayo en una celda de ensayo del motor, los valores normalizados se convertirán en valores absolutos efectivos para el motor que se esté probando.</w:t>
            </w:r>
          </w:p>
        </w:tc>
        <w:tc>
          <w:tcPr>
            <w:tcW w:w="4788" w:type="dxa"/>
          </w:tcPr>
          <w:p w14:paraId="3AACC50F" w14:textId="77777777" w:rsidR="008A0760" w:rsidRPr="00356B54" w:rsidRDefault="008A0760" w:rsidP="008A0760">
            <w:pPr>
              <w:spacing w:after="101" w:line="230" w:lineRule="atLeast"/>
              <w:jc w:val="both"/>
              <w:rPr>
                <w:lang w:val="en-US"/>
              </w:rPr>
            </w:pPr>
            <w:r w:rsidRPr="00356B54">
              <w:rPr>
                <w:rFonts w:ascii="Verdana" w:hAnsi="Verdana"/>
                <w:b/>
                <w:bCs/>
                <w:sz w:val="16"/>
                <w:szCs w:val="16"/>
                <w:lang w:val="en-US"/>
              </w:rPr>
              <w:t>3.7.</w:t>
            </w:r>
            <w:r w:rsidRPr="00356B54">
              <w:rPr>
                <w:lang w:val="en-US"/>
              </w:rPr>
              <w:t xml:space="preserve"> </w:t>
            </w:r>
            <w:r w:rsidR="00141651" w:rsidRPr="00141651">
              <w:rPr>
                <w:rFonts w:ascii="Verdana" w:hAnsi="Verdana"/>
                <w:b/>
                <w:sz w:val="16"/>
                <w:szCs w:val="16"/>
                <w:lang w:val="en-US"/>
              </w:rPr>
              <w:t>Steady State</w:t>
            </w:r>
            <w:r w:rsidR="00141651">
              <w:rPr>
                <w:lang w:val="en-US"/>
              </w:rPr>
              <w:t xml:space="preserve"> </w:t>
            </w:r>
            <w:r w:rsidR="00141651" w:rsidRPr="00141651">
              <w:rPr>
                <w:rFonts w:ascii="Verdana" w:hAnsi="Verdana"/>
                <w:b/>
                <w:bCs/>
                <w:sz w:val="16"/>
                <w:szCs w:val="16"/>
                <w:lang w:val="en-US"/>
              </w:rPr>
              <w:t>World Harmonized Transient Cycle (WHTC)</w:t>
            </w:r>
            <w:r w:rsidR="00141651">
              <w:rPr>
                <w:rFonts w:ascii="Verdana" w:hAnsi="Verdana"/>
                <w:b/>
                <w:bCs/>
                <w:sz w:val="16"/>
                <w:szCs w:val="16"/>
                <w:lang w:val="en-US"/>
              </w:rPr>
              <w:t xml:space="preserve">: </w:t>
            </w:r>
            <w:r w:rsidRPr="00356B54">
              <w:rPr>
                <w:rFonts w:ascii="Verdana" w:hAnsi="Verdana"/>
                <w:sz w:val="16"/>
                <w:szCs w:val="16"/>
                <w:lang w:val="en-US"/>
              </w:rPr>
              <w:t>cycle of tests in transient state dynamometer for motors, which is defined as a</w:t>
            </w:r>
            <w:r w:rsidRPr="00356B54">
              <w:rPr>
                <w:lang w:val="en-US"/>
              </w:rPr>
              <w:t xml:space="preserve"> </w:t>
            </w:r>
            <w:r w:rsidRPr="00356B54">
              <w:rPr>
                <w:rFonts w:ascii="Verdana" w:hAnsi="Verdana"/>
                <w:sz w:val="16"/>
                <w:szCs w:val="16"/>
                <w:lang w:val="en-US"/>
              </w:rPr>
              <w:t>second</w:t>
            </w:r>
            <w:r w:rsidRPr="00356B54">
              <w:rPr>
                <w:lang w:val="en-US"/>
              </w:rPr>
              <w:t xml:space="preserve"> </w:t>
            </w:r>
            <w:r w:rsidRPr="00356B54">
              <w:rPr>
                <w:rFonts w:ascii="Verdana" w:hAnsi="Verdana"/>
                <w:sz w:val="16"/>
                <w:szCs w:val="16"/>
                <w:lang w:val="en-US"/>
              </w:rPr>
              <w:t>to second</w:t>
            </w:r>
            <w:r w:rsidRPr="00356B54">
              <w:rPr>
                <w:lang w:val="en-US"/>
              </w:rPr>
              <w:t xml:space="preserve"> </w:t>
            </w:r>
            <w:r w:rsidRPr="00356B54">
              <w:rPr>
                <w:rFonts w:ascii="Verdana" w:hAnsi="Verdana"/>
                <w:sz w:val="16"/>
                <w:szCs w:val="16"/>
                <w:lang w:val="en-US"/>
              </w:rPr>
              <w:t>sequence</w:t>
            </w:r>
            <w:r w:rsidRPr="00356B54">
              <w:rPr>
                <w:lang w:val="en-US"/>
              </w:rPr>
              <w:t xml:space="preserve"> </w:t>
            </w:r>
            <w:r w:rsidRPr="00356B54">
              <w:rPr>
                <w:rFonts w:ascii="Verdana" w:hAnsi="Verdana"/>
                <w:sz w:val="16"/>
                <w:szCs w:val="16"/>
                <w:lang w:val="en-US"/>
              </w:rPr>
              <w:t>of</w:t>
            </w:r>
            <w:r w:rsidRPr="00356B54">
              <w:rPr>
                <w:lang w:val="en-US"/>
              </w:rPr>
              <w:t xml:space="preserve"> </w:t>
            </w:r>
            <w:r w:rsidRPr="00356B54">
              <w:rPr>
                <w:rFonts w:ascii="Verdana" w:hAnsi="Verdana"/>
                <w:sz w:val="16"/>
                <w:szCs w:val="16"/>
                <w:lang w:val="en-US"/>
              </w:rPr>
              <w:t>standardized motor speed and torque values.</w:t>
            </w:r>
            <w:r w:rsidRPr="00356B54">
              <w:rPr>
                <w:lang w:val="en-US"/>
              </w:rPr>
              <w:t xml:space="preserve"> </w:t>
            </w:r>
            <w:r w:rsidRPr="00356B54">
              <w:rPr>
                <w:rFonts w:ascii="Verdana" w:hAnsi="Verdana"/>
                <w:sz w:val="16"/>
                <w:szCs w:val="16"/>
                <w:lang w:val="en-US"/>
              </w:rPr>
              <w:t xml:space="preserve">For the purpose of conducting the test in an engine test cell, the normalized values </w:t>
            </w:r>
            <w:r w:rsidRPr="00356B54">
              <w:rPr>
                <w:rFonts w:ascii="Arial" w:hAnsi="Arial" w:cs="Arial"/>
                <w:sz w:val="16"/>
                <w:szCs w:val="16"/>
                <w:lang w:val="en-US"/>
              </w:rPr>
              <w:t>​​</w:t>
            </w:r>
            <w:r w:rsidRPr="00356B54">
              <w:rPr>
                <w:rFonts w:ascii="Verdana" w:hAnsi="Verdana"/>
                <w:sz w:val="16"/>
                <w:szCs w:val="16"/>
                <w:lang w:val="en-US"/>
              </w:rPr>
              <w:t xml:space="preserve">shall be converted into absolute values </w:t>
            </w:r>
            <w:r w:rsidRPr="00356B54">
              <w:rPr>
                <w:rFonts w:ascii="Arial" w:hAnsi="Arial" w:cs="Arial"/>
                <w:sz w:val="16"/>
                <w:szCs w:val="16"/>
                <w:lang w:val="en-US"/>
              </w:rPr>
              <w:t>​​</w:t>
            </w:r>
            <w:r w:rsidRPr="00356B54">
              <w:rPr>
                <w:rFonts w:ascii="Verdana" w:hAnsi="Verdana"/>
                <w:sz w:val="16"/>
                <w:szCs w:val="16"/>
                <w:lang w:val="en-US"/>
              </w:rPr>
              <w:t>effective for the engine under test.</w:t>
            </w:r>
            <w:r w:rsidRPr="00356B54">
              <w:rPr>
                <w:lang w:val="en-US"/>
              </w:rPr>
              <w:t xml:space="preserve"> </w:t>
            </w:r>
          </w:p>
        </w:tc>
      </w:tr>
      <w:tr w:rsidR="008A0760" w:rsidRPr="00743A20" w14:paraId="5ECBED92" w14:textId="77777777" w:rsidTr="008E445B">
        <w:tc>
          <w:tcPr>
            <w:tcW w:w="4788" w:type="dxa"/>
            <w:shd w:val="clear" w:color="auto" w:fill="auto"/>
          </w:tcPr>
          <w:p w14:paraId="44A44A1C"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3.8.</w:t>
            </w:r>
            <w:r w:rsidRPr="009E79D2">
              <w:rPr>
                <w:rFonts w:ascii="Verdana" w:hAnsi="Verdana"/>
                <w:sz w:val="16"/>
                <w:szCs w:val="16"/>
              </w:rPr>
              <w:t xml:space="preserve"> </w:t>
            </w:r>
            <w:r w:rsidRPr="009E79D2">
              <w:rPr>
                <w:rFonts w:ascii="Verdana" w:hAnsi="Verdana"/>
                <w:b/>
                <w:sz w:val="16"/>
                <w:szCs w:val="16"/>
              </w:rPr>
              <w:t>Ciclo Europeo de Estado Continuo (CEEC):</w:t>
            </w:r>
            <w:r w:rsidRPr="009E79D2">
              <w:rPr>
                <w:rFonts w:ascii="Verdana" w:hAnsi="Verdana"/>
                <w:sz w:val="16"/>
                <w:szCs w:val="16"/>
              </w:rPr>
              <w:t xml:space="preserve"> ciclo de prueba estable de 13 modos, en las que el motor debe operar cierto tiempo en cada modo, bajo condiciones estables de velocidad y torque definidas. Cada medición en cada modo tiene un valor predefinido de peso porcentual para obtener el valor final de emisiones bajo prueba CEEC.</w:t>
            </w:r>
          </w:p>
        </w:tc>
        <w:tc>
          <w:tcPr>
            <w:tcW w:w="4788" w:type="dxa"/>
          </w:tcPr>
          <w:p w14:paraId="6DBBF5A7"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3.8.</w:t>
            </w:r>
            <w:r w:rsidRPr="00356B54">
              <w:rPr>
                <w:lang w:val="en-US"/>
              </w:rPr>
              <w:t xml:space="preserve"> </w:t>
            </w:r>
            <w:r w:rsidR="00141651" w:rsidRPr="00141651">
              <w:rPr>
                <w:rFonts w:ascii="Verdana" w:hAnsi="Verdana"/>
                <w:b/>
                <w:bCs/>
                <w:sz w:val="16"/>
                <w:szCs w:val="16"/>
                <w:lang w:val="en-US"/>
              </w:rPr>
              <w:t>European Stationary Cycle (ESC)</w:t>
            </w:r>
            <w:r w:rsidRPr="00356B54">
              <w:rPr>
                <w:rFonts w:ascii="Verdana" w:hAnsi="Verdana"/>
                <w:b/>
                <w:bCs/>
                <w:sz w:val="16"/>
                <w:szCs w:val="16"/>
                <w:lang w:val="en-US"/>
              </w:rPr>
              <w:t>:</w:t>
            </w:r>
            <w:r w:rsidRPr="00356B54">
              <w:rPr>
                <w:lang w:val="en-US"/>
              </w:rPr>
              <w:t xml:space="preserve"> </w:t>
            </w:r>
            <w:r w:rsidRPr="00356B54">
              <w:rPr>
                <w:rFonts w:ascii="Verdana" w:hAnsi="Verdana"/>
                <w:sz w:val="16"/>
                <w:szCs w:val="16"/>
                <w:lang w:val="en-US"/>
              </w:rPr>
              <w:t>stable test cycle of 13 modes, in which the motor must operate for a certain time in each mode, under stable conditions of defined speed and torque.</w:t>
            </w:r>
            <w:r w:rsidRPr="00356B54">
              <w:rPr>
                <w:lang w:val="en-US"/>
              </w:rPr>
              <w:t xml:space="preserve"> </w:t>
            </w:r>
            <w:r w:rsidRPr="00356B54">
              <w:rPr>
                <w:rFonts w:ascii="Verdana" w:hAnsi="Verdana"/>
                <w:sz w:val="16"/>
                <w:szCs w:val="16"/>
                <w:lang w:val="en-US"/>
              </w:rPr>
              <w:t>Each measurement in each mode has a predefined percentage weight value to obtain the final value of emissions under CEEC test.</w:t>
            </w:r>
            <w:r w:rsidRPr="00356B54">
              <w:rPr>
                <w:lang w:val="en-US"/>
              </w:rPr>
              <w:t xml:space="preserve"> </w:t>
            </w:r>
          </w:p>
        </w:tc>
      </w:tr>
      <w:tr w:rsidR="008A0760" w:rsidRPr="00743A20" w14:paraId="017AA3CA" w14:textId="77777777" w:rsidTr="008E445B">
        <w:tc>
          <w:tcPr>
            <w:tcW w:w="4788" w:type="dxa"/>
            <w:shd w:val="clear" w:color="auto" w:fill="auto"/>
          </w:tcPr>
          <w:p w14:paraId="5065D514"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3.9. Ciclo Europeo de Transición (CET):</w:t>
            </w:r>
            <w:r w:rsidRPr="009E79D2">
              <w:rPr>
                <w:rFonts w:ascii="Verdana" w:hAnsi="Verdana"/>
                <w:sz w:val="16"/>
                <w:szCs w:val="16"/>
              </w:rPr>
              <w:t xml:space="preserve"> ciclo de prueba secuencial de modos transitorios consistente en tres fases en donde se simula la operación del motor, bajo condiciones de manejo en ciudad a 50 km/h y paradas frecuentes, manejo en condiciones rurales con velocidad promedio de 72 km/h y manejo en carretera con velocidad promedio de 88 km/h.</w:t>
            </w:r>
          </w:p>
        </w:tc>
        <w:tc>
          <w:tcPr>
            <w:tcW w:w="4788" w:type="dxa"/>
          </w:tcPr>
          <w:p w14:paraId="6DAC2E57"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3.9.</w:t>
            </w:r>
            <w:r w:rsidRPr="00356B54">
              <w:rPr>
                <w:lang w:val="en-US"/>
              </w:rPr>
              <w:t xml:space="preserve"> </w:t>
            </w:r>
            <w:r w:rsidRPr="00356B54">
              <w:rPr>
                <w:rFonts w:ascii="Verdana" w:hAnsi="Verdana"/>
                <w:b/>
                <w:bCs/>
                <w:sz w:val="16"/>
                <w:szCs w:val="16"/>
                <w:lang w:val="en-US"/>
              </w:rPr>
              <w:t>European Transition Cycle (</w:t>
            </w:r>
            <w:r w:rsidR="00141651">
              <w:rPr>
                <w:rFonts w:ascii="Verdana" w:hAnsi="Verdana"/>
                <w:b/>
                <w:bCs/>
                <w:sz w:val="16"/>
                <w:szCs w:val="16"/>
                <w:lang w:val="en-US"/>
              </w:rPr>
              <w:t>ETC</w:t>
            </w:r>
            <w:r w:rsidRPr="00356B54">
              <w:rPr>
                <w:rFonts w:ascii="Verdana" w:hAnsi="Verdana"/>
                <w:b/>
                <w:bCs/>
                <w:sz w:val="16"/>
                <w:szCs w:val="16"/>
                <w:lang w:val="en-US"/>
              </w:rPr>
              <w:t>):</w:t>
            </w:r>
            <w:r w:rsidRPr="00356B54">
              <w:rPr>
                <w:lang w:val="en-US"/>
              </w:rPr>
              <w:t xml:space="preserve"> </w:t>
            </w:r>
            <w:r w:rsidRPr="00356B54">
              <w:rPr>
                <w:rFonts w:ascii="Verdana" w:hAnsi="Verdana"/>
                <w:sz w:val="16"/>
                <w:szCs w:val="16"/>
                <w:lang w:val="en-US"/>
              </w:rPr>
              <w:t xml:space="preserve">sequential test cycle of transient modes consisting of three phases where the engine operation is simulated, under driving conditions in the city at 50 </w:t>
            </w:r>
            <w:r w:rsidR="00141651">
              <w:rPr>
                <w:rFonts w:ascii="Verdana" w:hAnsi="Verdana"/>
                <w:sz w:val="16"/>
                <w:szCs w:val="16"/>
                <w:lang w:val="en-US"/>
              </w:rPr>
              <w:t>km/h</w:t>
            </w:r>
            <w:r w:rsidRPr="00356B54">
              <w:rPr>
                <w:rFonts w:ascii="Verdana" w:hAnsi="Verdana"/>
                <w:sz w:val="16"/>
                <w:szCs w:val="16"/>
                <w:lang w:val="en-US"/>
              </w:rPr>
              <w:t xml:space="preserve"> and frequent stops, driving in rural conditions with average speed of 72 </w:t>
            </w:r>
            <w:r w:rsidR="00141651">
              <w:rPr>
                <w:rFonts w:ascii="Verdana" w:hAnsi="Verdana"/>
                <w:sz w:val="16"/>
                <w:szCs w:val="16"/>
                <w:lang w:val="en-US"/>
              </w:rPr>
              <w:t>km/h</w:t>
            </w:r>
            <w:r w:rsidRPr="00356B54">
              <w:rPr>
                <w:rFonts w:ascii="Verdana" w:hAnsi="Verdana"/>
                <w:sz w:val="16"/>
                <w:szCs w:val="16"/>
                <w:lang w:val="en-US"/>
              </w:rPr>
              <w:t xml:space="preserve"> and road handling with an average speed of 88 </w:t>
            </w:r>
            <w:r w:rsidR="00141651">
              <w:rPr>
                <w:rFonts w:ascii="Verdana" w:hAnsi="Verdana"/>
                <w:sz w:val="16"/>
                <w:szCs w:val="16"/>
                <w:lang w:val="en-US"/>
              </w:rPr>
              <w:t>km/h</w:t>
            </w:r>
            <w:r w:rsidRPr="00356B54">
              <w:rPr>
                <w:rFonts w:ascii="Verdana" w:hAnsi="Verdana"/>
                <w:sz w:val="16"/>
                <w:szCs w:val="16"/>
                <w:lang w:val="en-US"/>
              </w:rPr>
              <w:t>.</w:t>
            </w:r>
            <w:r w:rsidRPr="00356B54">
              <w:rPr>
                <w:lang w:val="en-US"/>
              </w:rPr>
              <w:t xml:space="preserve"> </w:t>
            </w:r>
          </w:p>
        </w:tc>
      </w:tr>
      <w:tr w:rsidR="008A0760" w:rsidRPr="00743A20" w14:paraId="2BD2FC2A" w14:textId="77777777" w:rsidTr="008E445B">
        <w:tc>
          <w:tcPr>
            <w:tcW w:w="4788" w:type="dxa"/>
            <w:shd w:val="clear" w:color="auto" w:fill="auto"/>
          </w:tcPr>
          <w:p w14:paraId="58EA2A50"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3.10. Ciclo Suplementario Estable (CSE):</w:t>
            </w:r>
            <w:r w:rsidRPr="009E79D2">
              <w:rPr>
                <w:rFonts w:ascii="Verdana" w:hAnsi="Verdana"/>
                <w:sz w:val="16"/>
                <w:szCs w:val="16"/>
              </w:rPr>
              <w:t xml:space="preserve"> ciclo de prueba de 13 modos modificado en las que el motor debe operar cierto tiempo en cada modo bajo condiciones de velocidad y torque definidas. El ciclo es estado estable modal, con transiciones lineales predefinidas entre estados, o rampas, con una duración de 2,400 segundos y las emisiones son medidas continuamente, sin pesos porcentuales para obtener valores finales de emisiones.</w:t>
            </w:r>
          </w:p>
        </w:tc>
        <w:tc>
          <w:tcPr>
            <w:tcW w:w="4788" w:type="dxa"/>
          </w:tcPr>
          <w:p w14:paraId="2A66262B"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3.10.</w:t>
            </w:r>
            <w:r w:rsidRPr="00356B54">
              <w:rPr>
                <w:lang w:val="en-US"/>
              </w:rPr>
              <w:t xml:space="preserve"> </w:t>
            </w:r>
            <w:r w:rsidRPr="00356B54">
              <w:rPr>
                <w:rFonts w:ascii="Verdana" w:hAnsi="Verdana"/>
                <w:b/>
                <w:bCs/>
                <w:sz w:val="16"/>
                <w:szCs w:val="16"/>
                <w:lang w:val="en-US"/>
              </w:rPr>
              <w:t>Stable Supplementary Cycle (</w:t>
            </w:r>
            <w:r w:rsidR="00141651">
              <w:rPr>
                <w:rFonts w:ascii="Verdana" w:hAnsi="Verdana"/>
                <w:b/>
                <w:bCs/>
                <w:sz w:val="16"/>
                <w:szCs w:val="16"/>
                <w:lang w:val="en-US"/>
              </w:rPr>
              <w:t>SSC</w:t>
            </w:r>
            <w:r w:rsidRPr="00356B54">
              <w:rPr>
                <w:rFonts w:ascii="Verdana" w:hAnsi="Verdana"/>
                <w:b/>
                <w:bCs/>
                <w:sz w:val="16"/>
                <w:szCs w:val="16"/>
                <w:lang w:val="en-US"/>
              </w:rPr>
              <w:t>): a</w:t>
            </w:r>
            <w:r w:rsidRPr="00356B54">
              <w:rPr>
                <w:lang w:val="en-US"/>
              </w:rPr>
              <w:t xml:space="preserve"> </w:t>
            </w:r>
            <w:r w:rsidRPr="00356B54">
              <w:rPr>
                <w:rFonts w:ascii="Verdana" w:hAnsi="Verdana"/>
                <w:sz w:val="16"/>
                <w:szCs w:val="16"/>
                <w:lang w:val="en-US"/>
              </w:rPr>
              <w:t>modified 13-cycle test cycle in which the engine must operate for a certain time in each mode under defined speed and torque conditions.</w:t>
            </w:r>
            <w:r w:rsidRPr="00356B54">
              <w:rPr>
                <w:lang w:val="en-US"/>
              </w:rPr>
              <w:t xml:space="preserve"> </w:t>
            </w:r>
            <w:r w:rsidRPr="00356B54">
              <w:rPr>
                <w:rFonts w:ascii="Verdana" w:hAnsi="Verdana"/>
                <w:sz w:val="16"/>
                <w:szCs w:val="16"/>
                <w:lang w:val="en-US"/>
              </w:rPr>
              <w:t>The cycle is stable modal state, with predefined linear transitions between states, or ramps, with a duration of 2,400 seconds and emissions are measured continuously, without percentage weights to obtain final emission values.</w:t>
            </w:r>
            <w:r w:rsidRPr="00356B54">
              <w:rPr>
                <w:lang w:val="en-US"/>
              </w:rPr>
              <w:t xml:space="preserve"> </w:t>
            </w:r>
          </w:p>
        </w:tc>
      </w:tr>
      <w:tr w:rsidR="008A0760" w:rsidRPr="00743A20" w14:paraId="17E46BA0" w14:textId="77777777" w:rsidTr="008E445B">
        <w:tc>
          <w:tcPr>
            <w:tcW w:w="4788" w:type="dxa"/>
            <w:shd w:val="clear" w:color="auto" w:fill="auto"/>
          </w:tcPr>
          <w:p w14:paraId="5820A81B"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3.11. Ciclo Transitorio (CT):</w:t>
            </w:r>
            <w:r w:rsidRPr="009E79D2">
              <w:rPr>
                <w:rFonts w:ascii="Verdana" w:hAnsi="Verdana"/>
                <w:sz w:val="16"/>
                <w:szCs w:val="16"/>
              </w:rPr>
              <w:t xml:space="preserve"> ciclo de prueba consistente en cuatro fases, en donde se simula la operación del motor bajo condiciones de manejo en tráfico ligero urbano con paradas y arranques continuos, así como manejo en tráfico pesado urbano con pocas paradas y manejo en carretera con tráfico, repitiéndose la primera fase al final del procedimiento. La prueba con este ciclo debe ejecutarse tanto en arranque en frío como en arranque en caliente.</w:t>
            </w:r>
          </w:p>
        </w:tc>
        <w:tc>
          <w:tcPr>
            <w:tcW w:w="4788" w:type="dxa"/>
          </w:tcPr>
          <w:p w14:paraId="77DDED45"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3.11.</w:t>
            </w:r>
            <w:r w:rsidRPr="00356B54">
              <w:rPr>
                <w:lang w:val="en-US"/>
              </w:rPr>
              <w:t xml:space="preserve"> </w:t>
            </w:r>
            <w:r w:rsidRPr="00356B54">
              <w:rPr>
                <w:rFonts w:ascii="Verdana" w:hAnsi="Verdana"/>
                <w:b/>
                <w:bCs/>
                <w:sz w:val="16"/>
                <w:szCs w:val="16"/>
                <w:lang w:val="en-US"/>
              </w:rPr>
              <w:t>Transitory Cycle (</w:t>
            </w:r>
            <w:r w:rsidR="00141651">
              <w:rPr>
                <w:rFonts w:ascii="Verdana" w:hAnsi="Verdana"/>
                <w:b/>
                <w:bCs/>
                <w:sz w:val="16"/>
                <w:szCs w:val="16"/>
                <w:lang w:val="en-US"/>
              </w:rPr>
              <w:t>TC</w:t>
            </w:r>
            <w:r w:rsidRPr="00356B54">
              <w:rPr>
                <w:rFonts w:ascii="Verdana" w:hAnsi="Verdana"/>
                <w:b/>
                <w:bCs/>
                <w:sz w:val="16"/>
                <w:szCs w:val="16"/>
                <w:lang w:val="en-US"/>
              </w:rPr>
              <w:t>):</w:t>
            </w:r>
            <w:r w:rsidRPr="00356B54">
              <w:rPr>
                <w:lang w:val="en-US"/>
              </w:rPr>
              <w:t xml:space="preserve"> </w:t>
            </w:r>
            <w:r w:rsidRPr="00356B54">
              <w:rPr>
                <w:rFonts w:ascii="Verdana" w:hAnsi="Verdana"/>
                <w:sz w:val="16"/>
                <w:szCs w:val="16"/>
                <w:lang w:val="en-US"/>
              </w:rPr>
              <w:t>test cycle consisting of four phases, where the engine operation is simulated under driving conditions in urban light traffic with continuous stops and starts, as well as driving in heavy urban traffic with few stops and road handling with traffic, repeating the first phase at the end of the procedure.</w:t>
            </w:r>
            <w:r w:rsidRPr="00356B54">
              <w:rPr>
                <w:lang w:val="en-US"/>
              </w:rPr>
              <w:t xml:space="preserve"> </w:t>
            </w:r>
            <w:r w:rsidRPr="00356B54">
              <w:rPr>
                <w:rFonts w:ascii="Verdana" w:hAnsi="Verdana"/>
                <w:sz w:val="16"/>
                <w:szCs w:val="16"/>
                <w:lang w:val="en-US"/>
              </w:rPr>
              <w:t>The test with this cycle must be executed in both cold start and hot start.</w:t>
            </w:r>
            <w:r w:rsidRPr="00356B54">
              <w:rPr>
                <w:lang w:val="en-US"/>
              </w:rPr>
              <w:t xml:space="preserve"> </w:t>
            </w:r>
          </w:p>
        </w:tc>
      </w:tr>
      <w:tr w:rsidR="008A0760" w:rsidRPr="00743A20" w14:paraId="2C035245" w14:textId="77777777" w:rsidTr="008E445B">
        <w:tc>
          <w:tcPr>
            <w:tcW w:w="4788" w:type="dxa"/>
            <w:shd w:val="clear" w:color="auto" w:fill="auto"/>
          </w:tcPr>
          <w:p w14:paraId="3101A0D5"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3.12.</w:t>
            </w:r>
            <w:r w:rsidRPr="009E79D2">
              <w:rPr>
                <w:rFonts w:ascii="Verdana" w:hAnsi="Verdana"/>
                <w:sz w:val="16"/>
                <w:szCs w:val="16"/>
              </w:rPr>
              <w:t xml:space="preserve"> </w:t>
            </w:r>
            <w:r w:rsidRPr="009E79D2">
              <w:rPr>
                <w:rFonts w:ascii="Verdana" w:hAnsi="Verdana"/>
                <w:b/>
                <w:sz w:val="16"/>
                <w:szCs w:val="16"/>
              </w:rPr>
              <w:t>Fabricante:</w:t>
            </w:r>
            <w:r w:rsidRPr="009E79D2">
              <w:rPr>
                <w:rFonts w:ascii="Verdana" w:hAnsi="Verdana"/>
                <w:sz w:val="16"/>
                <w:szCs w:val="16"/>
              </w:rPr>
              <w:t xml:space="preserve"> empresa dedicada a la producción o ensamble final de vehículos automotores o motores, destinados para su comercialización en el territorio nacional.</w:t>
            </w:r>
          </w:p>
        </w:tc>
        <w:tc>
          <w:tcPr>
            <w:tcW w:w="4788" w:type="dxa"/>
          </w:tcPr>
          <w:p w14:paraId="2683DEB3"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3.12.</w:t>
            </w:r>
            <w:r w:rsidRPr="00356B54">
              <w:rPr>
                <w:lang w:val="en-US"/>
              </w:rPr>
              <w:t xml:space="preserve"> </w:t>
            </w:r>
            <w:r w:rsidRPr="00356B54">
              <w:rPr>
                <w:rFonts w:ascii="Verdana" w:hAnsi="Verdana"/>
                <w:b/>
                <w:bCs/>
                <w:sz w:val="16"/>
                <w:szCs w:val="16"/>
                <w:lang w:val="en-US"/>
              </w:rPr>
              <w:t>Manufacturer:</w:t>
            </w:r>
            <w:r w:rsidRPr="00356B54">
              <w:rPr>
                <w:lang w:val="en-US"/>
              </w:rPr>
              <w:t xml:space="preserve"> </w:t>
            </w:r>
            <w:r w:rsidRPr="00356B54">
              <w:rPr>
                <w:rFonts w:ascii="Verdana" w:hAnsi="Verdana"/>
                <w:sz w:val="16"/>
                <w:szCs w:val="16"/>
                <w:lang w:val="en-US"/>
              </w:rPr>
              <w:t xml:space="preserve">company dedicated to the production or final assembly of automotive vehicles or engines, intended for </w:t>
            </w:r>
            <w:r w:rsidR="00141651">
              <w:rPr>
                <w:rFonts w:ascii="Verdana" w:hAnsi="Verdana"/>
                <w:sz w:val="16"/>
                <w:szCs w:val="16"/>
                <w:lang w:val="en-US"/>
              </w:rPr>
              <w:t>commercial distribution</w:t>
            </w:r>
            <w:r w:rsidRPr="00356B54">
              <w:rPr>
                <w:rFonts w:ascii="Verdana" w:hAnsi="Verdana"/>
                <w:sz w:val="16"/>
                <w:szCs w:val="16"/>
                <w:lang w:val="en-US"/>
              </w:rPr>
              <w:t xml:space="preserve"> in the national territory.</w:t>
            </w:r>
            <w:r w:rsidRPr="00356B54">
              <w:rPr>
                <w:lang w:val="en-US"/>
              </w:rPr>
              <w:t xml:space="preserve"> </w:t>
            </w:r>
          </w:p>
        </w:tc>
      </w:tr>
      <w:tr w:rsidR="008A0760" w:rsidRPr="00743A20" w14:paraId="6592C850" w14:textId="77777777" w:rsidTr="008E445B">
        <w:tc>
          <w:tcPr>
            <w:tcW w:w="4788" w:type="dxa"/>
            <w:shd w:val="clear" w:color="auto" w:fill="auto"/>
          </w:tcPr>
          <w:p w14:paraId="1677E15C"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lastRenderedPageBreak/>
              <w:t>3.13. Familia de motor:</w:t>
            </w:r>
            <w:r w:rsidRPr="009E79D2">
              <w:rPr>
                <w:rFonts w:ascii="Verdana" w:hAnsi="Verdana"/>
                <w:sz w:val="16"/>
                <w:szCs w:val="16"/>
              </w:rPr>
              <w:t xml:space="preserve"> grupo de motores definido por el fabricante o importador, los cuales poseen características de diseño comunes, entre las que destacan: el ciclo de combustión, el número, la configuración y distribución de cilindros en el monoblock, el desplazamiento; método de aspiración de aire; sistema de diagnóstico a bordo y sistema de post-tratamiento de emisiones; razón por la que presentarán niveles equivalentes de emisión de gases por el escape a lo largo de su vida útil.</w:t>
            </w:r>
          </w:p>
        </w:tc>
        <w:tc>
          <w:tcPr>
            <w:tcW w:w="4788" w:type="dxa"/>
          </w:tcPr>
          <w:p w14:paraId="100D340E"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3.13.</w:t>
            </w:r>
            <w:r w:rsidRPr="00356B54">
              <w:rPr>
                <w:lang w:val="en-US"/>
              </w:rPr>
              <w:t xml:space="preserve"> </w:t>
            </w:r>
            <w:r w:rsidRPr="00356B54">
              <w:rPr>
                <w:rFonts w:ascii="Verdana" w:hAnsi="Verdana"/>
                <w:b/>
                <w:bCs/>
                <w:sz w:val="16"/>
                <w:szCs w:val="16"/>
                <w:lang w:val="en-US"/>
              </w:rPr>
              <w:t>Motor family:</w:t>
            </w:r>
            <w:r w:rsidRPr="00356B54">
              <w:rPr>
                <w:lang w:val="en-US"/>
              </w:rPr>
              <w:t xml:space="preserve"> </w:t>
            </w:r>
            <w:r w:rsidRPr="00356B54">
              <w:rPr>
                <w:rFonts w:ascii="Verdana" w:hAnsi="Verdana"/>
                <w:sz w:val="16"/>
                <w:szCs w:val="16"/>
                <w:lang w:val="en-US"/>
              </w:rPr>
              <w:t>group of engines defined by the manufacturer or importer, which have common design characteristics, among which are: the combustion cycle, the number, the configuration and distribution of cylinders in the monobloc, the displacement;</w:t>
            </w:r>
            <w:r w:rsidRPr="00356B54">
              <w:rPr>
                <w:lang w:val="en-US"/>
              </w:rPr>
              <w:t xml:space="preserve"> </w:t>
            </w:r>
            <w:r w:rsidRPr="00356B54">
              <w:rPr>
                <w:rFonts w:ascii="Verdana" w:hAnsi="Verdana"/>
                <w:sz w:val="16"/>
                <w:szCs w:val="16"/>
                <w:lang w:val="en-US"/>
              </w:rPr>
              <w:t>air aspiration method;</w:t>
            </w:r>
            <w:r w:rsidRPr="00356B54">
              <w:rPr>
                <w:lang w:val="en-US"/>
              </w:rPr>
              <w:t xml:space="preserve"> </w:t>
            </w:r>
            <w:r w:rsidRPr="00356B54">
              <w:rPr>
                <w:rFonts w:ascii="Verdana" w:hAnsi="Verdana"/>
                <w:sz w:val="16"/>
                <w:szCs w:val="16"/>
                <w:lang w:val="en-US"/>
              </w:rPr>
              <w:t>On-board diagnostic system and emissions post-treatment system;</w:t>
            </w:r>
            <w:r w:rsidRPr="00356B54">
              <w:rPr>
                <w:lang w:val="en-US"/>
              </w:rPr>
              <w:t xml:space="preserve"> </w:t>
            </w:r>
            <w:r w:rsidRPr="00356B54">
              <w:rPr>
                <w:rFonts w:ascii="Verdana" w:hAnsi="Verdana"/>
                <w:sz w:val="16"/>
                <w:szCs w:val="16"/>
                <w:lang w:val="en-US"/>
              </w:rPr>
              <w:t>which is why they will present equivalent levels of gas emissions from the exhaust throughout their useful life.</w:t>
            </w:r>
            <w:r w:rsidRPr="00356B54">
              <w:rPr>
                <w:lang w:val="en-US"/>
              </w:rPr>
              <w:t xml:space="preserve"> </w:t>
            </w:r>
          </w:p>
        </w:tc>
      </w:tr>
      <w:tr w:rsidR="008A0760" w:rsidRPr="009E79D2" w14:paraId="482A7EB0" w14:textId="77777777" w:rsidTr="008E445B">
        <w:tc>
          <w:tcPr>
            <w:tcW w:w="4788" w:type="dxa"/>
            <w:shd w:val="clear" w:color="auto" w:fill="auto"/>
          </w:tcPr>
          <w:p w14:paraId="4B1B8CFD"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3.14. Gases</w:t>
            </w:r>
            <w:r w:rsidRPr="009E79D2">
              <w:rPr>
                <w:rFonts w:ascii="Verdana" w:hAnsi="Verdana"/>
                <w:sz w:val="16"/>
                <w:szCs w:val="16"/>
              </w:rPr>
              <w:t>, los que se enumeran a continuación:</w:t>
            </w:r>
          </w:p>
        </w:tc>
        <w:tc>
          <w:tcPr>
            <w:tcW w:w="4788" w:type="dxa"/>
          </w:tcPr>
          <w:p w14:paraId="7AFC9D46" w14:textId="77777777" w:rsidR="008A0760" w:rsidRPr="00356B54" w:rsidRDefault="008A0760" w:rsidP="008A0760">
            <w:pPr>
              <w:spacing w:after="101" w:line="238" w:lineRule="atLeast"/>
              <w:jc w:val="both"/>
            </w:pPr>
            <w:r w:rsidRPr="00356B54">
              <w:rPr>
                <w:rFonts w:ascii="Verdana" w:hAnsi="Verdana"/>
                <w:b/>
                <w:bCs/>
                <w:sz w:val="16"/>
                <w:szCs w:val="16"/>
              </w:rPr>
              <w:t>3.14.</w:t>
            </w:r>
            <w:r w:rsidRPr="00356B54">
              <w:t xml:space="preserve"> </w:t>
            </w:r>
            <w:r w:rsidRPr="00356B54">
              <w:rPr>
                <w:rFonts w:ascii="Verdana" w:hAnsi="Verdana"/>
                <w:b/>
                <w:bCs/>
                <w:sz w:val="16"/>
                <w:szCs w:val="16"/>
              </w:rPr>
              <w:t>Gases</w:t>
            </w:r>
            <w:r w:rsidR="00141651">
              <w:rPr>
                <w:rFonts w:ascii="Verdana" w:hAnsi="Verdana"/>
                <w:b/>
                <w:bCs/>
              </w:rPr>
              <w:t>,</w:t>
            </w:r>
            <w:r w:rsidRPr="00356B54">
              <w:rPr>
                <w:rFonts w:ascii="Verdana" w:hAnsi="Verdana"/>
                <w:sz w:val="16"/>
                <w:szCs w:val="16"/>
              </w:rPr>
              <w:t xml:space="preserve"> those listed below:</w:t>
            </w:r>
            <w:r w:rsidRPr="00356B54">
              <w:t xml:space="preserve"> </w:t>
            </w:r>
          </w:p>
        </w:tc>
      </w:tr>
      <w:tr w:rsidR="008A0760" w:rsidRPr="00743A20" w14:paraId="1863A12A" w14:textId="77777777" w:rsidTr="008E445B">
        <w:tc>
          <w:tcPr>
            <w:tcW w:w="4788" w:type="dxa"/>
            <w:shd w:val="clear" w:color="auto" w:fill="auto"/>
          </w:tcPr>
          <w:p w14:paraId="214B144F"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3.14.1. Amoníaco (NH</w:t>
            </w:r>
            <w:r w:rsidRPr="009E79D2">
              <w:rPr>
                <w:rFonts w:ascii="Verdana" w:hAnsi="Verdana"/>
                <w:b/>
                <w:sz w:val="16"/>
                <w:szCs w:val="16"/>
                <w:vertAlign w:val="subscript"/>
              </w:rPr>
              <w:t>3</w:t>
            </w:r>
            <w:r w:rsidRPr="009E79D2">
              <w:rPr>
                <w:rFonts w:ascii="Verdana" w:hAnsi="Verdana"/>
                <w:b/>
                <w:sz w:val="16"/>
                <w:szCs w:val="16"/>
              </w:rPr>
              <w:t>):</w:t>
            </w:r>
            <w:r w:rsidRPr="009E79D2">
              <w:rPr>
                <w:rFonts w:ascii="Verdana" w:hAnsi="Verdana"/>
                <w:sz w:val="16"/>
                <w:szCs w:val="16"/>
              </w:rPr>
              <w:t xml:space="preserve"> amonio que no reacciona con el NOx en el sistema de reducción catalítica selectiva y que se mide como parte de los gases de escape.</w:t>
            </w:r>
          </w:p>
        </w:tc>
        <w:tc>
          <w:tcPr>
            <w:tcW w:w="4788" w:type="dxa"/>
          </w:tcPr>
          <w:p w14:paraId="5856E387"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3.14.1.</w:t>
            </w:r>
            <w:r w:rsidRPr="00356B54">
              <w:rPr>
                <w:lang w:val="en-US"/>
              </w:rPr>
              <w:t xml:space="preserve"> </w:t>
            </w:r>
            <w:r w:rsidRPr="00356B54">
              <w:rPr>
                <w:rFonts w:ascii="Verdana" w:hAnsi="Verdana"/>
                <w:b/>
                <w:bCs/>
                <w:sz w:val="16"/>
                <w:szCs w:val="16"/>
                <w:lang w:val="en-US"/>
              </w:rPr>
              <w:t>Ammonia (NH</w:t>
            </w:r>
            <w:r w:rsidRPr="00356B54">
              <w:rPr>
                <w:rFonts w:ascii="Verdana" w:hAnsi="Verdana"/>
                <w:b/>
                <w:bCs/>
                <w:sz w:val="11"/>
                <w:szCs w:val="11"/>
                <w:vertAlign w:val="subscript"/>
                <w:lang w:val="en-US"/>
              </w:rPr>
              <w:t>3</w:t>
            </w:r>
            <w:r w:rsidRPr="00356B54">
              <w:rPr>
                <w:rFonts w:ascii="Verdana" w:hAnsi="Verdana"/>
                <w:b/>
                <w:bCs/>
                <w:sz w:val="16"/>
                <w:szCs w:val="16"/>
                <w:lang w:val="en-US"/>
              </w:rPr>
              <w:t>):</w:t>
            </w:r>
            <w:r w:rsidRPr="00356B54">
              <w:rPr>
                <w:lang w:val="en-US"/>
              </w:rPr>
              <w:t xml:space="preserve"> </w:t>
            </w:r>
            <w:r w:rsidRPr="00356B54">
              <w:rPr>
                <w:rFonts w:ascii="Verdana" w:hAnsi="Verdana"/>
                <w:sz w:val="16"/>
                <w:szCs w:val="16"/>
                <w:lang w:val="en-US"/>
              </w:rPr>
              <w:t>ammonium that does not react with</w:t>
            </w:r>
            <w:r w:rsidRPr="00356B54">
              <w:rPr>
                <w:lang w:val="en-US"/>
              </w:rPr>
              <w:t xml:space="preserve"> </w:t>
            </w:r>
            <w:r w:rsidRPr="00356B54">
              <w:rPr>
                <w:rFonts w:ascii="Verdana" w:hAnsi="Verdana"/>
                <w:sz w:val="16"/>
                <w:szCs w:val="16"/>
                <w:lang w:val="en-US"/>
              </w:rPr>
              <w:t>NOx</w:t>
            </w:r>
            <w:r w:rsidRPr="00356B54">
              <w:rPr>
                <w:lang w:val="en-US"/>
              </w:rPr>
              <w:t xml:space="preserve"> </w:t>
            </w:r>
            <w:r w:rsidRPr="00356B54">
              <w:rPr>
                <w:rFonts w:ascii="Verdana" w:hAnsi="Verdana"/>
                <w:sz w:val="16"/>
                <w:szCs w:val="16"/>
                <w:lang w:val="en-US"/>
              </w:rPr>
              <w:t>in the selective catalytic reduction system and that is measured as part of the exhaust gases.</w:t>
            </w:r>
            <w:r w:rsidRPr="00356B54">
              <w:rPr>
                <w:lang w:val="en-US"/>
              </w:rPr>
              <w:t xml:space="preserve"> </w:t>
            </w:r>
          </w:p>
        </w:tc>
      </w:tr>
      <w:tr w:rsidR="008A0760" w:rsidRPr="00743A20" w14:paraId="2156809A" w14:textId="77777777" w:rsidTr="008E445B">
        <w:tc>
          <w:tcPr>
            <w:tcW w:w="4788" w:type="dxa"/>
            <w:shd w:val="clear" w:color="auto" w:fill="auto"/>
          </w:tcPr>
          <w:p w14:paraId="412A8A0C"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 xml:space="preserve">3.14.2. Hidrocarburos (HC): </w:t>
            </w:r>
            <w:r w:rsidRPr="009E79D2">
              <w:rPr>
                <w:rFonts w:ascii="Verdana" w:hAnsi="Verdana"/>
                <w:sz w:val="16"/>
                <w:szCs w:val="16"/>
              </w:rPr>
              <w:t>son producto de la combustión incompleta de combustibles fósiles, los cuales están formados por átomos de hidrógeno y carbón, en varias combinaciones.</w:t>
            </w:r>
          </w:p>
        </w:tc>
        <w:tc>
          <w:tcPr>
            <w:tcW w:w="4788" w:type="dxa"/>
          </w:tcPr>
          <w:p w14:paraId="17FEB445"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3.14.2.</w:t>
            </w:r>
            <w:r w:rsidRPr="00356B54">
              <w:rPr>
                <w:lang w:val="en-US"/>
              </w:rPr>
              <w:t xml:space="preserve"> </w:t>
            </w:r>
            <w:r w:rsidRPr="00356B54">
              <w:rPr>
                <w:rFonts w:ascii="Verdana" w:hAnsi="Verdana"/>
                <w:b/>
                <w:bCs/>
                <w:sz w:val="16"/>
                <w:szCs w:val="16"/>
                <w:lang w:val="en-US"/>
              </w:rPr>
              <w:t>Hydrocarbons (HC):</w:t>
            </w:r>
            <w:r w:rsidRPr="00356B54">
              <w:rPr>
                <w:lang w:val="en-US"/>
              </w:rPr>
              <w:t xml:space="preserve"> </w:t>
            </w:r>
            <w:r w:rsidRPr="00356B54">
              <w:rPr>
                <w:rFonts w:ascii="Verdana" w:hAnsi="Verdana"/>
                <w:sz w:val="16"/>
                <w:szCs w:val="16"/>
                <w:lang w:val="en-US"/>
              </w:rPr>
              <w:t>are the product of incomplete combustion of fossil fuels, which are composed of hydrogen and carbon atoms, in various combinations.</w:t>
            </w:r>
            <w:r w:rsidRPr="00356B54">
              <w:rPr>
                <w:lang w:val="en-US"/>
              </w:rPr>
              <w:t xml:space="preserve"> </w:t>
            </w:r>
          </w:p>
        </w:tc>
      </w:tr>
      <w:tr w:rsidR="008A0760" w:rsidRPr="00743A20" w14:paraId="3EA27D2F" w14:textId="77777777" w:rsidTr="008E445B">
        <w:tc>
          <w:tcPr>
            <w:tcW w:w="4788" w:type="dxa"/>
            <w:shd w:val="clear" w:color="auto" w:fill="auto"/>
          </w:tcPr>
          <w:p w14:paraId="0E905D01"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3.14.3. Hidrocarburos no metano (HCNM):</w:t>
            </w:r>
            <w:r w:rsidRPr="009E79D2">
              <w:rPr>
                <w:rFonts w:ascii="Verdana" w:hAnsi="Verdana"/>
                <w:sz w:val="16"/>
                <w:szCs w:val="16"/>
              </w:rPr>
              <w:t xml:space="preserve"> son los hidrocarburos totales, excluyendo al metano.</w:t>
            </w:r>
          </w:p>
        </w:tc>
        <w:tc>
          <w:tcPr>
            <w:tcW w:w="4788" w:type="dxa"/>
          </w:tcPr>
          <w:p w14:paraId="534CA6A9"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3.14.3.</w:t>
            </w:r>
            <w:r w:rsidRPr="00356B54">
              <w:rPr>
                <w:lang w:val="en-US"/>
              </w:rPr>
              <w:t xml:space="preserve"> </w:t>
            </w:r>
            <w:r w:rsidRPr="00356B54">
              <w:rPr>
                <w:rFonts w:ascii="Verdana" w:hAnsi="Verdana"/>
                <w:b/>
                <w:bCs/>
                <w:sz w:val="16"/>
                <w:szCs w:val="16"/>
                <w:lang w:val="en-US"/>
              </w:rPr>
              <w:t>Non-methane hydrocarbons (HCNM):</w:t>
            </w:r>
            <w:r w:rsidRPr="00356B54">
              <w:rPr>
                <w:lang w:val="en-US"/>
              </w:rPr>
              <w:t xml:space="preserve"> </w:t>
            </w:r>
            <w:r w:rsidRPr="00356B54">
              <w:rPr>
                <w:rFonts w:ascii="Verdana" w:hAnsi="Verdana"/>
                <w:sz w:val="16"/>
                <w:szCs w:val="16"/>
                <w:lang w:val="en-US"/>
              </w:rPr>
              <w:t>are the total hydrocarbons, excluding methane.</w:t>
            </w:r>
            <w:r w:rsidRPr="00356B54">
              <w:rPr>
                <w:lang w:val="en-US"/>
              </w:rPr>
              <w:t xml:space="preserve"> </w:t>
            </w:r>
          </w:p>
        </w:tc>
      </w:tr>
      <w:tr w:rsidR="008A0760" w:rsidRPr="00743A20" w14:paraId="37D4A91F" w14:textId="77777777" w:rsidTr="008E445B">
        <w:tc>
          <w:tcPr>
            <w:tcW w:w="4788" w:type="dxa"/>
            <w:shd w:val="clear" w:color="auto" w:fill="auto"/>
          </w:tcPr>
          <w:p w14:paraId="7AA93B1A"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3.14.4. Hidrocarburos no metano más óxidos de nitrógeno (HCNM+NOx):</w:t>
            </w:r>
            <w:r w:rsidRPr="009E79D2">
              <w:rPr>
                <w:rFonts w:ascii="Verdana" w:hAnsi="Verdana"/>
                <w:sz w:val="16"/>
                <w:szCs w:val="16"/>
              </w:rPr>
              <w:t xml:space="preserve"> es la suma de la masa de hidrocarburos no metano más óxidos de nitrógeno en los gases de escape.</w:t>
            </w:r>
          </w:p>
        </w:tc>
        <w:tc>
          <w:tcPr>
            <w:tcW w:w="4788" w:type="dxa"/>
          </w:tcPr>
          <w:p w14:paraId="494D5C24"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3.14.4.</w:t>
            </w:r>
            <w:r w:rsidRPr="00356B54">
              <w:rPr>
                <w:lang w:val="en-US"/>
              </w:rPr>
              <w:t xml:space="preserve"> </w:t>
            </w:r>
            <w:r w:rsidRPr="00356B54">
              <w:rPr>
                <w:rFonts w:ascii="Verdana" w:hAnsi="Verdana"/>
                <w:b/>
                <w:bCs/>
                <w:sz w:val="16"/>
                <w:szCs w:val="16"/>
                <w:lang w:val="en-US"/>
              </w:rPr>
              <w:t>Non-methane hydrocarbons plus nitrogen oxides (HCNM + NOx):</w:t>
            </w:r>
            <w:r w:rsidRPr="00356B54">
              <w:rPr>
                <w:lang w:val="en-US"/>
              </w:rPr>
              <w:t xml:space="preserve"> </w:t>
            </w:r>
            <w:r w:rsidRPr="00356B54">
              <w:rPr>
                <w:rFonts w:ascii="Verdana" w:hAnsi="Verdana"/>
                <w:sz w:val="16"/>
                <w:szCs w:val="16"/>
                <w:lang w:val="en-US"/>
              </w:rPr>
              <w:t>is the sum of the mass of non-methane hydrocarbons plus nitrogen oxides in the exhaust gases.</w:t>
            </w:r>
            <w:r w:rsidRPr="00356B54">
              <w:rPr>
                <w:lang w:val="en-US"/>
              </w:rPr>
              <w:t xml:space="preserve"> </w:t>
            </w:r>
          </w:p>
        </w:tc>
      </w:tr>
      <w:tr w:rsidR="008A0760" w:rsidRPr="00743A20" w14:paraId="2765A566" w14:textId="77777777" w:rsidTr="008E445B">
        <w:tc>
          <w:tcPr>
            <w:tcW w:w="4788" w:type="dxa"/>
            <w:shd w:val="clear" w:color="auto" w:fill="auto"/>
          </w:tcPr>
          <w:p w14:paraId="7468CE25"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3.14.5. Monóxido de carbono (CO):</w:t>
            </w:r>
            <w:r w:rsidRPr="009E79D2">
              <w:rPr>
                <w:rFonts w:ascii="Verdana" w:hAnsi="Verdana"/>
                <w:sz w:val="16"/>
                <w:szCs w:val="16"/>
              </w:rPr>
              <w:t xml:space="preserve"> es un producto de la combustión incompleta de los combustibles fósiles al combinarse un átomo de oxígeno y uno de carbono.</w:t>
            </w:r>
          </w:p>
        </w:tc>
        <w:tc>
          <w:tcPr>
            <w:tcW w:w="4788" w:type="dxa"/>
          </w:tcPr>
          <w:p w14:paraId="73B95102"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3.14.5.</w:t>
            </w:r>
            <w:r w:rsidRPr="00356B54">
              <w:rPr>
                <w:lang w:val="en-US"/>
              </w:rPr>
              <w:t xml:space="preserve"> </w:t>
            </w:r>
            <w:r w:rsidRPr="00356B54">
              <w:rPr>
                <w:rFonts w:ascii="Verdana" w:hAnsi="Verdana"/>
                <w:b/>
                <w:bCs/>
                <w:sz w:val="16"/>
                <w:szCs w:val="16"/>
                <w:lang w:val="en-US"/>
              </w:rPr>
              <w:t>Carbon monoxide (CO):</w:t>
            </w:r>
            <w:r w:rsidRPr="00356B54">
              <w:rPr>
                <w:lang w:val="en-US"/>
              </w:rPr>
              <w:t xml:space="preserve"> </w:t>
            </w:r>
            <w:r w:rsidRPr="00356B54">
              <w:rPr>
                <w:rFonts w:ascii="Verdana" w:hAnsi="Verdana"/>
                <w:sz w:val="16"/>
                <w:szCs w:val="16"/>
                <w:lang w:val="en-US"/>
              </w:rPr>
              <w:t>is a product of the incomplete combustion of fossil fuels by combining an oxygen atom and a carbon atom.</w:t>
            </w:r>
            <w:r w:rsidRPr="00356B54">
              <w:rPr>
                <w:lang w:val="en-US"/>
              </w:rPr>
              <w:t xml:space="preserve"> </w:t>
            </w:r>
          </w:p>
        </w:tc>
      </w:tr>
      <w:tr w:rsidR="008A0760" w:rsidRPr="00743A20" w14:paraId="622E5F95" w14:textId="77777777" w:rsidTr="008E445B">
        <w:tc>
          <w:tcPr>
            <w:tcW w:w="4788" w:type="dxa"/>
            <w:shd w:val="clear" w:color="auto" w:fill="auto"/>
          </w:tcPr>
          <w:p w14:paraId="018714A6"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3.14.6. Óxidos de nitrógeno (NOx):</w:t>
            </w:r>
            <w:r w:rsidRPr="009E79D2">
              <w:rPr>
                <w:rFonts w:ascii="Verdana" w:hAnsi="Verdana"/>
                <w:sz w:val="16"/>
                <w:szCs w:val="16"/>
              </w:rPr>
              <w:t xml:space="preserve"> es la suma del óxido nítrico y el dióxido de nitrógeno que se forman en los procesos de combustión.</w:t>
            </w:r>
          </w:p>
        </w:tc>
        <w:tc>
          <w:tcPr>
            <w:tcW w:w="4788" w:type="dxa"/>
          </w:tcPr>
          <w:p w14:paraId="362FC892"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3.14.6.</w:t>
            </w:r>
            <w:r w:rsidRPr="00356B54">
              <w:rPr>
                <w:lang w:val="en-US"/>
              </w:rPr>
              <w:t xml:space="preserve"> </w:t>
            </w:r>
            <w:r w:rsidRPr="00356B54">
              <w:rPr>
                <w:rFonts w:ascii="Verdana" w:hAnsi="Verdana"/>
                <w:b/>
                <w:bCs/>
                <w:sz w:val="16"/>
                <w:szCs w:val="16"/>
                <w:lang w:val="en-US"/>
              </w:rPr>
              <w:t>Nitrogen oxides (NOx):</w:t>
            </w:r>
            <w:r w:rsidRPr="00356B54">
              <w:rPr>
                <w:lang w:val="en-US"/>
              </w:rPr>
              <w:t xml:space="preserve"> </w:t>
            </w:r>
            <w:r w:rsidRPr="00356B54">
              <w:rPr>
                <w:rFonts w:ascii="Verdana" w:hAnsi="Verdana"/>
                <w:sz w:val="16"/>
                <w:szCs w:val="16"/>
                <w:lang w:val="en-US"/>
              </w:rPr>
              <w:t>is the sum of nitric oxide and nitrogen dioxide that are formed in combustion processes.</w:t>
            </w:r>
            <w:r w:rsidRPr="00356B54">
              <w:rPr>
                <w:lang w:val="en-US"/>
              </w:rPr>
              <w:t xml:space="preserve"> </w:t>
            </w:r>
          </w:p>
        </w:tc>
      </w:tr>
      <w:tr w:rsidR="008A0760" w:rsidRPr="00743A20" w14:paraId="60BF7258" w14:textId="77777777" w:rsidTr="008E445B">
        <w:tc>
          <w:tcPr>
            <w:tcW w:w="4788" w:type="dxa"/>
            <w:shd w:val="clear" w:color="auto" w:fill="auto"/>
          </w:tcPr>
          <w:p w14:paraId="2815B491" w14:textId="77777777" w:rsidR="008A0760" w:rsidRPr="009E79D2" w:rsidRDefault="008A0760" w:rsidP="008A0760">
            <w:pPr>
              <w:pStyle w:val="Texto"/>
              <w:spacing w:line="238" w:lineRule="exact"/>
              <w:ind w:firstLine="0"/>
              <w:rPr>
                <w:rFonts w:ascii="Verdana" w:hAnsi="Verdana"/>
                <w:b/>
                <w:sz w:val="16"/>
                <w:szCs w:val="16"/>
              </w:rPr>
            </w:pPr>
            <w:r w:rsidRPr="009E79D2">
              <w:rPr>
                <w:rFonts w:ascii="Verdana" w:hAnsi="Verdana"/>
                <w:b/>
                <w:sz w:val="16"/>
                <w:szCs w:val="16"/>
              </w:rPr>
              <w:t>3.15. Importador:</w:t>
            </w:r>
            <w:r w:rsidRPr="009E79D2">
              <w:rPr>
                <w:rFonts w:ascii="Verdana" w:hAnsi="Verdana"/>
                <w:sz w:val="16"/>
                <w:szCs w:val="16"/>
              </w:rPr>
              <w:t xml:space="preserve"> persona física o moral que introduce al país uno o más vehículos automotores nuevos con peso bruto vehicular mayor a 3,857 kilogramos bajo el régimen de importación definitiva y de acuerdo con las demás disposiciones legales aplicables en el territorio nacional.</w:t>
            </w:r>
          </w:p>
        </w:tc>
        <w:tc>
          <w:tcPr>
            <w:tcW w:w="4788" w:type="dxa"/>
          </w:tcPr>
          <w:p w14:paraId="63BCE58E"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3.15.</w:t>
            </w:r>
            <w:r w:rsidRPr="00356B54">
              <w:rPr>
                <w:lang w:val="en-US"/>
              </w:rPr>
              <w:t xml:space="preserve"> </w:t>
            </w:r>
            <w:r w:rsidRPr="00356B54">
              <w:rPr>
                <w:rFonts w:ascii="Verdana" w:hAnsi="Verdana"/>
                <w:b/>
                <w:bCs/>
                <w:sz w:val="16"/>
                <w:szCs w:val="16"/>
                <w:lang w:val="en-US"/>
              </w:rPr>
              <w:t>Importer:</w:t>
            </w:r>
            <w:r w:rsidRPr="00356B54">
              <w:rPr>
                <w:lang w:val="en-US"/>
              </w:rPr>
              <w:t xml:space="preserve"> </w:t>
            </w:r>
            <w:r w:rsidR="00141651">
              <w:rPr>
                <w:rFonts w:ascii="Verdana" w:hAnsi="Verdana"/>
                <w:sz w:val="16"/>
                <w:szCs w:val="16"/>
                <w:lang w:val="en-US"/>
              </w:rPr>
              <w:t>individual or company</w:t>
            </w:r>
            <w:r w:rsidRPr="00356B54">
              <w:rPr>
                <w:rFonts w:ascii="Verdana" w:hAnsi="Verdana"/>
                <w:sz w:val="16"/>
                <w:szCs w:val="16"/>
                <w:lang w:val="en-US"/>
              </w:rPr>
              <w:t xml:space="preserve"> that introduces one or more new automotive vehicles with gross vehicle weight greater than 3,857 kilograms under the definitive import regime</w:t>
            </w:r>
            <w:r w:rsidR="00475F08">
              <w:rPr>
                <w:rFonts w:ascii="Verdana" w:hAnsi="Verdana"/>
                <w:sz w:val="16"/>
                <w:szCs w:val="16"/>
                <w:lang w:val="en-US"/>
              </w:rPr>
              <w:t>n</w:t>
            </w:r>
            <w:r w:rsidRPr="00356B54">
              <w:rPr>
                <w:rFonts w:ascii="Verdana" w:hAnsi="Verdana"/>
                <w:sz w:val="16"/>
                <w:szCs w:val="16"/>
                <w:lang w:val="en-US"/>
              </w:rPr>
              <w:t xml:space="preserve"> and in accordance with the other applicable legal provisions in the national territory.</w:t>
            </w:r>
            <w:r w:rsidRPr="00356B54">
              <w:rPr>
                <w:lang w:val="en-US"/>
              </w:rPr>
              <w:t xml:space="preserve"> </w:t>
            </w:r>
          </w:p>
        </w:tc>
      </w:tr>
      <w:tr w:rsidR="008A0760" w:rsidRPr="00743A20" w14:paraId="3B23761C" w14:textId="77777777" w:rsidTr="008E445B">
        <w:tc>
          <w:tcPr>
            <w:tcW w:w="4788" w:type="dxa"/>
            <w:shd w:val="clear" w:color="auto" w:fill="auto"/>
          </w:tcPr>
          <w:p w14:paraId="2B927A2E"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 xml:space="preserve">3.16. Masa de Referencia: </w:t>
            </w:r>
            <w:r w:rsidRPr="009E79D2">
              <w:rPr>
                <w:rFonts w:ascii="Verdana" w:hAnsi="Verdana"/>
                <w:sz w:val="16"/>
                <w:szCs w:val="16"/>
              </w:rPr>
              <w:t>la masa del vehículo en orden de marcha restándole la masa uniforme de un conductor de 75 kg y sumándole una masa uniforme de 100 kg.</w:t>
            </w:r>
          </w:p>
        </w:tc>
        <w:tc>
          <w:tcPr>
            <w:tcW w:w="4788" w:type="dxa"/>
          </w:tcPr>
          <w:p w14:paraId="2D65F2E1"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3.16.</w:t>
            </w:r>
            <w:r w:rsidRPr="00356B54">
              <w:rPr>
                <w:lang w:val="en-US"/>
              </w:rPr>
              <w:t xml:space="preserve"> </w:t>
            </w:r>
            <w:r w:rsidRPr="00356B54">
              <w:rPr>
                <w:rFonts w:ascii="Verdana" w:hAnsi="Verdana"/>
                <w:b/>
                <w:bCs/>
                <w:sz w:val="16"/>
                <w:szCs w:val="16"/>
                <w:lang w:val="en-US"/>
              </w:rPr>
              <w:t>Reference</w:t>
            </w:r>
            <w:r w:rsidRPr="00356B54">
              <w:rPr>
                <w:lang w:val="en-US"/>
              </w:rPr>
              <w:t xml:space="preserve"> </w:t>
            </w:r>
            <w:r w:rsidRPr="00475F08">
              <w:rPr>
                <w:rFonts w:ascii="Verdana" w:hAnsi="Verdana"/>
                <w:b/>
                <w:sz w:val="16"/>
                <w:szCs w:val="16"/>
                <w:lang w:val="en-US"/>
              </w:rPr>
              <w:t>mass</w:t>
            </w:r>
            <w:r w:rsidRPr="00356B54">
              <w:rPr>
                <w:rFonts w:ascii="Verdana" w:hAnsi="Verdana"/>
                <w:b/>
                <w:bCs/>
                <w:sz w:val="16"/>
                <w:szCs w:val="16"/>
                <w:lang w:val="en-US"/>
              </w:rPr>
              <w:t>:</w:t>
            </w:r>
            <w:r w:rsidRPr="00356B54">
              <w:rPr>
                <w:lang w:val="en-US"/>
              </w:rPr>
              <w:t xml:space="preserve"> </w:t>
            </w:r>
            <w:r w:rsidRPr="00356B54">
              <w:rPr>
                <w:rFonts w:ascii="Verdana" w:hAnsi="Verdana"/>
                <w:sz w:val="16"/>
                <w:szCs w:val="16"/>
                <w:lang w:val="en-US"/>
              </w:rPr>
              <w:t>the mass of the vehicle in running order subtracting the uniform mass of a 75 kg driver and adding a uniform mass of 100 kg.</w:t>
            </w:r>
            <w:r w:rsidRPr="00356B54">
              <w:rPr>
                <w:lang w:val="en-US"/>
              </w:rPr>
              <w:t xml:space="preserve"> </w:t>
            </w:r>
          </w:p>
        </w:tc>
      </w:tr>
      <w:tr w:rsidR="008A0760" w:rsidRPr="00743A20" w14:paraId="10A366B1" w14:textId="77777777" w:rsidTr="008E445B">
        <w:tc>
          <w:tcPr>
            <w:tcW w:w="4788" w:type="dxa"/>
            <w:shd w:val="clear" w:color="auto" w:fill="auto"/>
          </w:tcPr>
          <w:p w14:paraId="5A76D7E1"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 xml:space="preserve">3.17. Masa del vehículo en orden de marcha: </w:t>
            </w:r>
            <w:r w:rsidRPr="009E79D2">
              <w:rPr>
                <w:rFonts w:ascii="Verdana" w:hAnsi="Verdana"/>
                <w:sz w:val="16"/>
                <w:szCs w:val="16"/>
              </w:rPr>
              <w:t>se refiere al peso del vehículo con fluidos al cien por ciento, al que se le agrega la masa uniforme del conductor de 75 kg.</w:t>
            </w:r>
          </w:p>
        </w:tc>
        <w:tc>
          <w:tcPr>
            <w:tcW w:w="4788" w:type="dxa"/>
          </w:tcPr>
          <w:p w14:paraId="1C44A610"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3.17.</w:t>
            </w:r>
            <w:r w:rsidRPr="00356B54">
              <w:rPr>
                <w:lang w:val="en-US"/>
              </w:rPr>
              <w:t xml:space="preserve"> </w:t>
            </w:r>
            <w:r w:rsidRPr="00356B54">
              <w:rPr>
                <w:rFonts w:ascii="Verdana" w:hAnsi="Verdana"/>
                <w:b/>
                <w:bCs/>
                <w:sz w:val="16"/>
                <w:szCs w:val="16"/>
                <w:lang w:val="en-US"/>
              </w:rPr>
              <w:t>Mass of the vehicle in running order:</w:t>
            </w:r>
            <w:r w:rsidRPr="00356B54">
              <w:rPr>
                <w:lang w:val="en-US"/>
              </w:rPr>
              <w:t xml:space="preserve"> </w:t>
            </w:r>
            <w:r w:rsidRPr="00356B54">
              <w:rPr>
                <w:rFonts w:ascii="Verdana" w:hAnsi="Verdana"/>
                <w:sz w:val="16"/>
                <w:szCs w:val="16"/>
                <w:lang w:val="en-US"/>
              </w:rPr>
              <w:t>refers to the weight of the vehicle with fluids at one hundred percent, to which the uniform mass of the 75 kg driver is added.</w:t>
            </w:r>
            <w:r w:rsidRPr="00356B54">
              <w:rPr>
                <w:lang w:val="en-US"/>
              </w:rPr>
              <w:t xml:space="preserve"> </w:t>
            </w:r>
          </w:p>
        </w:tc>
      </w:tr>
      <w:tr w:rsidR="008A0760" w:rsidRPr="00743A20" w14:paraId="51AB8E6C" w14:textId="77777777" w:rsidTr="008E445B">
        <w:tc>
          <w:tcPr>
            <w:tcW w:w="4788" w:type="dxa"/>
            <w:shd w:val="clear" w:color="auto" w:fill="auto"/>
          </w:tcPr>
          <w:p w14:paraId="67A75496"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lastRenderedPageBreak/>
              <w:t>3.18. Motor a diésel:</w:t>
            </w:r>
            <w:r w:rsidRPr="009E79D2">
              <w:rPr>
                <w:rFonts w:ascii="Verdana" w:hAnsi="Verdana"/>
                <w:sz w:val="16"/>
                <w:szCs w:val="16"/>
              </w:rPr>
              <w:t xml:space="preserve"> la fuente de potencia en la cual una mezcla de aire y combustible diésel se inyecta a las cámaras de combustión para ser encendido, mediante el calor generado por la compresión durante la operación de los pistones.</w:t>
            </w:r>
          </w:p>
        </w:tc>
        <w:tc>
          <w:tcPr>
            <w:tcW w:w="4788" w:type="dxa"/>
          </w:tcPr>
          <w:p w14:paraId="1964F8DA"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3.18.</w:t>
            </w:r>
            <w:r w:rsidRPr="00356B54">
              <w:rPr>
                <w:lang w:val="en-US"/>
              </w:rPr>
              <w:t xml:space="preserve"> </w:t>
            </w:r>
            <w:r w:rsidRPr="00356B54">
              <w:rPr>
                <w:rFonts w:ascii="Verdana" w:hAnsi="Verdana"/>
                <w:b/>
                <w:bCs/>
                <w:sz w:val="16"/>
                <w:szCs w:val="16"/>
                <w:lang w:val="en-US"/>
              </w:rPr>
              <w:t>Diesel engine:</w:t>
            </w:r>
            <w:r w:rsidRPr="00356B54">
              <w:rPr>
                <w:lang w:val="en-US"/>
              </w:rPr>
              <w:t xml:space="preserve"> </w:t>
            </w:r>
            <w:r w:rsidRPr="00356B54">
              <w:rPr>
                <w:rFonts w:ascii="Verdana" w:hAnsi="Verdana"/>
                <w:sz w:val="16"/>
                <w:szCs w:val="16"/>
                <w:lang w:val="en-US"/>
              </w:rPr>
              <w:t>the power source in which a mixture of air and diesel fuel is injected into the combustion chambers to be ignited, by the heat generated by the compression during the operation of the pistons.</w:t>
            </w:r>
            <w:r w:rsidRPr="00356B54">
              <w:rPr>
                <w:lang w:val="en-US"/>
              </w:rPr>
              <w:t xml:space="preserve"> </w:t>
            </w:r>
          </w:p>
        </w:tc>
      </w:tr>
      <w:tr w:rsidR="008A0760" w:rsidRPr="00743A20" w14:paraId="58803D3C" w14:textId="77777777" w:rsidTr="008E445B">
        <w:tc>
          <w:tcPr>
            <w:tcW w:w="4788" w:type="dxa"/>
            <w:shd w:val="clear" w:color="auto" w:fill="auto"/>
          </w:tcPr>
          <w:p w14:paraId="3D83AD29" w14:textId="77777777" w:rsidR="008A0760" w:rsidRPr="009E79D2" w:rsidRDefault="008A0760" w:rsidP="008A0760">
            <w:pPr>
              <w:pStyle w:val="Texto"/>
              <w:spacing w:line="238" w:lineRule="exact"/>
              <w:ind w:firstLine="0"/>
              <w:rPr>
                <w:rFonts w:ascii="Verdana" w:hAnsi="Verdana"/>
                <w:sz w:val="16"/>
                <w:szCs w:val="16"/>
              </w:rPr>
            </w:pPr>
            <w:r w:rsidRPr="009E79D2">
              <w:rPr>
                <w:rFonts w:ascii="Verdana" w:hAnsi="Verdana"/>
                <w:b/>
                <w:sz w:val="16"/>
                <w:szCs w:val="16"/>
              </w:rPr>
              <w:t>3.19. Motor nuevo:</w:t>
            </w:r>
            <w:r w:rsidRPr="009E79D2">
              <w:rPr>
                <w:rFonts w:ascii="Verdana" w:hAnsi="Verdana"/>
                <w:sz w:val="16"/>
                <w:szCs w:val="16"/>
              </w:rPr>
              <w:t xml:space="preserve"> es aquel motor que no ha sido objeto de cambio de componente alguno después de haber sido producido y enajenado por parte del fabricante del motor.</w:t>
            </w:r>
          </w:p>
        </w:tc>
        <w:tc>
          <w:tcPr>
            <w:tcW w:w="4788" w:type="dxa"/>
          </w:tcPr>
          <w:p w14:paraId="7F96D542" w14:textId="77777777" w:rsidR="008A0760" w:rsidRPr="00356B54" w:rsidRDefault="008A0760" w:rsidP="008A0760">
            <w:pPr>
              <w:spacing w:after="101" w:line="238" w:lineRule="atLeast"/>
              <w:jc w:val="both"/>
              <w:rPr>
                <w:lang w:val="en-US"/>
              </w:rPr>
            </w:pPr>
            <w:r w:rsidRPr="00356B54">
              <w:rPr>
                <w:rFonts w:ascii="Verdana" w:hAnsi="Verdana"/>
                <w:b/>
                <w:bCs/>
                <w:sz w:val="16"/>
                <w:szCs w:val="16"/>
                <w:lang w:val="en-US"/>
              </w:rPr>
              <w:t>3.19.</w:t>
            </w:r>
            <w:r w:rsidRPr="00356B54">
              <w:rPr>
                <w:lang w:val="en-US"/>
              </w:rPr>
              <w:t xml:space="preserve"> </w:t>
            </w:r>
            <w:r w:rsidRPr="00356B54">
              <w:rPr>
                <w:rFonts w:ascii="Verdana" w:hAnsi="Verdana"/>
                <w:b/>
                <w:bCs/>
                <w:sz w:val="16"/>
                <w:szCs w:val="16"/>
                <w:lang w:val="en-US"/>
              </w:rPr>
              <w:t>New engine:</w:t>
            </w:r>
            <w:r w:rsidRPr="00356B54">
              <w:rPr>
                <w:lang w:val="en-US"/>
              </w:rPr>
              <w:t xml:space="preserve"> </w:t>
            </w:r>
            <w:r w:rsidRPr="00356B54">
              <w:rPr>
                <w:rFonts w:ascii="Verdana" w:hAnsi="Verdana"/>
                <w:sz w:val="16"/>
                <w:szCs w:val="16"/>
                <w:lang w:val="en-US"/>
              </w:rPr>
              <w:t>is that engine that has not been subject to change of any component after having been produced and sold by the engine manufacturer.</w:t>
            </w:r>
            <w:r w:rsidRPr="00356B54">
              <w:rPr>
                <w:lang w:val="en-US"/>
              </w:rPr>
              <w:t xml:space="preserve"> </w:t>
            </w:r>
          </w:p>
        </w:tc>
      </w:tr>
      <w:tr w:rsidR="008A0760" w:rsidRPr="00743A20" w14:paraId="0451B9E6" w14:textId="77777777" w:rsidTr="008E445B">
        <w:tc>
          <w:tcPr>
            <w:tcW w:w="4788" w:type="dxa"/>
            <w:shd w:val="clear" w:color="auto" w:fill="auto"/>
          </w:tcPr>
          <w:p w14:paraId="4ABA152A" w14:textId="77777777" w:rsidR="008A0760" w:rsidRPr="009E79D2" w:rsidRDefault="008A0760" w:rsidP="008A0760">
            <w:pPr>
              <w:pStyle w:val="Texto"/>
              <w:spacing w:line="226" w:lineRule="exact"/>
              <w:ind w:firstLine="0"/>
              <w:rPr>
                <w:rFonts w:ascii="Verdana" w:hAnsi="Verdana"/>
                <w:b/>
                <w:sz w:val="16"/>
                <w:szCs w:val="16"/>
              </w:rPr>
            </w:pPr>
            <w:r w:rsidRPr="009E79D2">
              <w:rPr>
                <w:rFonts w:ascii="Verdana" w:hAnsi="Verdana"/>
                <w:b/>
                <w:sz w:val="16"/>
                <w:szCs w:val="16"/>
              </w:rPr>
              <w:t xml:space="preserve">3.20. Nuevo Ciclo Europeo de Prueba (NCEP): </w:t>
            </w:r>
            <w:r w:rsidRPr="009E79D2">
              <w:rPr>
                <w:rFonts w:ascii="Verdana" w:hAnsi="Verdana"/>
                <w:sz w:val="16"/>
                <w:szCs w:val="16"/>
              </w:rPr>
              <w:t>ciclo de prueba que se compone de dos partes; parte uno: ciclo urbano, el cual consiste de 4 ciclos de prueba (cada uno de 1,013 km, con una distancia total recorrida de 4,052 km y una velocidad media durante la prueba de 19 km/h); y, Parte dos: ciclo no urbano, el cual consiste de un ciclo de prueba con una distancia total recorrida de 6,955 km con una velocidad media durante la prueba de 62.6 km/h y una velocidad máxima de 120 km/h.</w:t>
            </w:r>
          </w:p>
        </w:tc>
        <w:tc>
          <w:tcPr>
            <w:tcW w:w="4788" w:type="dxa"/>
          </w:tcPr>
          <w:p w14:paraId="5FCADB73" w14:textId="77777777" w:rsidR="008A0760" w:rsidRPr="00356B54" w:rsidRDefault="008A0760" w:rsidP="008A0760">
            <w:pPr>
              <w:spacing w:after="101" w:line="226" w:lineRule="atLeast"/>
              <w:jc w:val="both"/>
              <w:rPr>
                <w:lang w:val="en-US"/>
              </w:rPr>
            </w:pPr>
            <w:r w:rsidRPr="00356B54">
              <w:rPr>
                <w:rFonts w:ascii="Verdana" w:hAnsi="Verdana"/>
                <w:b/>
                <w:bCs/>
                <w:sz w:val="16"/>
                <w:szCs w:val="16"/>
                <w:lang w:val="en-US"/>
              </w:rPr>
              <w:t>3.20.</w:t>
            </w:r>
            <w:r w:rsidRPr="00356B54">
              <w:rPr>
                <w:lang w:val="en-US"/>
              </w:rPr>
              <w:t xml:space="preserve"> </w:t>
            </w:r>
            <w:r w:rsidRPr="00356B54">
              <w:rPr>
                <w:rFonts w:ascii="Verdana" w:hAnsi="Verdana"/>
                <w:b/>
                <w:bCs/>
                <w:sz w:val="16"/>
                <w:szCs w:val="16"/>
                <w:lang w:val="en-US"/>
              </w:rPr>
              <w:t>New European Test Cycle (N</w:t>
            </w:r>
            <w:r w:rsidR="00475F08">
              <w:rPr>
                <w:rFonts w:ascii="Verdana" w:hAnsi="Verdana"/>
                <w:b/>
                <w:bCs/>
                <w:sz w:val="16"/>
                <w:szCs w:val="16"/>
                <w:lang w:val="en-US"/>
              </w:rPr>
              <w:t>ETC</w:t>
            </w:r>
            <w:r w:rsidRPr="00356B54">
              <w:rPr>
                <w:rFonts w:ascii="Verdana" w:hAnsi="Verdana"/>
                <w:b/>
                <w:bCs/>
                <w:sz w:val="16"/>
                <w:szCs w:val="16"/>
                <w:lang w:val="en-US"/>
              </w:rPr>
              <w:t>):</w:t>
            </w:r>
            <w:r w:rsidRPr="00356B54">
              <w:rPr>
                <w:lang w:val="en-US"/>
              </w:rPr>
              <w:t xml:space="preserve"> </w:t>
            </w:r>
            <w:r w:rsidRPr="00356B54">
              <w:rPr>
                <w:rFonts w:ascii="Verdana" w:hAnsi="Verdana"/>
                <w:sz w:val="16"/>
                <w:szCs w:val="16"/>
                <w:lang w:val="en-US"/>
              </w:rPr>
              <w:t>test cycle consisting of two parts;</w:t>
            </w:r>
            <w:r w:rsidRPr="00356B54">
              <w:rPr>
                <w:lang w:val="en-US"/>
              </w:rPr>
              <w:t xml:space="preserve"> </w:t>
            </w:r>
            <w:r w:rsidRPr="00356B54">
              <w:rPr>
                <w:rFonts w:ascii="Verdana" w:hAnsi="Verdana"/>
                <w:sz w:val="16"/>
                <w:szCs w:val="16"/>
                <w:lang w:val="en-US"/>
              </w:rPr>
              <w:t xml:space="preserve">part one: urban cycle, which consists of 4 test cycles (each of 1,013 km, with a total traveled distance of 4,052 km and an average speed during the test of 19 </w:t>
            </w:r>
            <w:r w:rsidR="00141651">
              <w:rPr>
                <w:rFonts w:ascii="Verdana" w:hAnsi="Verdana"/>
                <w:sz w:val="16"/>
                <w:szCs w:val="16"/>
                <w:lang w:val="en-US"/>
              </w:rPr>
              <w:t>km/h</w:t>
            </w:r>
            <w:r w:rsidRPr="00356B54">
              <w:rPr>
                <w:rFonts w:ascii="Verdana" w:hAnsi="Verdana"/>
                <w:sz w:val="16"/>
                <w:szCs w:val="16"/>
                <w:lang w:val="en-US"/>
              </w:rPr>
              <w:t>);</w:t>
            </w:r>
            <w:r w:rsidRPr="00356B54">
              <w:rPr>
                <w:lang w:val="en-US"/>
              </w:rPr>
              <w:t xml:space="preserve"> </w:t>
            </w:r>
            <w:r w:rsidRPr="00356B54">
              <w:rPr>
                <w:rFonts w:ascii="Verdana" w:hAnsi="Verdana"/>
                <w:sz w:val="16"/>
                <w:szCs w:val="16"/>
                <w:lang w:val="en-US"/>
              </w:rPr>
              <w:t>and, Part two: non-urban cycle, which consists</w:t>
            </w:r>
            <w:r w:rsidRPr="00356B54">
              <w:rPr>
                <w:lang w:val="en-US"/>
              </w:rPr>
              <w:t xml:space="preserve"> </w:t>
            </w:r>
            <w:r w:rsidRPr="00356B54">
              <w:rPr>
                <w:rFonts w:ascii="Verdana" w:hAnsi="Verdana"/>
                <w:sz w:val="16"/>
                <w:szCs w:val="16"/>
                <w:lang w:val="en-US"/>
              </w:rPr>
              <w:t xml:space="preserve">of a test cycle with a total traveled distance of 6,955 km with an average speed during the test of 62.6 </w:t>
            </w:r>
            <w:r w:rsidR="00141651">
              <w:rPr>
                <w:rFonts w:ascii="Verdana" w:hAnsi="Verdana"/>
                <w:sz w:val="16"/>
                <w:szCs w:val="16"/>
                <w:lang w:val="en-US"/>
              </w:rPr>
              <w:t>km/h</w:t>
            </w:r>
            <w:r w:rsidRPr="00356B54">
              <w:rPr>
                <w:rFonts w:ascii="Verdana" w:hAnsi="Verdana"/>
                <w:sz w:val="16"/>
                <w:szCs w:val="16"/>
                <w:lang w:val="en-US"/>
              </w:rPr>
              <w:t xml:space="preserve"> and a maximum speed of 120 </w:t>
            </w:r>
            <w:r w:rsidR="00141651">
              <w:rPr>
                <w:rFonts w:ascii="Verdana" w:hAnsi="Verdana"/>
                <w:sz w:val="16"/>
                <w:szCs w:val="16"/>
                <w:lang w:val="en-US"/>
              </w:rPr>
              <w:t>km/h</w:t>
            </w:r>
            <w:r w:rsidRPr="00356B54">
              <w:rPr>
                <w:rFonts w:ascii="Verdana" w:hAnsi="Verdana"/>
                <w:sz w:val="16"/>
                <w:szCs w:val="16"/>
                <w:lang w:val="en-US"/>
              </w:rPr>
              <w:t>.</w:t>
            </w:r>
            <w:r w:rsidRPr="00356B54">
              <w:rPr>
                <w:lang w:val="en-US"/>
              </w:rPr>
              <w:t xml:space="preserve"> </w:t>
            </w:r>
          </w:p>
        </w:tc>
      </w:tr>
      <w:tr w:rsidR="008A0760" w:rsidRPr="00743A20" w14:paraId="7343DC45" w14:textId="77777777" w:rsidTr="008E445B">
        <w:tc>
          <w:tcPr>
            <w:tcW w:w="4788" w:type="dxa"/>
            <w:shd w:val="clear" w:color="auto" w:fill="auto"/>
          </w:tcPr>
          <w:p w14:paraId="4E556E57" w14:textId="77777777" w:rsidR="008A0760" w:rsidRPr="009E79D2" w:rsidRDefault="008A0760" w:rsidP="008A0760">
            <w:pPr>
              <w:pStyle w:val="Texto"/>
              <w:spacing w:line="226" w:lineRule="exact"/>
              <w:ind w:firstLine="0"/>
              <w:rPr>
                <w:rFonts w:ascii="Verdana" w:hAnsi="Verdana"/>
                <w:sz w:val="16"/>
                <w:szCs w:val="16"/>
              </w:rPr>
            </w:pPr>
            <w:r w:rsidRPr="009E79D2">
              <w:rPr>
                <w:rFonts w:ascii="Verdana" w:hAnsi="Verdana"/>
                <w:b/>
                <w:sz w:val="16"/>
                <w:szCs w:val="16"/>
              </w:rPr>
              <w:t>3.21. Partículas (Part):</w:t>
            </w:r>
            <w:r w:rsidRPr="009E79D2">
              <w:rPr>
                <w:rFonts w:ascii="Verdana" w:hAnsi="Verdana"/>
                <w:sz w:val="16"/>
                <w:szCs w:val="16"/>
              </w:rPr>
              <w:t xml:space="preserve"> son residuos de una combustión incompleta que se componen, en su mayoría, de carbón, cenizas y de fragmentos de materia que se emiten a la atmósfera, en fase líquida o sólida, a través del escape de un vehículo automotor. Las partículas se pueden medir con métodos gravimétricos (masa) y por métodos de conteo (número de partículas).</w:t>
            </w:r>
          </w:p>
        </w:tc>
        <w:tc>
          <w:tcPr>
            <w:tcW w:w="4788" w:type="dxa"/>
          </w:tcPr>
          <w:p w14:paraId="3E76EBE1" w14:textId="77777777" w:rsidR="008A0760" w:rsidRPr="00356B54" w:rsidRDefault="008A0760" w:rsidP="008A0760">
            <w:pPr>
              <w:spacing w:after="101" w:line="226" w:lineRule="atLeast"/>
              <w:jc w:val="both"/>
              <w:rPr>
                <w:lang w:val="en-US"/>
              </w:rPr>
            </w:pPr>
            <w:r w:rsidRPr="00356B54">
              <w:rPr>
                <w:rFonts w:ascii="Verdana" w:hAnsi="Verdana"/>
                <w:b/>
                <w:bCs/>
                <w:sz w:val="16"/>
                <w:szCs w:val="16"/>
                <w:lang w:val="en-US"/>
              </w:rPr>
              <w:t>3.21.</w:t>
            </w:r>
            <w:r w:rsidRPr="00356B54">
              <w:rPr>
                <w:lang w:val="en-US"/>
              </w:rPr>
              <w:t xml:space="preserve"> </w:t>
            </w:r>
            <w:r w:rsidRPr="00356B54">
              <w:rPr>
                <w:rFonts w:ascii="Verdana" w:hAnsi="Verdana"/>
                <w:b/>
                <w:bCs/>
                <w:sz w:val="16"/>
                <w:szCs w:val="16"/>
                <w:lang w:val="en-US"/>
              </w:rPr>
              <w:t xml:space="preserve">Particles (Part): </w:t>
            </w:r>
            <w:r w:rsidRPr="00356B54">
              <w:rPr>
                <w:rFonts w:ascii="Verdana" w:hAnsi="Verdana"/>
                <w:sz w:val="16"/>
                <w:szCs w:val="16"/>
                <w:lang w:val="en-US"/>
              </w:rPr>
              <w:t xml:space="preserve">are </w:t>
            </w:r>
            <w:r w:rsidR="00475F08">
              <w:rPr>
                <w:rFonts w:ascii="Verdana" w:hAnsi="Verdana"/>
                <w:sz w:val="16"/>
                <w:szCs w:val="16"/>
                <w:lang w:val="en-US"/>
              </w:rPr>
              <w:t>wastes</w:t>
            </w:r>
            <w:r w:rsidRPr="00356B54">
              <w:rPr>
                <w:rFonts w:ascii="Verdana" w:hAnsi="Verdana"/>
                <w:sz w:val="16"/>
                <w:szCs w:val="16"/>
                <w:lang w:val="en-US"/>
              </w:rPr>
              <w:t xml:space="preserve"> </w:t>
            </w:r>
            <w:r w:rsidR="00475F08">
              <w:rPr>
                <w:rFonts w:ascii="Verdana" w:hAnsi="Verdana"/>
                <w:sz w:val="16"/>
                <w:szCs w:val="16"/>
                <w:lang w:val="en-US"/>
              </w:rPr>
              <w:t>from</w:t>
            </w:r>
            <w:r w:rsidRPr="00356B54">
              <w:rPr>
                <w:rFonts w:ascii="Verdana" w:hAnsi="Verdana"/>
                <w:sz w:val="16"/>
                <w:szCs w:val="16"/>
                <w:lang w:val="en-US"/>
              </w:rPr>
              <w:t xml:space="preserve"> incomplete combustion that are composed, mostly, of coal, ash and fragments of matter that are emitted into the atmosphere, in liquid or solid phase, through the escape of a motor vehicle.</w:t>
            </w:r>
            <w:r w:rsidRPr="00356B54">
              <w:rPr>
                <w:lang w:val="en-US"/>
              </w:rPr>
              <w:t xml:space="preserve"> </w:t>
            </w:r>
            <w:r w:rsidRPr="00356B54">
              <w:rPr>
                <w:rFonts w:ascii="Verdana" w:hAnsi="Verdana"/>
                <w:sz w:val="16"/>
                <w:szCs w:val="16"/>
                <w:lang w:val="en-US"/>
              </w:rPr>
              <w:t>The particles can be measured by gravimetric methods (mass) and by counting methods (number of particles).</w:t>
            </w:r>
            <w:r w:rsidRPr="00356B54">
              <w:rPr>
                <w:lang w:val="en-US"/>
              </w:rPr>
              <w:t xml:space="preserve"> </w:t>
            </w:r>
          </w:p>
        </w:tc>
      </w:tr>
      <w:tr w:rsidR="008A0760" w:rsidRPr="00743A20" w14:paraId="66AA8769" w14:textId="77777777" w:rsidTr="008E445B">
        <w:tc>
          <w:tcPr>
            <w:tcW w:w="4788" w:type="dxa"/>
            <w:shd w:val="clear" w:color="auto" w:fill="auto"/>
          </w:tcPr>
          <w:p w14:paraId="0D66327D" w14:textId="77777777" w:rsidR="008A0760" w:rsidRPr="009E79D2" w:rsidRDefault="008A0760" w:rsidP="008A0760">
            <w:pPr>
              <w:pStyle w:val="Texto"/>
              <w:spacing w:line="226" w:lineRule="exact"/>
              <w:ind w:firstLine="0"/>
              <w:rPr>
                <w:rFonts w:ascii="Verdana" w:hAnsi="Verdana"/>
                <w:sz w:val="16"/>
                <w:szCs w:val="16"/>
              </w:rPr>
            </w:pPr>
            <w:r w:rsidRPr="009E79D2">
              <w:rPr>
                <w:rFonts w:ascii="Verdana" w:hAnsi="Verdana"/>
                <w:b/>
                <w:sz w:val="16"/>
                <w:szCs w:val="16"/>
              </w:rPr>
              <w:t>3.22. Peso Bruto Vehicular:</w:t>
            </w:r>
            <w:r w:rsidRPr="009E79D2">
              <w:rPr>
                <w:rFonts w:ascii="Verdana" w:hAnsi="Verdana"/>
                <w:sz w:val="16"/>
                <w:szCs w:val="16"/>
              </w:rPr>
              <w:t xml:space="preserve"> es el peso máximo del vehículo especificado por el fabricante expresado en kilogramos, consistente en el peso nominal del vehículo sumado al de su máxima capacidad de carga, con el tanque de combustible lleno a su capacidad nominal.</w:t>
            </w:r>
          </w:p>
        </w:tc>
        <w:tc>
          <w:tcPr>
            <w:tcW w:w="4788" w:type="dxa"/>
          </w:tcPr>
          <w:p w14:paraId="24AB9CC9" w14:textId="77777777" w:rsidR="008A0760" w:rsidRPr="00356B54" w:rsidRDefault="008A0760" w:rsidP="008A0760">
            <w:pPr>
              <w:spacing w:after="101" w:line="226" w:lineRule="atLeast"/>
              <w:jc w:val="both"/>
              <w:rPr>
                <w:lang w:val="en-US"/>
              </w:rPr>
            </w:pPr>
            <w:r w:rsidRPr="00356B54">
              <w:rPr>
                <w:rFonts w:ascii="Verdana" w:hAnsi="Verdana"/>
                <w:b/>
                <w:bCs/>
                <w:sz w:val="16"/>
                <w:szCs w:val="16"/>
                <w:lang w:val="en-US"/>
              </w:rPr>
              <w:t>3.22.</w:t>
            </w:r>
            <w:r w:rsidRPr="00356B54">
              <w:rPr>
                <w:lang w:val="en-US"/>
              </w:rPr>
              <w:t xml:space="preserve"> </w:t>
            </w:r>
            <w:r w:rsidRPr="00356B54">
              <w:rPr>
                <w:rFonts w:ascii="Verdana" w:hAnsi="Verdana"/>
                <w:b/>
                <w:bCs/>
                <w:sz w:val="16"/>
                <w:szCs w:val="16"/>
                <w:lang w:val="en-US"/>
              </w:rPr>
              <w:t>Gross Vehicular Weight:</w:t>
            </w:r>
            <w:r w:rsidRPr="00356B54">
              <w:rPr>
                <w:lang w:val="en-US"/>
              </w:rPr>
              <w:t xml:space="preserve"> </w:t>
            </w:r>
            <w:r w:rsidRPr="00356B54">
              <w:rPr>
                <w:rFonts w:ascii="Verdana" w:hAnsi="Verdana"/>
                <w:sz w:val="16"/>
                <w:szCs w:val="16"/>
                <w:lang w:val="en-US"/>
              </w:rPr>
              <w:t>is the maximum weight of the vehicle specified by the manufacturer expressed in kilograms, consisting of the nominal weight of the vehicle added to its maximum load capacity, with the fuel tank full to its nominal capacity.</w:t>
            </w:r>
            <w:r w:rsidRPr="00356B54">
              <w:rPr>
                <w:lang w:val="en-US"/>
              </w:rPr>
              <w:t xml:space="preserve"> </w:t>
            </w:r>
          </w:p>
        </w:tc>
      </w:tr>
      <w:tr w:rsidR="008A0760" w:rsidRPr="00743A20" w14:paraId="497B3436" w14:textId="77777777" w:rsidTr="008E445B">
        <w:tc>
          <w:tcPr>
            <w:tcW w:w="4788" w:type="dxa"/>
            <w:shd w:val="clear" w:color="auto" w:fill="auto"/>
          </w:tcPr>
          <w:p w14:paraId="3719B06B" w14:textId="77777777" w:rsidR="008A0760" w:rsidRPr="009E79D2" w:rsidRDefault="008A0760" w:rsidP="008A0760">
            <w:pPr>
              <w:pStyle w:val="Texto"/>
              <w:spacing w:line="226" w:lineRule="exact"/>
              <w:ind w:firstLine="0"/>
              <w:rPr>
                <w:rFonts w:ascii="Verdana" w:hAnsi="Verdana"/>
                <w:sz w:val="16"/>
                <w:szCs w:val="16"/>
              </w:rPr>
            </w:pPr>
            <w:r w:rsidRPr="009E79D2">
              <w:rPr>
                <w:rFonts w:ascii="Verdana" w:hAnsi="Verdana"/>
                <w:b/>
                <w:sz w:val="16"/>
                <w:szCs w:val="16"/>
              </w:rPr>
              <w:t>3.23. PROFEPA:</w:t>
            </w:r>
            <w:r w:rsidRPr="009E79D2">
              <w:rPr>
                <w:rFonts w:ascii="Verdana" w:hAnsi="Verdana"/>
                <w:sz w:val="16"/>
                <w:szCs w:val="16"/>
              </w:rPr>
              <w:t xml:space="preserve"> La Procuraduría Federal de Protección al Ambiente.</w:t>
            </w:r>
          </w:p>
        </w:tc>
        <w:tc>
          <w:tcPr>
            <w:tcW w:w="4788" w:type="dxa"/>
          </w:tcPr>
          <w:p w14:paraId="6F91DA93" w14:textId="77777777" w:rsidR="008A0760" w:rsidRPr="00356B54" w:rsidRDefault="008A0760" w:rsidP="008A0760">
            <w:pPr>
              <w:spacing w:after="101" w:line="226" w:lineRule="atLeast"/>
              <w:jc w:val="both"/>
              <w:rPr>
                <w:lang w:val="en-US"/>
              </w:rPr>
            </w:pPr>
            <w:r w:rsidRPr="00356B54">
              <w:rPr>
                <w:rFonts w:ascii="Verdana" w:hAnsi="Verdana"/>
                <w:b/>
                <w:bCs/>
                <w:sz w:val="16"/>
                <w:szCs w:val="16"/>
                <w:lang w:val="en-US"/>
              </w:rPr>
              <w:t>3.23.</w:t>
            </w:r>
            <w:r w:rsidRPr="00356B54">
              <w:rPr>
                <w:lang w:val="en-US"/>
              </w:rPr>
              <w:t xml:space="preserve"> </w:t>
            </w:r>
            <w:r w:rsidRPr="00356B54">
              <w:rPr>
                <w:rFonts w:ascii="Verdana" w:hAnsi="Verdana"/>
                <w:b/>
                <w:bCs/>
                <w:sz w:val="16"/>
                <w:szCs w:val="16"/>
                <w:lang w:val="en-US"/>
              </w:rPr>
              <w:t>PROFEPA:</w:t>
            </w:r>
            <w:r w:rsidRPr="00356B54">
              <w:rPr>
                <w:lang w:val="en-US"/>
              </w:rPr>
              <w:t xml:space="preserve"> </w:t>
            </w:r>
            <w:r w:rsidRPr="00356B54">
              <w:rPr>
                <w:rFonts w:ascii="Verdana" w:hAnsi="Verdana"/>
                <w:sz w:val="16"/>
                <w:szCs w:val="16"/>
                <w:lang w:val="en-US"/>
              </w:rPr>
              <w:t xml:space="preserve">The Federal </w:t>
            </w:r>
            <w:r w:rsidR="00475F08">
              <w:rPr>
                <w:rFonts w:ascii="Verdana" w:hAnsi="Verdana"/>
                <w:sz w:val="16"/>
                <w:szCs w:val="16"/>
                <w:lang w:val="en-US"/>
              </w:rPr>
              <w:t>Prosecutor Office</w:t>
            </w:r>
            <w:r w:rsidRPr="00356B54">
              <w:rPr>
                <w:rFonts w:ascii="Verdana" w:hAnsi="Verdana"/>
                <w:sz w:val="16"/>
                <w:szCs w:val="16"/>
                <w:lang w:val="en-US"/>
              </w:rPr>
              <w:t xml:space="preserve"> for Environmental Protection.</w:t>
            </w:r>
            <w:r w:rsidRPr="00356B54">
              <w:rPr>
                <w:lang w:val="en-US"/>
              </w:rPr>
              <w:t xml:space="preserve"> </w:t>
            </w:r>
          </w:p>
        </w:tc>
      </w:tr>
      <w:tr w:rsidR="008A0760" w:rsidRPr="00743A20" w14:paraId="4A274EEB" w14:textId="77777777" w:rsidTr="008E445B">
        <w:tc>
          <w:tcPr>
            <w:tcW w:w="4788" w:type="dxa"/>
            <w:shd w:val="clear" w:color="auto" w:fill="auto"/>
          </w:tcPr>
          <w:p w14:paraId="168ECA5F" w14:textId="77777777" w:rsidR="008A0760" w:rsidRPr="009E79D2" w:rsidRDefault="008A0760" w:rsidP="008A0760">
            <w:pPr>
              <w:pStyle w:val="Texto"/>
              <w:spacing w:line="226" w:lineRule="exact"/>
              <w:ind w:firstLine="0"/>
              <w:rPr>
                <w:rFonts w:ascii="Verdana" w:hAnsi="Verdana"/>
                <w:sz w:val="16"/>
                <w:szCs w:val="16"/>
              </w:rPr>
            </w:pPr>
            <w:r w:rsidRPr="009E79D2">
              <w:rPr>
                <w:rFonts w:ascii="Verdana" w:hAnsi="Verdana"/>
                <w:b/>
                <w:sz w:val="16"/>
                <w:szCs w:val="16"/>
              </w:rPr>
              <w:t>3.24. Sistema de Diagnóstico a Bordo (SDB u OBD, por sus siglas en inglés):</w:t>
            </w:r>
            <w:r w:rsidRPr="009E79D2">
              <w:rPr>
                <w:rFonts w:ascii="Verdana" w:hAnsi="Verdana"/>
                <w:sz w:val="16"/>
                <w:szCs w:val="16"/>
              </w:rPr>
              <w:t xml:space="preserve"> módulo electrónico integrado por un conjunto de rutinas y monitores, diseñado para diagnosticar el funcionamiento de los componentes relacionados con el control de emisiones de gases contaminantes.</w:t>
            </w:r>
          </w:p>
        </w:tc>
        <w:tc>
          <w:tcPr>
            <w:tcW w:w="4788" w:type="dxa"/>
          </w:tcPr>
          <w:p w14:paraId="7EF64E50" w14:textId="77777777" w:rsidR="008A0760" w:rsidRPr="00356B54" w:rsidRDefault="008A0760" w:rsidP="008A0760">
            <w:pPr>
              <w:spacing w:after="101" w:line="226" w:lineRule="atLeast"/>
              <w:jc w:val="both"/>
              <w:rPr>
                <w:lang w:val="en-US"/>
              </w:rPr>
            </w:pPr>
            <w:r w:rsidRPr="00356B54">
              <w:rPr>
                <w:rFonts w:ascii="Verdana" w:hAnsi="Verdana"/>
                <w:b/>
                <w:bCs/>
                <w:sz w:val="16"/>
                <w:szCs w:val="16"/>
                <w:lang w:val="en-US"/>
              </w:rPr>
              <w:t>3.24.</w:t>
            </w:r>
            <w:r w:rsidRPr="00356B54">
              <w:rPr>
                <w:lang w:val="en-US"/>
              </w:rPr>
              <w:t xml:space="preserve"> </w:t>
            </w:r>
            <w:r w:rsidRPr="00356B54">
              <w:rPr>
                <w:rFonts w:ascii="Verdana" w:hAnsi="Verdana"/>
                <w:b/>
                <w:bCs/>
                <w:sz w:val="16"/>
                <w:szCs w:val="16"/>
                <w:lang w:val="en-US"/>
              </w:rPr>
              <w:t>On-Board Diagnostic System (SDB or OBD, for its acronym in English):</w:t>
            </w:r>
            <w:r w:rsidRPr="00356B54">
              <w:rPr>
                <w:lang w:val="en-US"/>
              </w:rPr>
              <w:t xml:space="preserve"> </w:t>
            </w:r>
            <w:r w:rsidRPr="00356B54">
              <w:rPr>
                <w:rFonts w:ascii="Verdana" w:hAnsi="Verdana"/>
                <w:sz w:val="16"/>
                <w:szCs w:val="16"/>
                <w:lang w:val="en-US"/>
              </w:rPr>
              <w:t>electronic module integrated by a set of routines and monitors, designed to diagnose the operation of the components related to the control of emissions of polluting gases.</w:t>
            </w:r>
            <w:r w:rsidRPr="00356B54">
              <w:rPr>
                <w:lang w:val="en-US"/>
              </w:rPr>
              <w:t xml:space="preserve"> </w:t>
            </w:r>
          </w:p>
        </w:tc>
      </w:tr>
      <w:tr w:rsidR="008A0760" w:rsidRPr="00743A20" w14:paraId="02073A10" w14:textId="77777777" w:rsidTr="008E445B">
        <w:tc>
          <w:tcPr>
            <w:tcW w:w="4788" w:type="dxa"/>
            <w:shd w:val="clear" w:color="auto" w:fill="auto"/>
          </w:tcPr>
          <w:p w14:paraId="610B70F3" w14:textId="77777777" w:rsidR="008A0760" w:rsidRPr="009E79D2" w:rsidRDefault="008A0760" w:rsidP="008A0760">
            <w:pPr>
              <w:pStyle w:val="Texto"/>
              <w:spacing w:line="226" w:lineRule="exact"/>
              <w:ind w:firstLine="0"/>
              <w:rPr>
                <w:rFonts w:ascii="Verdana" w:hAnsi="Verdana"/>
                <w:sz w:val="16"/>
                <w:szCs w:val="16"/>
              </w:rPr>
            </w:pPr>
            <w:r w:rsidRPr="009E79D2">
              <w:rPr>
                <w:rFonts w:ascii="Verdana" w:hAnsi="Verdana"/>
                <w:b/>
                <w:sz w:val="16"/>
                <w:szCs w:val="16"/>
              </w:rPr>
              <w:t xml:space="preserve">3.25. Solución acuosa de urea: </w:t>
            </w:r>
            <w:r w:rsidRPr="009E79D2">
              <w:rPr>
                <w:rFonts w:ascii="Verdana" w:hAnsi="Verdana"/>
                <w:sz w:val="16"/>
                <w:szCs w:val="16"/>
              </w:rPr>
              <w:t>solución con una concentración al 32.5% de urea técnicamente pura en agua pura, que cumple con las especificaciones de los instrumentos normativos actualmente aplicables o los que los sustituyan y misma que es utilizada en conjunto con el sistema de reducción catalítica selectiva como parte del sistema de post-tratamiento, con el objeto de reducir y controlar las emisiones de óxidos de nitrógeno (NOx) generadas por la combustión del motor a diésel.</w:t>
            </w:r>
          </w:p>
        </w:tc>
        <w:tc>
          <w:tcPr>
            <w:tcW w:w="4788" w:type="dxa"/>
          </w:tcPr>
          <w:p w14:paraId="0EF9037B" w14:textId="77777777" w:rsidR="008A0760" w:rsidRPr="00356B54" w:rsidRDefault="008A0760" w:rsidP="008A0760">
            <w:pPr>
              <w:spacing w:after="101" w:line="226" w:lineRule="atLeast"/>
              <w:jc w:val="both"/>
              <w:rPr>
                <w:lang w:val="en-US"/>
              </w:rPr>
            </w:pPr>
            <w:r w:rsidRPr="00356B54">
              <w:rPr>
                <w:rFonts w:ascii="Verdana" w:hAnsi="Verdana"/>
                <w:b/>
                <w:bCs/>
                <w:sz w:val="16"/>
                <w:szCs w:val="16"/>
                <w:lang w:val="en-US"/>
              </w:rPr>
              <w:t>3.25.</w:t>
            </w:r>
            <w:r w:rsidRPr="00356B54">
              <w:rPr>
                <w:lang w:val="en-US"/>
              </w:rPr>
              <w:t xml:space="preserve"> </w:t>
            </w:r>
            <w:r w:rsidRPr="00356B54">
              <w:rPr>
                <w:rFonts w:ascii="Verdana" w:hAnsi="Verdana"/>
                <w:b/>
                <w:bCs/>
                <w:sz w:val="16"/>
                <w:szCs w:val="16"/>
                <w:lang w:val="en-US"/>
              </w:rPr>
              <w:t>Aqueous solution of urea:</w:t>
            </w:r>
            <w:r w:rsidRPr="00356B54">
              <w:rPr>
                <w:lang w:val="en-US"/>
              </w:rPr>
              <w:t xml:space="preserve"> </w:t>
            </w:r>
            <w:r w:rsidRPr="00356B54">
              <w:rPr>
                <w:rFonts w:ascii="Verdana" w:hAnsi="Verdana"/>
                <w:sz w:val="16"/>
                <w:szCs w:val="16"/>
                <w:lang w:val="en-US"/>
              </w:rPr>
              <w:t xml:space="preserve">solution with a concentration of 32.5% of technically pure urea in pure water, which complies with the specifications of the currently applicable </w:t>
            </w:r>
            <w:r w:rsidR="00735A37">
              <w:rPr>
                <w:rFonts w:ascii="Verdana" w:hAnsi="Verdana"/>
                <w:sz w:val="16"/>
                <w:szCs w:val="16"/>
                <w:lang w:val="en-US"/>
              </w:rPr>
              <w:t>regulatory standard</w:t>
            </w:r>
            <w:r w:rsidRPr="00356B54">
              <w:rPr>
                <w:rFonts w:ascii="Verdana" w:hAnsi="Verdana"/>
                <w:sz w:val="16"/>
                <w:szCs w:val="16"/>
                <w:lang w:val="en-US"/>
              </w:rPr>
              <w:t xml:space="preserve">s or those that substitute them and which is used in conjunction with the selective catalytic reduction system as part of the post-treatment system, in order to reduce and control the emissions of nitrogen oxides </w:t>
            </w:r>
            <w:r w:rsidR="00475F08">
              <w:rPr>
                <w:rFonts w:ascii="Verdana" w:hAnsi="Verdana"/>
                <w:sz w:val="16"/>
                <w:szCs w:val="16"/>
                <w:lang w:val="en-US"/>
              </w:rPr>
              <w:t>(NOx)</w:t>
            </w:r>
            <w:r w:rsidRPr="00356B54">
              <w:rPr>
                <w:rFonts w:ascii="Verdana" w:hAnsi="Verdana"/>
                <w:sz w:val="16"/>
                <w:szCs w:val="16"/>
                <w:lang w:val="en-US"/>
              </w:rPr>
              <w:t xml:space="preserve"> generated by diesel engine combustion.</w:t>
            </w:r>
            <w:r w:rsidRPr="00356B54">
              <w:rPr>
                <w:lang w:val="en-US"/>
              </w:rPr>
              <w:t xml:space="preserve"> </w:t>
            </w:r>
          </w:p>
        </w:tc>
      </w:tr>
      <w:tr w:rsidR="008A0760" w:rsidRPr="00743A20" w14:paraId="35583AD7" w14:textId="77777777" w:rsidTr="008E445B">
        <w:tc>
          <w:tcPr>
            <w:tcW w:w="4788" w:type="dxa"/>
            <w:shd w:val="clear" w:color="auto" w:fill="auto"/>
          </w:tcPr>
          <w:p w14:paraId="6A4B2A03" w14:textId="77777777" w:rsidR="008A0760" w:rsidRPr="009E79D2" w:rsidRDefault="008A0760" w:rsidP="008A0760">
            <w:pPr>
              <w:pStyle w:val="Texto"/>
              <w:spacing w:line="226" w:lineRule="exact"/>
              <w:ind w:firstLine="0"/>
              <w:rPr>
                <w:rFonts w:ascii="Verdana" w:hAnsi="Verdana"/>
                <w:sz w:val="16"/>
                <w:szCs w:val="16"/>
              </w:rPr>
            </w:pPr>
            <w:r w:rsidRPr="009E79D2">
              <w:rPr>
                <w:rFonts w:ascii="Verdana" w:hAnsi="Verdana"/>
                <w:b/>
                <w:sz w:val="16"/>
                <w:szCs w:val="16"/>
              </w:rPr>
              <w:lastRenderedPageBreak/>
              <w:t xml:space="preserve">3.26. Vehículo automotor nuevo: </w:t>
            </w:r>
            <w:r w:rsidRPr="009E79D2">
              <w:rPr>
                <w:rFonts w:ascii="Verdana" w:hAnsi="Verdana"/>
                <w:sz w:val="16"/>
                <w:szCs w:val="16"/>
              </w:rPr>
              <w:t>vehículo automotor que no ha sido enajenado por primera vez en el territorio nacional por el fabricante o importador, con un kilometraje de hasta 5,000 kilómetros y con un peso bruto vehicular mayor de 3,857 kilogramos.</w:t>
            </w:r>
          </w:p>
        </w:tc>
        <w:tc>
          <w:tcPr>
            <w:tcW w:w="4788" w:type="dxa"/>
          </w:tcPr>
          <w:p w14:paraId="6097A9C1" w14:textId="77777777" w:rsidR="008A0760" w:rsidRPr="00356B54" w:rsidRDefault="008A0760" w:rsidP="008A0760">
            <w:pPr>
              <w:spacing w:after="101" w:line="226" w:lineRule="atLeast"/>
              <w:jc w:val="both"/>
              <w:rPr>
                <w:lang w:val="en-US"/>
              </w:rPr>
            </w:pPr>
            <w:r w:rsidRPr="00356B54">
              <w:rPr>
                <w:rFonts w:ascii="Verdana" w:hAnsi="Verdana"/>
                <w:b/>
                <w:bCs/>
                <w:sz w:val="16"/>
                <w:szCs w:val="16"/>
                <w:lang w:val="en-US"/>
              </w:rPr>
              <w:t>3.26.</w:t>
            </w:r>
            <w:r w:rsidRPr="00356B54">
              <w:rPr>
                <w:lang w:val="en-US"/>
              </w:rPr>
              <w:t xml:space="preserve"> </w:t>
            </w:r>
            <w:r w:rsidRPr="00356B54">
              <w:rPr>
                <w:rFonts w:ascii="Verdana" w:hAnsi="Verdana"/>
                <w:b/>
                <w:bCs/>
                <w:sz w:val="16"/>
                <w:szCs w:val="16"/>
                <w:lang w:val="en-US"/>
              </w:rPr>
              <w:t>New automotive</w:t>
            </w:r>
            <w:r w:rsidRPr="00356B54">
              <w:rPr>
                <w:lang w:val="en-US"/>
              </w:rPr>
              <w:t xml:space="preserve"> </w:t>
            </w:r>
            <w:r w:rsidRPr="00475F08">
              <w:rPr>
                <w:rFonts w:ascii="Verdana" w:hAnsi="Verdana"/>
                <w:b/>
                <w:sz w:val="16"/>
                <w:szCs w:val="16"/>
                <w:lang w:val="en-US"/>
              </w:rPr>
              <w:t>vehicle</w:t>
            </w:r>
            <w:r w:rsidRPr="00356B54">
              <w:rPr>
                <w:rFonts w:ascii="Verdana" w:hAnsi="Verdana"/>
                <w:b/>
                <w:bCs/>
                <w:sz w:val="16"/>
                <w:szCs w:val="16"/>
                <w:lang w:val="en-US"/>
              </w:rPr>
              <w:t>:</w:t>
            </w:r>
            <w:r w:rsidRPr="00356B54">
              <w:rPr>
                <w:lang w:val="en-US"/>
              </w:rPr>
              <w:t xml:space="preserve"> </w:t>
            </w:r>
            <w:r w:rsidRPr="00356B54">
              <w:rPr>
                <w:rFonts w:ascii="Verdana" w:hAnsi="Verdana"/>
                <w:sz w:val="16"/>
                <w:szCs w:val="16"/>
                <w:lang w:val="en-US"/>
              </w:rPr>
              <w:t>automotive vehicle that has not been alienated for the first time in the national territory by the manufacturer or importer, with a mileage of up to 5,000 kilometers and a gross vehicle weight greater than 3,857 kilograms.</w:t>
            </w:r>
            <w:r w:rsidRPr="00356B54">
              <w:rPr>
                <w:lang w:val="en-US"/>
              </w:rPr>
              <w:t xml:space="preserve"> </w:t>
            </w:r>
          </w:p>
        </w:tc>
      </w:tr>
      <w:tr w:rsidR="008A0760" w:rsidRPr="00743A20" w14:paraId="54C31D5A" w14:textId="77777777" w:rsidTr="008E445B">
        <w:tc>
          <w:tcPr>
            <w:tcW w:w="4788" w:type="dxa"/>
            <w:shd w:val="clear" w:color="auto" w:fill="auto"/>
          </w:tcPr>
          <w:p w14:paraId="14D608E6" w14:textId="77777777" w:rsidR="008A0760" w:rsidRPr="009E79D2" w:rsidRDefault="008A0760" w:rsidP="008A0760">
            <w:pPr>
              <w:pStyle w:val="Texto"/>
              <w:spacing w:line="226" w:lineRule="exact"/>
              <w:ind w:firstLine="0"/>
              <w:rPr>
                <w:rFonts w:ascii="Verdana" w:hAnsi="Verdana"/>
                <w:sz w:val="16"/>
                <w:szCs w:val="16"/>
              </w:rPr>
            </w:pPr>
            <w:r w:rsidRPr="009E79D2">
              <w:rPr>
                <w:rFonts w:ascii="Verdana" w:hAnsi="Verdana"/>
                <w:b/>
                <w:sz w:val="16"/>
                <w:szCs w:val="16"/>
              </w:rPr>
              <w:t xml:space="preserve">3.27. Vida útil: </w:t>
            </w:r>
            <w:r w:rsidRPr="009E79D2">
              <w:rPr>
                <w:rFonts w:ascii="Verdana" w:hAnsi="Verdana"/>
                <w:sz w:val="16"/>
                <w:szCs w:val="16"/>
              </w:rPr>
              <w:t>son los valores de referencia, expresados como distancia (km) o tiempo (años) de las pruebas de durabilidad de certificación a las que son sometidas los motores y vehículos nuevos, a fin de probar su sistema de control de las emisiones. La vida útil no se refiere, ni es equivalente a la garantía del vehículo especificada por el fabricante, ni a las emisiones del vehículo en circulación.</w:t>
            </w:r>
          </w:p>
        </w:tc>
        <w:tc>
          <w:tcPr>
            <w:tcW w:w="4788" w:type="dxa"/>
          </w:tcPr>
          <w:p w14:paraId="72201B45" w14:textId="77777777" w:rsidR="008A0760" w:rsidRPr="00356B54" w:rsidRDefault="008A0760" w:rsidP="008A0760">
            <w:pPr>
              <w:spacing w:after="101" w:line="226" w:lineRule="atLeast"/>
              <w:jc w:val="both"/>
              <w:rPr>
                <w:lang w:val="en-US"/>
              </w:rPr>
            </w:pPr>
            <w:r w:rsidRPr="00356B54">
              <w:rPr>
                <w:rFonts w:ascii="Verdana" w:hAnsi="Verdana"/>
                <w:b/>
                <w:bCs/>
                <w:sz w:val="16"/>
                <w:szCs w:val="16"/>
                <w:lang w:val="en-US"/>
              </w:rPr>
              <w:t>3.27.</w:t>
            </w:r>
            <w:r w:rsidRPr="00356B54">
              <w:rPr>
                <w:lang w:val="en-US"/>
              </w:rPr>
              <w:t xml:space="preserve"> </w:t>
            </w:r>
            <w:r w:rsidRPr="00356B54">
              <w:rPr>
                <w:rFonts w:ascii="Verdana" w:hAnsi="Verdana"/>
                <w:b/>
                <w:bCs/>
                <w:sz w:val="16"/>
                <w:szCs w:val="16"/>
                <w:lang w:val="en-US"/>
              </w:rPr>
              <w:t xml:space="preserve">Useful life: </w:t>
            </w:r>
            <w:r w:rsidRPr="00356B54">
              <w:rPr>
                <w:rFonts w:ascii="Verdana" w:hAnsi="Verdana"/>
                <w:sz w:val="16"/>
                <w:szCs w:val="16"/>
                <w:lang w:val="en-US"/>
              </w:rPr>
              <w:t>are the reference values, expressed as distance (km) or time (years) of the certification durability tests to which new engines and vehicles are subjected, in order to test their emission control system.</w:t>
            </w:r>
            <w:r w:rsidRPr="00356B54">
              <w:rPr>
                <w:lang w:val="en-US"/>
              </w:rPr>
              <w:t xml:space="preserve"> </w:t>
            </w:r>
            <w:r w:rsidRPr="00356B54">
              <w:rPr>
                <w:rFonts w:ascii="Verdana" w:hAnsi="Verdana"/>
                <w:sz w:val="16"/>
                <w:szCs w:val="16"/>
                <w:lang w:val="en-US"/>
              </w:rPr>
              <w:t>The useful life is not related, nor is it equivalent to the vehicle warranty specified by the manufacturer, nor to the emissions of the vehicle in circulation.</w:t>
            </w:r>
            <w:r w:rsidRPr="00356B54">
              <w:rPr>
                <w:lang w:val="en-US"/>
              </w:rPr>
              <w:t xml:space="preserve"> </w:t>
            </w:r>
          </w:p>
        </w:tc>
      </w:tr>
      <w:tr w:rsidR="008A0760" w:rsidRPr="009E79D2" w14:paraId="32489AD2" w14:textId="77777777" w:rsidTr="008E445B">
        <w:tc>
          <w:tcPr>
            <w:tcW w:w="4788" w:type="dxa"/>
            <w:shd w:val="clear" w:color="auto" w:fill="auto"/>
          </w:tcPr>
          <w:p w14:paraId="5C49E620" w14:textId="77777777" w:rsidR="008A0760" w:rsidRPr="009E79D2" w:rsidRDefault="008A0760" w:rsidP="008A0760">
            <w:pPr>
              <w:pStyle w:val="Texto"/>
              <w:spacing w:line="226" w:lineRule="exact"/>
              <w:ind w:firstLine="0"/>
              <w:rPr>
                <w:rFonts w:ascii="Verdana" w:hAnsi="Verdana"/>
                <w:b/>
                <w:sz w:val="16"/>
                <w:szCs w:val="16"/>
              </w:rPr>
            </w:pPr>
            <w:r w:rsidRPr="009E79D2">
              <w:rPr>
                <w:rFonts w:ascii="Verdana" w:hAnsi="Verdana"/>
                <w:b/>
                <w:sz w:val="16"/>
                <w:szCs w:val="16"/>
              </w:rPr>
              <w:t>4.</w:t>
            </w:r>
            <w:r w:rsidRPr="009E79D2">
              <w:rPr>
                <w:rFonts w:ascii="Verdana" w:hAnsi="Verdana"/>
                <w:b/>
                <w:sz w:val="16"/>
                <w:szCs w:val="16"/>
              </w:rPr>
              <w:tab/>
              <w:t>ESPECIFICACIONES</w:t>
            </w:r>
          </w:p>
        </w:tc>
        <w:tc>
          <w:tcPr>
            <w:tcW w:w="4788" w:type="dxa"/>
          </w:tcPr>
          <w:p w14:paraId="1A0E5110" w14:textId="77777777" w:rsidR="008A0760" w:rsidRPr="00356B54" w:rsidRDefault="00475F08" w:rsidP="008A0760">
            <w:pPr>
              <w:spacing w:after="101" w:line="226" w:lineRule="atLeast"/>
              <w:jc w:val="both"/>
            </w:pPr>
            <w:r>
              <w:rPr>
                <w:rFonts w:ascii="Verdana" w:hAnsi="Verdana"/>
                <w:b/>
                <w:bCs/>
                <w:sz w:val="16"/>
                <w:szCs w:val="16"/>
              </w:rPr>
              <w:t>4</w:t>
            </w:r>
            <w:r w:rsidR="008A0760" w:rsidRPr="00356B54">
              <w:rPr>
                <w:rFonts w:ascii="Verdana" w:hAnsi="Verdana"/>
                <w:b/>
                <w:bCs/>
                <w:sz w:val="16"/>
                <w:szCs w:val="16"/>
              </w:rPr>
              <w:t>.</w:t>
            </w:r>
            <w:r w:rsidR="008A0760" w:rsidRPr="00356B54">
              <w:t xml:space="preserve"> </w:t>
            </w:r>
            <w:r w:rsidR="008A0760" w:rsidRPr="00356B54">
              <w:rPr>
                <w:rFonts w:ascii="Verdana" w:hAnsi="Verdana"/>
                <w:b/>
                <w:bCs/>
                <w:sz w:val="16"/>
                <w:szCs w:val="16"/>
              </w:rPr>
              <w:t>              SPECIFICATIONS</w:t>
            </w:r>
            <w:r w:rsidR="008A0760" w:rsidRPr="00356B54">
              <w:t xml:space="preserve"> </w:t>
            </w:r>
          </w:p>
        </w:tc>
      </w:tr>
      <w:tr w:rsidR="008A0760" w:rsidRPr="009E79D2" w14:paraId="292D829B" w14:textId="77777777" w:rsidTr="008E445B">
        <w:tc>
          <w:tcPr>
            <w:tcW w:w="4788" w:type="dxa"/>
            <w:shd w:val="clear" w:color="auto" w:fill="auto"/>
          </w:tcPr>
          <w:p w14:paraId="2668331F" w14:textId="77777777" w:rsidR="008A0760" w:rsidRPr="009E79D2" w:rsidRDefault="008A0760" w:rsidP="008A0760">
            <w:pPr>
              <w:pStyle w:val="Texto"/>
              <w:spacing w:line="226" w:lineRule="exact"/>
              <w:ind w:firstLine="0"/>
              <w:rPr>
                <w:rFonts w:ascii="Verdana" w:hAnsi="Verdana"/>
                <w:b/>
                <w:sz w:val="16"/>
                <w:szCs w:val="16"/>
              </w:rPr>
            </w:pPr>
            <w:r w:rsidRPr="009E79D2">
              <w:rPr>
                <w:rFonts w:ascii="Verdana" w:hAnsi="Verdana"/>
                <w:b/>
                <w:sz w:val="16"/>
                <w:szCs w:val="16"/>
              </w:rPr>
              <w:t>4.1. MOTORES NUEVOS</w:t>
            </w:r>
          </w:p>
        </w:tc>
        <w:tc>
          <w:tcPr>
            <w:tcW w:w="4788" w:type="dxa"/>
          </w:tcPr>
          <w:p w14:paraId="067DF505" w14:textId="77777777" w:rsidR="008A0760" w:rsidRPr="00356B54" w:rsidRDefault="008A0760" w:rsidP="008A0760">
            <w:pPr>
              <w:spacing w:after="101" w:line="226" w:lineRule="atLeast"/>
              <w:jc w:val="both"/>
            </w:pPr>
            <w:r w:rsidRPr="00356B54">
              <w:rPr>
                <w:rFonts w:ascii="Verdana" w:hAnsi="Verdana"/>
                <w:b/>
                <w:bCs/>
                <w:sz w:val="16"/>
                <w:szCs w:val="16"/>
              </w:rPr>
              <w:t>4.1.</w:t>
            </w:r>
            <w:r w:rsidRPr="00356B54">
              <w:t xml:space="preserve"> </w:t>
            </w:r>
            <w:r w:rsidRPr="00356B54">
              <w:rPr>
                <w:rFonts w:ascii="Verdana" w:hAnsi="Verdana"/>
                <w:b/>
                <w:bCs/>
                <w:sz w:val="16"/>
                <w:szCs w:val="16"/>
              </w:rPr>
              <w:t>NEW ENGINES</w:t>
            </w:r>
            <w:r w:rsidRPr="00356B54">
              <w:t xml:space="preserve"> </w:t>
            </w:r>
          </w:p>
        </w:tc>
      </w:tr>
      <w:tr w:rsidR="008A0760" w:rsidRPr="00743A20" w14:paraId="7AABEFCA" w14:textId="77777777" w:rsidTr="008E445B">
        <w:tc>
          <w:tcPr>
            <w:tcW w:w="4788" w:type="dxa"/>
            <w:shd w:val="clear" w:color="auto" w:fill="auto"/>
          </w:tcPr>
          <w:p w14:paraId="51F83A37" w14:textId="77777777" w:rsidR="008A0760" w:rsidRPr="009E79D2" w:rsidRDefault="008A0760" w:rsidP="008A0760">
            <w:pPr>
              <w:pStyle w:val="Texto"/>
              <w:spacing w:line="226" w:lineRule="exact"/>
              <w:ind w:firstLine="0"/>
              <w:rPr>
                <w:rFonts w:ascii="Verdana" w:hAnsi="Verdana"/>
                <w:sz w:val="16"/>
                <w:szCs w:val="16"/>
              </w:rPr>
            </w:pPr>
            <w:r w:rsidRPr="009E79D2">
              <w:rPr>
                <w:rFonts w:ascii="Verdana" w:hAnsi="Verdana"/>
                <w:sz w:val="16"/>
                <w:szCs w:val="16"/>
              </w:rPr>
              <w:t>Los motores nuevos a diésel que realicen una prueba de motor deberán cumplir con lo señalado en los numerales 4.1.1. o 4.1.3., de la presente norma.</w:t>
            </w:r>
          </w:p>
        </w:tc>
        <w:tc>
          <w:tcPr>
            <w:tcW w:w="4788" w:type="dxa"/>
          </w:tcPr>
          <w:p w14:paraId="3ADE3BE1" w14:textId="77777777" w:rsidR="008A0760" w:rsidRPr="00356B54" w:rsidRDefault="008A0760" w:rsidP="008A0760">
            <w:pPr>
              <w:spacing w:after="101" w:line="226" w:lineRule="atLeast"/>
              <w:jc w:val="both"/>
              <w:rPr>
                <w:lang w:val="en-US"/>
              </w:rPr>
            </w:pPr>
            <w:r w:rsidRPr="00356B54">
              <w:rPr>
                <w:rFonts w:ascii="Verdana" w:hAnsi="Verdana"/>
                <w:sz w:val="16"/>
                <w:szCs w:val="16"/>
                <w:lang w:val="en-US"/>
              </w:rPr>
              <w:t>New diesel engines that perform an engine test must comply with the provisions of 4.1.1.</w:t>
            </w:r>
            <w:r w:rsidRPr="00356B54">
              <w:rPr>
                <w:lang w:val="en-US"/>
              </w:rPr>
              <w:t xml:space="preserve"> </w:t>
            </w:r>
            <w:r w:rsidRPr="00356B54">
              <w:rPr>
                <w:rFonts w:ascii="Verdana" w:hAnsi="Verdana"/>
                <w:sz w:val="16"/>
                <w:szCs w:val="16"/>
                <w:lang w:val="en-US"/>
              </w:rPr>
              <w:t>or 4.1.3., of this standard.</w:t>
            </w:r>
            <w:r w:rsidRPr="00356B54">
              <w:rPr>
                <w:lang w:val="en-US"/>
              </w:rPr>
              <w:t xml:space="preserve"> </w:t>
            </w:r>
          </w:p>
        </w:tc>
      </w:tr>
      <w:tr w:rsidR="008A0760" w:rsidRPr="00743A20" w14:paraId="233870D1" w14:textId="77777777" w:rsidTr="008E445B">
        <w:tc>
          <w:tcPr>
            <w:tcW w:w="4788" w:type="dxa"/>
            <w:shd w:val="clear" w:color="auto" w:fill="auto"/>
          </w:tcPr>
          <w:p w14:paraId="311B1C68" w14:textId="77777777" w:rsidR="008A0760" w:rsidRPr="009E79D2" w:rsidRDefault="008A0760" w:rsidP="008A0760">
            <w:pPr>
              <w:pStyle w:val="Texto"/>
              <w:spacing w:line="226" w:lineRule="exact"/>
              <w:ind w:firstLine="0"/>
              <w:rPr>
                <w:rFonts w:ascii="Verdana" w:hAnsi="Verdana"/>
                <w:sz w:val="16"/>
                <w:szCs w:val="16"/>
              </w:rPr>
            </w:pPr>
            <w:r w:rsidRPr="009E79D2">
              <w:rPr>
                <w:rFonts w:ascii="Verdana" w:hAnsi="Verdana"/>
                <w:b/>
                <w:sz w:val="16"/>
                <w:szCs w:val="16"/>
              </w:rPr>
              <w:t>4.1.1.</w:t>
            </w:r>
            <w:r w:rsidRPr="009E79D2">
              <w:rPr>
                <w:rFonts w:ascii="Verdana" w:hAnsi="Verdana"/>
                <w:sz w:val="16"/>
                <w:szCs w:val="16"/>
              </w:rPr>
              <w:t xml:space="preserve"> Los límites máximos permisibles de emisiones de monóxido de carbono (CO), óxidos de nitrógeno (NOx), hidrocarburos no metano (HCNM), hidrocarburos no metano más óxidos de nitrógeno (HCNM + NOx) y partículas (Part), provenientes del escape de los motores y vehículos automotores nuevos con peso bruto vehicular mayor a 3,857 kg que los integren, certificados mediante los métodos de prueba establecidos por la Agencia de Protección Ambiental de los Estados Unidos de América, se indican en la Tabla 1.</w:t>
            </w:r>
          </w:p>
        </w:tc>
        <w:tc>
          <w:tcPr>
            <w:tcW w:w="4788" w:type="dxa"/>
          </w:tcPr>
          <w:p w14:paraId="781D9DB7" w14:textId="77777777" w:rsidR="008A0760" w:rsidRPr="00356B54" w:rsidRDefault="008A0760" w:rsidP="008A0760">
            <w:pPr>
              <w:spacing w:after="101" w:line="226" w:lineRule="atLeast"/>
              <w:jc w:val="both"/>
              <w:rPr>
                <w:lang w:val="en-US"/>
              </w:rPr>
            </w:pPr>
            <w:r w:rsidRPr="00356B54">
              <w:rPr>
                <w:rFonts w:ascii="Verdana" w:hAnsi="Verdana"/>
                <w:b/>
                <w:bCs/>
                <w:sz w:val="16"/>
                <w:szCs w:val="16"/>
                <w:lang w:val="en-US"/>
              </w:rPr>
              <w:t>4.1.1.</w:t>
            </w:r>
            <w:r w:rsidRPr="00356B54">
              <w:rPr>
                <w:lang w:val="en-US"/>
              </w:rPr>
              <w:t xml:space="preserve"> </w:t>
            </w:r>
            <w:r w:rsidRPr="00356B54">
              <w:rPr>
                <w:rFonts w:ascii="Verdana" w:hAnsi="Verdana"/>
                <w:sz w:val="16"/>
                <w:szCs w:val="16"/>
                <w:lang w:val="en-US"/>
              </w:rPr>
              <w:t xml:space="preserve">The maximum permissible limits of emissions of carbon monoxide (CO), nitrogen oxides </w:t>
            </w:r>
            <w:r w:rsidR="00475F08">
              <w:rPr>
                <w:rFonts w:ascii="Verdana" w:hAnsi="Verdana"/>
                <w:sz w:val="16"/>
                <w:szCs w:val="16"/>
                <w:lang w:val="en-US"/>
              </w:rPr>
              <w:t>(NOx)</w:t>
            </w:r>
            <w:r w:rsidRPr="00356B54">
              <w:rPr>
                <w:rFonts w:ascii="Verdana" w:hAnsi="Verdana"/>
                <w:sz w:val="16"/>
                <w:szCs w:val="16"/>
                <w:lang w:val="en-US"/>
              </w:rPr>
              <w:t>, non-methane hydrocarbons (HCNM), non-methane hydrocarbons plus nitrogen oxides (HCNM +</w:t>
            </w:r>
            <w:r w:rsidRPr="00356B54">
              <w:rPr>
                <w:lang w:val="en-US"/>
              </w:rPr>
              <w:t xml:space="preserve"> </w:t>
            </w:r>
            <w:r w:rsidRPr="00356B54">
              <w:rPr>
                <w:rFonts w:ascii="Verdana" w:hAnsi="Verdana"/>
                <w:sz w:val="16"/>
                <w:szCs w:val="16"/>
                <w:lang w:val="en-US"/>
              </w:rPr>
              <w:t>NOx) and particles (Part), from the exhaust of new engines and motor vehicles with gross vehicle weight greater than 3,857 kg that integrate them, certified by the test methods established by the Environmental Protection Agency of the United States of America, are indicated in Table 1.</w:t>
            </w:r>
            <w:r w:rsidRPr="00356B54">
              <w:rPr>
                <w:lang w:val="en-US"/>
              </w:rPr>
              <w:t xml:space="preserve"> </w:t>
            </w:r>
          </w:p>
        </w:tc>
      </w:tr>
    </w:tbl>
    <w:p w14:paraId="474CB4CD" w14:textId="77777777" w:rsidR="008A0760" w:rsidRPr="008A0760" w:rsidRDefault="008A0760" w:rsidP="00DF5012">
      <w:pPr>
        <w:pStyle w:val="Texto"/>
        <w:spacing w:line="226" w:lineRule="exact"/>
        <w:ind w:firstLine="0"/>
        <w:jc w:val="center"/>
        <w:rPr>
          <w:rFonts w:ascii="Verdana" w:hAnsi="Verdana"/>
          <w:b/>
          <w:sz w:val="16"/>
          <w:szCs w:val="16"/>
          <w:lang w:val="en-US"/>
        </w:rPr>
      </w:pPr>
    </w:p>
    <w:p w14:paraId="64C1031F" w14:textId="77777777" w:rsidR="00DF5012" w:rsidRPr="00BA3592" w:rsidRDefault="00DF5012" w:rsidP="00DF5012">
      <w:pPr>
        <w:pStyle w:val="Texto"/>
        <w:spacing w:line="226" w:lineRule="exact"/>
        <w:ind w:firstLine="0"/>
        <w:jc w:val="center"/>
        <w:rPr>
          <w:rFonts w:ascii="Verdana" w:hAnsi="Verdana"/>
          <w:b/>
          <w:sz w:val="16"/>
          <w:szCs w:val="16"/>
        </w:rPr>
      </w:pPr>
      <w:r w:rsidRPr="00BA3592">
        <w:rPr>
          <w:rFonts w:ascii="Verdana" w:hAnsi="Verdana"/>
          <w:b/>
          <w:sz w:val="16"/>
          <w:szCs w:val="16"/>
        </w:rPr>
        <w:t>Tabla 1</w:t>
      </w:r>
    </w:p>
    <w:tbl>
      <w:tblPr>
        <w:tblW w:w="6856" w:type="dxa"/>
        <w:jc w:val="center"/>
        <w:tblCellMar>
          <w:left w:w="72" w:type="dxa"/>
          <w:right w:w="72" w:type="dxa"/>
        </w:tblCellMar>
        <w:tblLook w:val="0000" w:firstRow="0" w:lastRow="0" w:firstColumn="0" w:lastColumn="0" w:noHBand="0" w:noVBand="0"/>
      </w:tblPr>
      <w:tblGrid>
        <w:gridCol w:w="1105"/>
        <w:gridCol w:w="1041"/>
        <w:gridCol w:w="701"/>
        <w:gridCol w:w="959"/>
        <w:gridCol w:w="1023"/>
        <w:gridCol w:w="1347"/>
        <w:gridCol w:w="680"/>
      </w:tblGrid>
      <w:tr w:rsidR="00DF5012" w:rsidRPr="00BA3592" w14:paraId="3316AC2B" w14:textId="77777777">
        <w:trPr>
          <w:trHeight w:val="20"/>
          <w:jc w:val="center"/>
        </w:trPr>
        <w:tc>
          <w:tcPr>
            <w:tcW w:w="1105" w:type="dxa"/>
            <w:vMerge w:val="restart"/>
            <w:tcBorders>
              <w:top w:val="single" w:sz="6" w:space="0" w:color="auto"/>
              <w:left w:val="single" w:sz="6" w:space="0" w:color="auto"/>
              <w:right w:val="single" w:sz="6" w:space="0" w:color="auto"/>
            </w:tcBorders>
            <w:shd w:val="pct12" w:color="auto" w:fill="auto"/>
            <w:noWrap/>
            <w:vAlign w:val="center"/>
          </w:tcPr>
          <w:p w14:paraId="5BA1B69E" w14:textId="77777777" w:rsidR="00DF5012" w:rsidRPr="00BA3592" w:rsidRDefault="00DF5012" w:rsidP="00931F51">
            <w:pPr>
              <w:pStyle w:val="Texto"/>
              <w:spacing w:before="40" w:after="40" w:line="226" w:lineRule="exact"/>
              <w:ind w:firstLine="0"/>
              <w:jc w:val="center"/>
              <w:rPr>
                <w:rFonts w:ascii="Verdana" w:hAnsi="Verdana"/>
                <w:b/>
                <w:sz w:val="16"/>
                <w:szCs w:val="16"/>
              </w:rPr>
            </w:pPr>
            <w:r w:rsidRPr="00BA3592">
              <w:rPr>
                <w:rFonts w:ascii="Verdana" w:hAnsi="Verdana"/>
                <w:b/>
                <w:sz w:val="16"/>
                <w:szCs w:val="16"/>
              </w:rPr>
              <w:t>Estándar</w:t>
            </w:r>
          </w:p>
        </w:tc>
        <w:tc>
          <w:tcPr>
            <w:tcW w:w="1041" w:type="dxa"/>
            <w:vMerge w:val="restart"/>
            <w:tcBorders>
              <w:top w:val="single" w:sz="6" w:space="0" w:color="auto"/>
              <w:left w:val="single" w:sz="6" w:space="0" w:color="auto"/>
              <w:right w:val="single" w:sz="6" w:space="0" w:color="auto"/>
            </w:tcBorders>
            <w:shd w:val="pct12" w:color="auto" w:fill="auto"/>
            <w:vAlign w:val="center"/>
          </w:tcPr>
          <w:p w14:paraId="65E7BCFD" w14:textId="77777777" w:rsidR="00DF5012" w:rsidRPr="00BA3592" w:rsidRDefault="00DF5012" w:rsidP="00931F51">
            <w:pPr>
              <w:pStyle w:val="Texto"/>
              <w:spacing w:before="40" w:after="40" w:line="226" w:lineRule="exact"/>
              <w:ind w:firstLine="0"/>
              <w:jc w:val="center"/>
              <w:rPr>
                <w:rFonts w:ascii="Verdana" w:hAnsi="Verdana"/>
                <w:b/>
                <w:sz w:val="16"/>
                <w:szCs w:val="16"/>
              </w:rPr>
            </w:pPr>
            <w:r w:rsidRPr="00BA3592">
              <w:rPr>
                <w:rFonts w:ascii="Verdana" w:hAnsi="Verdana"/>
                <w:b/>
                <w:sz w:val="16"/>
                <w:szCs w:val="16"/>
              </w:rPr>
              <w:t>Método de Prueba</w:t>
            </w:r>
          </w:p>
        </w:tc>
        <w:tc>
          <w:tcPr>
            <w:tcW w:w="701" w:type="dxa"/>
            <w:tcBorders>
              <w:top w:val="single" w:sz="6" w:space="0" w:color="auto"/>
              <w:left w:val="single" w:sz="6" w:space="0" w:color="auto"/>
              <w:bottom w:val="single" w:sz="6" w:space="0" w:color="auto"/>
              <w:right w:val="single" w:sz="6" w:space="0" w:color="auto"/>
            </w:tcBorders>
            <w:shd w:val="pct12" w:color="auto" w:fill="auto"/>
            <w:vAlign w:val="center"/>
          </w:tcPr>
          <w:p w14:paraId="064A1DD7" w14:textId="77777777" w:rsidR="00DF5012" w:rsidRPr="00BA3592" w:rsidRDefault="00DF5012" w:rsidP="00931F51">
            <w:pPr>
              <w:pStyle w:val="Texto"/>
              <w:spacing w:before="40" w:after="40" w:line="226" w:lineRule="exact"/>
              <w:ind w:firstLine="0"/>
              <w:jc w:val="center"/>
              <w:rPr>
                <w:rFonts w:ascii="Verdana" w:hAnsi="Verdana"/>
                <w:b/>
                <w:sz w:val="16"/>
                <w:szCs w:val="16"/>
              </w:rPr>
            </w:pPr>
            <w:r w:rsidRPr="00BA3592">
              <w:rPr>
                <w:rFonts w:ascii="Verdana" w:hAnsi="Verdana"/>
                <w:b/>
                <w:sz w:val="16"/>
                <w:szCs w:val="16"/>
              </w:rPr>
              <w:t>CO</w:t>
            </w:r>
          </w:p>
        </w:tc>
        <w:tc>
          <w:tcPr>
            <w:tcW w:w="959" w:type="dxa"/>
            <w:tcBorders>
              <w:top w:val="single" w:sz="6" w:space="0" w:color="auto"/>
              <w:left w:val="single" w:sz="6" w:space="0" w:color="auto"/>
              <w:bottom w:val="single" w:sz="6" w:space="0" w:color="auto"/>
              <w:right w:val="single" w:sz="6" w:space="0" w:color="auto"/>
            </w:tcBorders>
            <w:shd w:val="pct12" w:color="auto" w:fill="auto"/>
            <w:vAlign w:val="center"/>
          </w:tcPr>
          <w:p w14:paraId="6467721B" w14:textId="77777777" w:rsidR="00DF5012" w:rsidRPr="00BA3592" w:rsidRDefault="00DF5012" w:rsidP="00931F51">
            <w:pPr>
              <w:pStyle w:val="Texto"/>
              <w:spacing w:before="40" w:after="40" w:line="226" w:lineRule="exact"/>
              <w:ind w:firstLine="0"/>
              <w:jc w:val="center"/>
              <w:rPr>
                <w:rFonts w:ascii="Verdana" w:hAnsi="Verdana"/>
                <w:b/>
                <w:sz w:val="16"/>
                <w:szCs w:val="16"/>
              </w:rPr>
            </w:pPr>
            <w:r w:rsidRPr="00BA3592">
              <w:rPr>
                <w:rFonts w:ascii="Verdana" w:hAnsi="Verdana"/>
                <w:b/>
                <w:sz w:val="16"/>
                <w:szCs w:val="16"/>
              </w:rPr>
              <w:t>NOx</w:t>
            </w:r>
          </w:p>
        </w:tc>
        <w:tc>
          <w:tcPr>
            <w:tcW w:w="1023" w:type="dxa"/>
            <w:tcBorders>
              <w:top w:val="single" w:sz="6" w:space="0" w:color="auto"/>
              <w:left w:val="single" w:sz="6" w:space="0" w:color="auto"/>
              <w:bottom w:val="single" w:sz="6" w:space="0" w:color="auto"/>
              <w:right w:val="single" w:sz="6" w:space="0" w:color="auto"/>
            </w:tcBorders>
            <w:shd w:val="pct12" w:color="auto" w:fill="auto"/>
            <w:vAlign w:val="center"/>
          </w:tcPr>
          <w:p w14:paraId="6F916E11" w14:textId="77777777" w:rsidR="00DF5012" w:rsidRPr="00BA3592" w:rsidRDefault="00DF5012" w:rsidP="00931F51">
            <w:pPr>
              <w:pStyle w:val="Texto"/>
              <w:spacing w:before="40" w:after="40" w:line="226" w:lineRule="exact"/>
              <w:ind w:firstLine="0"/>
              <w:jc w:val="center"/>
              <w:rPr>
                <w:rFonts w:ascii="Verdana" w:hAnsi="Verdana"/>
                <w:b/>
                <w:sz w:val="16"/>
                <w:szCs w:val="16"/>
              </w:rPr>
            </w:pPr>
            <w:r w:rsidRPr="00BA3592">
              <w:rPr>
                <w:rFonts w:ascii="Verdana" w:hAnsi="Verdana"/>
                <w:b/>
                <w:sz w:val="16"/>
                <w:szCs w:val="16"/>
              </w:rPr>
              <w:t>HCNM</w:t>
            </w:r>
          </w:p>
        </w:tc>
        <w:tc>
          <w:tcPr>
            <w:tcW w:w="1347" w:type="dxa"/>
            <w:tcBorders>
              <w:top w:val="single" w:sz="6" w:space="0" w:color="auto"/>
              <w:left w:val="single" w:sz="6" w:space="0" w:color="auto"/>
              <w:bottom w:val="single" w:sz="6" w:space="0" w:color="auto"/>
              <w:right w:val="single" w:sz="6" w:space="0" w:color="auto"/>
            </w:tcBorders>
            <w:shd w:val="pct12" w:color="auto" w:fill="auto"/>
            <w:vAlign w:val="center"/>
          </w:tcPr>
          <w:p w14:paraId="39387079" w14:textId="77777777" w:rsidR="00DF5012" w:rsidRPr="00BA3592" w:rsidRDefault="00DF5012" w:rsidP="00931F51">
            <w:pPr>
              <w:pStyle w:val="Texto"/>
              <w:spacing w:before="40" w:after="40" w:line="226" w:lineRule="exact"/>
              <w:ind w:firstLine="0"/>
              <w:jc w:val="center"/>
              <w:rPr>
                <w:rFonts w:ascii="Verdana" w:hAnsi="Verdana"/>
                <w:b/>
                <w:sz w:val="16"/>
                <w:szCs w:val="16"/>
              </w:rPr>
            </w:pPr>
            <w:r w:rsidRPr="00BA3592">
              <w:rPr>
                <w:rFonts w:ascii="Verdana" w:hAnsi="Verdana"/>
                <w:b/>
                <w:sz w:val="16"/>
                <w:szCs w:val="16"/>
              </w:rPr>
              <w:t>HCNM + NOx</w:t>
            </w:r>
          </w:p>
        </w:tc>
        <w:tc>
          <w:tcPr>
            <w:tcW w:w="680" w:type="dxa"/>
            <w:tcBorders>
              <w:top w:val="single" w:sz="6" w:space="0" w:color="auto"/>
              <w:left w:val="single" w:sz="6" w:space="0" w:color="auto"/>
              <w:bottom w:val="single" w:sz="6" w:space="0" w:color="auto"/>
              <w:right w:val="single" w:sz="6" w:space="0" w:color="auto"/>
            </w:tcBorders>
            <w:shd w:val="pct12" w:color="auto" w:fill="auto"/>
            <w:vAlign w:val="center"/>
          </w:tcPr>
          <w:p w14:paraId="453F93D2" w14:textId="77777777" w:rsidR="00DF5012" w:rsidRPr="00BA3592" w:rsidRDefault="00DF5012" w:rsidP="00931F51">
            <w:pPr>
              <w:pStyle w:val="Texto"/>
              <w:spacing w:before="40" w:after="40" w:line="226" w:lineRule="exact"/>
              <w:ind w:firstLine="0"/>
              <w:jc w:val="center"/>
              <w:rPr>
                <w:rFonts w:ascii="Verdana" w:hAnsi="Verdana"/>
                <w:b/>
                <w:sz w:val="16"/>
                <w:szCs w:val="16"/>
              </w:rPr>
            </w:pPr>
            <w:r w:rsidRPr="00BA3592">
              <w:rPr>
                <w:rFonts w:ascii="Verdana" w:hAnsi="Verdana"/>
                <w:b/>
                <w:sz w:val="16"/>
                <w:szCs w:val="16"/>
              </w:rPr>
              <w:t>Part</w:t>
            </w:r>
          </w:p>
        </w:tc>
      </w:tr>
      <w:tr w:rsidR="00DF5012" w:rsidRPr="00BA3592" w14:paraId="4C4C2EE1" w14:textId="77777777">
        <w:trPr>
          <w:trHeight w:val="20"/>
          <w:jc w:val="center"/>
        </w:trPr>
        <w:tc>
          <w:tcPr>
            <w:tcW w:w="1105" w:type="dxa"/>
            <w:vMerge/>
            <w:tcBorders>
              <w:left w:val="single" w:sz="6" w:space="0" w:color="auto"/>
              <w:bottom w:val="single" w:sz="6" w:space="0" w:color="auto"/>
              <w:right w:val="single" w:sz="6" w:space="0" w:color="auto"/>
            </w:tcBorders>
            <w:shd w:val="pct12" w:color="auto" w:fill="auto"/>
            <w:vAlign w:val="center"/>
          </w:tcPr>
          <w:p w14:paraId="07D7AF0A" w14:textId="77777777" w:rsidR="00DF5012" w:rsidRPr="00BA3592" w:rsidRDefault="00DF5012" w:rsidP="00931F51">
            <w:pPr>
              <w:pStyle w:val="Texto"/>
              <w:spacing w:before="40" w:after="40" w:line="226" w:lineRule="exact"/>
              <w:ind w:firstLine="0"/>
              <w:jc w:val="center"/>
              <w:rPr>
                <w:rFonts w:ascii="Verdana" w:hAnsi="Verdana"/>
                <w:b/>
                <w:sz w:val="16"/>
                <w:szCs w:val="16"/>
              </w:rPr>
            </w:pPr>
          </w:p>
        </w:tc>
        <w:tc>
          <w:tcPr>
            <w:tcW w:w="1041" w:type="dxa"/>
            <w:vMerge/>
            <w:tcBorders>
              <w:left w:val="single" w:sz="6" w:space="0" w:color="auto"/>
              <w:bottom w:val="single" w:sz="6" w:space="0" w:color="auto"/>
              <w:right w:val="single" w:sz="6" w:space="0" w:color="auto"/>
            </w:tcBorders>
            <w:shd w:val="pct12" w:color="auto" w:fill="auto"/>
            <w:vAlign w:val="center"/>
          </w:tcPr>
          <w:p w14:paraId="7862B5B2" w14:textId="77777777" w:rsidR="00DF5012" w:rsidRPr="00BA3592" w:rsidRDefault="00DF5012" w:rsidP="00931F51">
            <w:pPr>
              <w:pStyle w:val="Texto"/>
              <w:spacing w:before="40" w:after="40" w:line="226" w:lineRule="exact"/>
              <w:ind w:firstLine="0"/>
              <w:jc w:val="center"/>
              <w:rPr>
                <w:rFonts w:ascii="Verdana" w:hAnsi="Verdana"/>
                <w:b/>
                <w:sz w:val="16"/>
                <w:szCs w:val="16"/>
              </w:rPr>
            </w:pPr>
          </w:p>
        </w:tc>
        <w:tc>
          <w:tcPr>
            <w:tcW w:w="4710" w:type="dxa"/>
            <w:gridSpan w:val="5"/>
            <w:tcBorders>
              <w:top w:val="single" w:sz="6" w:space="0" w:color="auto"/>
              <w:left w:val="single" w:sz="6" w:space="0" w:color="auto"/>
              <w:bottom w:val="single" w:sz="6" w:space="0" w:color="auto"/>
              <w:right w:val="single" w:sz="6" w:space="0" w:color="auto"/>
            </w:tcBorders>
            <w:shd w:val="pct12" w:color="auto" w:fill="auto"/>
            <w:vAlign w:val="center"/>
          </w:tcPr>
          <w:p w14:paraId="7DE16E2A" w14:textId="77777777" w:rsidR="00DF5012" w:rsidRPr="00BA3592" w:rsidRDefault="00DF5012" w:rsidP="00931F51">
            <w:pPr>
              <w:pStyle w:val="Texto"/>
              <w:spacing w:before="40" w:after="40" w:line="226" w:lineRule="exact"/>
              <w:ind w:firstLine="0"/>
              <w:jc w:val="center"/>
              <w:rPr>
                <w:rFonts w:ascii="Verdana" w:hAnsi="Verdana"/>
                <w:b/>
                <w:sz w:val="16"/>
                <w:szCs w:val="16"/>
              </w:rPr>
            </w:pPr>
            <w:r w:rsidRPr="00BA3592">
              <w:rPr>
                <w:rFonts w:ascii="Verdana" w:hAnsi="Verdana"/>
                <w:b/>
                <w:sz w:val="16"/>
                <w:szCs w:val="16"/>
              </w:rPr>
              <w:t>g/bhp-hr</w:t>
            </w:r>
            <w:r w:rsidRPr="00BA3592">
              <w:rPr>
                <w:rFonts w:ascii="Verdana" w:hAnsi="Verdana"/>
                <w:b/>
                <w:i/>
                <w:sz w:val="16"/>
                <w:szCs w:val="16"/>
              </w:rPr>
              <w:t xml:space="preserve"> </w:t>
            </w:r>
            <w:r w:rsidRPr="00BA3592">
              <w:rPr>
                <w:rFonts w:ascii="Verdana" w:hAnsi="Verdana"/>
                <w:sz w:val="16"/>
                <w:szCs w:val="16"/>
                <w:vertAlign w:val="superscript"/>
              </w:rPr>
              <w:t>(1)</w:t>
            </w:r>
          </w:p>
        </w:tc>
      </w:tr>
      <w:tr w:rsidR="00DF5012" w:rsidRPr="00BA3592" w14:paraId="7E528EB1" w14:textId="77777777">
        <w:trPr>
          <w:trHeight w:val="20"/>
          <w:jc w:val="center"/>
        </w:trPr>
        <w:tc>
          <w:tcPr>
            <w:tcW w:w="1105" w:type="dxa"/>
            <w:tcBorders>
              <w:top w:val="single" w:sz="6" w:space="0" w:color="auto"/>
              <w:left w:val="single" w:sz="6" w:space="0" w:color="auto"/>
              <w:bottom w:val="single" w:sz="6" w:space="0" w:color="auto"/>
              <w:right w:val="single" w:sz="6" w:space="0" w:color="auto"/>
            </w:tcBorders>
            <w:vAlign w:val="center"/>
          </w:tcPr>
          <w:p w14:paraId="21AF3DB0"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b/>
                <w:sz w:val="16"/>
                <w:szCs w:val="16"/>
              </w:rPr>
              <w:t xml:space="preserve">1A </w:t>
            </w:r>
            <w:r w:rsidRPr="00BA3592">
              <w:rPr>
                <w:rFonts w:ascii="Verdana" w:hAnsi="Verdana"/>
                <w:sz w:val="16"/>
                <w:szCs w:val="16"/>
                <w:vertAlign w:val="superscript"/>
              </w:rPr>
              <w:t>(2)</w:t>
            </w:r>
          </w:p>
        </w:tc>
        <w:tc>
          <w:tcPr>
            <w:tcW w:w="1041" w:type="dxa"/>
            <w:tcBorders>
              <w:top w:val="single" w:sz="6" w:space="0" w:color="auto"/>
              <w:left w:val="single" w:sz="6" w:space="0" w:color="auto"/>
              <w:bottom w:val="single" w:sz="6" w:space="0" w:color="auto"/>
              <w:right w:val="single" w:sz="6" w:space="0" w:color="auto"/>
            </w:tcBorders>
            <w:vAlign w:val="center"/>
          </w:tcPr>
          <w:p w14:paraId="5ADE5B82"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CT y CSE</w:t>
            </w:r>
          </w:p>
        </w:tc>
        <w:tc>
          <w:tcPr>
            <w:tcW w:w="701" w:type="dxa"/>
            <w:tcBorders>
              <w:top w:val="single" w:sz="6" w:space="0" w:color="auto"/>
              <w:left w:val="single" w:sz="6" w:space="0" w:color="auto"/>
              <w:bottom w:val="single" w:sz="6" w:space="0" w:color="auto"/>
              <w:right w:val="single" w:sz="6" w:space="0" w:color="auto"/>
            </w:tcBorders>
            <w:vAlign w:val="center"/>
          </w:tcPr>
          <w:p w14:paraId="1F696A83"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15.5</w:t>
            </w:r>
          </w:p>
        </w:tc>
        <w:tc>
          <w:tcPr>
            <w:tcW w:w="959" w:type="dxa"/>
            <w:tcBorders>
              <w:top w:val="single" w:sz="6" w:space="0" w:color="auto"/>
              <w:left w:val="single" w:sz="6" w:space="0" w:color="auto"/>
              <w:bottom w:val="single" w:sz="6" w:space="0" w:color="auto"/>
              <w:right w:val="single" w:sz="6" w:space="0" w:color="auto"/>
            </w:tcBorders>
            <w:vAlign w:val="center"/>
          </w:tcPr>
          <w:p w14:paraId="2A27E6BA"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No aplica</w:t>
            </w:r>
          </w:p>
        </w:tc>
        <w:tc>
          <w:tcPr>
            <w:tcW w:w="1023" w:type="dxa"/>
            <w:tcBorders>
              <w:top w:val="single" w:sz="6" w:space="0" w:color="auto"/>
              <w:left w:val="single" w:sz="6" w:space="0" w:color="auto"/>
              <w:bottom w:val="single" w:sz="6" w:space="0" w:color="auto"/>
              <w:right w:val="single" w:sz="6" w:space="0" w:color="auto"/>
            </w:tcBorders>
            <w:vAlign w:val="center"/>
          </w:tcPr>
          <w:p w14:paraId="57CB3DD1"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No aplica</w:t>
            </w:r>
          </w:p>
        </w:tc>
        <w:tc>
          <w:tcPr>
            <w:tcW w:w="1347" w:type="dxa"/>
            <w:tcBorders>
              <w:top w:val="single" w:sz="6" w:space="0" w:color="auto"/>
              <w:left w:val="single" w:sz="6" w:space="0" w:color="auto"/>
              <w:bottom w:val="single" w:sz="6" w:space="0" w:color="auto"/>
              <w:right w:val="single" w:sz="6" w:space="0" w:color="auto"/>
            </w:tcBorders>
            <w:vAlign w:val="center"/>
          </w:tcPr>
          <w:p w14:paraId="2B0F695F"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 xml:space="preserve">2.4 </w:t>
            </w:r>
            <w:r w:rsidRPr="00BA3592">
              <w:rPr>
                <w:rFonts w:ascii="Verdana" w:hAnsi="Verdana"/>
                <w:sz w:val="16"/>
                <w:szCs w:val="16"/>
                <w:vertAlign w:val="superscript"/>
              </w:rPr>
              <w:t>(3)</w:t>
            </w:r>
          </w:p>
        </w:tc>
        <w:tc>
          <w:tcPr>
            <w:tcW w:w="680" w:type="dxa"/>
            <w:tcBorders>
              <w:top w:val="single" w:sz="6" w:space="0" w:color="auto"/>
              <w:left w:val="single" w:sz="6" w:space="0" w:color="auto"/>
              <w:bottom w:val="single" w:sz="6" w:space="0" w:color="auto"/>
              <w:right w:val="single" w:sz="6" w:space="0" w:color="auto"/>
            </w:tcBorders>
            <w:vAlign w:val="center"/>
          </w:tcPr>
          <w:p w14:paraId="094A3150"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0.10</w:t>
            </w:r>
          </w:p>
        </w:tc>
      </w:tr>
      <w:tr w:rsidR="00DF5012" w:rsidRPr="00BA3592" w14:paraId="284226CF" w14:textId="77777777">
        <w:trPr>
          <w:trHeight w:val="20"/>
          <w:jc w:val="center"/>
        </w:trPr>
        <w:tc>
          <w:tcPr>
            <w:tcW w:w="1105" w:type="dxa"/>
            <w:tcBorders>
              <w:top w:val="single" w:sz="6" w:space="0" w:color="auto"/>
              <w:left w:val="single" w:sz="6" w:space="0" w:color="auto"/>
              <w:bottom w:val="single" w:sz="6" w:space="0" w:color="auto"/>
              <w:right w:val="single" w:sz="6" w:space="0" w:color="auto"/>
            </w:tcBorders>
            <w:vAlign w:val="center"/>
          </w:tcPr>
          <w:p w14:paraId="40392B30" w14:textId="77777777" w:rsidR="00DF5012" w:rsidRPr="00BA3592" w:rsidRDefault="00DF5012" w:rsidP="00931F51">
            <w:pPr>
              <w:pStyle w:val="Texto"/>
              <w:spacing w:before="40" w:after="40" w:line="226" w:lineRule="exact"/>
              <w:ind w:firstLine="0"/>
              <w:jc w:val="center"/>
              <w:rPr>
                <w:rFonts w:ascii="Verdana" w:hAnsi="Verdana"/>
                <w:b/>
                <w:sz w:val="16"/>
                <w:szCs w:val="16"/>
              </w:rPr>
            </w:pPr>
            <w:r w:rsidRPr="00BA3592">
              <w:rPr>
                <w:rFonts w:ascii="Verdana" w:hAnsi="Verdana"/>
                <w:b/>
                <w:sz w:val="16"/>
                <w:szCs w:val="16"/>
              </w:rPr>
              <w:t xml:space="preserve">1AA </w:t>
            </w:r>
            <w:r w:rsidRPr="00BA3592">
              <w:rPr>
                <w:rFonts w:ascii="Verdana" w:hAnsi="Verdana"/>
                <w:sz w:val="16"/>
                <w:szCs w:val="16"/>
                <w:vertAlign w:val="superscript"/>
              </w:rPr>
              <w:t>(4)</w:t>
            </w:r>
          </w:p>
        </w:tc>
        <w:tc>
          <w:tcPr>
            <w:tcW w:w="1041" w:type="dxa"/>
            <w:tcBorders>
              <w:top w:val="single" w:sz="6" w:space="0" w:color="auto"/>
              <w:left w:val="single" w:sz="6" w:space="0" w:color="auto"/>
              <w:bottom w:val="single" w:sz="6" w:space="0" w:color="auto"/>
              <w:right w:val="single" w:sz="6" w:space="0" w:color="auto"/>
            </w:tcBorders>
            <w:vAlign w:val="center"/>
          </w:tcPr>
          <w:p w14:paraId="6C3AB943"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CT y CSE</w:t>
            </w:r>
          </w:p>
        </w:tc>
        <w:tc>
          <w:tcPr>
            <w:tcW w:w="701" w:type="dxa"/>
            <w:tcBorders>
              <w:top w:val="single" w:sz="6" w:space="0" w:color="auto"/>
              <w:left w:val="single" w:sz="6" w:space="0" w:color="auto"/>
              <w:bottom w:val="single" w:sz="6" w:space="0" w:color="auto"/>
              <w:right w:val="single" w:sz="6" w:space="0" w:color="auto"/>
            </w:tcBorders>
            <w:vAlign w:val="center"/>
          </w:tcPr>
          <w:p w14:paraId="23E21D9A"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15.5</w:t>
            </w:r>
          </w:p>
        </w:tc>
        <w:tc>
          <w:tcPr>
            <w:tcW w:w="959" w:type="dxa"/>
            <w:tcBorders>
              <w:top w:val="single" w:sz="6" w:space="0" w:color="auto"/>
              <w:left w:val="single" w:sz="6" w:space="0" w:color="auto"/>
              <w:bottom w:val="single" w:sz="6" w:space="0" w:color="auto"/>
              <w:right w:val="single" w:sz="6" w:space="0" w:color="auto"/>
            </w:tcBorders>
            <w:vAlign w:val="center"/>
          </w:tcPr>
          <w:p w14:paraId="349663E7"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1.2</w:t>
            </w:r>
          </w:p>
        </w:tc>
        <w:tc>
          <w:tcPr>
            <w:tcW w:w="1023" w:type="dxa"/>
            <w:tcBorders>
              <w:top w:val="single" w:sz="6" w:space="0" w:color="auto"/>
              <w:left w:val="single" w:sz="6" w:space="0" w:color="auto"/>
              <w:bottom w:val="single" w:sz="6" w:space="0" w:color="auto"/>
              <w:right w:val="single" w:sz="6" w:space="0" w:color="auto"/>
            </w:tcBorders>
            <w:vAlign w:val="center"/>
          </w:tcPr>
          <w:p w14:paraId="08836F49"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0.14</w:t>
            </w:r>
          </w:p>
        </w:tc>
        <w:tc>
          <w:tcPr>
            <w:tcW w:w="1347" w:type="dxa"/>
            <w:tcBorders>
              <w:top w:val="single" w:sz="6" w:space="0" w:color="auto"/>
              <w:left w:val="single" w:sz="6" w:space="0" w:color="auto"/>
              <w:bottom w:val="single" w:sz="6" w:space="0" w:color="auto"/>
              <w:right w:val="single" w:sz="6" w:space="0" w:color="auto"/>
            </w:tcBorders>
            <w:vAlign w:val="center"/>
          </w:tcPr>
          <w:p w14:paraId="3550F93E"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No aplica</w:t>
            </w:r>
          </w:p>
        </w:tc>
        <w:tc>
          <w:tcPr>
            <w:tcW w:w="680" w:type="dxa"/>
            <w:tcBorders>
              <w:top w:val="single" w:sz="6" w:space="0" w:color="auto"/>
              <w:left w:val="single" w:sz="6" w:space="0" w:color="auto"/>
              <w:bottom w:val="single" w:sz="6" w:space="0" w:color="auto"/>
              <w:right w:val="single" w:sz="6" w:space="0" w:color="auto"/>
            </w:tcBorders>
            <w:vAlign w:val="center"/>
          </w:tcPr>
          <w:p w14:paraId="7E76A26D"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0.01</w:t>
            </w:r>
          </w:p>
        </w:tc>
      </w:tr>
      <w:tr w:rsidR="00DF5012" w:rsidRPr="00BA3592" w14:paraId="68C8C188" w14:textId="77777777">
        <w:trPr>
          <w:trHeight w:val="20"/>
          <w:jc w:val="center"/>
        </w:trPr>
        <w:tc>
          <w:tcPr>
            <w:tcW w:w="1105" w:type="dxa"/>
            <w:tcBorders>
              <w:top w:val="single" w:sz="6" w:space="0" w:color="auto"/>
              <w:left w:val="single" w:sz="6" w:space="0" w:color="auto"/>
              <w:bottom w:val="single" w:sz="6" w:space="0" w:color="auto"/>
              <w:right w:val="single" w:sz="6" w:space="0" w:color="auto"/>
            </w:tcBorders>
            <w:vAlign w:val="center"/>
          </w:tcPr>
          <w:p w14:paraId="0CD7ACBE"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b/>
                <w:sz w:val="16"/>
                <w:szCs w:val="16"/>
              </w:rPr>
              <w:t xml:space="preserve">1B </w:t>
            </w:r>
            <w:r w:rsidRPr="00BA3592">
              <w:rPr>
                <w:rFonts w:ascii="Verdana" w:hAnsi="Verdana"/>
                <w:sz w:val="16"/>
                <w:szCs w:val="16"/>
                <w:vertAlign w:val="superscript"/>
              </w:rPr>
              <w:t>(5)</w:t>
            </w:r>
          </w:p>
        </w:tc>
        <w:tc>
          <w:tcPr>
            <w:tcW w:w="1041" w:type="dxa"/>
            <w:tcBorders>
              <w:top w:val="single" w:sz="6" w:space="0" w:color="auto"/>
              <w:left w:val="single" w:sz="6" w:space="0" w:color="auto"/>
              <w:bottom w:val="single" w:sz="6" w:space="0" w:color="auto"/>
              <w:right w:val="single" w:sz="6" w:space="0" w:color="auto"/>
            </w:tcBorders>
            <w:vAlign w:val="center"/>
          </w:tcPr>
          <w:p w14:paraId="490AAAD2"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CT y CSE</w:t>
            </w:r>
          </w:p>
        </w:tc>
        <w:tc>
          <w:tcPr>
            <w:tcW w:w="701" w:type="dxa"/>
            <w:tcBorders>
              <w:top w:val="single" w:sz="6" w:space="0" w:color="auto"/>
              <w:left w:val="single" w:sz="6" w:space="0" w:color="auto"/>
              <w:bottom w:val="single" w:sz="6" w:space="0" w:color="auto"/>
              <w:right w:val="single" w:sz="6" w:space="0" w:color="auto"/>
            </w:tcBorders>
            <w:vAlign w:val="center"/>
          </w:tcPr>
          <w:p w14:paraId="3948242A"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15.5</w:t>
            </w:r>
          </w:p>
        </w:tc>
        <w:tc>
          <w:tcPr>
            <w:tcW w:w="959" w:type="dxa"/>
            <w:tcBorders>
              <w:top w:val="single" w:sz="6" w:space="0" w:color="auto"/>
              <w:left w:val="single" w:sz="6" w:space="0" w:color="auto"/>
              <w:bottom w:val="single" w:sz="6" w:space="0" w:color="auto"/>
              <w:right w:val="single" w:sz="6" w:space="0" w:color="auto"/>
            </w:tcBorders>
            <w:vAlign w:val="center"/>
          </w:tcPr>
          <w:p w14:paraId="1FA02BFD"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0.20</w:t>
            </w:r>
          </w:p>
        </w:tc>
        <w:tc>
          <w:tcPr>
            <w:tcW w:w="1023" w:type="dxa"/>
            <w:tcBorders>
              <w:top w:val="single" w:sz="6" w:space="0" w:color="auto"/>
              <w:left w:val="single" w:sz="6" w:space="0" w:color="auto"/>
              <w:bottom w:val="single" w:sz="6" w:space="0" w:color="auto"/>
              <w:right w:val="single" w:sz="6" w:space="0" w:color="auto"/>
            </w:tcBorders>
            <w:vAlign w:val="center"/>
          </w:tcPr>
          <w:p w14:paraId="5EC43C62"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0.14</w:t>
            </w:r>
          </w:p>
        </w:tc>
        <w:tc>
          <w:tcPr>
            <w:tcW w:w="1347" w:type="dxa"/>
            <w:tcBorders>
              <w:top w:val="single" w:sz="6" w:space="0" w:color="auto"/>
              <w:left w:val="single" w:sz="6" w:space="0" w:color="auto"/>
              <w:bottom w:val="single" w:sz="6" w:space="0" w:color="auto"/>
              <w:right w:val="single" w:sz="6" w:space="0" w:color="auto"/>
            </w:tcBorders>
            <w:vAlign w:val="center"/>
          </w:tcPr>
          <w:p w14:paraId="294D73A3"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No aplica</w:t>
            </w:r>
          </w:p>
        </w:tc>
        <w:tc>
          <w:tcPr>
            <w:tcW w:w="680" w:type="dxa"/>
            <w:tcBorders>
              <w:top w:val="single" w:sz="6" w:space="0" w:color="auto"/>
              <w:left w:val="single" w:sz="6" w:space="0" w:color="auto"/>
              <w:bottom w:val="single" w:sz="6" w:space="0" w:color="auto"/>
              <w:right w:val="single" w:sz="6" w:space="0" w:color="auto"/>
            </w:tcBorders>
            <w:vAlign w:val="center"/>
          </w:tcPr>
          <w:p w14:paraId="1B5A0D9B" w14:textId="77777777" w:rsidR="00DF5012" w:rsidRPr="00BA3592" w:rsidRDefault="00DF5012" w:rsidP="00931F51">
            <w:pPr>
              <w:pStyle w:val="Texto"/>
              <w:spacing w:before="40" w:after="40" w:line="226" w:lineRule="exact"/>
              <w:ind w:firstLine="0"/>
              <w:jc w:val="center"/>
              <w:rPr>
                <w:rFonts w:ascii="Verdana" w:hAnsi="Verdana"/>
                <w:sz w:val="16"/>
                <w:szCs w:val="16"/>
              </w:rPr>
            </w:pPr>
            <w:r w:rsidRPr="00BA3592">
              <w:rPr>
                <w:rFonts w:ascii="Verdana" w:hAnsi="Verdana"/>
                <w:sz w:val="16"/>
                <w:szCs w:val="16"/>
              </w:rPr>
              <w:t>0.01</w:t>
            </w:r>
          </w:p>
        </w:tc>
      </w:tr>
      <w:tr w:rsidR="00DF5012" w:rsidRPr="00BA3592" w14:paraId="63AA90A8" w14:textId="77777777">
        <w:trPr>
          <w:trHeight w:val="20"/>
          <w:jc w:val="center"/>
        </w:trPr>
        <w:tc>
          <w:tcPr>
            <w:tcW w:w="6856" w:type="dxa"/>
            <w:gridSpan w:val="7"/>
            <w:tcBorders>
              <w:top w:val="single" w:sz="6" w:space="0" w:color="auto"/>
            </w:tcBorders>
          </w:tcPr>
          <w:p w14:paraId="78B57085" w14:textId="77777777" w:rsidR="00DF5012" w:rsidRPr="00BA3592" w:rsidRDefault="00DF5012" w:rsidP="00931F51">
            <w:pPr>
              <w:pStyle w:val="Texto"/>
              <w:spacing w:line="226" w:lineRule="exact"/>
              <w:ind w:firstLine="0"/>
              <w:rPr>
                <w:rFonts w:ascii="Verdana" w:hAnsi="Verdana"/>
                <w:sz w:val="16"/>
                <w:szCs w:val="16"/>
              </w:rPr>
            </w:pPr>
            <w:r w:rsidRPr="00BA3592">
              <w:rPr>
                <w:rFonts w:ascii="Verdana" w:hAnsi="Verdana"/>
                <w:sz w:val="16"/>
                <w:szCs w:val="16"/>
              </w:rPr>
              <w:t>Notas:</w:t>
            </w:r>
          </w:p>
        </w:tc>
      </w:tr>
      <w:tr w:rsidR="00DF5012" w:rsidRPr="00BA3592" w14:paraId="7E2F3C8B" w14:textId="77777777">
        <w:trPr>
          <w:trHeight w:val="20"/>
          <w:jc w:val="center"/>
        </w:trPr>
        <w:tc>
          <w:tcPr>
            <w:tcW w:w="6856" w:type="dxa"/>
            <w:gridSpan w:val="7"/>
          </w:tcPr>
          <w:p w14:paraId="217C5E11" w14:textId="77777777" w:rsidR="00DF5012" w:rsidRPr="00BA3592" w:rsidRDefault="00DF5012" w:rsidP="00931F51">
            <w:pPr>
              <w:pStyle w:val="Texto"/>
              <w:spacing w:line="222" w:lineRule="exact"/>
              <w:ind w:left="360" w:hanging="360"/>
              <w:rPr>
                <w:rFonts w:ascii="Verdana" w:hAnsi="Verdana"/>
                <w:i/>
                <w:sz w:val="16"/>
                <w:szCs w:val="16"/>
                <w:lang w:val="es-ES"/>
              </w:rPr>
            </w:pPr>
            <w:bookmarkStart w:id="2" w:name="N_Hlk485578715"/>
            <w:r w:rsidRPr="00BA3592">
              <w:rPr>
                <w:rFonts w:ascii="Verdana" w:hAnsi="Verdana"/>
                <w:sz w:val="16"/>
                <w:szCs w:val="16"/>
                <w:lang w:val="es-ES"/>
              </w:rPr>
              <w:t>1.</w:t>
            </w:r>
            <w:r w:rsidRPr="00BA3592">
              <w:rPr>
                <w:rFonts w:ascii="Verdana" w:hAnsi="Verdana"/>
                <w:sz w:val="16"/>
                <w:szCs w:val="16"/>
                <w:lang w:val="es-ES"/>
              </w:rPr>
              <w:tab/>
              <w:t>g/bhp-hr</w:t>
            </w:r>
            <w:r w:rsidRPr="00BA3592">
              <w:rPr>
                <w:rFonts w:ascii="Verdana" w:hAnsi="Verdana"/>
                <w:i/>
                <w:sz w:val="16"/>
                <w:szCs w:val="16"/>
                <w:lang w:val="es-ES"/>
              </w:rPr>
              <w:t xml:space="preserve"> = </w:t>
            </w:r>
            <w:r w:rsidRPr="00BA3592">
              <w:rPr>
                <w:rFonts w:ascii="Verdana" w:hAnsi="Verdana"/>
                <w:sz w:val="16"/>
                <w:szCs w:val="16"/>
                <w:lang w:val="es-ES"/>
              </w:rPr>
              <w:t>gramos por caballo de fuerza al freno por hora</w:t>
            </w:r>
            <w:r w:rsidRPr="00BA3592">
              <w:rPr>
                <w:rFonts w:ascii="Verdana" w:hAnsi="Verdana"/>
                <w:i/>
                <w:sz w:val="16"/>
                <w:szCs w:val="16"/>
                <w:lang w:val="es-ES"/>
              </w:rPr>
              <w:t>.</w:t>
            </w:r>
          </w:p>
          <w:p w14:paraId="3B316E45" w14:textId="77777777" w:rsidR="00DF5012" w:rsidRPr="00BA3592" w:rsidRDefault="00DF5012" w:rsidP="00931F51">
            <w:pPr>
              <w:pStyle w:val="Texto"/>
              <w:spacing w:line="222" w:lineRule="exact"/>
              <w:ind w:left="360" w:hanging="360"/>
              <w:rPr>
                <w:rFonts w:ascii="Verdana" w:hAnsi="Verdana"/>
                <w:i/>
                <w:sz w:val="16"/>
                <w:szCs w:val="16"/>
                <w:lang w:val="es-ES"/>
              </w:rPr>
            </w:pPr>
            <w:r w:rsidRPr="00BA3592">
              <w:rPr>
                <w:rFonts w:ascii="Verdana" w:hAnsi="Verdana"/>
                <w:sz w:val="16"/>
                <w:szCs w:val="16"/>
                <w:lang w:val="es-ES"/>
              </w:rPr>
              <w:t>2.</w:t>
            </w:r>
            <w:r w:rsidRPr="00BA3592">
              <w:rPr>
                <w:rFonts w:ascii="Verdana" w:hAnsi="Verdana"/>
                <w:sz w:val="16"/>
                <w:szCs w:val="16"/>
                <w:lang w:val="es-ES"/>
              </w:rPr>
              <w:tab/>
              <w:t xml:space="preserve">Estándar </w:t>
            </w:r>
            <w:r w:rsidRPr="00BA3592">
              <w:rPr>
                <w:rFonts w:ascii="Verdana" w:hAnsi="Verdana"/>
                <w:b/>
                <w:sz w:val="16"/>
                <w:szCs w:val="16"/>
                <w:lang w:val="es-ES"/>
              </w:rPr>
              <w:t>1A</w:t>
            </w:r>
            <w:r w:rsidRPr="00BA3592">
              <w:rPr>
                <w:rFonts w:ascii="Verdana" w:hAnsi="Verdana"/>
                <w:sz w:val="16"/>
                <w:szCs w:val="16"/>
                <w:lang w:val="es-ES"/>
              </w:rPr>
              <w:t>. Límites máximos permisibles para motores y vehículos automotores nuevos producidos a partir de la entrada en vigor de esta norma y hasta el 30 de junio de 2019, obtenidos con los métodos de prueba Ciclo Suplementario Estable (CSE) y Ciclo Transitorio (CT), descritos en los numerales 3.10 y 3.11, de la presente norma oficial mexicana.</w:t>
            </w:r>
          </w:p>
          <w:p w14:paraId="72601A77" w14:textId="77777777" w:rsidR="00DF5012" w:rsidRPr="00BA3592" w:rsidRDefault="00DF5012" w:rsidP="00931F51">
            <w:pPr>
              <w:pStyle w:val="Texto"/>
              <w:spacing w:line="220" w:lineRule="exact"/>
              <w:ind w:left="360" w:hanging="360"/>
              <w:rPr>
                <w:rFonts w:ascii="Verdana" w:hAnsi="Verdana"/>
                <w:i/>
                <w:sz w:val="16"/>
                <w:szCs w:val="16"/>
                <w:lang w:val="es-ES"/>
              </w:rPr>
            </w:pPr>
            <w:r w:rsidRPr="00BA3592">
              <w:rPr>
                <w:rFonts w:ascii="Verdana" w:hAnsi="Verdana"/>
                <w:sz w:val="16"/>
                <w:szCs w:val="16"/>
                <w:lang w:val="es-ES"/>
              </w:rPr>
              <w:lastRenderedPageBreak/>
              <w:t>3.</w:t>
            </w:r>
            <w:r w:rsidRPr="00BA3592">
              <w:rPr>
                <w:rFonts w:ascii="Verdana" w:hAnsi="Verdana"/>
                <w:sz w:val="16"/>
                <w:szCs w:val="16"/>
                <w:lang w:val="es-ES"/>
              </w:rPr>
              <w:tab/>
              <w:t xml:space="preserve">El estándar </w:t>
            </w:r>
            <w:r w:rsidRPr="00BA3592">
              <w:rPr>
                <w:rFonts w:ascii="Verdana" w:hAnsi="Verdana"/>
                <w:b/>
                <w:sz w:val="16"/>
                <w:szCs w:val="16"/>
                <w:lang w:val="es-ES"/>
              </w:rPr>
              <w:t>1A</w:t>
            </w:r>
            <w:r w:rsidRPr="00BA3592">
              <w:rPr>
                <w:rFonts w:ascii="Verdana" w:hAnsi="Verdana"/>
                <w:sz w:val="16"/>
                <w:szCs w:val="16"/>
                <w:lang w:val="es-ES"/>
              </w:rPr>
              <w:t xml:space="preserve"> admite un máximo de 2.5</w:t>
            </w:r>
            <w:r w:rsidRPr="00BA3592">
              <w:rPr>
                <w:rFonts w:ascii="Verdana" w:hAnsi="Verdana"/>
                <w:b/>
                <w:sz w:val="16"/>
                <w:szCs w:val="16"/>
              </w:rPr>
              <w:t xml:space="preserve"> </w:t>
            </w:r>
            <w:r w:rsidRPr="00BA3592">
              <w:rPr>
                <w:rFonts w:ascii="Verdana" w:hAnsi="Verdana"/>
                <w:sz w:val="16"/>
                <w:szCs w:val="16"/>
                <w:lang w:val="es-ES"/>
              </w:rPr>
              <w:t>g/bhp-hr para HCNM+NOx, siempre y cuando los HCNM sean menores o iguales a 0.5 g/bhp-hr.</w:t>
            </w:r>
          </w:p>
          <w:p w14:paraId="6BE4396B" w14:textId="648B57C4" w:rsidR="00DF5012" w:rsidRPr="00BA3592" w:rsidRDefault="00DF5012" w:rsidP="00931F51">
            <w:pPr>
              <w:pStyle w:val="Texto"/>
              <w:spacing w:line="220" w:lineRule="exact"/>
              <w:ind w:left="360" w:hanging="360"/>
              <w:rPr>
                <w:rFonts w:ascii="Verdana" w:hAnsi="Verdana"/>
                <w:sz w:val="16"/>
                <w:szCs w:val="16"/>
              </w:rPr>
            </w:pPr>
            <w:r w:rsidRPr="00B32D99">
              <w:rPr>
                <w:rFonts w:ascii="Verdana" w:hAnsi="Verdana"/>
                <w:sz w:val="16"/>
                <w:szCs w:val="16"/>
              </w:rPr>
              <w:t>4.</w:t>
            </w:r>
            <w:r w:rsidRPr="00B32D99">
              <w:rPr>
                <w:rFonts w:ascii="Verdana" w:hAnsi="Verdana"/>
                <w:sz w:val="16"/>
                <w:szCs w:val="16"/>
              </w:rPr>
              <w:tab/>
            </w:r>
            <w:r w:rsidR="00B32D99" w:rsidRPr="004C6964">
              <w:rPr>
                <w:rFonts w:ascii="Verdana" w:hAnsi="Verdana"/>
                <w:i/>
                <w:color w:val="0000FA"/>
                <w:sz w:val="16"/>
                <w:szCs w:val="16"/>
                <w:lang w:val="es-ES"/>
              </w:rPr>
              <w:t xml:space="preserve">Estándar </w:t>
            </w:r>
            <w:r w:rsidR="00B32D99" w:rsidRPr="004C6964">
              <w:rPr>
                <w:rFonts w:ascii="Verdana" w:hAnsi="Verdana"/>
                <w:b/>
                <w:i/>
                <w:color w:val="0000FA"/>
                <w:sz w:val="16"/>
                <w:szCs w:val="16"/>
                <w:lang w:val="es-ES"/>
              </w:rPr>
              <w:t>1AA</w:t>
            </w:r>
            <w:r w:rsidR="00B32D99" w:rsidRPr="004C6964">
              <w:rPr>
                <w:rFonts w:ascii="Verdana" w:hAnsi="Verdana"/>
                <w:i/>
                <w:color w:val="0000FA"/>
                <w:sz w:val="16"/>
                <w:szCs w:val="16"/>
                <w:lang w:val="es-ES"/>
              </w:rPr>
              <w:t>. Límites máximos permisibles para motores y vehículos automotores nuevos producidos a partir del 1 de enero de 2019 y hasta el 31 de diciembre de 2021, obtenidos con los métodos de prueba Ciclo Suplementario Estable (CSE) y Ciclo Transitorio (CT), descritos en los numerales 3.10 y 3.11 de la presente norma oficial mexicana.</w:t>
            </w:r>
            <w:r w:rsidR="00B32D99">
              <w:rPr>
                <w:rFonts w:ascii="Verdana" w:hAnsi="Verdana"/>
                <w:i/>
                <w:color w:val="0000FA"/>
                <w:sz w:val="16"/>
                <w:szCs w:val="16"/>
              </w:rPr>
              <w:t>(Modificación publicada en el DOF 12-11-2020)</w:t>
            </w:r>
            <w:r w:rsidR="00C0700C">
              <w:rPr>
                <w:rFonts w:ascii="Verdana" w:hAnsi="Verdana"/>
                <w:i/>
                <w:color w:val="0000FA"/>
                <w:sz w:val="16"/>
                <w:szCs w:val="16"/>
              </w:rPr>
              <w:t xml:space="preserve"> </w:t>
            </w:r>
            <w:r w:rsidR="00E44432">
              <w:rPr>
                <w:rFonts w:ascii="Verdana" w:hAnsi="Verdana"/>
                <w:i/>
                <w:color w:val="0000FA"/>
                <w:sz w:val="16"/>
                <w:szCs w:val="16"/>
              </w:rPr>
              <w:t>(modificación que se deja insub</w:t>
            </w:r>
            <w:r w:rsidR="008C2B91">
              <w:rPr>
                <w:rFonts w:ascii="Verdana" w:hAnsi="Verdana"/>
                <w:i/>
                <w:color w:val="0000FA"/>
                <w:sz w:val="16"/>
                <w:szCs w:val="16"/>
              </w:rPr>
              <w:t xml:space="preserve">sistente </w:t>
            </w:r>
            <w:r w:rsidR="00445C20">
              <w:rPr>
                <w:rFonts w:ascii="Verdana" w:hAnsi="Verdana"/>
                <w:i/>
                <w:color w:val="0000FA"/>
                <w:sz w:val="16"/>
                <w:szCs w:val="16"/>
              </w:rPr>
              <w:t>DOF 25-04-2024)</w:t>
            </w:r>
          </w:p>
          <w:p w14:paraId="2D7BB72E" w14:textId="77777777" w:rsidR="00DF5012" w:rsidRPr="00BA3592" w:rsidRDefault="00DF5012" w:rsidP="00931F51">
            <w:pPr>
              <w:pStyle w:val="Texto"/>
              <w:spacing w:line="220" w:lineRule="exact"/>
              <w:ind w:left="360" w:hanging="360"/>
              <w:rPr>
                <w:rFonts w:ascii="Verdana" w:hAnsi="Verdana"/>
                <w:sz w:val="16"/>
                <w:szCs w:val="16"/>
              </w:rPr>
            </w:pPr>
            <w:r w:rsidRPr="00BA3592">
              <w:rPr>
                <w:rFonts w:ascii="Verdana" w:hAnsi="Verdana"/>
                <w:sz w:val="16"/>
                <w:szCs w:val="16"/>
                <w:lang w:val="es-ES"/>
              </w:rPr>
              <w:t>5.</w:t>
            </w:r>
            <w:r w:rsidRPr="00BA3592">
              <w:rPr>
                <w:rFonts w:ascii="Verdana" w:hAnsi="Verdana"/>
                <w:sz w:val="16"/>
                <w:szCs w:val="16"/>
                <w:lang w:val="es-ES"/>
              </w:rPr>
              <w:tab/>
            </w:r>
            <w:r w:rsidRPr="00BA3592">
              <w:rPr>
                <w:rFonts w:ascii="Verdana" w:hAnsi="Verdana"/>
                <w:sz w:val="16"/>
                <w:szCs w:val="16"/>
              </w:rPr>
              <w:t xml:space="preserve">Estándar </w:t>
            </w:r>
            <w:r w:rsidRPr="00BA3592">
              <w:rPr>
                <w:rFonts w:ascii="Verdana" w:hAnsi="Verdana"/>
                <w:b/>
                <w:sz w:val="16"/>
                <w:szCs w:val="16"/>
              </w:rPr>
              <w:t>1B</w:t>
            </w:r>
            <w:r w:rsidRPr="00BA3592">
              <w:rPr>
                <w:rFonts w:ascii="Verdana" w:hAnsi="Verdana"/>
                <w:sz w:val="16"/>
                <w:szCs w:val="16"/>
              </w:rPr>
              <w:t>. Límites máximos permisibles para motores y vehículos automotores nuevos producidos a partir del 1 de enero de 2019, obtenidos con los métodos de prueba Ciclo Suplementario Estable (CSE) y Ciclo Transitorio (CT), descritos en los numerales 3.10 y 3.11</w:t>
            </w:r>
            <w:bookmarkEnd w:id="2"/>
            <w:r w:rsidRPr="00BA3592">
              <w:rPr>
                <w:rFonts w:ascii="Verdana" w:hAnsi="Verdana"/>
                <w:sz w:val="16"/>
                <w:szCs w:val="16"/>
              </w:rPr>
              <w:t xml:space="preserve"> de la presente norma oficial mexicana. Este estándar requiere el uso de diésel automotriz con un contenido máximo de azufre de 15 mg/kg, el cual estará disponible en el país, conforme a lo establecido en la nota 3 de la Tabla 7 de la norma oficial mexicana </w:t>
            </w:r>
            <w:r w:rsidR="00D728B4" w:rsidRPr="00BA3592">
              <w:rPr>
                <w:rFonts w:ascii="Verdana" w:hAnsi="Verdana"/>
                <w:sz w:val="16"/>
                <w:szCs w:val="16"/>
              </w:rPr>
              <w:t xml:space="preserve"> </w:t>
            </w:r>
            <w:r w:rsidRPr="00BA3592">
              <w:rPr>
                <w:rFonts w:ascii="Verdana" w:hAnsi="Verdana"/>
                <w:sz w:val="16"/>
                <w:szCs w:val="16"/>
              </w:rPr>
              <w:t>NOM-016-CRE-2016. Especificaciones de la calidad de los petrolíferos, publicada en el Diario Oficial de la Federación, el 29 de agosto de 2016.</w:t>
            </w:r>
          </w:p>
        </w:tc>
      </w:tr>
    </w:tbl>
    <w:p w14:paraId="7532A2B8" w14:textId="77777777" w:rsidR="008A0760" w:rsidRDefault="008A0760" w:rsidP="008A0760">
      <w:pPr>
        <w:pStyle w:val="Texto"/>
        <w:spacing w:line="220" w:lineRule="exact"/>
        <w:ind w:firstLine="0"/>
        <w:rPr>
          <w:rFonts w:ascii="Verdana" w:hAnsi="Verdana"/>
          <w:b/>
          <w:sz w:val="16"/>
          <w:szCs w:val="16"/>
        </w:rPr>
      </w:pPr>
    </w:p>
    <w:p w14:paraId="3299615C" w14:textId="77777777" w:rsidR="008A0760" w:rsidRPr="008A0760" w:rsidRDefault="008A0760" w:rsidP="008A0760">
      <w:pPr>
        <w:spacing w:after="101" w:line="226" w:lineRule="atLeast"/>
        <w:jc w:val="center"/>
        <w:rPr>
          <w:lang w:val="en-US" w:eastAsia="en-US"/>
        </w:rPr>
      </w:pPr>
      <w:r w:rsidRPr="008A0760">
        <w:rPr>
          <w:rFonts w:ascii="Verdana" w:hAnsi="Verdana"/>
          <w:b/>
          <w:bCs/>
          <w:sz w:val="16"/>
          <w:szCs w:val="16"/>
          <w:lang w:val="en-US" w:eastAsia="en-US"/>
        </w:rPr>
        <w:t>Table 1</w:t>
      </w:r>
      <w:r w:rsidRPr="008A0760">
        <w:rPr>
          <w:lang w:val="en-US" w:eastAsia="en-US"/>
        </w:rPr>
        <w:t xml:space="preserve"> </w:t>
      </w:r>
    </w:p>
    <w:tbl>
      <w:tblPr>
        <w:tblW w:w="6856" w:type="dxa"/>
        <w:jc w:val="center"/>
        <w:tblCellMar>
          <w:left w:w="0" w:type="dxa"/>
          <w:right w:w="0" w:type="dxa"/>
        </w:tblCellMar>
        <w:tblLook w:val="04A0" w:firstRow="1" w:lastRow="0" w:firstColumn="1" w:lastColumn="0" w:noHBand="0" w:noVBand="1"/>
      </w:tblPr>
      <w:tblGrid>
        <w:gridCol w:w="1105"/>
        <w:gridCol w:w="1041"/>
        <w:gridCol w:w="701"/>
        <w:gridCol w:w="959"/>
        <w:gridCol w:w="1023"/>
        <w:gridCol w:w="1347"/>
        <w:gridCol w:w="680"/>
      </w:tblGrid>
      <w:tr w:rsidR="008A0760" w:rsidRPr="008A0760" w14:paraId="72736731" w14:textId="77777777" w:rsidTr="008A0760">
        <w:trPr>
          <w:trHeight w:val="20"/>
          <w:jc w:val="center"/>
        </w:trPr>
        <w:tc>
          <w:tcPr>
            <w:tcW w:w="1105"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138CB48"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Standard</w:t>
            </w:r>
            <w:r w:rsidRPr="008A0760">
              <w:rPr>
                <w:lang w:val="en-US" w:eastAsia="en-US"/>
              </w:rPr>
              <w:t xml:space="preserve"> </w:t>
            </w:r>
          </w:p>
        </w:tc>
        <w:tc>
          <w:tcPr>
            <w:tcW w:w="1041"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3ADB6039"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Testing method</w:t>
            </w:r>
            <w:r w:rsidRPr="008A0760">
              <w:rPr>
                <w:lang w:val="en-US" w:eastAsia="en-US"/>
              </w:rPr>
              <w:t xml:space="preserve"> </w:t>
            </w:r>
          </w:p>
        </w:tc>
        <w:tc>
          <w:tcPr>
            <w:tcW w:w="701"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0D074719"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CO</w:t>
            </w:r>
            <w:r w:rsidRPr="008A0760">
              <w:rPr>
                <w:lang w:val="en-US" w:eastAsia="en-US"/>
              </w:rPr>
              <w:t xml:space="preserve"> </w:t>
            </w:r>
          </w:p>
        </w:tc>
        <w:tc>
          <w:tcPr>
            <w:tcW w:w="959"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6B3F3C22"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NOx</w:t>
            </w:r>
            <w:r w:rsidRPr="008A0760">
              <w:rPr>
                <w:lang w:val="en-US" w:eastAsia="en-US"/>
              </w:rPr>
              <w:t xml:space="preserve"> </w:t>
            </w:r>
          </w:p>
        </w:tc>
        <w:tc>
          <w:tcPr>
            <w:tcW w:w="1023"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73F2CB13"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HCNM</w:t>
            </w:r>
            <w:r w:rsidRPr="008A0760">
              <w:rPr>
                <w:lang w:val="en-US" w:eastAsia="en-US"/>
              </w:rPr>
              <w:t xml:space="preserve"> </w:t>
            </w:r>
          </w:p>
        </w:tc>
        <w:tc>
          <w:tcPr>
            <w:tcW w:w="1347"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465994E"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HCNM +</w:t>
            </w:r>
            <w:r w:rsidRPr="008A0760">
              <w:rPr>
                <w:lang w:val="en-US" w:eastAsia="en-US"/>
              </w:rPr>
              <w:t xml:space="preserve"> </w:t>
            </w:r>
            <w:r w:rsidRPr="008A0760">
              <w:rPr>
                <w:rFonts w:ascii="Verdana" w:hAnsi="Verdana"/>
                <w:b/>
                <w:bCs/>
                <w:sz w:val="16"/>
                <w:szCs w:val="16"/>
                <w:lang w:val="en-US" w:eastAsia="en-US"/>
              </w:rPr>
              <w:t>NOx</w:t>
            </w:r>
            <w:r w:rsidRPr="008A0760">
              <w:rPr>
                <w:lang w:val="en-US" w:eastAsia="en-US"/>
              </w:rPr>
              <w:t xml:space="preserve"> </w:t>
            </w:r>
          </w:p>
        </w:tc>
        <w:tc>
          <w:tcPr>
            <w:tcW w:w="68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08B7137D"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Part</w:t>
            </w:r>
            <w:r w:rsidRPr="008A0760">
              <w:rPr>
                <w:lang w:val="en-US" w:eastAsia="en-US"/>
              </w:rPr>
              <w:t xml:space="preserve"> </w:t>
            </w:r>
          </w:p>
        </w:tc>
      </w:tr>
      <w:tr w:rsidR="008A0760" w:rsidRPr="008A0760" w14:paraId="57548226"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4AB943" w14:textId="77777777" w:rsidR="008A0760" w:rsidRPr="008A0760" w:rsidRDefault="008A0760" w:rsidP="008A0760">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B21FEC" w14:textId="77777777" w:rsidR="008A0760" w:rsidRPr="008A0760" w:rsidRDefault="008A0760" w:rsidP="008A0760">
            <w:pPr>
              <w:rPr>
                <w:lang w:val="en-US" w:eastAsia="en-US"/>
              </w:rPr>
            </w:pPr>
          </w:p>
        </w:tc>
        <w:tc>
          <w:tcPr>
            <w:tcW w:w="4710" w:type="dxa"/>
            <w:gridSpan w:val="5"/>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57F7FBF"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g /</w:t>
            </w:r>
            <w:r w:rsidRPr="008A0760">
              <w:rPr>
                <w:lang w:val="en-US" w:eastAsia="en-US"/>
              </w:rPr>
              <w:t xml:space="preserve"> </w:t>
            </w:r>
            <w:r w:rsidRPr="008A0760">
              <w:rPr>
                <w:rFonts w:ascii="Verdana" w:hAnsi="Verdana"/>
                <w:b/>
                <w:bCs/>
                <w:sz w:val="16"/>
                <w:szCs w:val="16"/>
                <w:lang w:val="en-US" w:eastAsia="en-US"/>
              </w:rPr>
              <w:t>bhp-hr</w:t>
            </w:r>
            <w:r w:rsidRPr="008A0760">
              <w:rPr>
                <w:lang w:val="en-US" w:eastAsia="en-US"/>
              </w:rPr>
              <w:t xml:space="preserve"> </w:t>
            </w:r>
            <w:r w:rsidRPr="008A0760">
              <w:rPr>
                <w:rFonts w:ascii="Verdana" w:hAnsi="Verdana"/>
                <w:sz w:val="11"/>
                <w:szCs w:val="11"/>
                <w:vertAlign w:val="superscript"/>
                <w:lang w:val="en-US" w:eastAsia="en-US"/>
              </w:rPr>
              <w:t>(1)</w:t>
            </w:r>
            <w:r w:rsidRPr="008A0760">
              <w:rPr>
                <w:lang w:val="en-US" w:eastAsia="en-US"/>
              </w:rPr>
              <w:t xml:space="preserve"> </w:t>
            </w:r>
          </w:p>
        </w:tc>
      </w:tr>
      <w:tr w:rsidR="008A0760" w:rsidRPr="008A0760" w14:paraId="75F39341" w14:textId="77777777" w:rsidTr="008A0760">
        <w:trPr>
          <w:trHeight w:val="20"/>
          <w:jc w:val="center"/>
        </w:trPr>
        <w:tc>
          <w:tcPr>
            <w:tcW w:w="11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11DBBF"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1A</w:t>
            </w:r>
            <w:r w:rsidRPr="008A0760">
              <w:rPr>
                <w:lang w:val="en-US" w:eastAsia="en-US"/>
              </w:rPr>
              <w:t xml:space="preserve"> </w:t>
            </w:r>
            <w:r w:rsidRPr="008A0760">
              <w:rPr>
                <w:rFonts w:ascii="Verdana" w:hAnsi="Verdana"/>
                <w:sz w:val="11"/>
                <w:szCs w:val="11"/>
                <w:vertAlign w:val="superscript"/>
                <w:lang w:val="en-US" w:eastAsia="en-US"/>
              </w:rPr>
              <w:t>(2)</w:t>
            </w:r>
            <w:r w:rsidRPr="008A0760">
              <w:rPr>
                <w:lang w:val="en-US" w:eastAsia="en-US"/>
              </w:rPr>
              <w:t xml:space="preserve"> </w:t>
            </w:r>
          </w:p>
        </w:tc>
        <w:tc>
          <w:tcPr>
            <w:tcW w:w="104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281677"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CT and CSE</w:t>
            </w:r>
            <w:r w:rsidRPr="008A0760">
              <w:rPr>
                <w:lang w:val="en-US" w:eastAsia="en-US"/>
              </w:rPr>
              <w:t xml:space="preserve"> </w:t>
            </w:r>
          </w:p>
        </w:tc>
        <w:tc>
          <w:tcPr>
            <w:tcW w:w="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4F2922C"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15.5</w:t>
            </w:r>
            <w:r w:rsidRPr="008A0760">
              <w:rPr>
                <w:lang w:val="en-US" w:eastAsia="en-US"/>
              </w:rPr>
              <w:t xml:space="preserve"> </w:t>
            </w:r>
          </w:p>
        </w:tc>
        <w:tc>
          <w:tcPr>
            <w:tcW w:w="95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DE6BA5"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10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D43B42"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13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3F2342A"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2.4</w:t>
            </w:r>
            <w:r w:rsidRPr="008A0760">
              <w:rPr>
                <w:lang w:val="en-US" w:eastAsia="en-US"/>
              </w:rPr>
              <w:t xml:space="preserve"> </w:t>
            </w:r>
            <w:r w:rsidRPr="008A0760">
              <w:rPr>
                <w:rFonts w:ascii="Verdana" w:hAnsi="Verdana"/>
                <w:sz w:val="11"/>
                <w:szCs w:val="11"/>
                <w:vertAlign w:val="superscript"/>
                <w:lang w:val="en-US" w:eastAsia="en-US"/>
              </w:rPr>
              <w:t>(3)</w:t>
            </w:r>
            <w:r w:rsidRPr="008A0760">
              <w:rPr>
                <w:lang w:val="en-US" w:eastAsia="en-US"/>
              </w:rPr>
              <w:t xml:space="preserve"> </w:t>
            </w:r>
          </w:p>
        </w:tc>
        <w:tc>
          <w:tcPr>
            <w:tcW w:w="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DC7D2EC"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0.10</w:t>
            </w:r>
            <w:r w:rsidRPr="008A0760">
              <w:rPr>
                <w:lang w:val="en-US" w:eastAsia="en-US"/>
              </w:rPr>
              <w:t xml:space="preserve"> </w:t>
            </w:r>
          </w:p>
        </w:tc>
      </w:tr>
      <w:tr w:rsidR="008A0760" w:rsidRPr="008A0760" w14:paraId="33A83DFA" w14:textId="77777777" w:rsidTr="008A0760">
        <w:trPr>
          <w:trHeight w:val="20"/>
          <w:jc w:val="center"/>
        </w:trPr>
        <w:tc>
          <w:tcPr>
            <w:tcW w:w="11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6517A1"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1AA</w:t>
            </w:r>
            <w:r w:rsidRPr="008A0760">
              <w:rPr>
                <w:lang w:val="en-US" w:eastAsia="en-US"/>
              </w:rPr>
              <w:t xml:space="preserve"> </w:t>
            </w:r>
            <w:r w:rsidRPr="008A0760">
              <w:rPr>
                <w:rFonts w:ascii="Verdana" w:hAnsi="Verdana"/>
                <w:sz w:val="11"/>
                <w:szCs w:val="11"/>
                <w:vertAlign w:val="superscript"/>
                <w:lang w:val="en-US" w:eastAsia="en-US"/>
              </w:rPr>
              <w:t>(4)</w:t>
            </w:r>
            <w:r w:rsidRPr="008A0760">
              <w:rPr>
                <w:lang w:val="en-US" w:eastAsia="en-US"/>
              </w:rPr>
              <w:t xml:space="preserve"> </w:t>
            </w:r>
          </w:p>
        </w:tc>
        <w:tc>
          <w:tcPr>
            <w:tcW w:w="104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484E6E"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CT and CSE</w:t>
            </w:r>
            <w:r w:rsidRPr="008A0760">
              <w:rPr>
                <w:lang w:val="en-US" w:eastAsia="en-US"/>
              </w:rPr>
              <w:t xml:space="preserve"> </w:t>
            </w:r>
          </w:p>
        </w:tc>
        <w:tc>
          <w:tcPr>
            <w:tcW w:w="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9F5D517"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15.5</w:t>
            </w:r>
            <w:r w:rsidRPr="008A0760">
              <w:rPr>
                <w:lang w:val="en-US" w:eastAsia="en-US"/>
              </w:rPr>
              <w:t xml:space="preserve"> </w:t>
            </w:r>
          </w:p>
        </w:tc>
        <w:tc>
          <w:tcPr>
            <w:tcW w:w="95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6FC8209"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1.2</w:t>
            </w:r>
            <w:r w:rsidRPr="008A0760">
              <w:rPr>
                <w:lang w:val="en-US" w:eastAsia="en-US"/>
              </w:rPr>
              <w:t xml:space="preserve"> </w:t>
            </w:r>
          </w:p>
        </w:tc>
        <w:tc>
          <w:tcPr>
            <w:tcW w:w="10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0157355"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0.14</w:t>
            </w:r>
            <w:r w:rsidRPr="008A0760">
              <w:rPr>
                <w:lang w:val="en-US" w:eastAsia="en-US"/>
              </w:rPr>
              <w:t xml:space="preserve"> </w:t>
            </w:r>
          </w:p>
        </w:tc>
        <w:tc>
          <w:tcPr>
            <w:tcW w:w="13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F6321D"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ED38C8"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0.01</w:t>
            </w:r>
            <w:r w:rsidRPr="008A0760">
              <w:rPr>
                <w:lang w:val="en-US" w:eastAsia="en-US"/>
              </w:rPr>
              <w:t xml:space="preserve"> </w:t>
            </w:r>
          </w:p>
        </w:tc>
      </w:tr>
      <w:tr w:rsidR="008A0760" w:rsidRPr="008A0760" w14:paraId="7F38B6BA" w14:textId="77777777" w:rsidTr="008A0760">
        <w:trPr>
          <w:trHeight w:val="20"/>
          <w:jc w:val="center"/>
        </w:trPr>
        <w:tc>
          <w:tcPr>
            <w:tcW w:w="110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85E7A42" w14:textId="77777777" w:rsidR="008A0760" w:rsidRPr="008A0760" w:rsidRDefault="008A0760" w:rsidP="008A0760">
            <w:pPr>
              <w:spacing w:before="40" w:after="40" w:line="226" w:lineRule="atLeast"/>
              <w:jc w:val="center"/>
              <w:rPr>
                <w:lang w:val="en-US" w:eastAsia="en-US"/>
              </w:rPr>
            </w:pPr>
            <w:r w:rsidRPr="008A0760">
              <w:rPr>
                <w:rFonts w:ascii="Verdana" w:hAnsi="Verdana"/>
                <w:b/>
                <w:bCs/>
                <w:sz w:val="16"/>
                <w:szCs w:val="16"/>
                <w:lang w:val="en-US" w:eastAsia="en-US"/>
              </w:rPr>
              <w:t>1B</w:t>
            </w:r>
            <w:r w:rsidRPr="008A0760">
              <w:rPr>
                <w:lang w:val="en-US" w:eastAsia="en-US"/>
              </w:rPr>
              <w:t xml:space="preserve"> </w:t>
            </w:r>
            <w:r w:rsidRPr="008A0760">
              <w:rPr>
                <w:rFonts w:ascii="Verdana" w:hAnsi="Verdana"/>
                <w:sz w:val="11"/>
                <w:szCs w:val="11"/>
                <w:vertAlign w:val="superscript"/>
                <w:lang w:val="en-US" w:eastAsia="en-US"/>
              </w:rPr>
              <w:t>(5)</w:t>
            </w:r>
            <w:r w:rsidRPr="008A0760">
              <w:rPr>
                <w:lang w:val="en-US" w:eastAsia="en-US"/>
              </w:rPr>
              <w:t xml:space="preserve"> </w:t>
            </w:r>
          </w:p>
        </w:tc>
        <w:tc>
          <w:tcPr>
            <w:tcW w:w="104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B851908"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CT and CSE</w:t>
            </w:r>
            <w:r w:rsidRPr="008A0760">
              <w:rPr>
                <w:lang w:val="en-US" w:eastAsia="en-US"/>
              </w:rPr>
              <w:t xml:space="preserve"> </w:t>
            </w:r>
          </w:p>
        </w:tc>
        <w:tc>
          <w:tcPr>
            <w:tcW w:w="70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1E26B0"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15.5</w:t>
            </w:r>
            <w:r w:rsidRPr="008A0760">
              <w:rPr>
                <w:lang w:val="en-US" w:eastAsia="en-US"/>
              </w:rPr>
              <w:t xml:space="preserve"> </w:t>
            </w:r>
          </w:p>
        </w:tc>
        <w:tc>
          <w:tcPr>
            <w:tcW w:w="95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BF2586"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0.20</w:t>
            </w:r>
            <w:r w:rsidRPr="008A0760">
              <w:rPr>
                <w:lang w:val="en-US" w:eastAsia="en-US"/>
              </w:rPr>
              <w:t xml:space="preserve"> </w:t>
            </w:r>
          </w:p>
        </w:tc>
        <w:tc>
          <w:tcPr>
            <w:tcW w:w="102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F0F5B9F"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0.14</w:t>
            </w:r>
            <w:r w:rsidRPr="008A0760">
              <w:rPr>
                <w:lang w:val="en-US" w:eastAsia="en-US"/>
              </w:rPr>
              <w:t xml:space="preserve"> </w:t>
            </w:r>
          </w:p>
        </w:tc>
        <w:tc>
          <w:tcPr>
            <w:tcW w:w="13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3AC9B6"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68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9593AFC" w14:textId="77777777" w:rsidR="008A0760" w:rsidRPr="008A0760" w:rsidRDefault="008A0760" w:rsidP="008A0760">
            <w:pPr>
              <w:spacing w:before="40" w:after="40" w:line="226" w:lineRule="atLeast"/>
              <w:jc w:val="center"/>
              <w:rPr>
                <w:lang w:val="en-US" w:eastAsia="en-US"/>
              </w:rPr>
            </w:pPr>
            <w:r w:rsidRPr="008A0760">
              <w:rPr>
                <w:rFonts w:ascii="Verdana" w:hAnsi="Verdana"/>
                <w:sz w:val="16"/>
                <w:szCs w:val="16"/>
                <w:lang w:val="en-US" w:eastAsia="en-US"/>
              </w:rPr>
              <w:t>0.01</w:t>
            </w:r>
            <w:r w:rsidRPr="008A0760">
              <w:rPr>
                <w:lang w:val="en-US" w:eastAsia="en-US"/>
              </w:rPr>
              <w:t xml:space="preserve"> </w:t>
            </w:r>
          </w:p>
        </w:tc>
      </w:tr>
      <w:tr w:rsidR="008A0760" w:rsidRPr="008A0760" w14:paraId="13A3E1E4" w14:textId="77777777" w:rsidTr="008A0760">
        <w:trPr>
          <w:trHeight w:val="20"/>
          <w:jc w:val="center"/>
        </w:trPr>
        <w:tc>
          <w:tcPr>
            <w:tcW w:w="6856" w:type="dxa"/>
            <w:gridSpan w:val="7"/>
            <w:tcBorders>
              <w:top w:val="single" w:sz="6" w:space="0" w:color="000000"/>
            </w:tcBorders>
            <w:tcMar>
              <w:top w:w="0" w:type="dxa"/>
              <w:left w:w="72" w:type="dxa"/>
              <w:bottom w:w="0" w:type="dxa"/>
              <w:right w:w="72" w:type="dxa"/>
            </w:tcMar>
            <w:hideMark/>
          </w:tcPr>
          <w:p w14:paraId="3DC6EDF7" w14:textId="77777777" w:rsidR="008A0760" w:rsidRPr="008A0760" w:rsidRDefault="008A0760" w:rsidP="008A0760">
            <w:pPr>
              <w:spacing w:after="101" w:line="226" w:lineRule="atLeast"/>
              <w:jc w:val="both"/>
              <w:rPr>
                <w:lang w:val="en-US" w:eastAsia="en-US"/>
              </w:rPr>
            </w:pPr>
            <w:r w:rsidRPr="008A0760">
              <w:rPr>
                <w:rFonts w:ascii="Verdana" w:hAnsi="Verdana"/>
                <w:sz w:val="16"/>
                <w:szCs w:val="16"/>
                <w:lang w:val="en-US" w:eastAsia="en-US"/>
              </w:rPr>
              <w:t>Notes:</w:t>
            </w:r>
            <w:r w:rsidRPr="008A0760">
              <w:rPr>
                <w:lang w:val="en-US" w:eastAsia="en-US"/>
              </w:rPr>
              <w:t xml:space="preserve"> </w:t>
            </w:r>
          </w:p>
        </w:tc>
      </w:tr>
      <w:tr w:rsidR="008A0760" w:rsidRPr="00743A20" w14:paraId="0EA791E0" w14:textId="77777777" w:rsidTr="008A0760">
        <w:trPr>
          <w:trHeight w:val="20"/>
          <w:jc w:val="center"/>
        </w:trPr>
        <w:tc>
          <w:tcPr>
            <w:tcW w:w="6856" w:type="dxa"/>
            <w:gridSpan w:val="7"/>
            <w:tcMar>
              <w:top w:w="0" w:type="dxa"/>
              <w:left w:w="72" w:type="dxa"/>
              <w:bottom w:w="0" w:type="dxa"/>
              <w:right w:w="72" w:type="dxa"/>
            </w:tcMar>
            <w:hideMark/>
          </w:tcPr>
          <w:p w14:paraId="111DB468" w14:textId="36306326" w:rsidR="008A0760" w:rsidRPr="008A0760" w:rsidRDefault="008A0760" w:rsidP="008A0760">
            <w:pPr>
              <w:spacing w:after="101" w:line="222" w:lineRule="atLeast"/>
              <w:ind w:hanging="360"/>
              <w:jc w:val="both"/>
              <w:rPr>
                <w:lang w:val="en-US" w:eastAsia="en-US"/>
              </w:rPr>
            </w:pPr>
            <w:r w:rsidRPr="008A0760">
              <w:rPr>
                <w:rFonts w:ascii="Verdana" w:hAnsi="Verdana"/>
                <w:sz w:val="16"/>
                <w:szCs w:val="16"/>
                <w:lang w:val="en-US" w:eastAsia="en-US"/>
              </w:rPr>
              <w:t>1.</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1.</w:t>
            </w:r>
            <w:r w:rsidRPr="008A0760">
              <w:rPr>
                <w:rFonts w:ascii="Verdana" w:hAnsi="Verdana"/>
                <w:sz w:val="16"/>
                <w:szCs w:val="16"/>
                <w:lang w:val="en-US" w:eastAsia="en-US"/>
              </w:rPr>
              <w:t>           g /</w:t>
            </w:r>
            <w:r w:rsidRPr="008A0760">
              <w:rPr>
                <w:lang w:val="en-US" w:eastAsia="en-US"/>
              </w:rPr>
              <w:t xml:space="preserve"> </w:t>
            </w:r>
            <w:r w:rsidRPr="008A0760">
              <w:rPr>
                <w:rFonts w:ascii="Verdana" w:hAnsi="Verdana"/>
                <w:sz w:val="16"/>
                <w:szCs w:val="16"/>
                <w:lang w:val="en-US" w:eastAsia="en-US"/>
              </w:rPr>
              <w:t>bhp-hr</w:t>
            </w:r>
            <w:r w:rsidRPr="008A0760">
              <w:rPr>
                <w:lang w:val="en-US" w:eastAsia="en-US"/>
              </w:rPr>
              <w:t xml:space="preserve"> </w:t>
            </w:r>
            <w:r w:rsidRPr="008A0760">
              <w:rPr>
                <w:rFonts w:ascii="Verdana" w:hAnsi="Verdana"/>
                <w:i/>
                <w:iCs/>
                <w:sz w:val="16"/>
                <w:szCs w:val="16"/>
                <w:lang w:val="en-US" w:eastAsia="en-US"/>
              </w:rPr>
              <w:t>=</w:t>
            </w:r>
            <w:r w:rsidRPr="008A0760">
              <w:rPr>
                <w:lang w:val="en-US" w:eastAsia="en-US"/>
              </w:rPr>
              <w:t xml:space="preserve"> </w:t>
            </w:r>
            <w:r w:rsidRPr="008A0760">
              <w:rPr>
                <w:rFonts w:ascii="Verdana" w:hAnsi="Verdana"/>
                <w:sz w:val="16"/>
                <w:szCs w:val="16"/>
                <w:lang w:val="en-US" w:eastAsia="en-US"/>
              </w:rPr>
              <w:t>grams per horsepower at brake per hour</w:t>
            </w:r>
            <w:r w:rsidRPr="008A0760">
              <w:rPr>
                <w:rFonts w:ascii="Verdana" w:hAnsi="Verdana"/>
                <w:i/>
                <w:iCs/>
                <w:sz w:val="16"/>
                <w:szCs w:val="16"/>
                <w:lang w:val="en-US" w:eastAsia="en-US"/>
              </w:rPr>
              <w:t>.</w:t>
            </w:r>
            <w:r w:rsidRPr="008A0760">
              <w:rPr>
                <w:lang w:val="en-US" w:eastAsia="en-US"/>
              </w:rPr>
              <w:t xml:space="preserve"> </w:t>
            </w:r>
          </w:p>
          <w:p w14:paraId="3B9EC5AF" w14:textId="50E9C485" w:rsidR="008A0760" w:rsidRPr="008A0760" w:rsidRDefault="008A0760" w:rsidP="008A0760">
            <w:pPr>
              <w:spacing w:after="101" w:line="222" w:lineRule="atLeast"/>
              <w:ind w:hanging="360"/>
              <w:jc w:val="both"/>
              <w:rPr>
                <w:lang w:val="en-US" w:eastAsia="en-US"/>
              </w:rPr>
            </w:pPr>
            <w:r w:rsidRPr="008A0760">
              <w:rPr>
                <w:rFonts w:ascii="Verdana" w:hAnsi="Verdana"/>
                <w:sz w:val="16"/>
                <w:szCs w:val="16"/>
                <w:lang w:val="en-US" w:eastAsia="en-US"/>
              </w:rPr>
              <w:t>2.</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2.</w:t>
            </w:r>
            <w:r w:rsidRPr="008A0760">
              <w:rPr>
                <w:rFonts w:ascii="Verdana" w:hAnsi="Verdana"/>
                <w:sz w:val="16"/>
                <w:szCs w:val="16"/>
                <w:lang w:val="en-US" w:eastAsia="en-US"/>
              </w:rPr>
              <w:t>           Standard</w:t>
            </w:r>
            <w:r w:rsidRPr="008A0760">
              <w:rPr>
                <w:lang w:val="en-US" w:eastAsia="en-US"/>
              </w:rPr>
              <w:t xml:space="preserve"> </w:t>
            </w:r>
            <w:r w:rsidRPr="008A0760">
              <w:rPr>
                <w:rFonts w:ascii="Verdana" w:hAnsi="Verdana"/>
                <w:b/>
                <w:bCs/>
                <w:sz w:val="16"/>
                <w:szCs w:val="16"/>
                <w:lang w:val="en-US" w:eastAsia="en-US"/>
              </w:rPr>
              <w:t>1A</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Maximum permissible limits for new engines and motor vehicles produced as of the entry into force of this standard and until June 30, 2019, obtained with the Stable Supplementary Cycle (</w:t>
            </w:r>
            <w:r w:rsidR="007A67E5">
              <w:rPr>
                <w:rFonts w:ascii="Verdana" w:hAnsi="Verdana"/>
                <w:sz w:val="16"/>
                <w:szCs w:val="16"/>
                <w:lang w:val="en-US" w:eastAsia="en-US"/>
              </w:rPr>
              <w:t>SSC</w:t>
            </w:r>
            <w:r w:rsidRPr="008A0760">
              <w:rPr>
                <w:rFonts w:ascii="Verdana" w:hAnsi="Verdana"/>
                <w:sz w:val="16"/>
                <w:szCs w:val="16"/>
                <w:lang w:val="en-US" w:eastAsia="en-US"/>
              </w:rPr>
              <w:t>) and Transition Cycle (</w:t>
            </w:r>
            <w:r w:rsidR="007A67E5">
              <w:rPr>
                <w:rFonts w:ascii="Verdana" w:hAnsi="Verdana"/>
                <w:sz w:val="16"/>
                <w:szCs w:val="16"/>
                <w:lang w:val="en-US" w:eastAsia="en-US"/>
              </w:rPr>
              <w:t>ETC</w:t>
            </w:r>
            <w:r w:rsidRPr="008A0760">
              <w:rPr>
                <w:rFonts w:ascii="Verdana" w:hAnsi="Verdana"/>
                <w:sz w:val="16"/>
                <w:szCs w:val="16"/>
                <w:lang w:val="en-US" w:eastAsia="en-US"/>
              </w:rPr>
              <w:t xml:space="preserve">) test methods, described in Numbers 3.10 and 3.11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w:t>
            </w:r>
            <w:r w:rsidRPr="008A0760">
              <w:rPr>
                <w:lang w:val="en-US" w:eastAsia="en-US"/>
              </w:rPr>
              <w:t xml:space="preserve"> </w:t>
            </w:r>
          </w:p>
          <w:p w14:paraId="5512A47D" w14:textId="30BBB03C" w:rsidR="008A0760" w:rsidRPr="008A0760" w:rsidRDefault="008A0760" w:rsidP="008A0760">
            <w:pPr>
              <w:spacing w:after="101" w:line="220" w:lineRule="atLeast"/>
              <w:ind w:hanging="360"/>
              <w:jc w:val="both"/>
              <w:rPr>
                <w:lang w:val="en-US" w:eastAsia="en-US"/>
              </w:rPr>
            </w:pPr>
            <w:r w:rsidRPr="008A0760">
              <w:rPr>
                <w:rFonts w:ascii="Verdana" w:hAnsi="Verdana"/>
                <w:sz w:val="16"/>
                <w:szCs w:val="16"/>
                <w:lang w:val="en-US" w:eastAsia="en-US"/>
              </w:rPr>
              <w:t>3.</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3.</w:t>
            </w:r>
            <w:r w:rsidRPr="008A0760">
              <w:rPr>
                <w:rFonts w:ascii="Verdana" w:hAnsi="Verdana"/>
                <w:sz w:val="16"/>
                <w:szCs w:val="16"/>
                <w:lang w:val="en-US" w:eastAsia="en-US"/>
              </w:rPr>
              <w:t>           The</w:t>
            </w:r>
            <w:r w:rsidRPr="008A0760">
              <w:rPr>
                <w:lang w:val="en-US" w:eastAsia="en-US"/>
              </w:rPr>
              <w:t xml:space="preserve"> </w:t>
            </w:r>
            <w:r w:rsidRPr="008A0760">
              <w:rPr>
                <w:rFonts w:ascii="Verdana" w:hAnsi="Verdana"/>
                <w:b/>
                <w:bCs/>
                <w:sz w:val="16"/>
                <w:szCs w:val="16"/>
                <w:lang w:val="en-US" w:eastAsia="en-US"/>
              </w:rPr>
              <w:t>1A</w:t>
            </w:r>
            <w:r w:rsidRPr="008A0760">
              <w:rPr>
                <w:lang w:val="en-US" w:eastAsia="en-US"/>
              </w:rPr>
              <w:t xml:space="preserve"> </w:t>
            </w:r>
            <w:r w:rsidRPr="008A0760">
              <w:rPr>
                <w:rFonts w:ascii="Verdana" w:hAnsi="Verdana"/>
                <w:sz w:val="16"/>
                <w:szCs w:val="16"/>
                <w:lang w:val="en-US" w:eastAsia="en-US"/>
              </w:rPr>
              <w:t>standard</w:t>
            </w:r>
            <w:r w:rsidRPr="008A0760">
              <w:rPr>
                <w:lang w:val="en-US" w:eastAsia="en-US"/>
              </w:rPr>
              <w:t xml:space="preserve"> </w:t>
            </w:r>
            <w:r w:rsidRPr="008A0760">
              <w:rPr>
                <w:rFonts w:ascii="Verdana" w:hAnsi="Verdana"/>
                <w:sz w:val="16"/>
                <w:szCs w:val="16"/>
                <w:lang w:val="en-US" w:eastAsia="en-US"/>
              </w:rPr>
              <w:t>supports a maximum of 2.5</w:t>
            </w:r>
            <w:r w:rsidRPr="008A0760">
              <w:rPr>
                <w:lang w:val="en-US" w:eastAsia="en-US"/>
              </w:rPr>
              <w:t xml:space="preserve"> </w:t>
            </w:r>
            <w:r w:rsidRPr="008A0760">
              <w:rPr>
                <w:rFonts w:ascii="Verdana" w:hAnsi="Verdana"/>
                <w:sz w:val="16"/>
                <w:szCs w:val="16"/>
                <w:lang w:val="en-US" w:eastAsia="en-US"/>
              </w:rPr>
              <w:t>g/bhp-hr</w:t>
            </w:r>
            <w:r w:rsidRPr="008A0760">
              <w:rPr>
                <w:lang w:val="en-US" w:eastAsia="en-US"/>
              </w:rPr>
              <w:t xml:space="preserve"> </w:t>
            </w:r>
            <w:r w:rsidRPr="008A0760">
              <w:rPr>
                <w:rFonts w:ascii="Verdana" w:hAnsi="Verdana"/>
                <w:sz w:val="16"/>
                <w:szCs w:val="16"/>
                <w:lang w:val="en-US" w:eastAsia="en-US"/>
              </w:rPr>
              <w:t>for</w:t>
            </w:r>
            <w:r w:rsidRPr="008A0760">
              <w:rPr>
                <w:lang w:val="en-US" w:eastAsia="en-US"/>
              </w:rPr>
              <w:t xml:space="preserve"> </w:t>
            </w:r>
            <w:r w:rsidRPr="008A0760">
              <w:rPr>
                <w:rFonts w:ascii="Verdana" w:hAnsi="Verdana"/>
                <w:sz w:val="16"/>
                <w:szCs w:val="16"/>
                <w:lang w:val="en-US" w:eastAsia="en-US"/>
              </w:rPr>
              <w:t>HCNM + NOx, as long as the HCNM are less than or equal to 0.5 g/bhp-hr.</w:t>
            </w:r>
            <w:r w:rsidRPr="008A0760">
              <w:rPr>
                <w:lang w:val="en-US" w:eastAsia="en-US"/>
              </w:rPr>
              <w:t xml:space="preserve"> </w:t>
            </w:r>
          </w:p>
          <w:p w14:paraId="473D280D" w14:textId="4A5B012E" w:rsidR="008A0760" w:rsidRPr="008A0760" w:rsidRDefault="008A0760" w:rsidP="008A0760">
            <w:pPr>
              <w:spacing w:after="101" w:line="220" w:lineRule="atLeast"/>
              <w:ind w:hanging="360"/>
              <w:jc w:val="both"/>
              <w:rPr>
                <w:lang w:val="en-US" w:eastAsia="en-US"/>
              </w:rPr>
            </w:pPr>
            <w:r w:rsidRPr="008A0760">
              <w:rPr>
                <w:rFonts w:ascii="Verdana" w:hAnsi="Verdana"/>
                <w:sz w:val="16"/>
                <w:szCs w:val="16"/>
                <w:lang w:val="en-US" w:eastAsia="en-US"/>
              </w:rPr>
              <w:t>Fou</w:t>
            </w:r>
            <w:r w:rsidR="00475F08">
              <w:rPr>
                <w:rFonts w:ascii="Verdana" w:hAnsi="Verdana"/>
                <w:sz w:val="16"/>
                <w:szCs w:val="16"/>
                <w:lang w:val="en-US" w:eastAsia="en-US"/>
              </w:rPr>
              <w:t xml:space="preserve"> </w:t>
            </w:r>
            <w:r w:rsidR="00B32D99">
              <w:rPr>
                <w:rFonts w:ascii="Verdana" w:hAnsi="Verdana"/>
                <w:sz w:val="16"/>
                <w:szCs w:val="16"/>
                <w:lang w:val="en-US" w:eastAsia="en-US"/>
              </w:rPr>
              <w:t xml:space="preserve"> 4.</w:t>
            </w:r>
            <w:r w:rsidR="00475F08">
              <w:rPr>
                <w:rFonts w:ascii="Verdana" w:hAnsi="Verdana"/>
                <w:sz w:val="16"/>
                <w:szCs w:val="16"/>
                <w:lang w:val="en-US" w:eastAsia="en-US"/>
              </w:rPr>
              <w:t xml:space="preserve">        </w:t>
            </w:r>
            <w:r w:rsidR="00B32D99">
              <w:rPr>
                <w:rFonts w:ascii="Verdana" w:hAnsi="Verdana"/>
                <w:i/>
                <w:iCs/>
                <w:sz w:val="16"/>
                <w:szCs w:val="16"/>
                <w:lang w:val="en-US"/>
              </w:rPr>
              <w:t xml:space="preserve">Standard </w:t>
            </w:r>
            <w:r w:rsidR="00B32D99">
              <w:rPr>
                <w:rFonts w:ascii="Verdana" w:hAnsi="Verdana"/>
                <w:b/>
                <w:bCs/>
                <w:i/>
                <w:iCs/>
                <w:sz w:val="16"/>
                <w:szCs w:val="16"/>
                <w:lang w:val="en-US"/>
              </w:rPr>
              <w:t>1AA</w:t>
            </w:r>
            <w:r w:rsidR="00B32D99">
              <w:rPr>
                <w:rFonts w:ascii="Verdana" w:hAnsi="Verdana"/>
                <w:i/>
                <w:iCs/>
                <w:sz w:val="16"/>
                <w:szCs w:val="16"/>
                <w:lang w:val="en-US"/>
              </w:rPr>
              <w:t>. Maximum permissible Limits new motors and automotive vehicles produced from the 1</w:t>
            </w:r>
            <w:r w:rsidR="00B32D99">
              <w:rPr>
                <w:rFonts w:ascii="Verdana" w:hAnsi="Verdana"/>
                <w:i/>
                <w:iCs/>
                <w:sz w:val="16"/>
                <w:szCs w:val="16"/>
                <w:vertAlign w:val="superscript"/>
                <w:lang w:val="en-US"/>
              </w:rPr>
              <w:t>st</w:t>
            </w:r>
            <w:r w:rsidR="00B32D99">
              <w:rPr>
                <w:rFonts w:ascii="Verdana" w:hAnsi="Verdana"/>
                <w:i/>
                <w:iCs/>
                <w:sz w:val="16"/>
                <w:szCs w:val="16"/>
                <w:lang w:val="en-US"/>
              </w:rPr>
              <w:t xml:space="preserve"> of January of 2019 and until the 31</w:t>
            </w:r>
            <w:r w:rsidR="00B32D99">
              <w:rPr>
                <w:rFonts w:ascii="Verdana" w:hAnsi="Verdana"/>
                <w:i/>
                <w:iCs/>
                <w:sz w:val="16"/>
                <w:szCs w:val="16"/>
                <w:vertAlign w:val="superscript"/>
                <w:lang w:val="en-US"/>
              </w:rPr>
              <w:t>st</w:t>
            </w:r>
            <w:r w:rsidR="00B32D99">
              <w:rPr>
                <w:rFonts w:ascii="Verdana" w:hAnsi="Verdana"/>
                <w:i/>
                <w:iCs/>
                <w:sz w:val="16"/>
                <w:szCs w:val="16"/>
                <w:lang w:val="en-US"/>
              </w:rPr>
              <w:t xml:space="preserve"> of December of 2021 obtained with the test methods of Stable Supplemental Cycle (CSE) and Transitional Cycle (CT), described in the section numbers 3.10 and 3.11 of this Official Mexican Standard. </w:t>
            </w:r>
            <w:r w:rsidR="00B32D99" w:rsidRPr="00B32D99">
              <w:rPr>
                <w:rFonts w:ascii="Verdana" w:hAnsi="Verdana"/>
                <w:i/>
                <w:iCs/>
                <w:color w:val="0000FA"/>
                <w:sz w:val="16"/>
                <w:szCs w:val="16"/>
                <w:lang w:val="en-US"/>
              </w:rPr>
              <w:t>(Modification published in the DOF on Nov. 12, 2020)</w:t>
            </w:r>
            <w:r w:rsidR="00445C20">
              <w:rPr>
                <w:rFonts w:ascii="Verdana" w:hAnsi="Verdana"/>
                <w:i/>
                <w:iCs/>
                <w:color w:val="0000FA"/>
                <w:sz w:val="16"/>
                <w:szCs w:val="16"/>
                <w:lang w:val="en-US"/>
              </w:rPr>
              <w:t xml:space="preserve"> (modification that invalidates </w:t>
            </w:r>
            <w:r w:rsidR="00A31734">
              <w:rPr>
                <w:rFonts w:ascii="Verdana" w:hAnsi="Verdana"/>
                <w:i/>
                <w:iCs/>
                <w:color w:val="0000FA"/>
                <w:sz w:val="16"/>
                <w:szCs w:val="16"/>
                <w:lang w:val="en-US"/>
              </w:rPr>
              <w:t>1AA DOF 25-04-2024)</w:t>
            </w:r>
            <w:r w:rsidRPr="00B32D99">
              <w:rPr>
                <w:color w:val="0000FA"/>
                <w:lang w:val="en-US" w:eastAsia="en-US"/>
              </w:rPr>
              <w:t xml:space="preserve"> </w:t>
            </w:r>
          </w:p>
          <w:p w14:paraId="10364FFF" w14:textId="2A584CD8" w:rsidR="008A0760" w:rsidRPr="008A0760" w:rsidRDefault="008A0760" w:rsidP="008A0760">
            <w:pPr>
              <w:spacing w:after="101" w:line="220" w:lineRule="atLeast"/>
              <w:ind w:hanging="360"/>
              <w:jc w:val="both"/>
              <w:rPr>
                <w:lang w:val="en-US" w:eastAsia="en-US"/>
              </w:rPr>
            </w:pPr>
            <w:r w:rsidRPr="008A0760">
              <w:rPr>
                <w:rFonts w:ascii="Verdana" w:hAnsi="Verdana"/>
                <w:sz w:val="16"/>
                <w:szCs w:val="16"/>
                <w:lang w:val="en-US" w:eastAsia="en-US"/>
              </w:rPr>
              <w:t>5.</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5.</w:t>
            </w:r>
            <w:r w:rsidRPr="008A0760">
              <w:rPr>
                <w:rFonts w:ascii="Verdana" w:hAnsi="Verdana"/>
                <w:sz w:val="16"/>
                <w:szCs w:val="16"/>
                <w:lang w:val="en-US" w:eastAsia="en-US"/>
              </w:rPr>
              <w:t>          Standard</w:t>
            </w:r>
            <w:r w:rsidRPr="008A0760">
              <w:rPr>
                <w:lang w:val="en-US" w:eastAsia="en-US"/>
              </w:rPr>
              <w:t xml:space="preserve"> </w:t>
            </w:r>
            <w:r w:rsidRPr="008A0760">
              <w:rPr>
                <w:rFonts w:ascii="Verdana" w:hAnsi="Verdana"/>
                <w:b/>
                <w:bCs/>
                <w:sz w:val="16"/>
                <w:szCs w:val="16"/>
                <w:lang w:val="en-US" w:eastAsia="en-US"/>
              </w:rPr>
              <w:t>1B</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Maximum permissible limits for new motor vehicles and motor vehicles produced as of January 1, 2019, obtained with the Stable Supplementary Cycle (</w:t>
            </w:r>
            <w:r w:rsidR="007A67E5">
              <w:rPr>
                <w:rFonts w:ascii="Verdana" w:hAnsi="Verdana"/>
                <w:sz w:val="16"/>
                <w:szCs w:val="16"/>
                <w:lang w:val="en-US" w:eastAsia="en-US"/>
              </w:rPr>
              <w:t>SSC</w:t>
            </w:r>
            <w:r w:rsidRPr="008A0760">
              <w:rPr>
                <w:rFonts w:ascii="Verdana" w:hAnsi="Verdana"/>
                <w:sz w:val="16"/>
                <w:szCs w:val="16"/>
                <w:lang w:val="en-US" w:eastAsia="en-US"/>
              </w:rPr>
              <w:t>) and Transitory Cycle (</w:t>
            </w:r>
            <w:r w:rsidR="007A67E5">
              <w:rPr>
                <w:rFonts w:ascii="Verdana" w:hAnsi="Verdana"/>
                <w:sz w:val="16"/>
                <w:szCs w:val="16"/>
                <w:lang w:val="en-US" w:eastAsia="en-US"/>
              </w:rPr>
              <w:t>TC</w:t>
            </w:r>
            <w:r w:rsidRPr="008A0760">
              <w:rPr>
                <w:rFonts w:ascii="Verdana" w:hAnsi="Verdana"/>
                <w:sz w:val="16"/>
                <w:szCs w:val="16"/>
                <w:lang w:val="en-US" w:eastAsia="en-US"/>
              </w:rPr>
              <w:t>) test methods, described in paragraphs 3.10 and 3.11</w:t>
            </w:r>
            <w:r w:rsidRPr="008A0760">
              <w:rPr>
                <w:lang w:val="en-US" w:eastAsia="en-US"/>
              </w:rPr>
              <w:t xml:space="preserve"> </w:t>
            </w:r>
            <w:r w:rsidRPr="008A0760">
              <w:rPr>
                <w:rFonts w:ascii="Verdana" w:hAnsi="Verdana"/>
                <w:sz w:val="16"/>
                <w:szCs w:val="16"/>
                <w:lang w:val="en-US" w:eastAsia="en-US"/>
              </w:rPr>
              <w:t xml:space="preserve">of this </w:t>
            </w:r>
            <w:r w:rsidR="00475F08">
              <w:rPr>
                <w:rFonts w:ascii="Verdana" w:hAnsi="Verdana"/>
                <w:sz w:val="16"/>
                <w:szCs w:val="16"/>
                <w:lang w:val="en-US" w:eastAsia="en-US"/>
              </w:rPr>
              <w:t>Official Mexican Standard.</w:t>
            </w:r>
            <w:r w:rsidRPr="008A0760">
              <w:rPr>
                <w:lang w:val="en-US" w:eastAsia="en-US"/>
              </w:rPr>
              <w:t xml:space="preserve"> </w:t>
            </w:r>
            <w:r w:rsidRPr="008A0760">
              <w:rPr>
                <w:rFonts w:ascii="Verdana" w:hAnsi="Verdana"/>
                <w:sz w:val="16"/>
                <w:szCs w:val="16"/>
                <w:lang w:val="en-US" w:eastAsia="en-US"/>
              </w:rPr>
              <w:t xml:space="preserve">This standard requires </w:t>
            </w:r>
            <w:r w:rsidRPr="008A0760">
              <w:rPr>
                <w:rFonts w:ascii="Verdana" w:hAnsi="Verdana"/>
                <w:sz w:val="16"/>
                <w:szCs w:val="16"/>
                <w:lang w:val="en-US" w:eastAsia="en-US"/>
              </w:rPr>
              <w:lastRenderedPageBreak/>
              <w:t xml:space="preserve">the use of automotive diesel with a maximum sulfur content of 15 </w:t>
            </w:r>
            <w:r w:rsidR="00475F08">
              <w:rPr>
                <w:rFonts w:ascii="Verdana" w:hAnsi="Verdana"/>
                <w:sz w:val="16"/>
                <w:szCs w:val="16"/>
                <w:lang w:val="en-US" w:eastAsia="en-US"/>
              </w:rPr>
              <w:t>mg/kg</w:t>
            </w:r>
            <w:r w:rsidRPr="008A0760">
              <w:rPr>
                <w:rFonts w:ascii="Verdana" w:hAnsi="Verdana"/>
                <w:sz w:val="16"/>
                <w:szCs w:val="16"/>
                <w:lang w:val="en-US" w:eastAsia="en-US"/>
              </w:rPr>
              <w:t xml:space="preserve">, which will be available in the country, as established in note 3 of Table 7 of the </w:t>
            </w:r>
            <w:r w:rsidR="001F59CA">
              <w:rPr>
                <w:rFonts w:ascii="Verdana" w:hAnsi="Verdana"/>
                <w:sz w:val="16"/>
                <w:szCs w:val="16"/>
                <w:lang w:val="en-US" w:eastAsia="en-US"/>
              </w:rPr>
              <w:t>Official Mexican Standard</w:t>
            </w:r>
            <w:r w:rsidRPr="008A0760">
              <w:rPr>
                <w:lang w:val="en-US" w:eastAsia="en-US"/>
              </w:rPr>
              <w:t xml:space="preserve"> </w:t>
            </w:r>
            <w:r w:rsidRPr="008A0760">
              <w:rPr>
                <w:rFonts w:ascii="Verdana" w:hAnsi="Verdana"/>
                <w:sz w:val="16"/>
                <w:szCs w:val="16"/>
                <w:lang w:val="en-US" w:eastAsia="en-US"/>
              </w:rPr>
              <w:t>NOM-016-CRE-2016.</w:t>
            </w:r>
            <w:r w:rsidRPr="008A0760">
              <w:rPr>
                <w:lang w:val="en-US" w:eastAsia="en-US"/>
              </w:rPr>
              <w:t xml:space="preserve"> </w:t>
            </w:r>
            <w:r w:rsidRPr="008A0760">
              <w:rPr>
                <w:rFonts w:ascii="Verdana" w:hAnsi="Verdana"/>
                <w:sz w:val="16"/>
                <w:szCs w:val="16"/>
                <w:lang w:val="en-US" w:eastAsia="en-US"/>
              </w:rPr>
              <w:t xml:space="preserve">Petroleum quality specifications, published in the Official </w:t>
            </w:r>
            <w:r w:rsidR="00735A37">
              <w:rPr>
                <w:rFonts w:ascii="Verdana" w:hAnsi="Verdana"/>
                <w:sz w:val="16"/>
                <w:szCs w:val="16"/>
                <w:lang w:val="en-US" w:eastAsia="en-US"/>
              </w:rPr>
              <w:t>Daily</w:t>
            </w:r>
            <w:r w:rsidRPr="008A0760">
              <w:rPr>
                <w:rFonts w:ascii="Verdana" w:hAnsi="Verdana"/>
                <w:sz w:val="16"/>
                <w:szCs w:val="16"/>
                <w:lang w:val="en-US" w:eastAsia="en-US"/>
              </w:rPr>
              <w:t xml:space="preserve"> of the Federation, on August 29, 2016.</w:t>
            </w:r>
            <w:r w:rsidRPr="008A0760">
              <w:rPr>
                <w:lang w:val="en-US" w:eastAsia="en-US"/>
              </w:rPr>
              <w:t xml:space="preserve"> </w:t>
            </w:r>
          </w:p>
        </w:tc>
      </w:tr>
    </w:tbl>
    <w:p w14:paraId="4D94069B" w14:textId="77777777" w:rsidR="008A0760" w:rsidRPr="008A0760" w:rsidRDefault="008A0760" w:rsidP="008A0760">
      <w:pPr>
        <w:spacing w:after="160" w:line="259" w:lineRule="auto"/>
        <w:rPr>
          <w:sz w:val="22"/>
          <w:szCs w:val="22"/>
          <w:lang w:val="en-US" w:eastAsia="en-US"/>
        </w:rPr>
      </w:pPr>
      <w:r w:rsidRPr="008A0760">
        <w:rPr>
          <w:rFonts w:ascii="Calibri" w:hAnsi="Calibri" w:cs="Calibri"/>
          <w:sz w:val="22"/>
          <w:szCs w:val="22"/>
          <w:lang w:val="en-US" w:eastAsia="en-US"/>
        </w:rPr>
        <w:lastRenderedPageBreak/>
        <w:t> </w:t>
      </w:r>
    </w:p>
    <w:tbl>
      <w:tblPr>
        <w:tblW w:w="0" w:type="auto"/>
        <w:tblLook w:val="04A0" w:firstRow="1" w:lastRow="0" w:firstColumn="1" w:lastColumn="0" w:noHBand="0" w:noVBand="1"/>
      </w:tblPr>
      <w:tblGrid>
        <w:gridCol w:w="4681"/>
        <w:gridCol w:w="4679"/>
      </w:tblGrid>
      <w:tr w:rsidR="008A0760" w:rsidRPr="00743A20" w14:paraId="0F440D07" w14:textId="77777777" w:rsidTr="00A57824">
        <w:tc>
          <w:tcPr>
            <w:tcW w:w="4788" w:type="dxa"/>
            <w:shd w:val="clear" w:color="auto" w:fill="auto"/>
          </w:tcPr>
          <w:p w14:paraId="42CE460B" w14:textId="77777777" w:rsidR="008A0760" w:rsidRPr="00A57824" w:rsidRDefault="008A0760" w:rsidP="00A57824">
            <w:pPr>
              <w:pStyle w:val="Texto"/>
              <w:spacing w:line="220" w:lineRule="exact"/>
              <w:ind w:firstLine="0"/>
              <w:rPr>
                <w:rFonts w:ascii="Verdana" w:hAnsi="Verdana"/>
                <w:sz w:val="16"/>
                <w:szCs w:val="16"/>
              </w:rPr>
            </w:pPr>
            <w:r w:rsidRPr="00A57824">
              <w:rPr>
                <w:rFonts w:ascii="Verdana" w:hAnsi="Verdana"/>
                <w:b/>
                <w:sz w:val="16"/>
                <w:szCs w:val="16"/>
              </w:rPr>
              <w:t>4.1.2.</w:t>
            </w:r>
            <w:r w:rsidRPr="00A57824">
              <w:rPr>
                <w:rFonts w:ascii="Verdana" w:hAnsi="Verdana"/>
                <w:sz w:val="16"/>
                <w:szCs w:val="16"/>
              </w:rPr>
              <w:t xml:space="preserve"> Los motores nuevos deberán cumplir con los estándares 1A, 1AA o 1B, establecidos en la Tabla 1 y la vida útil indicada en la Tabla</w:t>
            </w:r>
            <w:r w:rsidRPr="00A57824">
              <w:rPr>
                <w:rFonts w:ascii="Verdana" w:hAnsi="Verdana"/>
                <w:b/>
                <w:sz w:val="16"/>
                <w:szCs w:val="16"/>
              </w:rPr>
              <w:t xml:space="preserve"> </w:t>
            </w:r>
            <w:r w:rsidRPr="00A57824">
              <w:rPr>
                <w:rFonts w:ascii="Verdana" w:hAnsi="Verdana"/>
                <w:sz w:val="16"/>
                <w:szCs w:val="16"/>
              </w:rPr>
              <w:t>1.1.</w:t>
            </w:r>
          </w:p>
        </w:tc>
        <w:tc>
          <w:tcPr>
            <w:tcW w:w="4788" w:type="dxa"/>
            <w:shd w:val="clear" w:color="auto" w:fill="auto"/>
          </w:tcPr>
          <w:p w14:paraId="7E61F6C0" w14:textId="77777777" w:rsidR="008A0760" w:rsidRPr="00A57824" w:rsidRDefault="008A0760" w:rsidP="00A57824">
            <w:pPr>
              <w:pStyle w:val="Texto"/>
              <w:spacing w:line="220" w:lineRule="exact"/>
              <w:ind w:firstLine="0"/>
              <w:rPr>
                <w:rFonts w:ascii="Verdana" w:hAnsi="Verdana"/>
                <w:sz w:val="16"/>
                <w:szCs w:val="16"/>
                <w:lang w:val="en-US"/>
              </w:rPr>
            </w:pPr>
            <w:r w:rsidRPr="00A57824">
              <w:rPr>
                <w:rFonts w:ascii="Verdana" w:hAnsi="Verdana"/>
                <w:b/>
                <w:sz w:val="16"/>
                <w:szCs w:val="16"/>
                <w:lang w:val="en-US"/>
              </w:rPr>
              <w:t xml:space="preserve">4.1.2. </w:t>
            </w:r>
            <w:r w:rsidRPr="00A57824">
              <w:rPr>
                <w:rFonts w:ascii="Verdana" w:hAnsi="Verdana"/>
                <w:sz w:val="16"/>
                <w:szCs w:val="16"/>
                <w:lang w:val="en-US"/>
              </w:rPr>
              <w:t xml:space="preserve">New motors must comply with the standards 1A, 1AA, or 1B, established in Table 1 and the useful life indicated in Table 1.1. </w:t>
            </w:r>
          </w:p>
        </w:tc>
      </w:tr>
    </w:tbl>
    <w:p w14:paraId="40B480F6" w14:textId="77777777" w:rsidR="008A0760" w:rsidRPr="008A0760" w:rsidRDefault="008A0760" w:rsidP="008A0760">
      <w:pPr>
        <w:pStyle w:val="Texto"/>
        <w:spacing w:line="220" w:lineRule="exact"/>
        <w:ind w:firstLine="0"/>
        <w:rPr>
          <w:rFonts w:ascii="Verdana" w:hAnsi="Verdana"/>
          <w:b/>
          <w:sz w:val="16"/>
          <w:szCs w:val="16"/>
          <w:lang w:val="en-US"/>
        </w:rPr>
      </w:pPr>
    </w:p>
    <w:p w14:paraId="67C438C7" w14:textId="77777777" w:rsidR="008A0760" w:rsidRDefault="008A0760" w:rsidP="00DF5012">
      <w:pPr>
        <w:pStyle w:val="Texto"/>
        <w:spacing w:line="220" w:lineRule="exact"/>
        <w:rPr>
          <w:rFonts w:ascii="Verdana" w:hAnsi="Verdana"/>
          <w:b/>
          <w:sz w:val="16"/>
          <w:szCs w:val="16"/>
          <w:lang w:val="en-US"/>
        </w:rPr>
      </w:pPr>
    </w:p>
    <w:p w14:paraId="6DC31B35" w14:textId="77777777" w:rsidR="00475F08" w:rsidRDefault="00475F08" w:rsidP="00DF5012">
      <w:pPr>
        <w:pStyle w:val="Texto"/>
        <w:spacing w:line="220" w:lineRule="exact"/>
        <w:rPr>
          <w:rFonts w:ascii="Verdana" w:hAnsi="Verdana"/>
          <w:b/>
          <w:sz w:val="16"/>
          <w:szCs w:val="16"/>
          <w:lang w:val="en-US"/>
        </w:rPr>
      </w:pPr>
    </w:p>
    <w:p w14:paraId="70F7B630" w14:textId="77777777" w:rsidR="00475F08" w:rsidRDefault="00475F08" w:rsidP="00DF5012">
      <w:pPr>
        <w:pStyle w:val="Texto"/>
        <w:spacing w:line="220" w:lineRule="exact"/>
        <w:rPr>
          <w:rFonts w:ascii="Verdana" w:hAnsi="Verdana"/>
          <w:b/>
          <w:sz w:val="16"/>
          <w:szCs w:val="16"/>
          <w:lang w:val="en-US"/>
        </w:rPr>
      </w:pPr>
    </w:p>
    <w:p w14:paraId="4E872DC2" w14:textId="77777777" w:rsidR="00DF5012" w:rsidRPr="00BA3592" w:rsidRDefault="00DF5012" w:rsidP="00DF5012">
      <w:pPr>
        <w:pStyle w:val="Texto"/>
        <w:spacing w:line="220" w:lineRule="exact"/>
        <w:ind w:firstLine="0"/>
        <w:jc w:val="center"/>
        <w:rPr>
          <w:rFonts w:ascii="Verdana" w:hAnsi="Verdana"/>
          <w:b/>
          <w:sz w:val="16"/>
          <w:szCs w:val="16"/>
        </w:rPr>
      </w:pPr>
      <w:r w:rsidRPr="00BA3592">
        <w:rPr>
          <w:rFonts w:ascii="Verdana" w:hAnsi="Verdana"/>
          <w:b/>
          <w:sz w:val="16"/>
          <w:szCs w:val="16"/>
        </w:rPr>
        <w:t>Tabla 1.1</w:t>
      </w:r>
    </w:p>
    <w:tbl>
      <w:tblPr>
        <w:tblW w:w="5544" w:type="dxa"/>
        <w:jc w:val="center"/>
        <w:tblCellMar>
          <w:left w:w="72" w:type="dxa"/>
          <w:right w:w="72" w:type="dxa"/>
        </w:tblCellMar>
        <w:tblLook w:val="0000" w:firstRow="0" w:lastRow="0" w:firstColumn="0" w:lastColumn="0" w:noHBand="0" w:noVBand="0"/>
      </w:tblPr>
      <w:tblGrid>
        <w:gridCol w:w="2369"/>
        <w:gridCol w:w="1552"/>
        <w:gridCol w:w="1623"/>
      </w:tblGrid>
      <w:tr w:rsidR="00DF5012" w:rsidRPr="00BA3592" w14:paraId="727F6BB1" w14:textId="77777777">
        <w:trPr>
          <w:cantSplit/>
          <w:trHeight w:val="20"/>
          <w:jc w:val="center"/>
        </w:trPr>
        <w:tc>
          <w:tcPr>
            <w:tcW w:w="2369" w:type="dxa"/>
            <w:vMerge w:val="restart"/>
            <w:tcBorders>
              <w:top w:val="single" w:sz="6" w:space="0" w:color="auto"/>
              <w:left w:val="single" w:sz="6" w:space="0" w:color="auto"/>
              <w:right w:val="single" w:sz="6" w:space="0" w:color="auto"/>
            </w:tcBorders>
            <w:shd w:val="pct12" w:color="auto" w:fill="auto"/>
            <w:noWrap/>
            <w:vAlign w:val="center"/>
          </w:tcPr>
          <w:p w14:paraId="32F349F6"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Peso bruto vehicular (kg)</w:t>
            </w:r>
          </w:p>
        </w:tc>
        <w:tc>
          <w:tcPr>
            <w:tcW w:w="3175" w:type="dxa"/>
            <w:gridSpan w:val="2"/>
            <w:tcBorders>
              <w:top w:val="single" w:sz="6" w:space="0" w:color="auto"/>
              <w:left w:val="single" w:sz="6" w:space="0" w:color="auto"/>
              <w:bottom w:val="single" w:sz="6" w:space="0" w:color="auto"/>
              <w:right w:val="single" w:sz="6" w:space="0" w:color="auto"/>
            </w:tcBorders>
            <w:shd w:val="pct12" w:color="auto" w:fill="auto"/>
            <w:vAlign w:val="center"/>
          </w:tcPr>
          <w:p w14:paraId="3A693E15"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Vida útil</w:t>
            </w:r>
          </w:p>
        </w:tc>
      </w:tr>
      <w:tr w:rsidR="00DF5012" w:rsidRPr="00BA3592" w14:paraId="088EFA84" w14:textId="77777777">
        <w:trPr>
          <w:cantSplit/>
          <w:trHeight w:val="20"/>
          <w:jc w:val="center"/>
        </w:trPr>
        <w:tc>
          <w:tcPr>
            <w:tcW w:w="2369" w:type="dxa"/>
            <w:vMerge/>
            <w:tcBorders>
              <w:left w:val="single" w:sz="6" w:space="0" w:color="auto"/>
              <w:bottom w:val="single" w:sz="6" w:space="0" w:color="auto"/>
              <w:right w:val="single" w:sz="6" w:space="0" w:color="auto"/>
            </w:tcBorders>
            <w:shd w:val="pct12" w:color="auto" w:fill="auto"/>
            <w:vAlign w:val="center"/>
          </w:tcPr>
          <w:p w14:paraId="1D534AC2" w14:textId="77777777" w:rsidR="00DF5012" w:rsidRPr="00BA3592" w:rsidRDefault="00DF5012" w:rsidP="00931F51">
            <w:pPr>
              <w:pStyle w:val="Texto"/>
              <w:spacing w:before="40" w:after="40" w:line="220" w:lineRule="exact"/>
              <w:ind w:firstLine="0"/>
              <w:jc w:val="center"/>
              <w:rPr>
                <w:rFonts w:ascii="Verdana" w:hAnsi="Verdana"/>
                <w:b/>
                <w:sz w:val="16"/>
                <w:szCs w:val="16"/>
              </w:rPr>
            </w:pPr>
          </w:p>
        </w:tc>
        <w:tc>
          <w:tcPr>
            <w:tcW w:w="1552" w:type="dxa"/>
            <w:tcBorders>
              <w:top w:val="single" w:sz="6" w:space="0" w:color="auto"/>
              <w:left w:val="single" w:sz="6" w:space="0" w:color="auto"/>
              <w:bottom w:val="single" w:sz="6" w:space="0" w:color="auto"/>
              <w:right w:val="single" w:sz="6" w:space="0" w:color="auto"/>
            </w:tcBorders>
            <w:shd w:val="pct12" w:color="auto" w:fill="auto"/>
            <w:vAlign w:val="center"/>
          </w:tcPr>
          <w:p w14:paraId="1F67A5DB"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Distancia (km)</w:t>
            </w:r>
          </w:p>
        </w:tc>
        <w:tc>
          <w:tcPr>
            <w:tcW w:w="1623" w:type="dxa"/>
            <w:tcBorders>
              <w:top w:val="single" w:sz="6" w:space="0" w:color="auto"/>
              <w:left w:val="single" w:sz="6" w:space="0" w:color="auto"/>
              <w:bottom w:val="single" w:sz="6" w:space="0" w:color="auto"/>
              <w:right w:val="single" w:sz="6" w:space="0" w:color="auto"/>
            </w:tcBorders>
            <w:shd w:val="pct12" w:color="auto" w:fill="auto"/>
            <w:vAlign w:val="center"/>
          </w:tcPr>
          <w:p w14:paraId="665290EE"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Tiempo (años)</w:t>
            </w:r>
          </w:p>
        </w:tc>
      </w:tr>
      <w:tr w:rsidR="00DF5012" w:rsidRPr="00BA3592" w14:paraId="30EA8A9F" w14:textId="77777777">
        <w:trPr>
          <w:cantSplit/>
          <w:trHeight w:val="20"/>
          <w:jc w:val="center"/>
        </w:trPr>
        <w:tc>
          <w:tcPr>
            <w:tcW w:w="2369" w:type="dxa"/>
            <w:tcBorders>
              <w:top w:val="single" w:sz="6" w:space="0" w:color="auto"/>
              <w:left w:val="single" w:sz="6" w:space="0" w:color="auto"/>
              <w:bottom w:val="single" w:sz="6" w:space="0" w:color="auto"/>
              <w:right w:val="single" w:sz="6" w:space="0" w:color="auto"/>
            </w:tcBorders>
            <w:vAlign w:val="center"/>
          </w:tcPr>
          <w:p w14:paraId="702D5DB0"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3,857–8,845</w:t>
            </w:r>
          </w:p>
        </w:tc>
        <w:tc>
          <w:tcPr>
            <w:tcW w:w="1552" w:type="dxa"/>
            <w:tcBorders>
              <w:top w:val="single" w:sz="6" w:space="0" w:color="auto"/>
              <w:left w:val="single" w:sz="6" w:space="0" w:color="auto"/>
              <w:bottom w:val="single" w:sz="6" w:space="0" w:color="auto"/>
              <w:right w:val="single" w:sz="6" w:space="0" w:color="auto"/>
            </w:tcBorders>
            <w:vAlign w:val="center"/>
          </w:tcPr>
          <w:p w14:paraId="17700A92"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177,023</w:t>
            </w:r>
          </w:p>
        </w:tc>
        <w:tc>
          <w:tcPr>
            <w:tcW w:w="1623" w:type="dxa"/>
            <w:vMerge w:val="restart"/>
            <w:tcBorders>
              <w:top w:val="single" w:sz="6" w:space="0" w:color="auto"/>
              <w:left w:val="single" w:sz="6" w:space="0" w:color="auto"/>
              <w:right w:val="single" w:sz="6" w:space="0" w:color="auto"/>
            </w:tcBorders>
            <w:vAlign w:val="center"/>
          </w:tcPr>
          <w:p w14:paraId="40525097"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10</w:t>
            </w:r>
          </w:p>
        </w:tc>
      </w:tr>
      <w:tr w:rsidR="00DF5012" w:rsidRPr="00BA3592" w14:paraId="463C50B9" w14:textId="77777777">
        <w:trPr>
          <w:cantSplit/>
          <w:trHeight w:val="20"/>
          <w:jc w:val="center"/>
        </w:trPr>
        <w:tc>
          <w:tcPr>
            <w:tcW w:w="2369" w:type="dxa"/>
            <w:tcBorders>
              <w:top w:val="single" w:sz="6" w:space="0" w:color="auto"/>
              <w:left w:val="single" w:sz="6" w:space="0" w:color="auto"/>
              <w:bottom w:val="single" w:sz="6" w:space="0" w:color="auto"/>
              <w:right w:val="single" w:sz="6" w:space="0" w:color="auto"/>
            </w:tcBorders>
            <w:vAlign w:val="center"/>
          </w:tcPr>
          <w:p w14:paraId="30D4C077"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8,846–14,970</w:t>
            </w:r>
          </w:p>
        </w:tc>
        <w:tc>
          <w:tcPr>
            <w:tcW w:w="1552" w:type="dxa"/>
            <w:tcBorders>
              <w:top w:val="single" w:sz="6" w:space="0" w:color="auto"/>
              <w:left w:val="single" w:sz="6" w:space="0" w:color="auto"/>
              <w:bottom w:val="single" w:sz="6" w:space="0" w:color="auto"/>
              <w:right w:val="single" w:sz="6" w:space="0" w:color="auto"/>
            </w:tcBorders>
            <w:vAlign w:val="center"/>
          </w:tcPr>
          <w:p w14:paraId="6CE872BD"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297,721</w:t>
            </w:r>
          </w:p>
        </w:tc>
        <w:tc>
          <w:tcPr>
            <w:tcW w:w="1623" w:type="dxa"/>
            <w:vMerge/>
            <w:tcBorders>
              <w:left w:val="single" w:sz="6" w:space="0" w:color="auto"/>
              <w:right w:val="single" w:sz="6" w:space="0" w:color="auto"/>
            </w:tcBorders>
            <w:vAlign w:val="center"/>
          </w:tcPr>
          <w:p w14:paraId="2C86B0E0" w14:textId="77777777" w:rsidR="00DF5012" w:rsidRPr="00BA3592" w:rsidRDefault="00DF5012" w:rsidP="00931F51">
            <w:pPr>
              <w:pStyle w:val="Texto"/>
              <w:spacing w:before="40" w:after="40" w:line="220" w:lineRule="exact"/>
              <w:ind w:firstLine="0"/>
              <w:jc w:val="center"/>
              <w:rPr>
                <w:rFonts w:ascii="Verdana" w:hAnsi="Verdana"/>
                <w:sz w:val="16"/>
                <w:szCs w:val="16"/>
              </w:rPr>
            </w:pPr>
          </w:p>
        </w:tc>
      </w:tr>
      <w:tr w:rsidR="00DF5012" w:rsidRPr="00BA3592" w14:paraId="4AB81FF1" w14:textId="77777777">
        <w:trPr>
          <w:cantSplit/>
          <w:trHeight w:val="20"/>
          <w:jc w:val="center"/>
        </w:trPr>
        <w:tc>
          <w:tcPr>
            <w:tcW w:w="2369" w:type="dxa"/>
            <w:tcBorders>
              <w:top w:val="single" w:sz="6" w:space="0" w:color="auto"/>
              <w:left w:val="single" w:sz="6" w:space="0" w:color="auto"/>
              <w:bottom w:val="single" w:sz="6" w:space="0" w:color="auto"/>
              <w:right w:val="single" w:sz="6" w:space="0" w:color="auto"/>
            </w:tcBorders>
            <w:vAlign w:val="center"/>
          </w:tcPr>
          <w:p w14:paraId="12F1B0C3"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14,971 y mayores</w:t>
            </w:r>
          </w:p>
        </w:tc>
        <w:tc>
          <w:tcPr>
            <w:tcW w:w="1552" w:type="dxa"/>
            <w:tcBorders>
              <w:top w:val="single" w:sz="6" w:space="0" w:color="auto"/>
              <w:left w:val="single" w:sz="6" w:space="0" w:color="auto"/>
              <w:bottom w:val="single" w:sz="6" w:space="0" w:color="auto"/>
              <w:right w:val="single" w:sz="6" w:space="0" w:color="auto"/>
            </w:tcBorders>
            <w:vAlign w:val="center"/>
          </w:tcPr>
          <w:p w14:paraId="5D16DD5D"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700,046</w:t>
            </w:r>
          </w:p>
        </w:tc>
        <w:tc>
          <w:tcPr>
            <w:tcW w:w="1623" w:type="dxa"/>
            <w:vMerge/>
            <w:tcBorders>
              <w:left w:val="single" w:sz="6" w:space="0" w:color="auto"/>
              <w:bottom w:val="single" w:sz="6" w:space="0" w:color="auto"/>
              <w:right w:val="single" w:sz="6" w:space="0" w:color="auto"/>
            </w:tcBorders>
            <w:vAlign w:val="center"/>
          </w:tcPr>
          <w:p w14:paraId="51371F49" w14:textId="77777777" w:rsidR="00DF5012" w:rsidRPr="00BA3592" w:rsidRDefault="00DF5012" w:rsidP="00931F51">
            <w:pPr>
              <w:pStyle w:val="Texto"/>
              <w:spacing w:before="40" w:after="40" w:line="220" w:lineRule="exact"/>
              <w:ind w:firstLine="0"/>
              <w:jc w:val="center"/>
              <w:rPr>
                <w:rFonts w:ascii="Verdana" w:hAnsi="Verdana"/>
                <w:sz w:val="16"/>
                <w:szCs w:val="16"/>
              </w:rPr>
            </w:pPr>
          </w:p>
        </w:tc>
      </w:tr>
    </w:tbl>
    <w:p w14:paraId="14AE3406" w14:textId="77777777" w:rsidR="00DF5012" w:rsidRDefault="00DF5012" w:rsidP="008A0760">
      <w:pPr>
        <w:pStyle w:val="Texto"/>
        <w:spacing w:line="220" w:lineRule="exact"/>
        <w:ind w:firstLine="0"/>
        <w:rPr>
          <w:rFonts w:ascii="Verdana" w:hAnsi="Verdana"/>
          <w:sz w:val="16"/>
          <w:szCs w:val="16"/>
        </w:rPr>
      </w:pPr>
    </w:p>
    <w:p w14:paraId="7A0E8AFD" w14:textId="77777777" w:rsidR="008A0760" w:rsidRPr="008A0760" w:rsidRDefault="008A0760" w:rsidP="008A0760">
      <w:pPr>
        <w:spacing w:after="101" w:line="220" w:lineRule="atLeast"/>
        <w:jc w:val="center"/>
        <w:rPr>
          <w:lang w:val="en-US" w:eastAsia="en-US"/>
        </w:rPr>
      </w:pPr>
      <w:r w:rsidRPr="008A0760">
        <w:rPr>
          <w:rFonts w:ascii="Verdana" w:hAnsi="Verdana"/>
          <w:b/>
          <w:bCs/>
          <w:sz w:val="16"/>
          <w:szCs w:val="16"/>
          <w:lang w:val="en-US" w:eastAsia="en-US"/>
        </w:rPr>
        <w:t>Table 1.1</w:t>
      </w:r>
      <w:r w:rsidRPr="008A0760">
        <w:rPr>
          <w:lang w:val="en-US" w:eastAsia="en-US"/>
        </w:rPr>
        <w:t xml:space="preserve"> </w:t>
      </w:r>
    </w:p>
    <w:tbl>
      <w:tblPr>
        <w:tblW w:w="5544" w:type="dxa"/>
        <w:jc w:val="center"/>
        <w:tblCellMar>
          <w:left w:w="0" w:type="dxa"/>
          <w:right w:w="0" w:type="dxa"/>
        </w:tblCellMar>
        <w:tblLook w:val="04A0" w:firstRow="1" w:lastRow="0" w:firstColumn="1" w:lastColumn="0" w:noHBand="0" w:noVBand="1"/>
      </w:tblPr>
      <w:tblGrid>
        <w:gridCol w:w="2369"/>
        <w:gridCol w:w="1552"/>
        <w:gridCol w:w="1623"/>
      </w:tblGrid>
      <w:tr w:rsidR="008A0760" w:rsidRPr="008A0760" w14:paraId="4728B3F9" w14:textId="77777777" w:rsidTr="008A0760">
        <w:trPr>
          <w:trHeight w:val="20"/>
          <w:jc w:val="center"/>
        </w:trPr>
        <w:tc>
          <w:tcPr>
            <w:tcW w:w="2369"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AF710B0"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Gross vehicle weight (kg)</w:t>
            </w:r>
            <w:r w:rsidRPr="008A0760">
              <w:rPr>
                <w:lang w:val="en-US" w:eastAsia="en-US"/>
              </w:rPr>
              <w:t xml:space="preserve"> </w:t>
            </w:r>
          </w:p>
        </w:tc>
        <w:tc>
          <w:tcPr>
            <w:tcW w:w="3175"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347DE52"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Useful life</w:t>
            </w:r>
            <w:r w:rsidRPr="008A0760">
              <w:rPr>
                <w:lang w:val="en-US" w:eastAsia="en-US"/>
              </w:rPr>
              <w:t xml:space="preserve"> </w:t>
            </w:r>
          </w:p>
        </w:tc>
      </w:tr>
      <w:tr w:rsidR="008A0760" w:rsidRPr="008A0760" w14:paraId="42CD9080"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D3C88" w14:textId="77777777" w:rsidR="008A0760" w:rsidRPr="008A0760" w:rsidRDefault="008A0760" w:rsidP="008A0760">
            <w:pPr>
              <w:rPr>
                <w:lang w:val="en-US" w:eastAsia="en-US"/>
              </w:rPr>
            </w:pPr>
          </w:p>
        </w:tc>
        <w:tc>
          <w:tcPr>
            <w:tcW w:w="1552"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68582EE1"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Distance (km)</w:t>
            </w:r>
            <w:r w:rsidRPr="008A0760">
              <w:rPr>
                <w:lang w:val="en-US" w:eastAsia="en-US"/>
              </w:rPr>
              <w:t xml:space="preserve"> </w:t>
            </w:r>
          </w:p>
        </w:tc>
        <w:tc>
          <w:tcPr>
            <w:tcW w:w="1623"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A0B6926"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Time (years)</w:t>
            </w:r>
            <w:r w:rsidRPr="008A0760">
              <w:rPr>
                <w:lang w:val="en-US" w:eastAsia="en-US"/>
              </w:rPr>
              <w:t xml:space="preserve"> </w:t>
            </w:r>
          </w:p>
        </w:tc>
      </w:tr>
      <w:tr w:rsidR="008A0760" w:rsidRPr="008A0760" w14:paraId="2FEAFF1B" w14:textId="77777777" w:rsidTr="008A0760">
        <w:trPr>
          <w:trHeight w:val="20"/>
          <w:jc w:val="center"/>
        </w:trPr>
        <w:tc>
          <w:tcPr>
            <w:tcW w:w="23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2D5318"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3,857-8,845</w:t>
            </w:r>
            <w:r w:rsidRPr="008A0760">
              <w:rPr>
                <w:lang w:val="en-US" w:eastAsia="en-US"/>
              </w:rPr>
              <w:t xml:space="preserve"> </w:t>
            </w:r>
          </w:p>
        </w:tc>
        <w:tc>
          <w:tcPr>
            <w:tcW w:w="15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CD99C54"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177,023</w:t>
            </w:r>
            <w:r w:rsidRPr="008A0760">
              <w:rPr>
                <w:lang w:val="en-US" w:eastAsia="en-US"/>
              </w:rPr>
              <w:t xml:space="preserve"> </w:t>
            </w:r>
          </w:p>
        </w:tc>
        <w:tc>
          <w:tcPr>
            <w:tcW w:w="1623"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4F2FD7"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10</w:t>
            </w:r>
            <w:r w:rsidRPr="008A0760">
              <w:rPr>
                <w:lang w:val="en-US" w:eastAsia="en-US"/>
              </w:rPr>
              <w:t xml:space="preserve"> </w:t>
            </w:r>
          </w:p>
        </w:tc>
      </w:tr>
      <w:tr w:rsidR="008A0760" w:rsidRPr="008A0760" w14:paraId="0F21FCEE" w14:textId="77777777" w:rsidTr="008A0760">
        <w:trPr>
          <w:trHeight w:val="20"/>
          <w:jc w:val="center"/>
        </w:trPr>
        <w:tc>
          <w:tcPr>
            <w:tcW w:w="23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498AE5"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8,846-14,970</w:t>
            </w:r>
            <w:r w:rsidRPr="008A0760">
              <w:rPr>
                <w:lang w:val="en-US" w:eastAsia="en-US"/>
              </w:rPr>
              <w:t xml:space="preserve"> </w:t>
            </w:r>
          </w:p>
        </w:tc>
        <w:tc>
          <w:tcPr>
            <w:tcW w:w="15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625619"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297,721</w:t>
            </w:r>
            <w:r w:rsidRPr="008A0760">
              <w:rPr>
                <w:lang w:val="en-US" w:eastAsia="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8DCDEE" w14:textId="77777777" w:rsidR="008A0760" w:rsidRPr="008A0760" w:rsidRDefault="008A0760" w:rsidP="008A0760">
            <w:pPr>
              <w:rPr>
                <w:lang w:val="en-US" w:eastAsia="en-US"/>
              </w:rPr>
            </w:pPr>
          </w:p>
        </w:tc>
      </w:tr>
      <w:tr w:rsidR="008A0760" w:rsidRPr="008A0760" w14:paraId="0EF9E0B8" w14:textId="77777777" w:rsidTr="008A0760">
        <w:trPr>
          <w:trHeight w:val="20"/>
          <w:jc w:val="center"/>
        </w:trPr>
        <w:tc>
          <w:tcPr>
            <w:tcW w:w="236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F0E54B"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 xml:space="preserve">14,971 and </w:t>
            </w:r>
            <w:r w:rsidR="00475F08">
              <w:rPr>
                <w:rFonts w:ascii="Verdana" w:hAnsi="Verdana"/>
                <w:sz w:val="16"/>
                <w:szCs w:val="16"/>
                <w:lang w:val="en-US" w:eastAsia="en-US"/>
              </w:rPr>
              <w:t>greater</w:t>
            </w:r>
            <w:r w:rsidRPr="008A0760">
              <w:rPr>
                <w:lang w:val="en-US" w:eastAsia="en-US"/>
              </w:rPr>
              <w:t xml:space="preserve"> </w:t>
            </w:r>
          </w:p>
        </w:tc>
        <w:tc>
          <w:tcPr>
            <w:tcW w:w="15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59935E1"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700,046</w:t>
            </w:r>
            <w:r w:rsidRPr="008A0760">
              <w:rPr>
                <w:lang w:val="en-US" w:eastAsia="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B4C518" w14:textId="77777777" w:rsidR="008A0760" w:rsidRPr="008A0760" w:rsidRDefault="008A0760" w:rsidP="008A0760">
            <w:pPr>
              <w:rPr>
                <w:lang w:val="en-US" w:eastAsia="en-US"/>
              </w:rPr>
            </w:pPr>
          </w:p>
        </w:tc>
      </w:tr>
    </w:tbl>
    <w:p w14:paraId="232EB2C3" w14:textId="77777777" w:rsidR="008A0760" w:rsidRPr="008A0760" w:rsidRDefault="008A0760" w:rsidP="008A0760">
      <w:pPr>
        <w:spacing w:after="101" w:line="220" w:lineRule="atLeast"/>
        <w:ind w:firstLine="288"/>
        <w:jc w:val="both"/>
        <w:rPr>
          <w:lang w:val="en-US" w:eastAsia="en-US"/>
        </w:rPr>
      </w:pPr>
      <w:r w:rsidRPr="008A0760">
        <w:rPr>
          <w:rFonts w:ascii="Verdana" w:hAnsi="Verdana"/>
          <w:sz w:val="16"/>
          <w:szCs w:val="16"/>
          <w:lang w:val="en-US" w:eastAsia="en-US"/>
        </w:rPr>
        <w:t> </w:t>
      </w:r>
    </w:p>
    <w:tbl>
      <w:tblPr>
        <w:tblW w:w="0" w:type="auto"/>
        <w:tblLook w:val="04A0" w:firstRow="1" w:lastRow="0" w:firstColumn="1" w:lastColumn="0" w:noHBand="0" w:noVBand="1"/>
      </w:tblPr>
      <w:tblGrid>
        <w:gridCol w:w="4680"/>
        <w:gridCol w:w="4680"/>
      </w:tblGrid>
      <w:tr w:rsidR="008A0760" w:rsidRPr="00A57824" w14:paraId="749DCFAB" w14:textId="77777777" w:rsidTr="00475F08">
        <w:tc>
          <w:tcPr>
            <w:tcW w:w="4788" w:type="dxa"/>
            <w:shd w:val="clear" w:color="auto" w:fill="auto"/>
          </w:tcPr>
          <w:p w14:paraId="518CAAFF" w14:textId="77777777" w:rsidR="008A0760" w:rsidRPr="00A57824" w:rsidRDefault="008A0760" w:rsidP="00475F08">
            <w:pPr>
              <w:spacing w:after="101" w:line="220" w:lineRule="atLeast"/>
              <w:jc w:val="both"/>
              <w:rPr>
                <w:lang w:val="en-US" w:eastAsia="en-US"/>
              </w:rPr>
            </w:pPr>
            <w:r w:rsidRPr="008A0760">
              <w:rPr>
                <w:rFonts w:ascii="Calibri" w:hAnsi="Calibri" w:cs="Calibri"/>
                <w:sz w:val="22"/>
                <w:szCs w:val="22"/>
                <w:lang w:val="en-US" w:eastAsia="en-US"/>
              </w:rPr>
              <w:t> </w:t>
            </w:r>
            <w:r w:rsidRPr="00A57824">
              <w:rPr>
                <w:rFonts w:ascii="Verdana" w:hAnsi="Verdana"/>
                <w:b/>
                <w:bCs/>
                <w:sz w:val="16"/>
                <w:szCs w:val="16"/>
                <w:lang w:val="en-US" w:eastAsia="en-US"/>
              </w:rPr>
              <w:t>4.1.3.</w:t>
            </w:r>
            <w:r w:rsidRPr="00A57824">
              <w:rPr>
                <w:lang w:val="en-US" w:eastAsia="en-US"/>
              </w:rPr>
              <w:t xml:space="preserve"> </w:t>
            </w:r>
            <w:r w:rsidRPr="00A57824">
              <w:rPr>
                <w:rFonts w:ascii="Verdana" w:hAnsi="Verdana"/>
                <w:sz w:val="16"/>
                <w:szCs w:val="16"/>
                <w:lang w:val="en-US" w:eastAsia="en-US"/>
              </w:rPr>
              <w:t xml:space="preserve">The maximum permissible emission limits for carbon monoxide (CO), nitrogen oxides </w:t>
            </w:r>
            <w:r w:rsidR="00475F08">
              <w:rPr>
                <w:rFonts w:ascii="Verdana" w:hAnsi="Verdana"/>
                <w:sz w:val="16"/>
                <w:szCs w:val="16"/>
                <w:lang w:val="en-US" w:eastAsia="en-US"/>
              </w:rPr>
              <w:t>(NOx)</w:t>
            </w:r>
            <w:r w:rsidRPr="00A57824">
              <w:rPr>
                <w:rFonts w:ascii="Verdana" w:hAnsi="Verdana"/>
                <w:sz w:val="16"/>
                <w:szCs w:val="16"/>
                <w:lang w:val="en-US" w:eastAsia="en-US"/>
              </w:rPr>
              <w:t xml:space="preserve">, hydrocarbons (HC), non-methane hydrocarbons (HCNM), particles </w:t>
            </w:r>
            <w:r w:rsidR="00F75D61">
              <w:rPr>
                <w:rFonts w:ascii="Verdana" w:hAnsi="Verdana"/>
                <w:sz w:val="16"/>
                <w:szCs w:val="16"/>
                <w:lang w:val="en-US" w:eastAsia="en-US"/>
              </w:rPr>
              <w:t>(Part)</w:t>
            </w:r>
            <w:r w:rsidRPr="00A57824">
              <w:rPr>
                <w:rFonts w:ascii="Verdana" w:hAnsi="Verdana"/>
                <w:sz w:val="16"/>
                <w:szCs w:val="16"/>
                <w:lang w:val="en-US" w:eastAsia="en-US"/>
              </w:rPr>
              <w:t>, number of particles (</w:t>
            </w:r>
            <w:r w:rsidRPr="00A57824">
              <w:rPr>
                <w:lang w:val="en-US" w:eastAsia="en-US"/>
              </w:rPr>
              <w:t xml:space="preserve"> </w:t>
            </w:r>
            <w:r w:rsidRPr="00A57824">
              <w:rPr>
                <w:rFonts w:ascii="Verdana" w:hAnsi="Verdana"/>
                <w:sz w:val="16"/>
                <w:szCs w:val="16"/>
                <w:lang w:val="en-US" w:eastAsia="en-US"/>
              </w:rPr>
              <w:t>Part</w:t>
            </w:r>
            <w:r w:rsidRPr="00A57824">
              <w:rPr>
                <w:lang w:val="en-US" w:eastAsia="en-US"/>
              </w:rPr>
              <w:t xml:space="preserve"> </w:t>
            </w:r>
            <w:r w:rsidRPr="00A57824">
              <w:rPr>
                <w:rFonts w:ascii="Verdana" w:hAnsi="Verdana"/>
                <w:sz w:val="16"/>
                <w:szCs w:val="16"/>
                <w:lang w:val="en-US" w:eastAsia="en-US"/>
              </w:rPr>
              <w:t>No.</w:t>
            </w:r>
            <w:r w:rsidRPr="00A57824">
              <w:rPr>
                <w:lang w:val="en-US" w:eastAsia="en-US"/>
              </w:rPr>
              <w:t xml:space="preserve"> </w:t>
            </w:r>
            <w:r w:rsidRPr="00A57824">
              <w:rPr>
                <w:rFonts w:ascii="Verdana" w:hAnsi="Verdana"/>
                <w:sz w:val="16"/>
                <w:szCs w:val="16"/>
                <w:lang w:val="en-US" w:eastAsia="en-US"/>
              </w:rPr>
              <w:t>) and ammonia (NH)</w:t>
            </w:r>
            <w:r w:rsidRPr="00A57824">
              <w:rPr>
                <w:lang w:val="en-US" w:eastAsia="en-US"/>
              </w:rPr>
              <w:t xml:space="preserve"> </w:t>
            </w:r>
            <w:r w:rsidRPr="00A57824">
              <w:rPr>
                <w:rFonts w:ascii="Verdana" w:hAnsi="Verdana"/>
                <w:sz w:val="11"/>
                <w:szCs w:val="11"/>
                <w:vertAlign w:val="subscript"/>
                <w:lang w:val="en-US" w:eastAsia="en-US"/>
              </w:rPr>
              <w:t>3</w:t>
            </w:r>
            <w:r w:rsidRPr="00A57824">
              <w:rPr>
                <w:lang w:val="en-US" w:eastAsia="en-US"/>
              </w:rPr>
              <w:t xml:space="preserve"> </w:t>
            </w:r>
            <w:r w:rsidRPr="00A57824">
              <w:rPr>
                <w:rFonts w:ascii="Verdana" w:hAnsi="Verdana"/>
                <w:sz w:val="16"/>
                <w:szCs w:val="16"/>
                <w:lang w:val="en-US" w:eastAsia="en-US"/>
              </w:rPr>
              <w:t>), coming from the exhaust of new engines and motor vehicles with a gross vehicle weight greater than 3,857 kg that integrate them, certified by the test methods established by the European Parliament and the Council of the European Union, as well as by the Commission Economic Survey for Europe, are indicated in Table 2.</w:t>
            </w:r>
            <w:r w:rsidRPr="00A57824">
              <w:rPr>
                <w:lang w:val="en-US" w:eastAsia="en-US"/>
              </w:rPr>
              <w:t xml:space="preserve"> </w:t>
            </w:r>
          </w:p>
          <w:p w14:paraId="1C88CF68" w14:textId="77777777" w:rsidR="008A0760" w:rsidRPr="00A57824" w:rsidRDefault="008A0760" w:rsidP="00A57824">
            <w:pPr>
              <w:pStyle w:val="Texto"/>
              <w:spacing w:line="220" w:lineRule="exact"/>
              <w:ind w:firstLine="0"/>
              <w:rPr>
                <w:rFonts w:ascii="Verdana" w:hAnsi="Verdana"/>
                <w:sz w:val="16"/>
                <w:szCs w:val="16"/>
                <w:lang w:val="en-US"/>
              </w:rPr>
            </w:pPr>
          </w:p>
        </w:tc>
        <w:tc>
          <w:tcPr>
            <w:tcW w:w="4788" w:type="dxa"/>
            <w:shd w:val="clear" w:color="auto" w:fill="auto"/>
          </w:tcPr>
          <w:p w14:paraId="4789894B" w14:textId="77777777" w:rsidR="008A0760" w:rsidRPr="00A57824" w:rsidRDefault="008A0760" w:rsidP="00475F08">
            <w:pPr>
              <w:pStyle w:val="Texto"/>
              <w:spacing w:line="220" w:lineRule="exact"/>
              <w:ind w:firstLine="0"/>
              <w:rPr>
                <w:rFonts w:ascii="Verdana" w:hAnsi="Verdana"/>
                <w:sz w:val="16"/>
                <w:szCs w:val="16"/>
              </w:rPr>
            </w:pPr>
            <w:r w:rsidRPr="00A57824">
              <w:rPr>
                <w:rFonts w:ascii="Verdana" w:hAnsi="Verdana"/>
                <w:b/>
                <w:sz w:val="16"/>
                <w:szCs w:val="16"/>
              </w:rPr>
              <w:t>4.1.3.</w:t>
            </w:r>
            <w:r w:rsidRPr="00A57824">
              <w:rPr>
                <w:rFonts w:ascii="Verdana" w:hAnsi="Verdana"/>
                <w:sz w:val="16"/>
                <w:szCs w:val="16"/>
              </w:rPr>
              <w:t xml:space="preserve"> Los límites máximos permisibles de emisión de monóxido de carbono (CO), óxidos de nitrógeno (NOx), hidrocarburos (HC), hidrocarburos no metano (HCNM), partículas (Part), número de partículas (Núm. Part) y amoniaco (NH</w:t>
            </w:r>
            <w:r w:rsidRPr="00A57824">
              <w:rPr>
                <w:rFonts w:ascii="Verdana" w:hAnsi="Verdana"/>
                <w:sz w:val="16"/>
                <w:szCs w:val="16"/>
                <w:vertAlign w:val="subscript"/>
              </w:rPr>
              <w:t>3</w:t>
            </w:r>
            <w:r w:rsidRPr="00A57824">
              <w:rPr>
                <w:rFonts w:ascii="Verdana" w:hAnsi="Verdana"/>
                <w:sz w:val="16"/>
                <w:szCs w:val="16"/>
              </w:rPr>
              <w:t>), provenientes del escape de los motores y vehículos automotores nuevos con un peso bruto vehicular mayor a 3,857 kg que los integren, certificados mediante los métodos de prueba establecidos por el Parlamento Europeo y el Consejo de la Unión Europea, así como por la Comisión Económica de las Naciones Unidas para Europa, se indican en la Tabla 2.</w:t>
            </w:r>
          </w:p>
          <w:p w14:paraId="0264EB26" w14:textId="77777777" w:rsidR="008A0760" w:rsidRPr="00B32D99" w:rsidRDefault="008A0760" w:rsidP="00A57824">
            <w:pPr>
              <w:pStyle w:val="Texto"/>
              <w:spacing w:line="220" w:lineRule="exact"/>
              <w:ind w:firstLine="0"/>
              <w:rPr>
                <w:rFonts w:ascii="Verdana" w:hAnsi="Verdana"/>
                <w:sz w:val="16"/>
                <w:szCs w:val="16"/>
              </w:rPr>
            </w:pPr>
          </w:p>
        </w:tc>
      </w:tr>
    </w:tbl>
    <w:p w14:paraId="6534BC2C" w14:textId="77777777" w:rsidR="00DF5012" w:rsidRPr="00BA3592" w:rsidRDefault="00DF5012" w:rsidP="00DF5012">
      <w:pPr>
        <w:pStyle w:val="Texto"/>
        <w:spacing w:line="220" w:lineRule="exact"/>
        <w:ind w:firstLine="0"/>
        <w:jc w:val="center"/>
        <w:rPr>
          <w:rFonts w:ascii="Verdana" w:hAnsi="Verdana"/>
          <w:b/>
          <w:sz w:val="16"/>
          <w:szCs w:val="16"/>
        </w:rPr>
      </w:pPr>
      <w:r w:rsidRPr="00BA3592">
        <w:rPr>
          <w:rFonts w:ascii="Verdana" w:hAnsi="Verdana"/>
          <w:b/>
          <w:sz w:val="16"/>
          <w:szCs w:val="16"/>
        </w:rPr>
        <w:t>Tabla 2</w:t>
      </w:r>
    </w:p>
    <w:tbl>
      <w:tblPr>
        <w:tblW w:w="8327" w:type="dxa"/>
        <w:jc w:val="center"/>
        <w:tblCellMar>
          <w:left w:w="72" w:type="dxa"/>
          <w:right w:w="72" w:type="dxa"/>
        </w:tblCellMar>
        <w:tblLook w:val="0000" w:firstRow="0" w:lastRow="0" w:firstColumn="0" w:lastColumn="0" w:noHBand="0" w:noVBand="0"/>
      </w:tblPr>
      <w:tblGrid>
        <w:gridCol w:w="1000"/>
        <w:gridCol w:w="1052"/>
        <w:gridCol w:w="562"/>
        <w:gridCol w:w="624"/>
        <w:gridCol w:w="931"/>
        <w:gridCol w:w="1081"/>
        <w:gridCol w:w="622"/>
        <w:gridCol w:w="1476"/>
        <w:gridCol w:w="979"/>
      </w:tblGrid>
      <w:tr w:rsidR="00DF5012" w:rsidRPr="00BA3592" w14:paraId="20BA1491" w14:textId="77777777">
        <w:trPr>
          <w:trHeight w:val="20"/>
          <w:jc w:val="center"/>
        </w:trPr>
        <w:tc>
          <w:tcPr>
            <w:tcW w:w="1000" w:type="dxa"/>
            <w:vMerge w:val="restart"/>
            <w:tcBorders>
              <w:top w:val="single" w:sz="6" w:space="0" w:color="auto"/>
              <w:left w:val="single" w:sz="6" w:space="0" w:color="auto"/>
              <w:right w:val="single" w:sz="6" w:space="0" w:color="auto"/>
            </w:tcBorders>
            <w:shd w:val="pct12" w:color="auto" w:fill="auto"/>
            <w:noWrap/>
            <w:vAlign w:val="center"/>
          </w:tcPr>
          <w:p w14:paraId="3323C7DD"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Estándar</w:t>
            </w:r>
          </w:p>
        </w:tc>
        <w:tc>
          <w:tcPr>
            <w:tcW w:w="1052" w:type="dxa"/>
            <w:vMerge w:val="restart"/>
            <w:tcBorders>
              <w:top w:val="single" w:sz="6" w:space="0" w:color="auto"/>
              <w:left w:val="single" w:sz="6" w:space="0" w:color="auto"/>
              <w:right w:val="single" w:sz="6" w:space="0" w:color="auto"/>
            </w:tcBorders>
            <w:shd w:val="pct12" w:color="auto" w:fill="auto"/>
            <w:vAlign w:val="center"/>
          </w:tcPr>
          <w:p w14:paraId="7EB747FE"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Método de Prueba</w:t>
            </w:r>
          </w:p>
        </w:tc>
        <w:tc>
          <w:tcPr>
            <w:tcW w:w="562" w:type="dxa"/>
            <w:tcBorders>
              <w:top w:val="single" w:sz="6" w:space="0" w:color="auto"/>
              <w:left w:val="single" w:sz="6" w:space="0" w:color="auto"/>
              <w:bottom w:val="single" w:sz="6" w:space="0" w:color="auto"/>
              <w:right w:val="single" w:sz="6" w:space="0" w:color="auto"/>
            </w:tcBorders>
            <w:shd w:val="pct12" w:color="auto" w:fill="auto"/>
            <w:vAlign w:val="center"/>
          </w:tcPr>
          <w:p w14:paraId="5851CBE4"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CO</w:t>
            </w:r>
          </w:p>
        </w:tc>
        <w:tc>
          <w:tcPr>
            <w:tcW w:w="624" w:type="dxa"/>
            <w:tcBorders>
              <w:top w:val="single" w:sz="6" w:space="0" w:color="auto"/>
              <w:left w:val="single" w:sz="6" w:space="0" w:color="auto"/>
              <w:bottom w:val="single" w:sz="6" w:space="0" w:color="auto"/>
              <w:right w:val="single" w:sz="6" w:space="0" w:color="auto"/>
            </w:tcBorders>
            <w:shd w:val="pct12" w:color="auto" w:fill="auto"/>
            <w:vAlign w:val="center"/>
          </w:tcPr>
          <w:p w14:paraId="5507C3F7"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NOx</w:t>
            </w:r>
          </w:p>
        </w:tc>
        <w:tc>
          <w:tcPr>
            <w:tcW w:w="931" w:type="dxa"/>
            <w:tcBorders>
              <w:top w:val="single" w:sz="6" w:space="0" w:color="auto"/>
              <w:left w:val="single" w:sz="6" w:space="0" w:color="auto"/>
              <w:bottom w:val="single" w:sz="6" w:space="0" w:color="auto"/>
              <w:right w:val="single" w:sz="6" w:space="0" w:color="auto"/>
            </w:tcBorders>
            <w:shd w:val="pct12" w:color="auto" w:fill="auto"/>
            <w:vAlign w:val="center"/>
          </w:tcPr>
          <w:p w14:paraId="25F5C847"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HC</w:t>
            </w:r>
          </w:p>
        </w:tc>
        <w:tc>
          <w:tcPr>
            <w:tcW w:w="1081" w:type="dxa"/>
            <w:tcBorders>
              <w:top w:val="single" w:sz="6" w:space="0" w:color="auto"/>
              <w:left w:val="single" w:sz="6" w:space="0" w:color="auto"/>
              <w:bottom w:val="single" w:sz="6" w:space="0" w:color="auto"/>
              <w:right w:val="single" w:sz="6" w:space="0" w:color="auto"/>
            </w:tcBorders>
            <w:shd w:val="pct12" w:color="auto" w:fill="auto"/>
            <w:vAlign w:val="center"/>
          </w:tcPr>
          <w:p w14:paraId="611114B2"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HCNM</w:t>
            </w:r>
          </w:p>
        </w:tc>
        <w:tc>
          <w:tcPr>
            <w:tcW w:w="622" w:type="dxa"/>
            <w:tcBorders>
              <w:top w:val="single" w:sz="6" w:space="0" w:color="auto"/>
              <w:left w:val="single" w:sz="6" w:space="0" w:color="auto"/>
              <w:bottom w:val="single" w:sz="6" w:space="0" w:color="auto"/>
              <w:right w:val="single" w:sz="6" w:space="0" w:color="auto"/>
            </w:tcBorders>
            <w:shd w:val="pct12" w:color="auto" w:fill="auto"/>
            <w:vAlign w:val="center"/>
          </w:tcPr>
          <w:p w14:paraId="6753E6C0"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Part</w:t>
            </w:r>
          </w:p>
        </w:tc>
        <w:tc>
          <w:tcPr>
            <w:tcW w:w="1476" w:type="dxa"/>
            <w:tcBorders>
              <w:top w:val="single" w:sz="6" w:space="0" w:color="auto"/>
              <w:left w:val="single" w:sz="6" w:space="0" w:color="auto"/>
              <w:bottom w:val="single" w:sz="6" w:space="0" w:color="auto"/>
              <w:right w:val="single" w:sz="6" w:space="0" w:color="auto"/>
            </w:tcBorders>
            <w:shd w:val="pct12" w:color="auto" w:fill="auto"/>
            <w:vAlign w:val="center"/>
          </w:tcPr>
          <w:p w14:paraId="18C837C8"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Núm. Part.</w:t>
            </w:r>
          </w:p>
        </w:tc>
        <w:tc>
          <w:tcPr>
            <w:tcW w:w="979" w:type="dxa"/>
            <w:tcBorders>
              <w:top w:val="single" w:sz="6" w:space="0" w:color="auto"/>
              <w:left w:val="single" w:sz="6" w:space="0" w:color="auto"/>
              <w:bottom w:val="single" w:sz="6" w:space="0" w:color="auto"/>
              <w:right w:val="single" w:sz="6" w:space="0" w:color="auto"/>
            </w:tcBorders>
            <w:shd w:val="pct12" w:color="auto" w:fill="auto"/>
            <w:vAlign w:val="center"/>
          </w:tcPr>
          <w:p w14:paraId="5410B9F0"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NH</w:t>
            </w:r>
            <w:r w:rsidRPr="00BA3592">
              <w:rPr>
                <w:rFonts w:ascii="Verdana" w:hAnsi="Verdana"/>
                <w:b/>
                <w:sz w:val="16"/>
                <w:szCs w:val="16"/>
                <w:vertAlign w:val="subscript"/>
              </w:rPr>
              <w:t>3</w:t>
            </w:r>
          </w:p>
        </w:tc>
      </w:tr>
      <w:tr w:rsidR="00DF5012" w:rsidRPr="00BA3592" w14:paraId="7E3FECE4" w14:textId="77777777">
        <w:trPr>
          <w:trHeight w:val="20"/>
          <w:jc w:val="center"/>
        </w:trPr>
        <w:tc>
          <w:tcPr>
            <w:tcW w:w="1000" w:type="dxa"/>
            <w:vMerge/>
            <w:tcBorders>
              <w:left w:val="single" w:sz="6" w:space="0" w:color="auto"/>
              <w:bottom w:val="single" w:sz="6" w:space="0" w:color="auto"/>
              <w:right w:val="single" w:sz="6" w:space="0" w:color="auto"/>
            </w:tcBorders>
            <w:shd w:val="pct12" w:color="auto" w:fill="auto"/>
            <w:vAlign w:val="center"/>
          </w:tcPr>
          <w:p w14:paraId="1DB3B321" w14:textId="77777777" w:rsidR="00DF5012" w:rsidRPr="00BA3592" w:rsidRDefault="00DF5012" w:rsidP="00931F51">
            <w:pPr>
              <w:pStyle w:val="Texto"/>
              <w:spacing w:before="40" w:after="40" w:line="220" w:lineRule="exact"/>
              <w:ind w:firstLine="0"/>
              <w:jc w:val="center"/>
              <w:rPr>
                <w:rFonts w:ascii="Verdana" w:hAnsi="Verdana"/>
                <w:b/>
                <w:sz w:val="16"/>
                <w:szCs w:val="16"/>
              </w:rPr>
            </w:pPr>
          </w:p>
        </w:tc>
        <w:tc>
          <w:tcPr>
            <w:tcW w:w="1052" w:type="dxa"/>
            <w:vMerge/>
            <w:tcBorders>
              <w:left w:val="single" w:sz="6" w:space="0" w:color="auto"/>
              <w:bottom w:val="single" w:sz="6" w:space="0" w:color="auto"/>
              <w:right w:val="single" w:sz="6" w:space="0" w:color="auto"/>
            </w:tcBorders>
            <w:shd w:val="pct12" w:color="auto" w:fill="auto"/>
            <w:vAlign w:val="center"/>
          </w:tcPr>
          <w:p w14:paraId="11EBB229" w14:textId="77777777" w:rsidR="00DF5012" w:rsidRPr="00BA3592" w:rsidRDefault="00DF5012" w:rsidP="00931F51">
            <w:pPr>
              <w:pStyle w:val="Texto"/>
              <w:spacing w:before="40" w:after="40" w:line="220" w:lineRule="exact"/>
              <w:ind w:firstLine="0"/>
              <w:jc w:val="center"/>
              <w:rPr>
                <w:rFonts w:ascii="Verdana" w:hAnsi="Verdana"/>
                <w:b/>
                <w:sz w:val="16"/>
                <w:szCs w:val="16"/>
              </w:rPr>
            </w:pPr>
          </w:p>
        </w:tc>
        <w:tc>
          <w:tcPr>
            <w:tcW w:w="3820" w:type="dxa"/>
            <w:gridSpan w:val="5"/>
            <w:tcBorders>
              <w:top w:val="single" w:sz="6" w:space="0" w:color="auto"/>
              <w:left w:val="single" w:sz="6" w:space="0" w:color="auto"/>
              <w:bottom w:val="single" w:sz="6" w:space="0" w:color="auto"/>
              <w:right w:val="single" w:sz="6" w:space="0" w:color="auto"/>
            </w:tcBorders>
            <w:shd w:val="pct12" w:color="auto" w:fill="auto"/>
            <w:vAlign w:val="center"/>
          </w:tcPr>
          <w:p w14:paraId="1A1E9914"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g/kWh</w:t>
            </w:r>
            <w:r w:rsidRPr="00BA3592">
              <w:rPr>
                <w:rFonts w:ascii="Verdana" w:hAnsi="Verdana"/>
                <w:sz w:val="16"/>
                <w:szCs w:val="16"/>
              </w:rPr>
              <w:t xml:space="preserve"> </w:t>
            </w:r>
            <w:r w:rsidRPr="00BA3592">
              <w:rPr>
                <w:rFonts w:ascii="Verdana" w:hAnsi="Verdana"/>
                <w:sz w:val="16"/>
                <w:szCs w:val="16"/>
                <w:vertAlign w:val="superscript"/>
              </w:rPr>
              <w:t>(1)</w:t>
            </w:r>
          </w:p>
        </w:tc>
        <w:tc>
          <w:tcPr>
            <w:tcW w:w="1476" w:type="dxa"/>
            <w:tcBorders>
              <w:top w:val="single" w:sz="6" w:space="0" w:color="auto"/>
              <w:left w:val="single" w:sz="6" w:space="0" w:color="auto"/>
              <w:bottom w:val="single" w:sz="6" w:space="0" w:color="auto"/>
              <w:right w:val="single" w:sz="6" w:space="0" w:color="auto"/>
            </w:tcBorders>
            <w:shd w:val="pct12" w:color="auto" w:fill="auto"/>
            <w:vAlign w:val="center"/>
          </w:tcPr>
          <w:p w14:paraId="22E34100"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 xml:space="preserve">Número/kWh </w:t>
            </w:r>
            <w:r w:rsidRPr="00BA3592">
              <w:rPr>
                <w:rFonts w:ascii="Verdana" w:hAnsi="Verdana"/>
                <w:sz w:val="16"/>
                <w:szCs w:val="16"/>
                <w:vertAlign w:val="superscript"/>
              </w:rPr>
              <w:t>(2)</w:t>
            </w:r>
          </w:p>
        </w:tc>
        <w:tc>
          <w:tcPr>
            <w:tcW w:w="979" w:type="dxa"/>
            <w:tcBorders>
              <w:top w:val="single" w:sz="6" w:space="0" w:color="auto"/>
              <w:left w:val="single" w:sz="6" w:space="0" w:color="auto"/>
              <w:bottom w:val="single" w:sz="6" w:space="0" w:color="auto"/>
              <w:right w:val="single" w:sz="6" w:space="0" w:color="auto"/>
            </w:tcBorders>
            <w:shd w:val="pct12" w:color="auto" w:fill="auto"/>
            <w:vAlign w:val="center"/>
          </w:tcPr>
          <w:p w14:paraId="03416157"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ppm</w:t>
            </w:r>
            <w:r w:rsidRPr="00BA3592">
              <w:rPr>
                <w:rFonts w:ascii="Verdana" w:hAnsi="Verdana"/>
                <w:sz w:val="16"/>
                <w:szCs w:val="16"/>
                <w:vertAlign w:val="superscript"/>
              </w:rPr>
              <w:t>(3)</w:t>
            </w:r>
          </w:p>
        </w:tc>
      </w:tr>
      <w:tr w:rsidR="00DF5012" w:rsidRPr="00BA3592" w14:paraId="09B43A53" w14:textId="77777777">
        <w:trPr>
          <w:trHeight w:val="20"/>
          <w:jc w:val="center"/>
        </w:trPr>
        <w:tc>
          <w:tcPr>
            <w:tcW w:w="1000" w:type="dxa"/>
            <w:vMerge w:val="restart"/>
            <w:tcBorders>
              <w:top w:val="single" w:sz="6" w:space="0" w:color="auto"/>
              <w:left w:val="single" w:sz="6" w:space="0" w:color="auto"/>
              <w:right w:val="single" w:sz="6" w:space="0" w:color="auto"/>
            </w:tcBorders>
            <w:shd w:val="clear" w:color="auto" w:fill="auto"/>
            <w:vAlign w:val="center"/>
          </w:tcPr>
          <w:p w14:paraId="756FE010"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b/>
                <w:sz w:val="16"/>
                <w:szCs w:val="16"/>
              </w:rPr>
              <w:t xml:space="preserve">2A </w:t>
            </w:r>
            <w:r w:rsidRPr="00BA3592">
              <w:rPr>
                <w:rFonts w:ascii="Verdana" w:hAnsi="Verdana"/>
                <w:sz w:val="16"/>
                <w:szCs w:val="16"/>
                <w:vertAlign w:val="superscript"/>
              </w:rPr>
              <w:t>(4)</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14:paraId="5FF3B2AF"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CEEC</w:t>
            </w:r>
          </w:p>
        </w:tc>
        <w:tc>
          <w:tcPr>
            <w:tcW w:w="562" w:type="dxa"/>
            <w:tcBorders>
              <w:top w:val="single" w:sz="6" w:space="0" w:color="auto"/>
              <w:left w:val="single" w:sz="6" w:space="0" w:color="auto"/>
              <w:bottom w:val="single" w:sz="6" w:space="0" w:color="auto"/>
              <w:right w:val="single" w:sz="6" w:space="0" w:color="auto"/>
            </w:tcBorders>
            <w:shd w:val="clear" w:color="auto" w:fill="auto"/>
            <w:vAlign w:val="center"/>
          </w:tcPr>
          <w:p w14:paraId="231ABA91"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1.5</w:t>
            </w:r>
          </w:p>
        </w:tc>
        <w:tc>
          <w:tcPr>
            <w:tcW w:w="624" w:type="dxa"/>
            <w:vMerge w:val="restart"/>
            <w:tcBorders>
              <w:top w:val="single" w:sz="6" w:space="0" w:color="auto"/>
              <w:left w:val="single" w:sz="6" w:space="0" w:color="auto"/>
              <w:right w:val="single" w:sz="6" w:space="0" w:color="auto"/>
            </w:tcBorders>
            <w:shd w:val="clear" w:color="auto" w:fill="auto"/>
            <w:vAlign w:val="center"/>
          </w:tcPr>
          <w:p w14:paraId="53742218"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3.5</w:t>
            </w:r>
          </w:p>
        </w:tc>
        <w:tc>
          <w:tcPr>
            <w:tcW w:w="931" w:type="dxa"/>
            <w:tcBorders>
              <w:top w:val="single" w:sz="6" w:space="0" w:color="auto"/>
              <w:left w:val="single" w:sz="6" w:space="0" w:color="auto"/>
              <w:bottom w:val="single" w:sz="6" w:space="0" w:color="auto"/>
              <w:right w:val="single" w:sz="6" w:space="0" w:color="auto"/>
            </w:tcBorders>
            <w:shd w:val="clear" w:color="auto" w:fill="auto"/>
            <w:vAlign w:val="center"/>
          </w:tcPr>
          <w:p w14:paraId="294CCF42"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0.46</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02B7D6F8"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622" w:type="dxa"/>
            <w:tcBorders>
              <w:top w:val="single" w:sz="6" w:space="0" w:color="auto"/>
              <w:left w:val="single" w:sz="6" w:space="0" w:color="auto"/>
              <w:bottom w:val="single" w:sz="6" w:space="0" w:color="auto"/>
              <w:right w:val="single" w:sz="6" w:space="0" w:color="auto"/>
            </w:tcBorders>
            <w:shd w:val="clear" w:color="auto" w:fill="auto"/>
            <w:vAlign w:val="center"/>
          </w:tcPr>
          <w:p w14:paraId="61BEA037"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0.02</w:t>
            </w:r>
          </w:p>
        </w:tc>
        <w:tc>
          <w:tcPr>
            <w:tcW w:w="1476" w:type="dxa"/>
            <w:tcBorders>
              <w:top w:val="single" w:sz="6" w:space="0" w:color="auto"/>
              <w:left w:val="single" w:sz="6" w:space="0" w:color="auto"/>
              <w:bottom w:val="single" w:sz="6" w:space="0" w:color="auto"/>
              <w:right w:val="single" w:sz="6" w:space="0" w:color="auto"/>
            </w:tcBorders>
            <w:shd w:val="clear" w:color="auto" w:fill="auto"/>
            <w:vAlign w:val="center"/>
          </w:tcPr>
          <w:p w14:paraId="691539B1"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E5338BA"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r>
      <w:tr w:rsidR="00DF5012" w:rsidRPr="00BA3592" w14:paraId="67CFAB6F" w14:textId="77777777">
        <w:trPr>
          <w:trHeight w:val="20"/>
          <w:jc w:val="center"/>
        </w:trPr>
        <w:tc>
          <w:tcPr>
            <w:tcW w:w="1000" w:type="dxa"/>
            <w:vMerge/>
            <w:tcBorders>
              <w:left w:val="single" w:sz="6" w:space="0" w:color="auto"/>
              <w:bottom w:val="single" w:sz="6" w:space="0" w:color="auto"/>
              <w:right w:val="single" w:sz="6" w:space="0" w:color="auto"/>
            </w:tcBorders>
            <w:shd w:val="clear" w:color="auto" w:fill="auto"/>
            <w:vAlign w:val="center"/>
          </w:tcPr>
          <w:p w14:paraId="622E3447" w14:textId="77777777" w:rsidR="00DF5012" w:rsidRPr="00BA3592" w:rsidRDefault="00DF5012" w:rsidP="00931F51">
            <w:pPr>
              <w:pStyle w:val="Texto"/>
              <w:spacing w:before="40" w:after="40" w:line="220" w:lineRule="exact"/>
              <w:ind w:firstLine="0"/>
              <w:jc w:val="center"/>
              <w:rPr>
                <w:rFonts w:ascii="Verdana" w:hAnsi="Verdana"/>
                <w:sz w:val="16"/>
                <w:szCs w:val="16"/>
              </w:rPr>
            </w:pP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14:paraId="2198757D"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CET</w:t>
            </w:r>
          </w:p>
        </w:tc>
        <w:tc>
          <w:tcPr>
            <w:tcW w:w="562" w:type="dxa"/>
            <w:tcBorders>
              <w:top w:val="single" w:sz="6" w:space="0" w:color="auto"/>
              <w:left w:val="single" w:sz="6" w:space="0" w:color="auto"/>
              <w:bottom w:val="single" w:sz="6" w:space="0" w:color="auto"/>
              <w:right w:val="single" w:sz="6" w:space="0" w:color="auto"/>
            </w:tcBorders>
            <w:shd w:val="clear" w:color="auto" w:fill="auto"/>
            <w:vAlign w:val="center"/>
          </w:tcPr>
          <w:p w14:paraId="70E01340"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4.0</w:t>
            </w:r>
          </w:p>
        </w:tc>
        <w:tc>
          <w:tcPr>
            <w:tcW w:w="624" w:type="dxa"/>
            <w:vMerge/>
            <w:tcBorders>
              <w:left w:val="single" w:sz="6" w:space="0" w:color="auto"/>
              <w:bottom w:val="single" w:sz="6" w:space="0" w:color="auto"/>
              <w:right w:val="single" w:sz="6" w:space="0" w:color="auto"/>
            </w:tcBorders>
            <w:shd w:val="clear" w:color="auto" w:fill="auto"/>
            <w:vAlign w:val="center"/>
          </w:tcPr>
          <w:p w14:paraId="5F4F6C18" w14:textId="77777777" w:rsidR="00DF5012" w:rsidRPr="00BA3592" w:rsidRDefault="00DF5012" w:rsidP="00931F51">
            <w:pPr>
              <w:pStyle w:val="Texto"/>
              <w:spacing w:before="40" w:after="40" w:line="220" w:lineRule="exact"/>
              <w:ind w:firstLine="0"/>
              <w:jc w:val="center"/>
              <w:rPr>
                <w:rFonts w:ascii="Verdana" w:hAnsi="Verdana"/>
                <w:sz w:val="16"/>
                <w:szCs w:val="16"/>
              </w:rPr>
            </w:pPr>
          </w:p>
        </w:tc>
        <w:tc>
          <w:tcPr>
            <w:tcW w:w="931" w:type="dxa"/>
            <w:tcBorders>
              <w:top w:val="single" w:sz="6" w:space="0" w:color="auto"/>
              <w:left w:val="single" w:sz="6" w:space="0" w:color="auto"/>
              <w:bottom w:val="single" w:sz="6" w:space="0" w:color="auto"/>
              <w:right w:val="single" w:sz="6" w:space="0" w:color="auto"/>
            </w:tcBorders>
            <w:shd w:val="clear" w:color="auto" w:fill="auto"/>
            <w:vAlign w:val="center"/>
          </w:tcPr>
          <w:p w14:paraId="04F2B9A7"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6EC8E27A"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0.55</w:t>
            </w:r>
          </w:p>
        </w:tc>
        <w:tc>
          <w:tcPr>
            <w:tcW w:w="622" w:type="dxa"/>
            <w:tcBorders>
              <w:top w:val="single" w:sz="6" w:space="0" w:color="auto"/>
              <w:left w:val="single" w:sz="6" w:space="0" w:color="auto"/>
              <w:bottom w:val="single" w:sz="6" w:space="0" w:color="auto"/>
              <w:right w:val="single" w:sz="6" w:space="0" w:color="auto"/>
            </w:tcBorders>
            <w:shd w:val="clear" w:color="auto" w:fill="auto"/>
            <w:vAlign w:val="center"/>
          </w:tcPr>
          <w:p w14:paraId="2BA565F9"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0.03</w:t>
            </w:r>
          </w:p>
        </w:tc>
        <w:tc>
          <w:tcPr>
            <w:tcW w:w="1476" w:type="dxa"/>
            <w:tcBorders>
              <w:top w:val="single" w:sz="6" w:space="0" w:color="auto"/>
              <w:left w:val="single" w:sz="6" w:space="0" w:color="auto"/>
              <w:bottom w:val="single" w:sz="6" w:space="0" w:color="auto"/>
              <w:right w:val="single" w:sz="6" w:space="0" w:color="auto"/>
            </w:tcBorders>
            <w:shd w:val="clear" w:color="auto" w:fill="auto"/>
            <w:vAlign w:val="center"/>
          </w:tcPr>
          <w:p w14:paraId="0345BA7B"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250FBCEE"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r>
      <w:tr w:rsidR="00DF5012" w:rsidRPr="00BA3592" w14:paraId="2A76F676" w14:textId="77777777">
        <w:trPr>
          <w:trHeight w:val="20"/>
          <w:jc w:val="center"/>
        </w:trPr>
        <w:tc>
          <w:tcPr>
            <w:tcW w:w="1000" w:type="dxa"/>
            <w:vMerge w:val="restart"/>
            <w:tcBorders>
              <w:top w:val="single" w:sz="6" w:space="0" w:color="auto"/>
              <w:left w:val="single" w:sz="6" w:space="0" w:color="auto"/>
              <w:right w:val="single" w:sz="6" w:space="0" w:color="auto"/>
            </w:tcBorders>
            <w:shd w:val="clear" w:color="auto" w:fill="auto"/>
            <w:vAlign w:val="center"/>
          </w:tcPr>
          <w:p w14:paraId="24F0C247"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 xml:space="preserve">2AA </w:t>
            </w:r>
            <w:r w:rsidRPr="00BA3592">
              <w:rPr>
                <w:rFonts w:ascii="Verdana" w:hAnsi="Verdana"/>
                <w:sz w:val="16"/>
                <w:szCs w:val="16"/>
                <w:vertAlign w:val="superscript"/>
              </w:rPr>
              <w:t>(5)</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14:paraId="4359E86C"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CEEC</w:t>
            </w:r>
          </w:p>
        </w:tc>
        <w:tc>
          <w:tcPr>
            <w:tcW w:w="562" w:type="dxa"/>
            <w:tcBorders>
              <w:top w:val="single" w:sz="6" w:space="0" w:color="auto"/>
              <w:left w:val="single" w:sz="6" w:space="0" w:color="auto"/>
              <w:bottom w:val="single" w:sz="6" w:space="0" w:color="auto"/>
              <w:right w:val="single" w:sz="6" w:space="0" w:color="auto"/>
            </w:tcBorders>
            <w:shd w:val="clear" w:color="auto" w:fill="auto"/>
            <w:vAlign w:val="center"/>
          </w:tcPr>
          <w:p w14:paraId="6B364DC6"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1.5</w:t>
            </w: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1D529D44"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2.0</w:t>
            </w:r>
          </w:p>
        </w:tc>
        <w:tc>
          <w:tcPr>
            <w:tcW w:w="931" w:type="dxa"/>
            <w:tcBorders>
              <w:top w:val="single" w:sz="6" w:space="0" w:color="auto"/>
              <w:left w:val="single" w:sz="6" w:space="0" w:color="auto"/>
              <w:bottom w:val="single" w:sz="6" w:space="0" w:color="auto"/>
              <w:right w:val="single" w:sz="6" w:space="0" w:color="auto"/>
            </w:tcBorders>
            <w:shd w:val="clear" w:color="auto" w:fill="auto"/>
            <w:vAlign w:val="center"/>
          </w:tcPr>
          <w:p w14:paraId="056808C2"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0.46</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03249FCB"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622" w:type="dxa"/>
            <w:tcBorders>
              <w:top w:val="single" w:sz="6" w:space="0" w:color="auto"/>
              <w:left w:val="single" w:sz="6" w:space="0" w:color="auto"/>
              <w:bottom w:val="single" w:sz="6" w:space="0" w:color="auto"/>
              <w:right w:val="single" w:sz="6" w:space="0" w:color="auto"/>
            </w:tcBorders>
            <w:shd w:val="clear" w:color="auto" w:fill="auto"/>
            <w:vAlign w:val="center"/>
          </w:tcPr>
          <w:p w14:paraId="2F12F3C2"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0.02</w:t>
            </w:r>
          </w:p>
        </w:tc>
        <w:tc>
          <w:tcPr>
            <w:tcW w:w="1476" w:type="dxa"/>
            <w:tcBorders>
              <w:top w:val="single" w:sz="6" w:space="0" w:color="auto"/>
              <w:left w:val="single" w:sz="6" w:space="0" w:color="auto"/>
              <w:bottom w:val="single" w:sz="6" w:space="0" w:color="auto"/>
              <w:right w:val="single" w:sz="6" w:space="0" w:color="auto"/>
            </w:tcBorders>
            <w:shd w:val="clear" w:color="auto" w:fill="auto"/>
            <w:vAlign w:val="center"/>
          </w:tcPr>
          <w:p w14:paraId="051E181F"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6E90220B"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r>
      <w:tr w:rsidR="00DF5012" w:rsidRPr="00BA3592" w14:paraId="1C7FE83F" w14:textId="77777777">
        <w:trPr>
          <w:trHeight w:val="20"/>
          <w:jc w:val="center"/>
        </w:trPr>
        <w:tc>
          <w:tcPr>
            <w:tcW w:w="1000" w:type="dxa"/>
            <w:vMerge/>
            <w:tcBorders>
              <w:left w:val="single" w:sz="6" w:space="0" w:color="auto"/>
              <w:bottom w:val="single" w:sz="6" w:space="0" w:color="auto"/>
              <w:right w:val="single" w:sz="6" w:space="0" w:color="auto"/>
            </w:tcBorders>
            <w:shd w:val="clear" w:color="auto" w:fill="auto"/>
            <w:vAlign w:val="center"/>
          </w:tcPr>
          <w:p w14:paraId="30D9C716" w14:textId="77777777" w:rsidR="00DF5012" w:rsidRPr="00BA3592" w:rsidRDefault="00DF5012" w:rsidP="00931F51">
            <w:pPr>
              <w:pStyle w:val="Texto"/>
              <w:spacing w:before="40" w:after="40" w:line="220" w:lineRule="exact"/>
              <w:ind w:firstLine="0"/>
              <w:jc w:val="center"/>
              <w:rPr>
                <w:rFonts w:ascii="Verdana" w:hAnsi="Verdana"/>
                <w:b/>
                <w:sz w:val="16"/>
                <w:szCs w:val="16"/>
              </w:rPr>
            </w:pP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14:paraId="2DB77601"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CET</w:t>
            </w:r>
          </w:p>
        </w:tc>
        <w:tc>
          <w:tcPr>
            <w:tcW w:w="562" w:type="dxa"/>
            <w:tcBorders>
              <w:top w:val="single" w:sz="6" w:space="0" w:color="auto"/>
              <w:left w:val="single" w:sz="6" w:space="0" w:color="auto"/>
              <w:bottom w:val="single" w:sz="6" w:space="0" w:color="auto"/>
              <w:right w:val="single" w:sz="6" w:space="0" w:color="auto"/>
            </w:tcBorders>
            <w:shd w:val="clear" w:color="auto" w:fill="auto"/>
            <w:vAlign w:val="center"/>
          </w:tcPr>
          <w:p w14:paraId="7236C420"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4.0</w:t>
            </w: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3A0EEF92"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2.0</w:t>
            </w:r>
          </w:p>
        </w:tc>
        <w:tc>
          <w:tcPr>
            <w:tcW w:w="931" w:type="dxa"/>
            <w:tcBorders>
              <w:top w:val="single" w:sz="6" w:space="0" w:color="auto"/>
              <w:left w:val="single" w:sz="6" w:space="0" w:color="auto"/>
              <w:bottom w:val="single" w:sz="6" w:space="0" w:color="auto"/>
              <w:right w:val="single" w:sz="6" w:space="0" w:color="auto"/>
            </w:tcBorders>
            <w:shd w:val="clear" w:color="auto" w:fill="auto"/>
            <w:vAlign w:val="center"/>
          </w:tcPr>
          <w:p w14:paraId="6A0975E6"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07FCEBCC"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0.55</w:t>
            </w:r>
          </w:p>
        </w:tc>
        <w:tc>
          <w:tcPr>
            <w:tcW w:w="622" w:type="dxa"/>
            <w:tcBorders>
              <w:top w:val="single" w:sz="6" w:space="0" w:color="auto"/>
              <w:left w:val="single" w:sz="6" w:space="0" w:color="auto"/>
              <w:bottom w:val="single" w:sz="6" w:space="0" w:color="auto"/>
              <w:right w:val="single" w:sz="6" w:space="0" w:color="auto"/>
            </w:tcBorders>
            <w:shd w:val="clear" w:color="auto" w:fill="auto"/>
            <w:vAlign w:val="center"/>
          </w:tcPr>
          <w:p w14:paraId="0CEEB286"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0.03</w:t>
            </w:r>
          </w:p>
        </w:tc>
        <w:tc>
          <w:tcPr>
            <w:tcW w:w="1476" w:type="dxa"/>
            <w:tcBorders>
              <w:top w:val="single" w:sz="6" w:space="0" w:color="auto"/>
              <w:left w:val="single" w:sz="6" w:space="0" w:color="auto"/>
              <w:bottom w:val="single" w:sz="6" w:space="0" w:color="auto"/>
              <w:right w:val="single" w:sz="6" w:space="0" w:color="auto"/>
            </w:tcBorders>
            <w:shd w:val="clear" w:color="auto" w:fill="auto"/>
            <w:vAlign w:val="center"/>
          </w:tcPr>
          <w:p w14:paraId="3C43881C"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05C97451"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r>
      <w:tr w:rsidR="00DF5012" w:rsidRPr="00BA3592" w14:paraId="20B9644F" w14:textId="77777777">
        <w:trPr>
          <w:trHeight w:val="20"/>
          <w:jc w:val="center"/>
        </w:trPr>
        <w:tc>
          <w:tcPr>
            <w:tcW w:w="1000" w:type="dxa"/>
            <w:vMerge w:val="restart"/>
            <w:tcBorders>
              <w:top w:val="single" w:sz="6" w:space="0" w:color="auto"/>
              <w:left w:val="single" w:sz="6" w:space="0" w:color="auto"/>
              <w:right w:val="single" w:sz="6" w:space="0" w:color="auto"/>
            </w:tcBorders>
            <w:shd w:val="clear" w:color="auto" w:fill="auto"/>
            <w:vAlign w:val="center"/>
          </w:tcPr>
          <w:p w14:paraId="71FD81CA"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b/>
                <w:sz w:val="16"/>
                <w:szCs w:val="16"/>
              </w:rPr>
              <w:t xml:space="preserve">2B </w:t>
            </w:r>
            <w:r w:rsidRPr="00BA3592">
              <w:rPr>
                <w:rFonts w:ascii="Verdana" w:hAnsi="Verdana"/>
                <w:sz w:val="16"/>
                <w:szCs w:val="16"/>
                <w:vertAlign w:val="superscript"/>
              </w:rPr>
              <w:t>(6)</w:t>
            </w: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14:paraId="25691879"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CEEMAP</w:t>
            </w:r>
          </w:p>
        </w:tc>
        <w:tc>
          <w:tcPr>
            <w:tcW w:w="562" w:type="dxa"/>
            <w:tcBorders>
              <w:top w:val="single" w:sz="6" w:space="0" w:color="auto"/>
              <w:left w:val="single" w:sz="6" w:space="0" w:color="auto"/>
              <w:bottom w:val="single" w:sz="6" w:space="0" w:color="auto"/>
              <w:right w:val="single" w:sz="6" w:space="0" w:color="auto"/>
            </w:tcBorders>
            <w:shd w:val="clear" w:color="auto" w:fill="auto"/>
            <w:vAlign w:val="center"/>
          </w:tcPr>
          <w:p w14:paraId="4BDC979F"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1.5</w:t>
            </w: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68B19B68"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0.4</w:t>
            </w:r>
          </w:p>
        </w:tc>
        <w:tc>
          <w:tcPr>
            <w:tcW w:w="931" w:type="dxa"/>
            <w:tcBorders>
              <w:top w:val="single" w:sz="6" w:space="0" w:color="auto"/>
              <w:left w:val="single" w:sz="6" w:space="0" w:color="auto"/>
              <w:bottom w:val="single" w:sz="6" w:space="0" w:color="auto"/>
              <w:right w:val="single" w:sz="6" w:space="0" w:color="auto"/>
            </w:tcBorders>
            <w:shd w:val="clear" w:color="auto" w:fill="auto"/>
            <w:vAlign w:val="center"/>
          </w:tcPr>
          <w:p w14:paraId="00A3CD29"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0.13</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27025259"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622" w:type="dxa"/>
            <w:tcBorders>
              <w:top w:val="single" w:sz="6" w:space="0" w:color="auto"/>
              <w:left w:val="single" w:sz="6" w:space="0" w:color="auto"/>
              <w:bottom w:val="single" w:sz="6" w:space="0" w:color="auto"/>
              <w:right w:val="single" w:sz="6" w:space="0" w:color="auto"/>
            </w:tcBorders>
            <w:shd w:val="clear" w:color="auto" w:fill="auto"/>
            <w:vAlign w:val="center"/>
          </w:tcPr>
          <w:p w14:paraId="1F1DD981"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0.01</w:t>
            </w:r>
          </w:p>
        </w:tc>
        <w:tc>
          <w:tcPr>
            <w:tcW w:w="1476" w:type="dxa"/>
            <w:tcBorders>
              <w:top w:val="single" w:sz="6" w:space="0" w:color="auto"/>
              <w:left w:val="single" w:sz="6" w:space="0" w:color="auto"/>
              <w:bottom w:val="single" w:sz="6" w:space="0" w:color="auto"/>
              <w:right w:val="single" w:sz="6" w:space="0" w:color="auto"/>
            </w:tcBorders>
            <w:shd w:val="clear" w:color="auto" w:fill="auto"/>
            <w:vAlign w:val="center"/>
          </w:tcPr>
          <w:p w14:paraId="572DFF8B"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sz w:val="16"/>
                <w:szCs w:val="16"/>
              </w:rPr>
              <w:t>8.0 x 10</w:t>
            </w:r>
            <w:r w:rsidRPr="00BA3592">
              <w:rPr>
                <w:rFonts w:ascii="Verdana" w:hAnsi="Verdana"/>
                <w:sz w:val="16"/>
                <w:szCs w:val="16"/>
                <w:vertAlign w:val="superscript"/>
              </w:rPr>
              <w:t>11</w:t>
            </w:r>
          </w:p>
        </w:tc>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1AB1593E"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10</w:t>
            </w:r>
          </w:p>
        </w:tc>
      </w:tr>
      <w:tr w:rsidR="00DF5012" w:rsidRPr="00BA3592" w14:paraId="73A715AC" w14:textId="77777777">
        <w:trPr>
          <w:trHeight w:val="20"/>
          <w:jc w:val="center"/>
        </w:trPr>
        <w:tc>
          <w:tcPr>
            <w:tcW w:w="1000" w:type="dxa"/>
            <w:vMerge/>
            <w:tcBorders>
              <w:left w:val="single" w:sz="6" w:space="0" w:color="auto"/>
              <w:bottom w:val="single" w:sz="6" w:space="0" w:color="auto"/>
              <w:right w:val="single" w:sz="6" w:space="0" w:color="auto"/>
            </w:tcBorders>
            <w:shd w:val="clear" w:color="auto" w:fill="auto"/>
            <w:vAlign w:val="center"/>
          </w:tcPr>
          <w:p w14:paraId="0349FACD" w14:textId="77777777" w:rsidR="00DF5012" w:rsidRPr="00BA3592" w:rsidRDefault="00DF5012" w:rsidP="00931F51">
            <w:pPr>
              <w:pStyle w:val="Texto"/>
              <w:spacing w:before="40" w:after="40" w:line="220" w:lineRule="exact"/>
              <w:ind w:firstLine="0"/>
              <w:jc w:val="center"/>
              <w:rPr>
                <w:rFonts w:ascii="Verdana" w:hAnsi="Verdana"/>
                <w:sz w:val="16"/>
                <w:szCs w:val="16"/>
              </w:rPr>
            </w:pPr>
          </w:p>
        </w:tc>
        <w:tc>
          <w:tcPr>
            <w:tcW w:w="1052" w:type="dxa"/>
            <w:tcBorders>
              <w:top w:val="single" w:sz="6" w:space="0" w:color="auto"/>
              <w:left w:val="single" w:sz="6" w:space="0" w:color="auto"/>
              <w:bottom w:val="single" w:sz="6" w:space="0" w:color="auto"/>
              <w:right w:val="single" w:sz="6" w:space="0" w:color="auto"/>
            </w:tcBorders>
            <w:shd w:val="clear" w:color="auto" w:fill="auto"/>
            <w:vAlign w:val="center"/>
          </w:tcPr>
          <w:p w14:paraId="4827449E"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 xml:space="preserve">CETMAP </w:t>
            </w:r>
          </w:p>
        </w:tc>
        <w:tc>
          <w:tcPr>
            <w:tcW w:w="562" w:type="dxa"/>
            <w:tcBorders>
              <w:top w:val="single" w:sz="6" w:space="0" w:color="auto"/>
              <w:left w:val="single" w:sz="6" w:space="0" w:color="auto"/>
              <w:bottom w:val="single" w:sz="6" w:space="0" w:color="auto"/>
              <w:right w:val="single" w:sz="6" w:space="0" w:color="auto"/>
            </w:tcBorders>
            <w:shd w:val="clear" w:color="auto" w:fill="auto"/>
            <w:vAlign w:val="center"/>
          </w:tcPr>
          <w:p w14:paraId="25803972"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4.0</w:t>
            </w:r>
          </w:p>
        </w:tc>
        <w:tc>
          <w:tcPr>
            <w:tcW w:w="624" w:type="dxa"/>
            <w:tcBorders>
              <w:top w:val="single" w:sz="6" w:space="0" w:color="auto"/>
              <w:left w:val="single" w:sz="6" w:space="0" w:color="auto"/>
              <w:bottom w:val="single" w:sz="6" w:space="0" w:color="auto"/>
              <w:right w:val="single" w:sz="6" w:space="0" w:color="auto"/>
            </w:tcBorders>
            <w:shd w:val="clear" w:color="auto" w:fill="auto"/>
            <w:vAlign w:val="center"/>
          </w:tcPr>
          <w:p w14:paraId="43287EF0"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0.46</w:t>
            </w:r>
          </w:p>
        </w:tc>
        <w:tc>
          <w:tcPr>
            <w:tcW w:w="931" w:type="dxa"/>
            <w:tcBorders>
              <w:top w:val="single" w:sz="6" w:space="0" w:color="auto"/>
              <w:left w:val="single" w:sz="6" w:space="0" w:color="auto"/>
              <w:bottom w:val="single" w:sz="6" w:space="0" w:color="auto"/>
              <w:right w:val="single" w:sz="6" w:space="0" w:color="auto"/>
            </w:tcBorders>
            <w:shd w:val="clear" w:color="auto" w:fill="auto"/>
            <w:vAlign w:val="center"/>
          </w:tcPr>
          <w:p w14:paraId="039AA3B2"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0.16</w:t>
            </w:r>
          </w:p>
        </w:tc>
        <w:tc>
          <w:tcPr>
            <w:tcW w:w="1081" w:type="dxa"/>
            <w:tcBorders>
              <w:top w:val="single" w:sz="6" w:space="0" w:color="auto"/>
              <w:left w:val="single" w:sz="6" w:space="0" w:color="auto"/>
              <w:bottom w:val="single" w:sz="6" w:space="0" w:color="auto"/>
              <w:right w:val="single" w:sz="6" w:space="0" w:color="auto"/>
            </w:tcBorders>
            <w:shd w:val="clear" w:color="auto" w:fill="auto"/>
            <w:vAlign w:val="center"/>
          </w:tcPr>
          <w:p w14:paraId="5E86835B"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No aplica</w:t>
            </w:r>
          </w:p>
        </w:tc>
        <w:tc>
          <w:tcPr>
            <w:tcW w:w="622" w:type="dxa"/>
            <w:tcBorders>
              <w:top w:val="single" w:sz="6" w:space="0" w:color="auto"/>
              <w:left w:val="single" w:sz="6" w:space="0" w:color="auto"/>
              <w:bottom w:val="single" w:sz="6" w:space="0" w:color="auto"/>
              <w:right w:val="single" w:sz="6" w:space="0" w:color="auto"/>
            </w:tcBorders>
            <w:shd w:val="clear" w:color="auto" w:fill="auto"/>
            <w:vAlign w:val="center"/>
          </w:tcPr>
          <w:p w14:paraId="696A33E4"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0.01</w:t>
            </w:r>
          </w:p>
        </w:tc>
        <w:tc>
          <w:tcPr>
            <w:tcW w:w="1476" w:type="dxa"/>
            <w:tcBorders>
              <w:top w:val="single" w:sz="6" w:space="0" w:color="auto"/>
              <w:left w:val="single" w:sz="6" w:space="0" w:color="auto"/>
              <w:bottom w:val="single" w:sz="6" w:space="0" w:color="auto"/>
              <w:right w:val="single" w:sz="6" w:space="0" w:color="auto"/>
            </w:tcBorders>
            <w:shd w:val="clear" w:color="auto" w:fill="auto"/>
            <w:vAlign w:val="center"/>
          </w:tcPr>
          <w:p w14:paraId="2A559902" w14:textId="77777777" w:rsidR="00DF5012" w:rsidRPr="00BA3592" w:rsidRDefault="00DF5012" w:rsidP="00931F51">
            <w:pPr>
              <w:pStyle w:val="Texto"/>
              <w:spacing w:before="40" w:after="40" w:line="220" w:lineRule="exact"/>
              <w:ind w:firstLine="0"/>
              <w:jc w:val="center"/>
              <w:rPr>
                <w:rFonts w:ascii="Verdana" w:hAnsi="Verdana"/>
                <w:b/>
                <w:sz w:val="16"/>
                <w:szCs w:val="16"/>
              </w:rPr>
            </w:pPr>
            <w:r w:rsidRPr="00BA3592">
              <w:rPr>
                <w:rFonts w:ascii="Verdana" w:hAnsi="Verdana"/>
                <w:sz w:val="16"/>
                <w:szCs w:val="16"/>
              </w:rPr>
              <w:t>6.0 x 10</w:t>
            </w:r>
            <w:r w:rsidRPr="00BA3592">
              <w:rPr>
                <w:rFonts w:ascii="Verdana" w:hAnsi="Verdana"/>
                <w:sz w:val="16"/>
                <w:szCs w:val="16"/>
                <w:vertAlign w:val="superscript"/>
              </w:rPr>
              <w:t>11</w:t>
            </w:r>
          </w:p>
        </w:tc>
        <w:tc>
          <w:tcPr>
            <w:tcW w:w="979" w:type="dxa"/>
            <w:tcBorders>
              <w:top w:val="single" w:sz="6" w:space="0" w:color="auto"/>
              <w:left w:val="single" w:sz="6" w:space="0" w:color="auto"/>
              <w:bottom w:val="single" w:sz="6" w:space="0" w:color="auto"/>
              <w:right w:val="single" w:sz="6" w:space="0" w:color="auto"/>
            </w:tcBorders>
            <w:shd w:val="clear" w:color="auto" w:fill="auto"/>
            <w:vAlign w:val="center"/>
          </w:tcPr>
          <w:p w14:paraId="30DB99C6" w14:textId="77777777" w:rsidR="00DF5012" w:rsidRPr="00BA3592" w:rsidRDefault="00DF5012" w:rsidP="00931F51">
            <w:pPr>
              <w:pStyle w:val="Texto"/>
              <w:spacing w:before="40" w:after="40" w:line="220" w:lineRule="exact"/>
              <w:ind w:firstLine="0"/>
              <w:jc w:val="center"/>
              <w:rPr>
                <w:rFonts w:ascii="Verdana" w:hAnsi="Verdana"/>
                <w:sz w:val="16"/>
                <w:szCs w:val="16"/>
              </w:rPr>
            </w:pPr>
            <w:r w:rsidRPr="00BA3592">
              <w:rPr>
                <w:rFonts w:ascii="Verdana" w:hAnsi="Verdana"/>
                <w:sz w:val="16"/>
                <w:szCs w:val="16"/>
              </w:rPr>
              <w:t>10</w:t>
            </w:r>
          </w:p>
        </w:tc>
      </w:tr>
    </w:tbl>
    <w:p w14:paraId="6BF75208" w14:textId="77777777" w:rsidR="00DF5012" w:rsidRPr="00BA3592" w:rsidRDefault="00DF5012" w:rsidP="00DF5012">
      <w:pPr>
        <w:pStyle w:val="Texto"/>
        <w:spacing w:after="0" w:line="14" w:lineRule="exact"/>
        <w:rPr>
          <w:rFonts w:ascii="Verdana" w:hAnsi="Verdana"/>
          <w:sz w:val="16"/>
          <w:szCs w:val="16"/>
        </w:rPr>
      </w:pPr>
    </w:p>
    <w:tbl>
      <w:tblPr>
        <w:tblW w:w="8327" w:type="dxa"/>
        <w:jc w:val="center"/>
        <w:tblCellMar>
          <w:left w:w="72" w:type="dxa"/>
          <w:right w:w="72" w:type="dxa"/>
        </w:tblCellMar>
        <w:tblLook w:val="0000" w:firstRow="0" w:lastRow="0" w:firstColumn="0" w:lastColumn="0" w:noHBand="0" w:noVBand="0"/>
      </w:tblPr>
      <w:tblGrid>
        <w:gridCol w:w="8327"/>
      </w:tblGrid>
      <w:tr w:rsidR="00DF5012" w:rsidRPr="00BA3592" w14:paraId="00A436EE" w14:textId="77777777">
        <w:trPr>
          <w:trHeight w:val="20"/>
          <w:jc w:val="center"/>
        </w:trPr>
        <w:tc>
          <w:tcPr>
            <w:tcW w:w="8327" w:type="dxa"/>
          </w:tcPr>
          <w:p w14:paraId="0A12E223" w14:textId="77777777" w:rsidR="00DF5012" w:rsidRPr="00BA3592" w:rsidRDefault="00DF5012" w:rsidP="00931F51">
            <w:pPr>
              <w:pStyle w:val="Texto"/>
              <w:spacing w:line="220" w:lineRule="exact"/>
              <w:ind w:firstLine="0"/>
              <w:rPr>
                <w:rFonts w:ascii="Verdana" w:hAnsi="Verdana"/>
                <w:sz w:val="16"/>
                <w:szCs w:val="16"/>
              </w:rPr>
            </w:pPr>
            <w:r w:rsidRPr="00BA3592">
              <w:rPr>
                <w:rFonts w:ascii="Verdana" w:hAnsi="Verdana"/>
                <w:sz w:val="16"/>
                <w:szCs w:val="16"/>
              </w:rPr>
              <w:t>Notas:</w:t>
            </w:r>
          </w:p>
          <w:p w14:paraId="117A1B7B" w14:textId="77777777" w:rsidR="00DF5012" w:rsidRPr="00BA3592" w:rsidRDefault="00DF5012" w:rsidP="00931F51">
            <w:pPr>
              <w:pStyle w:val="Texto"/>
              <w:spacing w:line="220" w:lineRule="exact"/>
              <w:ind w:left="360" w:hanging="360"/>
              <w:rPr>
                <w:rFonts w:ascii="Verdana" w:hAnsi="Verdana"/>
                <w:sz w:val="16"/>
                <w:szCs w:val="16"/>
                <w:lang w:val="es-ES"/>
              </w:rPr>
            </w:pPr>
            <w:r w:rsidRPr="00BA3592">
              <w:rPr>
                <w:rFonts w:ascii="Verdana" w:hAnsi="Verdana"/>
                <w:sz w:val="16"/>
                <w:szCs w:val="16"/>
                <w:lang w:val="es-ES"/>
              </w:rPr>
              <w:t>1.</w:t>
            </w:r>
            <w:r w:rsidRPr="00BA3592">
              <w:rPr>
                <w:rFonts w:ascii="Verdana" w:hAnsi="Verdana"/>
                <w:sz w:val="16"/>
                <w:szCs w:val="16"/>
                <w:lang w:val="es-ES"/>
              </w:rPr>
              <w:tab/>
              <w:t>g/kWh = gramos por kilowatt hora.</w:t>
            </w:r>
          </w:p>
          <w:p w14:paraId="147CEB18" w14:textId="77777777" w:rsidR="00DF5012" w:rsidRPr="00BA3592" w:rsidRDefault="00DF5012" w:rsidP="00931F51">
            <w:pPr>
              <w:pStyle w:val="Texto"/>
              <w:spacing w:line="220" w:lineRule="exact"/>
              <w:ind w:left="360" w:hanging="360"/>
              <w:rPr>
                <w:rFonts w:ascii="Verdana" w:hAnsi="Verdana"/>
                <w:sz w:val="16"/>
                <w:szCs w:val="16"/>
                <w:lang w:val="es-ES"/>
              </w:rPr>
            </w:pPr>
            <w:r w:rsidRPr="00BA3592">
              <w:rPr>
                <w:rFonts w:ascii="Verdana" w:hAnsi="Verdana"/>
                <w:sz w:val="16"/>
                <w:szCs w:val="16"/>
                <w:lang w:val="es-ES"/>
              </w:rPr>
              <w:t>2.</w:t>
            </w:r>
            <w:r w:rsidRPr="00BA3592">
              <w:rPr>
                <w:rFonts w:ascii="Verdana" w:hAnsi="Verdana"/>
                <w:sz w:val="16"/>
                <w:szCs w:val="16"/>
                <w:lang w:val="es-ES"/>
              </w:rPr>
              <w:tab/>
              <w:t>Número/kWh = número de partículas por kilowatt hora.</w:t>
            </w:r>
          </w:p>
          <w:p w14:paraId="1753AE0B" w14:textId="77777777" w:rsidR="00DF5012" w:rsidRPr="00BA3592" w:rsidRDefault="00DF5012" w:rsidP="00931F51">
            <w:pPr>
              <w:pStyle w:val="Texto"/>
              <w:spacing w:line="220" w:lineRule="exact"/>
              <w:ind w:left="360" w:hanging="360"/>
              <w:rPr>
                <w:rFonts w:ascii="Verdana" w:hAnsi="Verdana"/>
                <w:sz w:val="16"/>
                <w:szCs w:val="16"/>
                <w:lang w:val="es-ES"/>
              </w:rPr>
            </w:pPr>
            <w:r w:rsidRPr="00BA3592">
              <w:rPr>
                <w:rFonts w:ascii="Verdana" w:hAnsi="Verdana"/>
                <w:sz w:val="16"/>
                <w:szCs w:val="16"/>
                <w:lang w:val="es-ES"/>
              </w:rPr>
              <w:t>3.</w:t>
            </w:r>
            <w:r w:rsidRPr="00BA3592">
              <w:rPr>
                <w:rFonts w:ascii="Verdana" w:hAnsi="Verdana"/>
                <w:sz w:val="16"/>
                <w:szCs w:val="16"/>
                <w:lang w:val="es-ES"/>
              </w:rPr>
              <w:tab/>
              <w:t>ppm = partes por millón.</w:t>
            </w:r>
          </w:p>
          <w:p w14:paraId="0048A9ED" w14:textId="77777777" w:rsidR="00DF5012" w:rsidRPr="00BA3592" w:rsidRDefault="00DF5012" w:rsidP="00931F51">
            <w:pPr>
              <w:pStyle w:val="Texto"/>
              <w:spacing w:line="220" w:lineRule="exact"/>
              <w:ind w:left="360" w:hanging="360"/>
              <w:rPr>
                <w:rFonts w:ascii="Verdana" w:hAnsi="Verdana"/>
                <w:sz w:val="16"/>
                <w:szCs w:val="16"/>
                <w:lang w:val="es-ES"/>
              </w:rPr>
            </w:pPr>
            <w:r w:rsidRPr="00BA3592">
              <w:rPr>
                <w:rFonts w:ascii="Verdana" w:hAnsi="Verdana"/>
                <w:sz w:val="16"/>
                <w:szCs w:val="16"/>
                <w:lang w:val="es-ES"/>
              </w:rPr>
              <w:t>4.</w:t>
            </w:r>
            <w:r w:rsidRPr="00BA3592">
              <w:rPr>
                <w:rFonts w:ascii="Verdana" w:hAnsi="Verdana"/>
                <w:sz w:val="16"/>
                <w:szCs w:val="16"/>
                <w:lang w:val="es-ES"/>
              </w:rPr>
              <w:tab/>
              <w:t xml:space="preserve">Estándar </w:t>
            </w:r>
            <w:r w:rsidRPr="00BA3592">
              <w:rPr>
                <w:rFonts w:ascii="Verdana" w:hAnsi="Verdana"/>
                <w:b/>
                <w:sz w:val="16"/>
                <w:szCs w:val="16"/>
                <w:lang w:val="es-ES"/>
              </w:rPr>
              <w:t>2A</w:t>
            </w:r>
            <w:r w:rsidRPr="00BA3592">
              <w:rPr>
                <w:rFonts w:ascii="Verdana" w:hAnsi="Verdana"/>
                <w:sz w:val="16"/>
                <w:szCs w:val="16"/>
                <w:lang w:val="es-ES"/>
              </w:rPr>
              <w:t>. Límites máximos permisibles para motores y vehículos automotores nuevos producidos a partir de la entrada en vigor de esta norma y hasta el 30 de junio de 2019, obtenidos con los métodos de prueba de Ciclo Europeo de Estado Continuo (CEEC) y Ciclo Europeo de Transición (CET), establecidos por el Parlamento Europeo y el Consejo de la Unión Europea, descritos en los numerales 3.8 y 3.9 de la presente norma oficial mexicana.</w:t>
            </w:r>
          </w:p>
          <w:p w14:paraId="6C91B2F8" w14:textId="34BED375" w:rsidR="00A31734" w:rsidRDefault="00DF5012" w:rsidP="00A31734">
            <w:pPr>
              <w:pStyle w:val="Texto"/>
              <w:spacing w:line="220" w:lineRule="exact"/>
              <w:ind w:left="360" w:hanging="360"/>
              <w:rPr>
                <w:rFonts w:ascii="Verdana" w:hAnsi="Verdana"/>
                <w:sz w:val="16"/>
                <w:szCs w:val="16"/>
              </w:rPr>
            </w:pPr>
            <w:r w:rsidRPr="00BA3592">
              <w:rPr>
                <w:rFonts w:ascii="Verdana" w:hAnsi="Verdana"/>
                <w:sz w:val="16"/>
                <w:szCs w:val="16"/>
                <w:lang w:val="es-ES"/>
              </w:rPr>
              <w:t>5.</w:t>
            </w:r>
            <w:r w:rsidRPr="00BA3592">
              <w:rPr>
                <w:rFonts w:ascii="Verdana" w:hAnsi="Verdana"/>
                <w:sz w:val="16"/>
                <w:szCs w:val="16"/>
                <w:lang w:val="es-ES"/>
              </w:rPr>
              <w:tab/>
            </w:r>
            <w:r w:rsidRPr="00AB486C">
              <w:rPr>
                <w:rFonts w:ascii="Verdana" w:hAnsi="Verdana"/>
                <w:color w:val="0000FA"/>
                <w:sz w:val="16"/>
                <w:szCs w:val="16"/>
                <w:lang w:val="es-ES"/>
              </w:rPr>
              <w:t xml:space="preserve">Estándar </w:t>
            </w:r>
            <w:r w:rsidRPr="00AB486C">
              <w:rPr>
                <w:rFonts w:ascii="Verdana" w:hAnsi="Verdana"/>
                <w:b/>
                <w:color w:val="0000FA"/>
                <w:sz w:val="16"/>
                <w:szCs w:val="16"/>
                <w:lang w:val="es-ES"/>
              </w:rPr>
              <w:t>2AA</w:t>
            </w:r>
            <w:r w:rsidRPr="00AB486C">
              <w:rPr>
                <w:rFonts w:ascii="Verdana" w:hAnsi="Verdana"/>
                <w:color w:val="0000FA"/>
                <w:sz w:val="16"/>
                <w:szCs w:val="16"/>
                <w:lang w:val="es-ES"/>
              </w:rPr>
              <w:t xml:space="preserve">. Límites máximos permisibles para motores y vehículos automotores nuevos producidos a partir </w:t>
            </w:r>
            <w:r w:rsidRPr="00AB486C">
              <w:rPr>
                <w:rFonts w:ascii="Verdana" w:hAnsi="Verdana"/>
                <w:color w:val="0000FA"/>
                <w:sz w:val="16"/>
                <w:szCs w:val="16"/>
              </w:rPr>
              <w:t>del 1 de enero de 2019 y hasta el 31 de diciembre de 2020,</w:t>
            </w:r>
            <w:r w:rsidRPr="00AB486C">
              <w:rPr>
                <w:rFonts w:ascii="Verdana" w:hAnsi="Verdana"/>
                <w:color w:val="0000FA"/>
                <w:sz w:val="16"/>
                <w:szCs w:val="16"/>
                <w:lang w:val="es-ES"/>
              </w:rPr>
              <w:t xml:space="preserve"> obtenidos con los métodos de prueba de Ciclo Europeo de Estado Continuo (CEEC) y Ciclo Europeo de Transición (CET), establecidos por el Parlamento Europeo y el Consejo de la Unión Europea, los cuales están descritos en los numerales 3.8 y 3.9 de la presente norma oficial mexicana.</w:t>
            </w:r>
            <w:r w:rsidR="00A31734" w:rsidRPr="00AB486C">
              <w:rPr>
                <w:rFonts w:ascii="Verdana" w:hAnsi="Verdana"/>
                <w:i/>
                <w:color w:val="0000FA"/>
                <w:sz w:val="16"/>
                <w:szCs w:val="16"/>
              </w:rPr>
              <w:t xml:space="preserve"> </w:t>
            </w:r>
            <w:r w:rsidR="00A31734" w:rsidRPr="00AB486C">
              <w:rPr>
                <w:rFonts w:ascii="Verdana" w:hAnsi="Verdana"/>
                <w:i/>
                <w:color w:val="0000FA"/>
                <w:sz w:val="16"/>
                <w:szCs w:val="16"/>
              </w:rPr>
              <w:t>(modificación que se deja insubsistente DOF 25-04-2024)</w:t>
            </w:r>
          </w:p>
          <w:p w14:paraId="7EAB98F9" w14:textId="2C8BB521" w:rsidR="00DF5012" w:rsidRPr="00BA3592" w:rsidRDefault="00DF5012" w:rsidP="00931F51">
            <w:pPr>
              <w:pStyle w:val="Texto"/>
              <w:spacing w:line="228" w:lineRule="exact"/>
              <w:ind w:left="360" w:hanging="360"/>
              <w:rPr>
                <w:rFonts w:ascii="Verdana" w:hAnsi="Verdana"/>
                <w:sz w:val="16"/>
                <w:szCs w:val="16"/>
                <w:lang w:val="es-ES"/>
              </w:rPr>
            </w:pPr>
          </w:p>
          <w:p w14:paraId="18188B49" w14:textId="77777777" w:rsidR="00DF5012" w:rsidRPr="00BA3592" w:rsidRDefault="00DF5012" w:rsidP="00931F51">
            <w:pPr>
              <w:pStyle w:val="Texto"/>
              <w:spacing w:line="228" w:lineRule="exact"/>
              <w:ind w:left="360" w:hanging="360"/>
              <w:rPr>
                <w:rFonts w:ascii="Verdana" w:hAnsi="Verdana"/>
                <w:sz w:val="16"/>
                <w:szCs w:val="16"/>
              </w:rPr>
            </w:pPr>
            <w:r w:rsidRPr="00BA3592">
              <w:rPr>
                <w:rFonts w:ascii="Verdana" w:hAnsi="Verdana"/>
                <w:sz w:val="16"/>
                <w:szCs w:val="16"/>
                <w:lang w:val="es-ES"/>
              </w:rPr>
              <w:t>6.</w:t>
            </w:r>
            <w:r w:rsidRPr="00BA3592">
              <w:rPr>
                <w:rFonts w:ascii="Verdana" w:hAnsi="Verdana"/>
                <w:sz w:val="16"/>
                <w:szCs w:val="16"/>
                <w:lang w:val="es-ES"/>
              </w:rPr>
              <w:tab/>
              <w:t xml:space="preserve">Estándar </w:t>
            </w:r>
            <w:r w:rsidRPr="00BA3592">
              <w:rPr>
                <w:rFonts w:ascii="Verdana" w:hAnsi="Verdana"/>
                <w:b/>
                <w:sz w:val="16"/>
                <w:szCs w:val="16"/>
                <w:lang w:val="es-ES"/>
              </w:rPr>
              <w:t>2B</w:t>
            </w:r>
            <w:r w:rsidRPr="00BA3592">
              <w:rPr>
                <w:rFonts w:ascii="Verdana" w:hAnsi="Verdana"/>
                <w:sz w:val="16"/>
                <w:szCs w:val="16"/>
                <w:lang w:val="es-ES"/>
              </w:rPr>
              <w:t>. Límites máximos permisibles para motores y vehículos automotores nuevos producidos a partir del 1 de enero de 2019, obtenidos con los métodos de prueba de Ciclo Estado Estable Mundial Armonizado de Prueba (CEEMAP) y Ciclo Estado Transitorio Mundial Armonizado de Prueba (CETMAP), establecidos por la Comisión Económica de las Naciones Unidas para Europa y descritos en los numerales 3.6 y 3.7 de la presente norma oficial mexicana</w:t>
            </w:r>
            <w:r w:rsidRPr="00BA3592">
              <w:rPr>
                <w:rFonts w:ascii="Verdana" w:hAnsi="Verdana"/>
                <w:sz w:val="16"/>
                <w:szCs w:val="16"/>
              </w:rPr>
              <w:t>. Este estándar requiere el uso de diésel automotriz con un contenido máximo de azufre de</w:t>
            </w:r>
            <w:r w:rsidR="00D728B4" w:rsidRPr="00BA3592">
              <w:rPr>
                <w:rFonts w:ascii="Verdana" w:hAnsi="Verdana"/>
                <w:sz w:val="16"/>
                <w:szCs w:val="16"/>
              </w:rPr>
              <w:t xml:space="preserve"> </w:t>
            </w:r>
            <w:r w:rsidRPr="00BA3592">
              <w:rPr>
                <w:rFonts w:ascii="Verdana" w:hAnsi="Verdana"/>
                <w:sz w:val="16"/>
                <w:szCs w:val="16"/>
              </w:rPr>
              <w:t>15 mg/kg, el cual estará disponible en el país, conforme a lo establecido en la nota 3 de la Tabla 7 de la Norma Oficial Mexicana NOM-016-CRE-2016. Especificaciones de la calidad de los petrolíferos, publicada en el Diario Oficial de la Federación, el 29 de agosto de 2016.</w:t>
            </w:r>
          </w:p>
        </w:tc>
      </w:tr>
    </w:tbl>
    <w:p w14:paraId="36DBFFE9" w14:textId="77777777" w:rsidR="008A0760" w:rsidRDefault="008A0760" w:rsidP="008A0760">
      <w:pPr>
        <w:pStyle w:val="Texto"/>
        <w:spacing w:line="228" w:lineRule="exact"/>
        <w:ind w:firstLine="0"/>
        <w:rPr>
          <w:rFonts w:ascii="Verdana" w:hAnsi="Verdana"/>
          <w:b/>
          <w:sz w:val="16"/>
          <w:szCs w:val="16"/>
        </w:rPr>
      </w:pPr>
    </w:p>
    <w:p w14:paraId="30F55102" w14:textId="77777777" w:rsidR="008A0760" w:rsidRPr="008A0760" w:rsidRDefault="008A0760" w:rsidP="008A0760">
      <w:pPr>
        <w:spacing w:after="101" w:line="220" w:lineRule="atLeast"/>
        <w:jc w:val="center"/>
        <w:rPr>
          <w:lang w:val="en-US" w:eastAsia="en-US"/>
        </w:rPr>
      </w:pPr>
      <w:r w:rsidRPr="008A0760">
        <w:rPr>
          <w:rFonts w:ascii="Verdana" w:hAnsi="Verdana"/>
          <w:b/>
          <w:bCs/>
          <w:sz w:val="16"/>
          <w:szCs w:val="16"/>
          <w:lang w:val="en-US" w:eastAsia="en-US"/>
        </w:rPr>
        <w:t>Table 2</w:t>
      </w:r>
      <w:r w:rsidRPr="008A0760">
        <w:rPr>
          <w:lang w:val="en-US" w:eastAsia="en-US"/>
        </w:rPr>
        <w:t xml:space="preserve"> </w:t>
      </w:r>
    </w:p>
    <w:tbl>
      <w:tblPr>
        <w:tblW w:w="8327" w:type="dxa"/>
        <w:jc w:val="center"/>
        <w:tblCellMar>
          <w:left w:w="0" w:type="dxa"/>
          <w:right w:w="0" w:type="dxa"/>
        </w:tblCellMar>
        <w:tblLook w:val="04A0" w:firstRow="1" w:lastRow="0" w:firstColumn="1" w:lastColumn="0" w:noHBand="0" w:noVBand="1"/>
      </w:tblPr>
      <w:tblGrid>
        <w:gridCol w:w="999"/>
        <w:gridCol w:w="1051"/>
        <w:gridCol w:w="562"/>
        <w:gridCol w:w="624"/>
        <w:gridCol w:w="930"/>
        <w:gridCol w:w="1080"/>
        <w:gridCol w:w="622"/>
        <w:gridCol w:w="1481"/>
        <w:gridCol w:w="978"/>
      </w:tblGrid>
      <w:tr w:rsidR="008A0760" w:rsidRPr="008A0760" w14:paraId="649CC17B" w14:textId="77777777" w:rsidTr="008A0760">
        <w:trPr>
          <w:trHeight w:val="20"/>
          <w:jc w:val="center"/>
        </w:trPr>
        <w:tc>
          <w:tcPr>
            <w:tcW w:w="1000"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E3183FB"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Standard</w:t>
            </w:r>
            <w:r w:rsidRPr="008A0760">
              <w:rPr>
                <w:lang w:val="en-US" w:eastAsia="en-US"/>
              </w:rPr>
              <w:t xml:space="preserve"> </w:t>
            </w:r>
          </w:p>
        </w:tc>
        <w:tc>
          <w:tcPr>
            <w:tcW w:w="1052"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5CA10E3F"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Testing method</w:t>
            </w:r>
            <w:r w:rsidRPr="008A0760">
              <w:rPr>
                <w:lang w:val="en-US" w:eastAsia="en-US"/>
              </w:rPr>
              <w:t xml:space="preserve"> </w:t>
            </w:r>
          </w:p>
        </w:tc>
        <w:tc>
          <w:tcPr>
            <w:tcW w:w="562"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29AC6D77"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CO</w:t>
            </w:r>
            <w:r w:rsidRPr="008A0760">
              <w:rPr>
                <w:lang w:val="en-US" w:eastAsia="en-US"/>
              </w:rPr>
              <w:t xml:space="preserve"> </w:t>
            </w:r>
          </w:p>
        </w:tc>
        <w:tc>
          <w:tcPr>
            <w:tcW w:w="624"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56F03B41"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NOx</w:t>
            </w:r>
            <w:r w:rsidRPr="008A0760">
              <w:rPr>
                <w:lang w:val="en-US" w:eastAsia="en-US"/>
              </w:rPr>
              <w:t xml:space="preserve"> </w:t>
            </w:r>
          </w:p>
        </w:tc>
        <w:tc>
          <w:tcPr>
            <w:tcW w:w="931"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591E2253"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HC</w:t>
            </w:r>
            <w:r w:rsidRPr="008A0760">
              <w:rPr>
                <w:lang w:val="en-US" w:eastAsia="en-US"/>
              </w:rPr>
              <w:t xml:space="preserve"> </w:t>
            </w:r>
          </w:p>
        </w:tc>
        <w:tc>
          <w:tcPr>
            <w:tcW w:w="1081"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7417B1B3"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HCNM</w:t>
            </w:r>
            <w:r w:rsidRPr="008A0760">
              <w:rPr>
                <w:lang w:val="en-US" w:eastAsia="en-US"/>
              </w:rPr>
              <w:t xml:space="preserve"> </w:t>
            </w:r>
          </w:p>
        </w:tc>
        <w:tc>
          <w:tcPr>
            <w:tcW w:w="622"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C092147"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Part</w:t>
            </w:r>
            <w:r w:rsidRPr="008A0760">
              <w:rPr>
                <w:lang w:val="en-US" w:eastAsia="en-US"/>
              </w:rPr>
              <w:t xml:space="preserve"> </w:t>
            </w:r>
          </w:p>
        </w:tc>
        <w:tc>
          <w:tcPr>
            <w:tcW w:w="1476"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54E875F"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No.</w:t>
            </w:r>
            <w:r w:rsidRPr="008A0760">
              <w:rPr>
                <w:lang w:val="en-US" w:eastAsia="en-US"/>
              </w:rPr>
              <w:t xml:space="preserve"> </w:t>
            </w:r>
            <w:r w:rsidRPr="008A0760">
              <w:rPr>
                <w:rFonts w:ascii="Verdana" w:hAnsi="Verdana"/>
                <w:b/>
                <w:bCs/>
                <w:sz w:val="16"/>
                <w:szCs w:val="16"/>
                <w:lang w:val="en-US" w:eastAsia="en-US"/>
              </w:rPr>
              <w:t>Part.</w:t>
            </w:r>
            <w:r w:rsidRPr="008A0760">
              <w:rPr>
                <w:lang w:val="en-US" w:eastAsia="en-US"/>
              </w:rPr>
              <w:t xml:space="preserve"> </w:t>
            </w:r>
          </w:p>
        </w:tc>
        <w:tc>
          <w:tcPr>
            <w:tcW w:w="979"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00AC148B"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NH</w:t>
            </w:r>
            <w:r w:rsidRPr="008A0760">
              <w:rPr>
                <w:rFonts w:ascii="Verdana" w:hAnsi="Verdana"/>
                <w:b/>
                <w:bCs/>
                <w:sz w:val="11"/>
                <w:szCs w:val="11"/>
                <w:vertAlign w:val="subscript"/>
                <w:lang w:val="en-US" w:eastAsia="en-US"/>
              </w:rPr>
              <w:t>3</w:t>
            </w:r>
            <w:r w:rsidRPr="008A0760">
              <w:rPr>
                <w:lang w:val="en-US" w:eastAsia="en-US"/>
              </w:rPr>
              <w:t xml:space="preserve"> </w:t>
            </w:r>
          </w:p>
        </w:tc>
      </w:tr>
      <w:tr w:rsidR="008A0760" w:rsidRPr="008A0760" w14:paraId="769A85DF"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B7733C" w14:textId="77777777" w:rsidR="008A0760" w:rsidRPr="008A0760" w:rsidRDefault="008A0760" w:rsidP="008A0760">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CCAB26" w14:textId="77777777" w:rsidR="008A0760" w:rsidRPr="008A0760" w:rsidRDefault="008A0760" w:rsidP="008A0760">
            <w:pPr>
              <w:rPr>
                <w:lang w:val="en-US" w:eastAsia="en-US"/>
              </w:rPr>
            </w:pPr>
          </w:p>
        </w:tc>
        <w:tc>
          <w:tcPr>
            <w:tcW w:w="3820" w:type="dxa"/>
            <w:gridSpan w:val="5"/>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ACEAF70"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g/kWh</w:t>
            </w:r>
            <w:r w:rsidRPr="008A0760">
              <w:rPr>
                <w:lang w:val="en-US" w:eastAsia="en-US"/>
              </w:rPr>
              <w:t xml:space="preserve"> </w:t>
            </w:r>
            <w:r w:rsidRPr="008A0760">
              <w:rPr>
                <w:rFonts w:ascii="Verdana" w:hAnsi="Verdana"/>
                <w:sz w:val="11"/>
                <w:szCs w:val="11"/>
                <w:vertAlign w:val="superscript"/>
                <w:lang w:val="en-US" w:eastAsia="en-US"/>
              </w:rPr>
              <w:t>(1)</w:t>
            </w:r>
            <w:r w:rsidRPr="008A0760">
              <w:rPr>
                <w:lang w:val="en-US" w:eastAsia="en-US"/>
              </w:rPr>
              <w:t xml:space="preserve"> </w:t>
            </w:r>
          </w:p>
        </w:tc>
        <w:tc>
          <w:tcPr>
            <w:tcW w:w="1476"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762D4555"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Number/kWh</w:t>
            </w:r>
            <w:r w:rsidRPr="008A0760">
              <w:rPr>
                <w:rFonts w:ascii="Verdana" w:hAnsi="Verdana"/>
                <w:sz w:val="11"/>
                <w:szCs w:val="11"/>
                <w:vertAlign w:val="superscript"/>
                <w:lang w:val="en-US" w:eastAsia="en-US"/>
              </w:rPr>
              <w:t>(2)</w:t>
            </w:r>
            <w:r w:rsidRPr="008A0760">
              <w:rPr>
                <w:lang w:val="en-US" w:eastAsia="en-US"/>
              </w:rPr>
              <w:t xml:space="preserve"> </w:t>
            </w:r>
          </w:p>
        </w:tc>
        <w:tc>
          <w:tcPr>
            <w:tcW w:w="979"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1C9D26D"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ppm</w:t>
            </w:r>
            <w:r w:rsidRPr="008A0760">
              <w:rPr>
                <w:lang w:val="en-US" w:eastAsia="en-US"/>
              </w:rPr>
              <w:t xml:space="preserve"> </w:t>
            </w:r>
            <w:r w:rsidRPr="008A0760">
              <w:rPr>
                <w:rFonts w:ascii="Verdana" w:hAnsi="Verdana"/>
                <w:sz w:val="11"/>
                <w:szCs w:val="11"/>
                <w:vertAlign w:val="superscript"/>
                <w:lang w:val="en-US" w:eastAsia="en-US"/>
              </w:rPr>
              <w:t>(</w:t>
            </w:r>
            <w:r w:rsidRPr="008A0760">
              <w:rPr>
                <w:lang w:val="en-US" w:eastAsia="en-US"/>
              </w:rPr>
              <w:t xml:space="preserve"> </w:t>
            </w:r>
            <w:r w:rsidRPr="008A0760">
              <w:rPr>
                <w:rFonts w:ascii="Verdana" w:hAnsi="Verdana"/>
                <w:sz w:val="11"/>
                <w:szCs w:val="11"/>
                <w:vertAlign w:val="superscript"/>
                <w:lang w:val="en-US" w:eastAsia="en-US"/>
              </w:rPr>
              <w:t>3)</w:t>
            </w:r>
            <w:r w:rsidRPr="008A0760">
              <w:rPr>
                <w:lang w:val="en-US" w:eastAsia="en-US"/>
              </w:rPr>
              <w:t xml:space="preserve"> </w:t>
            </w:r>
          </w:p>
        </w:tc>
      </w:tr>
      <w:tr w:rsidR="008A0760" w:rsidRPr="008A0760" w14:paraId="391020CB" w14:textId="77777777" w:rsidTr="008A0760">
        <w:trPr>
          <w:trHeight w:val="20"/>
          <w:jc w:val="center"/>
        </w:trPr>
        <w:tc>
          <w:tcPr>
            <w:tcW w:w="100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0EB9E5"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2A</w:t>
            </w:r>
            <w:r w:rsidRPr="008A0760">
              <w:rPr>
                <w:lang w:val="en-US" w:eastAsia="en-US"/>
              </w:rPr>
              <w:t xml:space="preserve"> </w:t>
            </w:r>
            <w:r w:rsidRPr="008A0760">
              <w:rPr>
                <w:rFonts w:ascii="Verdana" w:hAnsi="Verdana"/>
                <w:sz w:val="11"/>
                <w:szCs w:val="11"/>
                <w:vertAlign w:val="superscript"/>
                <w:lang w:val="en-US" w:eastAsia="en-US"/>
              </w:rPr>
              <w:t>(4)</w:t>
            </w:r>
            <w:r w:rsidRPr="008A0760">
              <w:rPr>
                <w:lang w:val="en-US" w:eastAsia="en-US"/>
              </w:rPr>
              <w:t xml:space="preserve">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CFE3FA9"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CEEC</w:t>
            </w:r>
            <w:r w:rsidRPr="008A0760">
              <w:rPr>
                <w:lang w:val="en-US" w:eastAsia="en-US"/>
              </w:rPr>
              <w:t xml:space="preserve"> </w:t>
            </w:r>
          </w:p>
        </w:tc>
        <w:tc>
          <w:tcPr>
            <w:tcW w:w="5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0DD1C72"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1.5</w:t>
            </w:r>
            <w:r w:rsidRPr="008A0760">
              <w:rPr>
                <w:lang w:val="en-US" w:eastAsia="en-US"/>
              </w:rPr>
              <w:t xml:space="preserve"> </w:t>
            </w:r>
          </w:p>
        </w:tc>
        <w:tc>
          <w:tcPr>
            <w:tcW w:w="624"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992A63"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3.5</w:t>
            </w:r>
            <w:r w:rsidRPr="008A0760">
              <w:rPr>
                <w:lang w:val="en-US" w:eastAsia="en-US"/>
              </w:rPr>
              <w:t xml:space="preserve"> </w:t>
            </w:r>
          </w:p>
        </w:tc>
        <w:tc>
          <w:tcPr>
            <w:tcW w:w="9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FC042A"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0.46</w:t>
            </w:r>
            <w:r w:rsidRPr="008A0760">
              <w:rPr>
                <w:lang w:val="en-US" w:eastAsia="en-US"/>
              </w:rPr>
              <w:t xml:space="preserve"> </w:t>
            </w:r>
          </w:p>
        </w:tc>
        <w:tc>
          <w:tcPr>
            <w:tcW w:w="10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387DD2"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6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3FD4D5"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0.02</w:t>
            </w:r>
            <w:r w:rsidRPr="008A0760">
              <w:rPr>
                <w:lang w:val="en-US" w:eastAsia="en-US"/>
              </w:rPr>
              <w:t xml:space="preserve"> </w:t>
            </w:r>
          </w:p>
        </w:tc>
        <w:tc>
          <w:tcPr>
            <w:tcW w:w="14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FD4A64C"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9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FCB748"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r>
      <w:tr w:rsidR="008A0760" w:rsidRPr="008A0760" w14:paraId="6EE46692"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C6EB35" w14:textId="77777777" w:rsidR="008A0760" w:rsidRPr="008A0760" w:rsidRDefault="008A0760" w:rsidP="008A0760">
            <w:pPr>
              <w:rPr>
                <w:lang w:val="en-US" w:eastAsia="en-US"/>
              </w:rPr>
            </w:pP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C3A1376"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CET</w:t>
            </w:r>
            <w:r w:rsidRPr="008A0760">
              <w:rPr>
                <w:lang w:val="en-US" w:eastAsia="en-US"/>
              </w:rPr>
              <w:t xml:space="preserve"> </w:t>
            </w:r>
          </w:p>
        </w:tc>
        <w:tc>
          <w:tcPr>
            <w:tcW w:w="5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099372"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4.0</w:t>
            </w:r>
            <w:r w:rsidRPr="008A0760">
              <w:rPr>
                <w:lang w:val="en-US" w:eastAsia="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6A66BD" w14:textId="77777777" w:rsidR="008A0760" w:rsidRPr="008A0760" w:rsidRDefault="008A0760" w:rsidP="008A0760">
            <w:pPr>
              <w:rPr>
                <w:lang w:val="en-US" w:eastAsia="en-US"/>
              </w:rPr>
            </w:pPr>
          </w:p>
        </w:tc>
        <w:tc>
          <w:tcPr>
            <w:tcW w:w="9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1F430D6"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10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00242DB"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0.55</w:t>
            </w:r>
            <w:r w:rsidRPr="008A0760">
              <w:rPr>
                <w:lang w:val="en-US" w:eastAsia="en-US"/>
              </w:rPr>
              <w:t xml:space="preserve"> </w:t>
            </w:r>
          </w:p>
        </w:tc>
        <w:tc>
          <w:tcPr>
            <w:tcW w:w="6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CB9F7A"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0.03</w:t>
            </w:r>
            <w:r w:rsidRPr="008A0760">
              <w:rPr>
                <w:lang w:val="en-US" w:eastAsia="en-US"/>
              </w:rPr>
              <w:t xml:space="preserve"> </w:t>
            </w:r>
          </w:p>
        </w:tc>
        <w:tc>
          <w:tcPr>
            <w:tcW w:w="14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BB1F5F1"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9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350A99"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r>
      <w:tr w:rsidR="008A0760" w:rsidRPr="008A0760" w14:paraId="1C80CE82" w14:textId="77777777" w:rsidTr="008A0760">
        <w:trPr>
          <w:trHeight w:val="20"/>
          <w:jc w:val="center"/>
        </w:trPr>
        <w:tc>
          <w:tcPr>
            <w:tcW w:w="100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B3FEAD2"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lastRenderedPageBreak/>
              <w:t>2AA</w:t>
            </w:r>
            <w:r w:rsidRPr="008A0760">
              <w:rPr>
                <w:lang w:val="en-US" w:eastAsia="en-US"/>
              </w:rPr>
              <w:t xml:space="preserve"> </w:t>
            </w:r>
            <w:r w:rsidRPr="008A0760">
              <w:rPr>
                <w:rFonts w:ascii="Verdana" w:hAnsi="Verdana"/>
                <w:sz w:val="11"/>
                <w:szCs w:val="11"/>
                <w:vertAlign w:val="superscript"/>
                <w:lang w:val="en-US" w:eastAsia="en-US"/>
              </w:rPr>
              <w:t>(5)</w:t>
            </w:r>
            <w:r w:rsidRPr="008A0760">
              <w:rPr>
                <w:lang w:val="en-US" w:eastAsia="en-US"/>
              </w:rPr>
              <w:t xml:space="preserve">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2056D3"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CEEC</w:t>
            </w:r>
            <w:r w:rsidRPr="008A0760">
              <w:rPr>
                <w:lang w:val="en-US" w:eastAsia="en-US"/>
              </w:rPr>
              <w:t xml:space="preserve"> </w:t>
            </w:r>
          </w:p>
        </w:tc>
        <w:tc>
          <w:tcPr>
            <w:tcW w:w="5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9AFC301"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1.5</w:t>
            </w:r>
            <w:r w:rsidRPr="008A0760">
              <w:rPr>
                <w:lang w:val="en-US" w:eastAsia="en-US"/>
              </w:rPr>
              <w:t xml:space="preserve"> </w:t>
            </w:r>
          </w:p>
        </w:tc>
        <w:tc>
          <w:tcPr>
            <w:tcW w:w="6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D8DC00"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2.0</w:t>
            </w:r>
            <w:r w:rsidRPr="008A0760">
              <w:rPr>
                <w:lang w:val="en-US" w:eastAsia="en-US"/>
              </w:rPr>
              <w:t xml:space="preserve"> </w:t>
            </w:r>
          </w:p>
        </w:tc>
        <w:tc>
          <w:tcPr>
            <w:tcW w:w="9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87CAF4A"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0.46</w:t>
            </w:r>
            <w:r w:rsidRPr="008A0760">
              <w:rPr>
                <w:lang w:val="en-US" w:eastAsia="en-US"/>
              </w:rPr>
              <w:t xml:space="preserve"> </w:t>
            </w:r>
          </w:p>
        </w:tc>
        <w:tc>
          <w:tcPr>
            <w:tcW w:w="10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5D61B5"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6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37A1C98"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0.02</w:t>
            </w:r>
            <w:r w:rsidRPr="008A0760">
              <w:rPr>
                <w:lang w:val="en-US" w:eastAsia="en-US"/>
              </w:rPr>
              <w:t xml:space="preserve"> </w:t>
            </w:r>
          </w:p>
        </w:tc>
        <w:tc>
          <w:tcPr>
            <w:tcW w:w="14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A7C3C6"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9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0E3129"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r>
      <w:tr w:rsidR="008A0760" w:rsidRPr="008A0760" w14:paraId="7CB252A6"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7F1830" w14:textId="77777777" w:rsidR="008A0760" w:rsidRPr="008A0760" w:rsidRDefault="008A0760" w:rsidP="008A0760">
            <w:pPr>
              <w:rPr>
                <w:lang w:val="en-US" w:eastAsia="en-US"/>
              </w:rPr>
            </w:pP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CF9D6F"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CET</w:t>
            </w:r>
            <w:r w:rsidRPr="008A0760">
              <w:rPr>
                <w:lang w:val="en-US" w:eastAsia="en-US"/>
              </w:rPr>
              <w:t xml:space="preserve"> </w:t>
            </w:r>
          </w:p>
        </w:tc>
        <w:tc>
          <w:tcPr>
            <w:tcW w:w="5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9D7ADC6"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4.0</w:t>
            </w:r>
            <w:r w:rsidRPr="008A0760">
              <w:rPr>
                <w:lang w:val="en-US" w:eastAsia="en-US"/>
              </w:rPr>
              <w:t xml:space="preserve"> </w:t>
            </w:r>
          </w:p>
        </w:tc>
        <w:tc>
          <w:tcPr>
            <w:tcW w:w="6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23267E9"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2.0</w:t>
            </w:r>
            <w:r w:rsidRPr="008A0760">
              <w:rPr>
                <w:lang w:val="en-US" w:eastAsia="en-US"/>
              </w:rPr>
              <w:t xml:space="preserve"> </w:t>
            </w:r>
          </w:p>
        </w:tc>
        <w:tc>
          <w:tcPr>
            <w:tcW w:w="9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C92D77"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10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E1DD35"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0.55</w:t>
            </w:r>
            <w:r w:rsidRPr="008A0760">
              <w:rPr>
                <w:lang w:val="en-US" w:eastAsia="en-US"/>
              </w:rPr>
              <w:t xml:space="preserve"> </w:t>
            </w:r>
          </w:p>
        </w:tc>
        <w:tc>
          <w:tcPr>
            <w:tcW w:w="6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F03630"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0.03</w:t>
            </w:r>
            <w:r w:rsidRPr="008A0760">
              <w:rPr>
                <w:lang w:val="en-US" w:eastAsia="en-US"/>
              </w:rPr>
              <w:t xml:space="preserve"> </w:t>
            </w:r>
          </w:p>
        </w:tc>
        <w:tc>
          <w:tcPr>
            <w:tcW w:w="14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B5BAAA0"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9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AD9822"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r>
      <w:tr w:rsidR="008A0760" w:rsidRPr="008A0760" w14:paraId="2CD9F2B0" w14:textId="77777777" w:rsidTr="008A0760">
        <w:trPr>
          <w:trHeight w:val="20"/>
          <w:jc w:val="center"/>
        </w:trPr>
        <w:tc>
          <w:tcPr>
            <w:tcW w:w="1000"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019A5B6" w14:textId="77777777" w:rsidR="008A0760" w:rsidRPr="008A0760" w:rsidRDefault="008A0760" w:rsidP="008A0760">
            <w:pPr>
              <w:spacing w:before="40" w:after="40" w:line="220" w:lineRule="atLeast"/>
              <w:jc w:val="center"/>
              <w:rPr>
                <w:lang w:val="en-US" w:eastAsia="en-US"/>
              </w:rPr>
            </w:pPr>
            <w:r w:rsidRPr="008A0760">
              <w:rPr>
                <w:rFonts w:ascii="Verdana" w:hAnsi="Verdana"/>
                <w:b/>
                <w:bCs/>
                <w:sz w:val="16"/>
                <w:szCs w:val="16"/>
                <w:lang w:val="en-US" w:eastAsia="en-US"/>
              </w:rPr>
              <w:t>2B</w:t>
            </w:r>
            <w:r w:rsidRPr="008A0760">
              <w:rPr>
                <w:lang w:val="en-US" w:eastAsia="en-US"/>
              </w:rPr>
              <w:t xml:space="preserve"> </w:t>
            </w:r>
            <w:r w:rsidRPr="008A0760">
              <w:rPr>
                <w:rFonts w:ascii="Verdana" w:hAnsi="Verdana"/>
                <w:sz w:val="11"/>
                <w:szCs w:val="11"/>
                <w:vertAlign w:val="superscript"/>
                <w:lang w:val="en-US" w:eastAsia="en-US"/>
              </w:rPr>
              <w:t>(6)</w:t>
            </w:r>
            <w:r w:rsidRPr="008A0760">
              <w:rPr>
                <w:lang w:val="en-US" w:eastAsia="en-US"/>
              </w:rPr>
              <w:t xml:space="preserve"> </w:t>
            </w: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2F71740"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CEEMAP</w:t>
            </w:r>
            <w:r w:rsidRPr="008A0760">
              <w:rPr>
                <w:lang w:val="en-US" w:eastAsia="en-US"/>
              </w:rPr>
              <w:t xml:space="preserve"> </w:t>
            </w:r>
          </w:p>
        </w:tc>
        <w:tc>
          <w:tcPr>
            <w:tcW w:w="5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43CDCF"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1.5</w:t>
            </w:r>
            <w:r w:rsidRPr="008A0760">
              <w:rPr>
                <w:lang w:val="en-US" w:eastAsia="en-US"/>
              </w:rPr>
              <w:t xml:space="preserve"> </w:t>
            </w:r>
          </w:p>
        </w:tc>
        <w:tc>
          <w:tcPr>
            <w:tcW w:w="6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03B7D0F"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0.4</w:t>
            </w:r>
            <w:r w:rsidRPr="008A0760">
              <w:rPr>
                <w:lang w:val="en-US" w:eastAsia="en-US"/>
              </w:rPr>
              <w:t xml:space="preserve"> </w:t>
            </w:r>
          </w:p>
        </w:tc>
        <w:tc>
          <w:tcPr>
            <w:tcW w:w="9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539497F"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0.13</w:t>
            </w:r>
            <w:r w:rsidRPr="008A0760">
              <w:rPr>
                <w:lang w:val="en-US" w:eastAsia="en-US"/>
              </w:rPr>
              <w:t xml:space="preserve"> </w:t>
            </w:r>
          </w:p>
        </w:tc>
        <w:tc>
          <w:tcPr>
            <w:tcW w:w="10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C54497"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6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E5003B"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0.01</w:t>
            </w:r>
            <w:r w:rsidRPr="008A0760">
              <w:rPr>
                <w:lang w:val="en-US" w:eastAsia="en-US"/>
              </w:rPr>
              <w:t xml:space="preserve"> </w:t>
            </w:r>
          </w:p>
        </w:tc>
        <w:tc>
          <w:tcPr>
            <w:tcW w:w="14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7467A8B"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8.0 x 10</w:t>
            </w:r>
            <w:r w:rsidRPr="008A0760">
              <w:rPr>
                <w:lang w:val="en-US" w:eastAsia="en-US"/>
              </w:rPr>
              <w:t xml:space="preserve"> </w:t>
            </w:r>
            <w:r w:rsidRPr="008A0760">
              <w:rPr>
                <w:rFonts w:ascii="Verdana" w:hAnsi="Verdana"/>
                <w:sz w:val="11"/>
                <w:szCs w:val="11"/>
                <w:vertAlign w:val="superscript"/>
                <w:lang w:val="en-US" w:eastAsia="en-US"/>
              </w:rPr>
              <w:t>11</w:t>
            </w:r>
            <w:r w:rsidRPr="008A0760">
              <w:rPr>
                <w:lang w:val="en-US" w:eastAsia="en-US"/>
              </w:rPr>
              <w:t xml:space="preserve"> </w:t>
            </w:r>
          </w:p>
        </w:tc>
        <w:tc>
          <w:tcPr>
            <w:tcW w:w="9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D80F90"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10</w:t>
            </w:r>
            <w:r w:rsidRPr="008A0760">
              <w:rPr>
                <w:lang w:val="en-US" w:eastAsia="en-US"/>
              </w:rPr>
              <w:t xml:space="preserve"> </w:t>
            </w:r>
          </w:p>
        </w:tc>
      </w:tr>
      <w:tr w:rsidR="008A0760" w:rsidRPr="008A0760" w14:paraId="445537BE"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400894" w14:textId="77777777" w:rsidR="008A0760" w:rsidRPr="008A0760" w:rsidRDefault="008A0760" w:rsidP="008A0760">
            <w:pPr>
              <w:rPr>
                <w:lang w:val="en-US" w:eastAsia="en-US"/>
              </w:rPr>
            </w:pPr>
          </w:p>
        </w:tc>
        <w:tc>
          <w:tcPr>
            <w:tcW w:w="105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395E9E8"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CETMAP</w:t>
            </w:r>
            <w:r w:rsidRPr="008A0760">
              <w:rPr>
                <w:lang w:val="en-US" w:eastAsia="en-US"/>
              </w:rPr>
              <w:t xml:space="preserve"> </w:t>
            </w:r>
          </w:p>
        </w:tc>
        <w:tc>
          <w:tcPr>
            <w:tcW w:w="56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3B68CF"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4.0</w:t>
            </w:r>
            <w:r w:rsidRPr="008A0760">
              <w:rPr>
                <w:lang w:val="en-US" w:eastAsia="en-US"/>
              </w:rPr>
              <w:t xml:space="preserve"> </w:t>
            </w:r>
          </w:p>
        </w:tc>
        <w:tc>
          <w:tcPr>
            <w:tcW w:w="6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30AD08"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0.46</w:t>
            </w:r>
            <w:r w:rsidRPr="008A0760">
              <w:rPr>
                <w:lang w:val="en-US" w:eastAsia="en-US"/>
              </w:rPr>
              <w:t xml:space="preserve"> </w:t>
            </w:r>
          </w:p>
        </w:tc>
        <w:tc>
          <w:tcPr>
            <w:tcW w:w="93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16AF1F6"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0.16</w:t>
            </w:r>
            <w:r w:rsidRPr="008A0760">
              <w:rPr>
                <w:lang w:val="en-US" w:eastAsia="en-US"/>
              </w:rPr>
              <w:t xml:space="preserve"> </w:t>
            </w:r>
          </w:p>
        </w:tc>
        <w:tc>
          <w:tcPr>
            <w:tcW w:w="108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ED12CFA"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c>
          <w:tcPr>
            <w:tcW w:w="62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9B75F05"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0.01</w:t>
            </w:r>
            <w:r w:rsidRPr="008A0760">
              <w:rPr>
                <w:lang w:val="en-US" w:eastAsia="en-US"/>
              </w:rPr>
              <w:t xml:space="preserve"> </w:t>
            </w:r>
          </w:p>
        </w:tc>
        <w:tc>
          <w:tcPr>
            <w:tcW w:w="14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AC50CEC"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6.0 x 10</w:t>
            </w:r>
            <w:r w:rsidRPr="008A0760">
              <w:rPr>
                <w:lang w:val="en-US" w:eastAsia="en-US"/>
              </w:rPr>
              <w:t xml:space="preserve"> </w:t>
            </w:r>
            <w:r w:rsidRPr="008A0760">
              <w:rPr>
                <w:rFonts w:ascii="Verdana" w:hAnsi="Verdana"/>
                <w:sz w:val="11"/>
                <w:szCs w:val="11"/>
                <w:vertAlign w:val="superscript"/>
                <w:lang w:val="en-US" w:eastAsia="en-US"/>
              </w:rPr>
              <w:t>11</w:t>
            </w:r>
            <w:r w:rsidRPr="008A0760">
              <w:rPr>
                <w:lang w:val="en-US" w:eastAsia="en-US"/>
              </w:rPr>
              <w:t xml:space="preserve"> </w:t>
            </w:r>
          </w:p>
        </w:tc>
        <w:tc>
          <w:tcPr>
            <w:tcW w:w="9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48D85DE" w14:textId="77777777" w:rsidR="008A0760" w:rsidRPr="008A0760" w:rsidRDefault="008A0760" w:rsidP="008A0760">
            <w:pPr>
              <w:spacing w:before="40" w:after="40" w:line="220" w:lineRule="atLeast"/>
              <w:jc w:val="center"/>
              <w:rPr>
                <w:lang w:val="en-US" w:eastAsia="en-US"/>
              </w:rPr>
            </w:pPr>
            <w:r w:rsidRPr="008A0760">
              <w:rPr>
                <w:rFonts w:ascii="Verdana" w:hAnsi="Verdana"/>
                <w:sz w:val="16"/>
                <w:szCs w:val="16"/>
                <w:lang w:val="en-US" w:eastAsia="en-US"/>
              </w:rPr>
              <w:t>10</w:t>
            </w:r>
            <w:r w:rsidRPr="008A0760">
              <w:rPr>
                <w:lang w:val="en-US" w:eastAsia="en-US"/>
              </w:rPr>
              <w:t xml:space="preserve"> </w:t>
            </w:r>
          </w:p>
        </w:tc>
      </w:tr>
    </w:tbl>
    <w:p w14:paraId="1448404E" w14:textId="77777777" w:rsidR="008A0760" w:rsidRPr="008A0760" w:rsidRDefault="008A0760" w:rsidP="008A0760">
      <w:pPr>
        <w:spacing w:line="14" w:lineRule="atLeast"/>
        <w:ind w:firstLine="288"/>
        <w:jc w:val="both"/>
        <w:rPr>
          <w:lang w:val="en-US" w:eastAsia="en-US"/>
        </w:rPr>
      </w:pPr>
      <w:r w:rsidRPr="008A0760">
        <w:rPr>
          <w:rFonts w:ascii="Verdana" w:hAnsi="Verdana"/>
          <w:sz w:val="16"/>
          <w:szCs w:val="16"/>
          <w:lang w:val="en-US" w:eastAsia="en-US"/>
        </w:rPr>
        <w:t> </w:t>
      </w:r>
    </w:p>
    <w:tbl>
      <w:tblPr>
        <w:tblW w:w="8327" w:type="dxa"/>
        <w:jc w:val="center"/>
        <w:tblCellMar>
          <w:left w:w="0" w:type="dxa"/>
          <w:right w:w="0" w:type="dxa"/>
        </w:tblCellMar>
        <w:tblLook w:val="04A0" w:firstRow="1" w:lastRow="0" w:firstColumn="1" w:lastColumn="0" w:noHBand="0" w:noVBand="1"/>
      </w:tblPr>
      <w:tblGrid>
        <w:gridCol w:w="8327"/>
      </w:tblGrid>
      <w:tr w:rsidR="008A0760" w:rsidRPr="00743A20" w14:paraId="413BC574" w14:textId="77777777" w:rsidTr="008A0760">
        <w:trPr>
          <w:trHeight w:val="20"/>
          <w:jc w:val="center"/>
        </w:trPr>
        <w:tc>
          <w:tcPr>
            <w:tcW w:w="8327" w:type="dxa"/>
            <w:tcMar>
              <w:top w:w="0" w:type="dxa"/>
              <w:left w:w="72" w:type="dxa"/>
              <w:bottom w:w="0" w:type="dxa"/>
              <w:right w:w="72" w:type="dxa"/>
            </w:tcMar>
            <w:hideMark/>
          </w:tcPr>
          <w:p w14:paraId="32D7A05E" w14:textId="77777777" w:rsidR="008A0760" w:rsidRPr="00475F08" w:rsidRDefault="008A0760" w:rsidP="008A0760">
            <w:pPr>
              <w:spacing w:after="101" w:line="220" w:lineRule="atLeast"/>
              <w:jc w:val="both"/>
              <w:rPr>
                <w:b/>
                <w:lang w:val="en-US" w:eastAsia="en-US"/>
              </w:rPr>
            </w:pPr>
            <w:r w:rsidRPr="00475F08">
              <w:rPr>
                <w:rFonts w:ascii="Verdana" w:hAnsi="Verdana"/>
                <w:b/>
                <w:sz w:val="16"/>
                <w:szCs w:val="16"/>
                <w:lang w:val="en-US" w:eastAsia="en-US"/>
              </w:rPr>
              <w:t>Notes:</w:t>
            </w:r>
            <w:r w:rsidRPr="00475F08">
              <w:rPr>
                <w:b/>
                <w:lang w:val="en-US" w:eastAsia="en-US"/>
              </w:rPr>
              <w:t xml:space="preserve"> </w:t>
            </w:r>
          </w:p>
          <w:p w14:paraId="152FFA30" w14:textId="0F3E39DC" w:rsidR="008A0760" w:rsidRPr="008A0760" w:rsidRDefault="008A0760" w:rsidP="008A0760">
            <w:pPr>
              <w:spacing w:after="101" w:line="220" w:lineRule="atLeast"/>
              <w:ind w:hanging="360"/>
              <w:jc w:val="both"/>
              <w:rPr>
                <w:lang w:val="en-US" w:eastAsia="en-US"/>
              </w:rPr>
            </w:pPr>
            <w:r w:rsidRPr="008A0760">
              <w:rPr>
                <w:rFonts w:ascii="Verdana" w:hAnsi="Verdana"/>
                <w:sz w:val="16"/>
                <w:szCs w:val="16"/>
                <w:lang w:val="en-US" w:eastAsia="en-US"/>
              </w:rPr>
              <w:t>1.</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 xml:space="preserve"> 1.</w:t>
            </w:r>
            <w:r w:rsidRPr="008A0760">
              <w:rPr>
                <w:rFonts w:ascii="Verdana" w:hAnsi="Verdana"/>
                <w:sz w:val="16"/>
                <w:szCs w:val="16"/>
                <w:lang w:val="en-US" w:eastAsia="en-US"/>
              </w:rPr>
              <w:t>            g / kWh = grams per kilowatt hour.</w:t>
            </w:r>
            <w:r w:rsidRPr="008A0760">
              <w:rPr>
                <w:lang w:val="en-US" w:eastAsia="en-US"/>
              </w:rPr>
              <w:t xml:space="preserve"> </w:t>
            </w:r>
          </w:p>
          <w:p w14:paraId="6C9DB437" w14:textId="31C2B231" w:rsidR="008A0760" w:rsidRPr="008A0760" w:rsidRDefault="008A0760" w:rsidP="008A0760">
            <w:pPr>
              <w:spacing w:after="101" w:line="220" w:lineRule="atLeast"/>
              <w:ind w:hanging="360"/>
              <w:jc w:val="both"/>
              <w:rPr>
                <w:lang w:val="en-US" w:eastAsia="en-US"/>
              </w:rPr>
            </w:pPr>
            <w:r w:rsidRPr="008A0760">
              <w:rPr>
                <w:rFonts w:ascii="Verdana" w:hAnsi="Verdana"/>
                <w:sz w:val="16"/>
                <w:szCs w:val="16"/>
                <w:lang w:val="en-US" w:eastAsia="en-US"/>
              </w:rPr>
              <w:t>2.</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2.</w:t>
            </w:r>
            <w:r w:rsidRPr="008A0760">
              <w:rPr>
                <w:rFonts w:ascii="Verdana" w:hAnsi="Verdana"/>
                <w:sz w:val="16"/>
                <w:szCs w:val="16"/>
                <w:lang w:val="en-US" w:eastAsia="en-US"/>
              </w:rPr>
              <w:t>           Number / kWh = number of particles per kilowatt hour.</w:t>
            </w:r>
            <w:r w:rsidRPr="008A0760">
              <w:rPr>
                <w:lang w:val="en-US" w:eastAsia="en-US"/>
              </w:rPr>
              <w:t xml:space="preserve"> </w:t>
            </w:r>
          </w:p>
          <w:p w14:paraId="79178555" w14:textId="0D737AFA" w:rsidR="008A0760" w:rsidRPr="008A0760" w:rsidRDefault="008A0760" w:rsidP="008A0760">
            <w:pPr>
              <w:spacing w:after="101" w:line="220" w:lineRule="atLeast"/>
              <w:ind w:hanging="360"/>
              <w:jc w:val="both"/>
              <w:rPr>
                <w:lang w:val="en-US" w:eastAsia="en-US"/>
              </w:rPr>
            </w:pPr>
            <w:r w:rsidRPr="008A0760">
              <w:rPr>
                <w:rFonts w:ascii="Verdana" w:hAnsi="Verdana"/>
                <w:sz w:val="16"/>
                <w:szCs w:val="16"/>
                <w:lang w:val="en-US" w:eastAsia="en-US"/>
              </w:rPr>
              <w:t>3.</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3.</w:t>
            </w:r>
            <w:r w:rsidRPr="008A0760">
              <w:rPr>
                <w:rFonts w:ascii="Verdana" w:hAnsi="Verdana"/>
                <w:sz w:val="16"/>
                <w:szCs w:val="16"/>
                <w:lang w:val="en-US" w:eastAsia="en-US"/>
              </w:rPr>
              <w:t>          ppm = parts per million.</w:t>
            </w:r>
            <w:r w:rsidRPr="008A0760">
              <w:rPr>
                <w:lang w:val="en-US" w:eastAsia="en-US"/>
              </w:rPr>
              <w:t xml:space="preserve"> </w:t>
            </w:r>
          </w:p>
          <w:p w14:paraId="166308B0" w14:textId="48975B42" w:rsidR="008A0760" w:rsidRPr="008A0760" w:rsidRDefault="008A0760" w:rsidP="008A0760">
            <w:pPr>
              <w:spacing w:after="101" w:line="220" w:lineRule="atLeast"/>
              <w:ind w:hanging="360"/>
              <w:jc w:val="both"/>
              <w:rPr>
                <w:lang w:val="en-US" w:eastAsia="en-US"/>
              </w:rPr>
            </w:pPr>
            <w:r w:rsidRPr="008A0760">
              <w:rPr>
                <w:rFonts w:ascii="Verdana" w:hAnsi="Verdana"/>
                <w:sz w:val="16"/>
                <w:szCs w:val="16"/>
                <w:lang w:val="en-US" w:eastAsia="en-US"/>
              </w:rPr>
              <w:t>Fou</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4.</w:t>
            </w:r>
            <w:r w:rsidRPr="008A0760">
              <w:rPr>
                <w:rFonts w:ascii="Verdana" w:hAnsi="Verdana"/>
                <w:sz w:val="16"/>
                <w:szCs w:val="16"/>
                <w:lang w:val="en-US" w:eastAsia="en-US"/>
              </w:rPr>
              <w:t>             Standard</w:t>
            </w:r>
            <w:r w:rsidRPr="008A0760">
              <w:rPr>
                <w:lang w:val="en-US" w:eastAsia="en-US"/>
              </w:rPr>
              <w:t xml:space="preserve"> </w:t>
            </w:r>
            <w:r w:rsidRPr="008A0760">
              <w:rPr>
                <w:rFonts w:ascii="Verdana" w:hAnsi="Verdana"/>
                <w:b/>
                <w:bCs/>
                <w:sz w:val="16"/>
                <w:szCs w:val="16"/>
                <w:lang w:val="en-US" w:eastAsia="en-US"/>
              </w:rPr>
              <w:t>2A</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 xml:space="preserve">Maximum permissible limits for new engines and motor vehicles produced as of the entry into force of this standard and until June 30, 2019, obtained with the European Continuous State Cycle and </w:t>
            </w:r>
            <w:r w:rsidR="007A67E5" w:rsidRPr="007A67E5">
              <w:rPr>
                <w:rFonts w:ascii="Verdana" w:hAnsi="Verdana"/>
                <w:sz w:val="16"/>
                <w:szCs w:val="16"/>
                <w:lang w:val="en-US" w:eastAsia="en-US"/>
              </w:rPr>
              <w:t>European Transition Cycle (ETC)</w:t>
            </w:r>
            <w:r w:rsidR="007A67E5">
              <w:rPr>
                <w:rFonts w:ascii="Verdana" w:hAnsi="Verdana"/>
                <w:sz w:val="16"/>
                <w:szCs w:val="16"/>
                <w:lang w:val="en-US" w:eastAsia="en-US"/>
              </w:rPr>
              <w:t xml:space="preserve"> </w:t>
            </w:r>
            <w:r w:rsidRPr="008A0760">
              <w:rPr>
                <w:rFonts w:ascii="Verdana" w:hAnsi="Verdana"/>
                <w:sz w:val="16"/>
                <w:szCs w:val="16"/>
                <w:lang w:val="en-US" w:eastAsia="en-US"/>
              </w:rPr>
              <w:t xml:space="preserve">test methods, established by the European Parliament and the Council of the European Union, described in sections 3.8 and 3.9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w:t>
            </w:r>
            <w:r w:rsidRPr="008A0760">
              <w:rPr>
                <w:lang w:val="en-US" w:eastAsia="en-US"/>
              </w:rPr>
              <w:t xml:space="preserve"> </w:t>
            </w:r>
          </w:p>
          <w:p w14:paraId="705116AF" w14:textId="0FC99066" w:rsidR="008A0760" w:rsidRPr="00AB486C" w:rsidRDefault="008A0760" w:rsidP="008A0760">
            <w:pPr>
              <w:spacing w:after="101" w:line="228" w:lineRule="atLeast"/>
              <w:ind w:hanging="360"/>
              <w:jc w:val="both"/>
              <w:rPr>
                <w:color w:val="0000FA"/>
                <w:lang w:val="en-US" w:eastAsia="en-US"/>
              </w:rPr>
            </w:pPr>
            <w:r w:rsidRPr="008A0760">
              <w:rPr>
                <w:rFonts w:ascii="Verdana" w:hAnsi="Verdana"/>
                <w:sz w:val="16"/>
                <w:szCs w:val="16"/>
                <w:lang w:val="en-US" w:eastAsia="en-US"/>
              </w:rPr>
              <w:t>5.</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5</w:t>
            </w:r>
            <w:r w:rsidR="00B32D99" w:rsidRPr="00AB486C">
              <w:rPr>
                <w:rFonts w:ascii="Verdana" w:hAnsi="Verdana"/>
                <w:color w:val="0000FA"/>
                <w:sz w:val="16"/>
                <w:szCs w:val="16"/>
                <w:lang w:val="en-US" w:eastAsia="en-US"/>
              </w:rPr>
              <w:t>.</w:t>
            </w:r>
            <w:r w:rsidRPr="00AB486C">
              <w:rPr>
                <w:rFonts w:ascii="Verdana" w:hAnsi="Verdana"/>
                <w:color w:val="0000FA"/>
                <w:sz w:val="16"/>
                <w:szCs w:val="16"/>
                <w:lang w:val="en-US" w:eastAsia="en-US"/>
              </w:rPr>
              <w:t>          Standard</w:t>
            </w:r>
            <w:r w:rsidRPr="00AB486C">
              <w:rPr>
                <w:color w:val="0000FA"/>
                <w:lang w:val="en-US" w:eastAsia="en-US"/>
              </w:rPr>
              <w:t xml:space="preserve"> </w:t>
            </w:r>
            <w:r w:rsidRPr="00AB486C">
              <w:rPr>
                <w:rFonts w:ascii="Verdana" w:hAnsi="Verdana"/>
                <w:b/>
                <w:bCs/>
                <w:color w:val="0000FA"/>
                <w:sz w:val="16"/>
                <w:szCs w:val="16"/>
                <w:lang w:val="en-US" w:eastAsia="en-US"/>
              </w:rPr>
              <w:t>2AA</w:t>
            </w:r>
            <w:r w:rsidRPr="00AB486C">
              <w:rPr>
                <w:rFonts w:ascii="Verdana" w:hAnsi="Verdana"/>
                <w:color w:val="0000FA"/>
                <w:sz w:val="16"/>
                <w:szCs w:val="16"/>
                <w:lang w:val="en-US" w:eastAsia="en-US"/>
              </w:rPr>
              <w:t>.</w:t>
            </w:r>
            <w:r w:rsidRPr="00AB486C">
              <w:rPr>
                <w:color w:val="0000FA"/>
                <w:lang w:val="en-US" w:eastAsia="en-US"/>
              </w:rPr>
              <w:t xml:space="preserve"> </w:t>
            </w:r>
            <w:r w:rsidRPr="00AB486C">
              <w:rPr>
                <w:rFonts w:ascii="Verdana" w:hAnsi="Verdana"/>
                <w:color w:val="0000FA"/>
                <w:sz w:val="16"/>
                <w:szCs w:val="16"/>
                <w:lang w:val="en-US" w:eastAsia="en-US"/>
              </w:rPr>
              <w:t>Maximum permissible limits for new engines and motor vehicles produced from</w:t>
            </w:r>
            <w:r w:rsidRPr="00AB486C">
              <w:rPr>
                <w:color w:val="0000FA"/>
                <w:lang w:val="en-US" w:eastAsia="en-US"/>
              </w:rPr>
              <w:t xml:space="preserve"> </w:t>
            </w:r>
            <w:r w:rsidRPr="00AB486C">
              <w:rPr>
                <w:rFonts w:ascii="Verdana" w:hAnsi="Verdana"/>
                <w:color w:val="0000FA"/>
                <w:sz w:val="16"/>
                <w:szCs w:val="16"/>
                <w:lang w:val="en-US" w:eastAsia="en-US"/>
              </w:rPr>
              <w:t>January 1, 2019 and until December 31, 2020,</w:t>
            </w:r>
            <w:r w:rsidRPr="00AB486C">
              <w:rPr>
                <w:color w:val="0000FA"/>
                <w:lang w:val="en-US" w:eastAsia="en-US"/>
              </w:rPr>
              <w:t xml:space="preserve"> </w:t>
            </w:r>
            <w:r w:rsidRPr="00AB486C">
              <w:rPr>
                <w:rFonts w:ascii="Verdana" w:hAnsi="Verdana"/>
                <w:color w:val="0000FA"/>
                <w:sz w:val="16"/>
                <w:szCs w:val="16"/>
                <w:lang w:val="en-US" w:eastAsia="en-US"/>
              </w:rPr>
              <w:t xml:space="preserve">obtained with the </w:t>
            </w:r>
            <w:r w:rsidR="007A67E5" w:rsidRPr="00AB486C">
              <w:rPr>
                <w:rFonts w:ascii="Verdana" w:hAnsi="Verdana"/>
                <w:color w:val="0000FA"/>
                <w:sz w:val="16"/>
                <w:szCs w:val="16"/>
                <w:lang w:val="en-US" w:eastAsia="en-US"/>
              </w:rPr>
              <w:t>European Stationary Cycle (ESC)</w:t>
            </w:r>
            <w:r w:rsidRPr="00AB486C">
              <w:rPr>
                <w:rFonts w:ascii="Verdana" w:hAnsi="Verdana"/>
                <w:color w:val="0000FA"/>
                <w:sz w:val="16"/>
                <w:szCs w:val="16"/>
                <w:lang w:val="en-US" w:eastAsia="en-US"/>
              </w:rPr>
              <w:t xml:space="preserve"> and European Transition Cycle (</w:t>
            </w:r>
            <w:r w:rsidR="007A67E5" w:rsidRPr="00AB486C">
              <w:rPr>
                <w:rFonts w:ascii="Verdana" w:hAnsi="Verdana"/>
                <w:color w:val="0000FA"/>
                <w:sz w:val="16"/>
                <w:szCs w:val="16"/>
                <w:lang w:val="en-US" w:eastAsia="en-US"/>
              </w:rPr>
              <w:t>E</w:t>
            </w:r>
            <w:r w:rsidR="00475F08" w:rsidRPr="00AB486C">
              <w:rPr>
                <w:rFonts w:ascii="Verdana" w:hAnsi="Verdana"/>
                <w:color w:val="0000FA"/>
                <w:sz w:val="16"/>
                <w:szCs w:val="16"/>
                <w:lang w:val="en-US" w:eastAsia="en-US"/>
              </w:rPr>
              <w:t>TC</w:t>
            </w:r>
            <w:r w:rsidRPr="00AB486C">
              <w:rPr>
                <w:rFonts w:ascii="Verdana" w:hAnsi="Verdana"/>
                <w:color w:val="0000FA"/>
                <w:sz w:val="16"/>
                <w:szCs w:val="16"/>
                <w:lang w:val="en-US" w:eastAsia="en-US"/>
              </w:rPr>
              <w:t xml:space="preserve">) test methods, established by the European Parliament and the Council of the European Union, which are described in sections 3.8 and 3.9 of this </w:t>
            </w:r>
            <w:r w:rsidR="00735A37" w:rsidRPr="00AB486C">
              <w:rPr>
                <w:rFonts w:ascii="Verdana" w:hAnsi="Verdana"/>
                <w:color w:val="0000FA"/>
                <w:sz w:val="16"/>
                <w:szCs w:val="16"/>
                <w:lang w:val="en-US" w:eastAsia="en-US"/>
              </w:rPr>
              <w:t>Official Mexican Standard</w:t>
            </w:r>
            <w:r w:rsidRPr="00AB486C">
              <w:rPr>
                <w:rFonts w:ascii="Verdana" w:hAnsi="Verdana"/>
                <w:color w:val="0000FA"/>
                <w:sz w:val="16"/>
                <w:szCs w:val="16"/>
                <w:lang w:val="en-US" w:eastAsia="en-US"/>
              </w:rPr>
              <w:t>.</w:t>
            </w:r>
            <w:r w:rsidRPr="00AB486C">
              <w:rPr>
                <w:color w:val="0000FA"/>
                <w:lang w:val="en-US" w:eastAsia="en-US"/>
              </w:rPr>
              <w:t xml:space="preserve"> </w:t>
            </w:r>
            <w:r w:rsidR="00AB486C" w:rsidRPr="00AB486C">
              <w:rPr>
                <w:rFonts w:ascii="Verdana" w:hAnsi="Verdana"/>
                <w:i/>
                <w:iCs/>
                <w:color w:val="0000FA"/>
                <w:sz w:val="16"/>
                <w:szCs w:val="16"/>
                <w:lang w:val="en-US"/>
              </w:rPr>
              <w:t xml:space="preserve">(modification </w:t>
            </w:r>
            <w:r w:rsidR="00AB486C">
              <w:rPr>
                <w:rFonts w:ascii="Verdana" w:hAnsi="Verdana"/>
                <w:i/>
                <w:iCs/>
                <w:color w:val="0000FA"/>
                <w:sz w:val="16"/>
                <w:szCs w:val="16"/>
                <w:lang w:val="en-US"/>
              </w:rPr>
              <w:t>that invalidates 1AA DOF 25-04-2024)</w:t>
            </w:r>
          </w:p>
          <w:p w14:paraId="71E0341A" w14:textId="18626DAD" w:rsidR="008A0760" w:rsidRPr="008A0760" w:rsidRDefault="008A0760" w:rsidP="008A0760">
            <w:pPr>
              <w:spacing w:after="101" w:line="228" w:lineRule="atLeast"/>
              <w:ind w:hanging="360"/>
              <w:jc w:val="both"/>
              <w:rPr>
                <w:lang w:val="en-US" w:eastAsia="en-US"/>
              </w:rPr>
            </w:pPr>
            <w:r w:rsidRPr="008A0760">
              <w:rPr>
                <w:rFonts w:ascii="Verdana" w:hAnsi="Verdana"/>
                <w:sz w:val="16"/>
                <w:szCs w:val="16"/>
                <w:lang w:val="en-US" w:eastAsia="en-US"/>
              </w:rPr>
              <w:t>6</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6.</w:t>
            </w:r>
            <w:r w:rsidRPr="008A0760">
              <w:rPr>
                <w:rFonts w:ascii="Verdana" w:hAnsi="Verdana"/>
                <w:sz w:val="16"/>
                <w:szCs w:val="16"/>
                <w:lang w:val="en-US" w:eastAsia="en-US"/>
              </w:rPr>
              <w:t>        Standard</w:t>
            </w:r>
            <w:r w:rsidRPr="008A0760">
              <w:rPr>
                <w:lang w:val="en-US" w:eastAsia="en-US"/>
              </w:rPr>
              <w:t xml:space="preserve"> </w:t>
            </w:r>
            <w:r w:rsidRPr="008A0760">
              <w:rPr>
                <w:rFonts w:ascii="Verdana" w:hAnsi="Verdana"/>
                <w:b/>
                <w:bCs/>
                <w:sz w:val="16"/>
                <w:szCs w:val="16"/>
                <w:lang w:val="en-US" w:eastAsia="en-US"/>
              </w:rPr>
              <w:t>2B</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 xml:space="preserve">Maximum permissible limits for new engines and motor vehicles produced as of January 1, 2019, obtained with the test methods of the </w:t>
            </w:r>
            <w:r w:rsidR="007A67E5" w:rsidRPr="007A67E5">
              <w:rPr>
                <w:rFonts w:ascii="Verdana" w:hAnsi="Verdana"/>
                <w:sz w:val="16"/>
                <w:szCs w:val="16"/>
                <w:lang w:val="en-US" w:eastAsia="en-US"/>
              </w:rPr>
              <w:t>Steady State World Harmonized Stationary Cycle (WHSC)</w:t>
            </w:r>
            <w:r w:rsidR="007A67E5">
              <w:rPr>
                <w:rFonts w:ascii="Verdana" w:hAnsi="Verdana"/>
                <w:sz w:val="16"/>
                <w:szCs w:val="16"/>
                <w:lang w:val="en-US" w:eastAsia="en-US"/>
              </w:rPr>
              <w:t xml:space="preserve"> </w:t>
            </w:r>
            <w:r w:rsidRPr="008A0760">
              <w:rPr>
                <w:rFonts w:ascii="Verdana" w:hAnsi="Verdana"/>
                <w:sz w:val="16"/>
                <w:szCs w:val="16"/>
                <w:lang w:val="en-US" w:eastAsia="en-US"/>
              </w:rPr>
              <w:t xml:space="preserve">and the </w:t>
            </w:r>
            <w:r w:rsidR="007A67E5" w:rsidRPr="007A67E5">
              <w:rPr>
                <w:rFonts w:ascii="Verdana" w:hAnsi="Verdana"/>
                <w:sz w:val="16"/>
                <w:szCs w:val="16"/>
                <w:lang w:val="en-US" w:eastAsia="en-US"/>
              </w:rPr>
              <w:t>Steady State World Harmonized Transient Cycle (WHTC)</w:t>
            </w:r>
            <w:r w:rsidR="007A67E5">
              <w:rPr>
                <w:rFonts w:ascii="Verdana" w:hAnsi="Verdana"/>
                <w:sz w:val="16"/>
                <w:szCs w:val="16"/>
                <w:lang w:val="en-US" w:eastAsia="en-US"/>
              </w:rPr>
              <w:t xml:space="preserve"> </w:t>
            </w:r>
            <w:r w:rsidRPr="008A0760">
              <w:rPr>
                <w:rFonts w:ascii="Verdana" w:hAnsi="Verdana"/>
                <w:sz w:val="16"/>
                <w:szCs w:val="16"/>
                <w:lang w:val="en-US" w:eastAsia="en-US"/>
              </w:rPr>
              <w:t xml:space="preserve">established by the United Nations Economic Commission for Europe and described in paragraphs 3.6 and 3.7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This standard requires the use of automotive diesel with a maximum sulfur content</w:t>
            </w:r>
            <w:r w:rsidRPr="008A0760">
              <w:rPr>
                <w:lang w:val="en-US" w:eastAsia="en-US"/>
              </w:rPr>
              <w:t xml:space="preserve"> </w:t>
            </w:r>
            <w:r w:rsidRPr="008A0760">
              <w:rPr>
                <w:rFonts w:ascii="Verdana" w:hAnsi="Verdana"/>
                <w:sz w:val="16"/>
                <w:szCs w:val="16"/>
                <w:lang w:val="en-US" w:eastAsia="en-US"/>
              </w:rPr>
              <w:t>of 15</w:t>
            </w:r>
            <w:r w:rsidRPr="008A0760">
              <w:rPr>
                <w:lang w:val="en-US" w:eastAsia="en-US"/>
              </w:rPr>
              <w:t xml:space="preserve"> </w:t>
            </w:r>
            <w:r w:rsidR="00475F08">
              <w:rPr>
                <w:rFonts w:ascii="Verdana" w:hAnsi="Verdana"/>
                <w:sz w:val="16"/>
                <w:szCs w:val="16"/>
                <w:lang w:val="en-US" w:eastAsia="en-US"/>
              </w:rPr>
              <w:t>mg/kg</w:t>
            </w:r>
            <w:r w:rsidRPr="008A0760">
              <w:rPr>
                <w:rFonts w:ascii="Verdana" w:hAnsi="Verdana"/>
                <w:sz w:val="16"/>
                <w:szCs w:val="16"/>
                <w:lang w:val="en-US" w:eastAsia="en-US"/>
              </w:rPr>
              <w:t>, which will be available in the country, as established</w:t>
            </w:r>
            <w:r w:rsidRPr="008A0760">
              <w:rPr>
                <w:lang w:val="en-US" w:eastAsia="en-US"/>
              </w:rPr>
              <w:t xml:space="preserve"> </w:t>
            </w:r>
            <w:r w:rsidRPr="008A0760">
              <w:rPr>
                <w:rFonts w:ascii="Verdana" w:hAnsi="Verdana"/>
                <w:sz w:val="16"/>
                <w:szCs w:val="16"/>
                <w:lang w:val="en-US" w:eastAsia="en-US"/>
              </w:rPr>
              <w:t> </w:t>
            </w:r>
            <w:r w:rsidRPr="008A0760">
              <w:rPr>
                <w:lang w:val="en-US" w:eastAsia="en-US"/>
              </w:rPr>
              <w:t xml:space="preserve"> </w:t>
            </w:r>
            <w:r w:rsidRPr="008A0760">
              <w:rPr>
                <w:rFonts w:ascii="Verdana" w:hAnsi="Verdana"/>
                <w:sz w:val="16"/>
                <w:szCs w:val="16"/>
                <w:lang w:val="en-US" w:eastAsia="en-US"/>
              </w:rPr>
              <w:t>in note 3 of Table 7 of the Official Mexican Standard NOM-016-CRE-2016.</w:t>
            </w:r>
            <w:r w:rsidRPr="008A0760">
              <w:rPr>
                <w:lang w:val="en-US" w:eastAsia="en-US"/>
              </w:rPr>
              <w:t xml:space="preserve"> </w:t>
            </w:r>
            <w:r w:rsidRPr="008A0760">
              <w:rPr>
                <w:rFonts w:ascii="Verdana" w:hAnsi="Verdana"/>
                <w:sz w:val="16"/>
                <w:szCs w:val="16"/>
                <w:lang w:val="en-US" w:eastAsia="en-US"/>
              </w:rPr>
              <w:t xml:space="preserve">Petroleum quality specifications, published in the Official </w:t>
            </w:r>
            <w:r w:rsidR="00735A37">
              <w:rPr>
                <w:rFonts w:ascii="Verdana" w:hAnsi="Verdana"/>
                <w:sz w:val="16"/>
                <w:szCs w:val="16"/>
                <w:lang w:val="en-US" w:eastAsia="en-US"/>
              </w:rPr>
              <w:t>Daily</w:t>
            </w:r>
            <w:r w:rsidRPr="008A0760">
              <w:rPr>
                <w:rFonts w:ascii="Verdana" w:hAnsi="Verdana"/>
                <w:sz w:val="16"/>
                <w:szCs w:val="16"/>
                <w:lang w:val="en-US" w:eastAsia="en-US"/>
              </w:rPr>
              <w:t xml:space="preserve"> of the Federation, on August 29, 2016.</w:t>
            </w:r>
            <w:r w:rsidRPr="008A0760">
              <w:rPr>
                <w:lang w:val="en-US" w:eastAsia="en-US"/>
              </w:rPr>
              <w:t xml:space="preserve"> </w:t>
            </w:r>
          </w:p>
        </w:tc>
      </w:tr>
    </w:tbl>
    <w:p w14:paraId="2D12BE4C" w14:textId="77777777" w:rsidR="008A0760" w:rsidRPr="008A0760" w:rsidRDefault="008A0760" w:rsidP="008A0760">
      <w:pPr>
        <w:spacing w:after="160" w:line="259" w:lineRule="auto"/>
        <w:rPr>
          <w:sz w:val="22"/>
          <w:szCs w:val="22"/>
          <w:lang w:val="en-US" w:eastAsia="en-US"/>
        </w:rPr>
      </w:pPr>
      <w:r w:rsidRPr="008A0760">
        <w:rPr>
          <w:rFonts w:ascii="Calibri" w:hAnsi="Calibri" w:cs="Calibri"/>
          <w:sz w:val="22"/>
          <w:szCs w:val="22"/>
          <w:lang w:val="en-US" w:eastAsia="en-US"/>
        </w:rPr>
        <w:t> </w:t>
      </w:r>
    </w:p>
    <w:tbl>
      <w:tblPr>
        <w:tblW w:w="0" w:type="auto"/>
        <w:tblLook w:val="04A0" w:firstRow="1" w:lastRow="0" w:firstColumn="1" w:lastColumn="0" w:noHBand="0" w:noVBand="1"/>
      </w:tblPr>
      <w:tblGrid>
        <w:gridCol w:w="4679"/>
        <w:gridCol w:w="4681"/>
      </w:tblGrid>
      <w:tr w:rsidR="008A0760" w:rsidRPr="00A57824" w14:paraId="1822ECC3" w14:textId="77777777" w:rsidTr="007A67E5">
        <w:tc>
          <w:tcPr>
            <w:tcW w:w="4788" w:type="dxa"/>
            <w:shd w:val="clear" w:color="auto" w:fill="auto"/>
          </w:tcPr>
          <w:p w14:paraId="431B2434" w14:textId="77777777" w:rsidR="008A0760" w:rsidRPr="00A57824" w:rsidRDefault="008A0760" w:rsidP="007A67E5">
            <w:pPr>
              <w:spacing w:after="101" w:line="228" w:lineRule="atLeast"/>
              <w:jc w:val="both"/>
              <w:rPr>
                <w:lang w:val="en-US" w:eastAsia="en-US"/>
              </w:rPr>
            </w:pPr>
            <w:r w:rsidRPr="00A57824">
              <w:rPr>
                <w:rFonts w:ascii="Verdana" w:hAnsi="Verdana"/>
                <w:b/>
                <w:bCs/>
                <w:sz w:val="16"/>
                <w:szCs w:val="16"/>
                <w:lang w:val="en-US" w:eastAsia="en-US"/>
              </w:rPr>
              <w:t>4.1.4.</w:t>
            </w:r>
            <w:r w:rsidRPr="00A57824">
              <w:rPr>
                <w:lang w:val="en-US" w:eastAsia="en-US"/>
              </w:rPr>
              <w:t xml:space="preserve"> </w:t>
            </w:r>
            <w:r w:rsidRPr="00A57824">
              <w:rPr>
                <w:rFonts w:ascii="Verdana" w:hAnsi="Verdana"/>
                <w:sz w:val="16"/>
                <w:szCs w:val="16"/>
                <w:lang w:val="en-US" w:eastAsia="en-US"/>
              </w:rPr>
              <w:t>New diesel engines must comply with standards 2A, 2AA or 2B, established in Table 2 and the service life indicated in Table 2.1.</w:t>
            </w:r>
            <w:r w:rsidRPr="00A57824">
              <w:rPr>
                <w:lang w:val="en-US" w:eastAsia="en-US"/>
              </w:rPr>
              <w:t xml:space="preserve"> </w:t>
            </w:r>
          </w:p>
        </w:tc>
        <w:tc>
          <w:tcPr>
            <w:tcW w:w="4788" w:type="dxa"/>
            <w:shd w:val="clear" w:color="auto" w:fill="auto"/>
          </w:tcPr>
          <w:p w14:paraId="0348BA62" w14:textId="77777777" w:rsidR="008A0760" w:rsidRPr="00A57824" w:rsidRDefault="008A0760" w:rsidP="007A67E5">
            <w:pPr>
              <w:pStyle w:val="Texto"/>
              <w:spacing w:line="228" w:lineRule="exact"/>
              <w:ind w:firstLine="0"/>
              <w:rPr>
                <w:rFonts w:ascii="Verdana" w:hAnsi="Verdana"/>
                <w:sz w:val="16"/>
                <w:szCs w:val="16"/>
              </w:rPr>
            </w:pPr>
            <w:r w:rsidRPr="00A57824">
              <w:rPr>
                <w:rFonts w:ascii="Verdana" w:hAnsi="Verdana"/>
                <w:b/>
                <w:sz w:val="16"/>
                <w:szCs w:val="16"/>
              </w:rPr>
              <w:t>4.1.4.</w:t>
            </w:r>
            <w:r w:rsidRPr="00A57824">
              <w:rPr>
                <w:rFonts w:ascii="Verdana" w:hAnsi="Verdana"/>
                <w:sz w:val="16"/>
                <w:szCs w:val="16"/>
              </w:rPr>
              <w:t xml:space="preserve"> Los motores nuevos a diésel deberán cumplir con los estándares 2A, 2AA o 2B, establecidos en la Tabla 2 y la vida útil indicada en la Tabla 2.1.</w:t>
            </w:r>
          </w:p>
        </w:tc>
      </w:tr>
    </w:tbl>
    <w:p w14:paraId="0EE1C04C" w14:textId="77777777" w:rsidR="008A0760" w:rsidRPr="00B32D99" w:rsidRDefault="008A0760" w:rsidP="008A0760">
      <w:pPr>
        <w:pStyle w:val="Texto"/>
        <w:spacing w:line="228" w:lineRule="exact"/>
        <w:ind w:firstLine="0"/>
        <w:rPr>
          <w:rFonts w:ascii="Verdana" w:hAnsi="Verdana"/>
          <w:b/>
          <w:sz w:val="16"/>
          <w:szCs w:val="16"/>
        </w:rPr>
      </w:pPr>
    </w:p>
    <w:p w14:paraId="059AEAB8" w14:textId="77777777" w:rsidR="00DF5012" w:rsidRPr="00BA3592" w:rsidRDefault="00DF5012" w:rsidP="00DF5012">
      <w:pPr>
        <w:pStyle w:val="Texto"/>
        <w:spacing w:line="228" w:lineRule="exact"/>
        <w:ind w:firstLine="0"/>
        <w:jc w:val="center"/>
        <w:rPr>
          <w:rFonts w:ascii="Verdana" w:hAnsi="Verdana"/>
          <w:b/>
          <w:sz w:val="16"/>
          <w:szCs w:val="16"/>
        </w:rPr>
      </w:pPr>
      <w:r w:rsidRPr="00BA3592">
        <w:rPr>
          <w:rFonts w:ascii="Verdana" w:hAnsi="Verdana"/>
          <w:b/>
          <w:sz w:val="16"/>
          <w:szCs w:val="16"/>
        </w:rPr>
        <w:t>Tabla 2.1</w:t>
      </w:r>
    </w:p>
    <w:tbl>
      <w:tblPr>
        <w:tblW w:w="7245" w:type="dxa"/>
        <w:jc w:val="center"/>
        <w:tblCellMar>
          <w:left w:w="72" w:type="dxa"/>
          <w:right w:w="72" w:type="dxa"/>
        </w:tblCellMar>
        <w:tblLook w:val="0000" w:firstRow="0" w:lastRow="0" w:firstColumn="0" w:lastColumn="0" w:noHBand="0" w:noVBand="0"/>
      </w:tblPr>
      <w:tblGrid>
        <w:gridCol w:w="1657"/>
        <w:gridCol w:w="1324"/>
        <w:gridCol w:w="1333"/>
        <w:gridCol w:w="1335"/>
        <w:gridCol w:w="1596"/>
      </w:tblGrid>
      <w:tr w:rsidR="00DF5012" w:rsidRPr="00BA3592" w14:paraId="1978B428" w14:textId="77777777">
        <w:trPr>
          <w:cantSplit/>
          <w:trHeight w:val="20"/>
          <w:jc w:val="center"/>
        </w:trPr>
        <w:tc>
          <w:tcPr>
            <w:tcW w:w="1657" w:type="dxa"/>
            <w:vMerge w:val="restart"/>
            <w:tcBorders>
              <w:top w:val="single" w:sz="6" w:space="0" w:color="auto"/>
              <w:left w:val="single" w:sz="6" w:space="0" w:color="auto"/>
              <w:right w:val="single" w:sz="6" w:space="0" w:color="auto"/>
            </w:tcBorders>
            <w:shd w:val="pct12" w:color="auto" w:fill="auto"/>
            <w:noWrap/>
            <w:vAlign w:val="center"/>
          </w:tcPr>
          <w:p w14:paraId="232B56C8"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Peso Bruto Vehicular (kg)</w:t>
            </w:r>
          </w:p>
        </w:tc>
        <w:tc>
          <w:tcPr>
            <w:tcW w:w="5588" w:type="dxa"/>
            <w:gridSpan w:val="4"/>
            <w:tcBorders>
              <w:top w:val="single" w:sz="6" w:space="0" w:color="auto"/>
              <w:left w:val="single" w:sz="6" w:space="0" w:color="auto"/>
              <w:bottom w:val="single" w:sz="6" w:space="0" w:color="auto"/>
              <w:right w:val="single" w:sz="6" w:space="0" w:color="auto"/>
            </w:tcBorders>
            <w:shd w:val="pct12" w:color="auto" w:fill="auto"/>
            <w:vAlign w:val="center"/>
          </w:tcPr>
          <w:p w14:paraId="50AD0A80"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Vida útil</w:t>
            </w:r>
          </w:p>
        </w:tc>
      </w:tr>
      <w:tr w:rsidR="00DF5012" w:rsidRPr="00BA3592" w14:paraId="7B0E960F" w14:textId="77777777">
        <w:trPr>
          <w:cantSplit/>
          <w:trHeight w:val="20"/>
          <w:jc w:val="center"/>
        </w:trPr>
        <w:tc>
          <w:tcPr>
            <w:tcW w:w="1657" w:type="dxa"/>
            <w:vMerge/>
            <w:tcBorders>
              <w:left w:val="single" w:sz="6" w:space="0" w:color="auto"/>
              <w:right w:val="single" w:sz="6" w:space="0" w:color="auto"/>
            </w:tcBorders>
            <w:shd w:val="pct12" w:color="auto" w:fill="auto"/>
            <w:vAlign w:val="center"/>
          </w:tcPr>
          <w:p w14:paraId="46A42C56" w14:textId="77777777" w:rsidR="00DF5012" w:rsidRPr="00BA3592" w:rsidRDefault="00DF5012" w:rsidP="00931F51">
            <w:pPr>
              <w:pStyle w:val="Texto"/>
              <w:spacing w:before="40" w:after="40" w:line="228" w:lineRule="exact"/>
              <w:ind w:firstLine="0"/>
              <w:jc w:val="center"/>
              <w:rPr>
                <w:rFonts w:ascii="Verdana" w:hAnsi="Verdana"/>
                <w:b/>
                <w:sz w:val="16"/>
                <w:szCs w:val="16"/>
              </w:rPr>
            </w:pPr>
          </w:p>
        </w:tc>
        <w:tc>
          <w:tcPr>
            <w:tcW w:w="3992" w:type="dxa"/>
            <w:gridSpan w:val="3"/>
            <w:tcBorders>
              <w:top w:val="single" w:sz="6" w:space="0" w:color="auto"/>
              <w:left w:val="single" w:sz="6" w:space="0" w:color="auto"/>
              <w:bottom w:val="single" w:sz="6" w:space="0" w:color="auto"/>
              <w:right w:val="single" w:sz="6" w:space="0" w:color="auto"/>
            </w:tcBorders>
            <w:shd w:val="pct12" w:color="auto" w:fill="auto"/>
            <w:vAlign w:val="center"/>
          </w:tcPr>
          <w:p w14:paraId="2345B5DD"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Distancia (km)</w:t>
            </w:r>
          </w:p>
        </w:tc>
        <w:tc>
          <w:tcPr>
            <w:tcW w:w="1596" w:type="dxa"/>
            <w:tcBorders>
              <w:top w:val="single" w:sz="6" w:space="0" w:color="auto"/>
              <w:left w:val="single" w:sz="6" w:space="0" w:color="auto"/>
              <w:bottom w:val="single" w:sz="6" w:space="0" w:color="auto"/>
              <w:right w:val="single" w:sz="6" w:space="0" w:color="auto"/>
            </w:tcBorders>
            <w:shd w:val="pct12" w:color="auto" w:fill="auto"/>
            <w:vAlign w:val="center"/>
          </w:tcPr>
          <w:p w14:paraId="445E91DD"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Tiempo (años)</w:t>
            </w:r>
          </w:p>
        </w:tc>
      </w:tr>
      <w:tr w:rsidR="00DF5012" w:rsidRPr="00BA3592" w14:paraId="4A1FE931" w14:textId="77777777">
        <w:trPr>
          <w:cantSplit/>
          <w:trHeight w:val="20"/>
          <w:jc w:val="center"/>
        </w:trPr>
        <w:tc>
          <w:tcPr>
            <w:tcW w:w="1657" w:type="dxa"/>
            <w:vMerge/>
            <w:tcBorders>
              <w:left w:val="single" w:sz="6" w:space="0" w:color="auto"/>
              <w:bottom w:val="single" w:sz="6" w:space="0" w:color="auto"/>
              <w:right w:val="single" w:sz="6" w:space="0" w:color="auto"/>
            </w:tcBorders>
            <w:shd w:val="pct12" w:color="auto" w:fill="auto"/>
            <w:vAlign w:val="center"/>
          </w:tcPr>
          <w:p w14:paraId="799FC84A" w14:textId="77777777" w:rsidR="00DF5012" w:rsidRPr="00BA3592" w:rsidRDefault="00DF5012" w:rsidP="00931F51">
            <w:pPr>
              <w:pStyle w:val="Texto"/>
              <w:spacing w:before="40" w:after="40" w:line="228" w:lineRule="exact"/>
              <w:ind w:firstLine="0"/>
              <w:jc w:val="center"/>
              <w:rPr>
                <w:rFonts w:ascii="Verdana" w:hAnsi="Verdana"/>
                <w:b/>
                <w:sz w:val="16"/>
                <w:szCs w:val="16"/>
              </w:rPr>
            </w:pPr>
          </w:p>
        </w:tc>
        <w:tc>
          <w:tcPr>
            <w:tcW w:w="1324" w:type="dxa"/>
            <w:tcBorders>
              <w:top w:val="single" w:sz="6" w:space="0" w:color="auto"/>
              <w:left w:val="single" w:sz="6" w:space="0" w:color="auto"/>
              <w:bottom w:val="single" w:sz="6" w:space="0" w:color="auto"/>
              <w:right w:val="single" w:sz="6" w:space="0" w:color="auto"/>
            </w:tcBorders>
            <w:shd w:val="pct12" w:color="auto" w:fill="auto"/>
            <w:vAlign w:val="center"/>
          </w:tcPr>
          <w:p w14:paraId="01D3AF0E"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Estándar 2A</w:t>
            </w:r>
          </w:p>
        </w:tc>
        <w:tc>
          <w:tcPr>
            <w:tcW w:w="1333" w:type="dxa"/>
            <w:tcBorders>
              <w:top w:val="single" w:sz="6" w:space="0" w:color="auto"/>
              <w:left w:val="single" w:sz="6" w:space="0" w:color="auto"/>
              <w:bottom w:val="single" w:sz="6" w:space="0" w:color="auto"/>
              <w:right w:val="single" w:sz="6" w:space="0" w:color="auto"/>
            </w:tcBorders>
            <w:shd w:val="pct12" w:color="auto" w:fill="auto"/>
            <w:vAlign w:val="center"/>
          </w:tcPr>
          <w:p w14:paraId="30EF5C6A"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Estándar 2AA</w:t>
            </w:r>
          </w:p>
        </w:tc>
        <w:tc>
          <w:tcPr>
            <w:tcW w:w="1335" w:type="dxa"/>
            <w:tcBorders>
              <w:top w:val="single" w:sz="6" w:space="0" w:color="auto"/>
              <w:left w:val="single" w:sz="6" w:space="0" w:color="auto"/>
              <w:bottom w:val="single" w:sz="6" w:space="0" w:color="auto"/>
              <w:right w:val="single" w:sz="6" w:space="0" w:color="auto"/>
            </w:tcBorders>
            <w:shd w:val="pct12" w:color="auto" w:fill="auto"/>
            <w:vAlign w:val="center"/>
          </w:tcPr>
          <w:p w14:paraId="69B92E6B"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Estándar 2B</w:t>
            </w:r>
          </w:p>
        </w:tc>
        <w:tc>
          <w:tcPr>
            <w:tcW w:w="1596" w:type="dxa"/>
            <w:tcBorders>
              <w:top w:val="single" w:sz="6" w:space="0" w:color="auto"/>
              <w:left w:val="single" w:sz="6" w:space="0" w:color="auto"/>
              <w:bottom w:val="single" w:sz="6" w:space="0" w:color="auto"/>
              <w:right w:val="single" w:sz="6" w:space="0" w:color="auto"/>
            </w:tcBorders>
            <w:shd w:val="pct12" w:color="auto" w:fill="auto"/>
            <w:vAlign w:val="center"/>
          </w:tcPr>
          <w:p w14:paraId="00369C89"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Estándares 2A, 2AA y 2B</w:t>
            </w:r>
          </w:p>
        </w:tc>
      </w:tr>
      <w:tr w:rsidR="00DF5012" w:rsidRPr="00BA3592" w14:paraId="254BD843" w14:textId="77777777">
        <w:trPr>
          <w:cantSplit/>
          <w:trHeight w:val="20"/>
          <w:jc w:val="center"/>
        </w:trPr>
        <w:tc>
          <w:tcPr>
            <w:tcW w:w="1657" w:type="dxa"/>
            <w:tcBorders>
              <w:top w:val="single" w:sz="6" w:space="0" w:color="auto"/>
              <w:left w:val="single" w:sz="6" w:space="0" w:color="auto"/>
              <w:bottom w:val="single" w:sz="6" w:space="0" w:color="auto"/>
              <w:right w:val="single" w:sz="6" w:space="0" w:color="auto"/>
            </w:tcBorders>
            <w:vAlign w:val="center"/>
          </w:tcPr>
          <w:p w14:paraId="4541EA33"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3,857–15,999</w:t>
            </w:r>
          </w:p>
        </w:tc>
        <w:tc>
          <w:tcPr>
            <w:tcW w:w="1324" w:type="dxa"/>
            <w:tcBorders>
              <w:top w:val="single" w:sz="6" w:space="0" w:color="auto"/>
              <w:left w:val="single" w:sz="6" w:space="0" w:color="auto"/>
              <w:bottom w:val="single" w:sz="6" w:space="0" w:color="auto"/>
              <w:right w:val="single" w:sz="6" w:space="0" w:color="auto"/>
            </w:tcBorders>
            <w:vAlign w:val="center"/>
          </w:tcPr>
          <w:p w14:paraId="0CC26FE3"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 xml:space="preserve">200,000 </w:t>
            </w:r>
          </w:p>
        </w:tc>
        <w:tc>
          <w:tcPr>
            <w:tcW w:w="1333" w:type="dxa"/>
            <w:tcBorders>
              <w:top w:val="single" w:sz="6" w:space="0" w:color="auto"/>
              <w:left w:val="single" w:sz="6" w:space="0" w:color="auto"/>
              <w:bottom w:val="single" w:sz="6" w:space="0" w:color="auto"/>
              <w:right w:val="single" w:sz="6" w:space="0" w:color="auto"/>
            </w:tcBorders>
            <w:vAlign w:val="center"/>
          </w:tcPr>
          <w:p w14:paraId="1A4B0446"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 xml:space="preserve">200,000 </w:t>
            </w:r>
          </w:p>
        </w:tc>
        <w:tc>
          <w:tcPr>
            <w:tcW w:w="1335" w:type="dxa"/>
            <w:tcBorders>
              <w:top w:val="single" w:sz="6" w:space="0" w:color="auto"/>
              <w:left w:val="single" w:sz="6" w:space="0" w:color="auto"/>
              <w:bottom w:val="single" w:sz="6" w:space="0" w:color="auto"/>
              <w:right w:val="single" w:sz="6" w:space="0" w:color="auto"/>
            </w:tcBorders>
            <w:vAlign w:val="center"/>
          </w:tcPr>
          <w:p w14:paraId="4AEFBCBB"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 xml:space="preserve">300,000 </w:t>
            </w:r>
          </w:p>
        </w:tc>
        <w:tc>
          <w:tcPr>
            <w:tcW w:w="1596" w:type="dxa"/>
            <w:tcBorders>
              <w:top w:val="single" w:sz="6" w:space="0" w:color="auto"/>
              <w:left w:val="single" w:sz="6" w:space="0" w:color="auto"/>
              <w:bottom w:val="single" w:sz="6" w:space="0" w:color="auto"/>
              <w:right w:val="single" w:sz="6" w:space="0" w:color="auto"/>
            </w:tcBorders>
            <w:vAlign w:val="center"/>
          </w:tcPr>
          <w:p w14:paraId="6A2840D3"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6</w:t>
            </w:r>
          </w:p>
        </w:tc>
      </w:tr>
      <w:tr w:rsidR="00DF5012" w:rsidRPr="00BA3592" w14:paraId="71F2AE0A" w14:textId="77777777">
        <w:trPr>
          <w:cantSplit/>
          <w:trHeight w:val="20"/>
          <w:jc w:val="center"/>
        </w:trPr>
        <w:tc>
          <w:tcPr>
            <w:tcW w:w="1657" w:type="dxa"/>
            <w:tcBorders>
              <w:top w:val="single" w:sz="6" w:space="0" w:color="auto"/>
              <w:left w:val="single" w:sz="6" w:space="0" w:color="auto"/>
              <w:bottom w:val="single" w:sz="6" w:space="0" w:color="auto"/>
              <w:right w:val="single" w:sz="6" w:space="0" w:color="auto"/>
            </w:tcBorders>
            <w:vAlign w:val="center"/>
          </w:tcPr>
          <w:p w14:paraId="69B4549C"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16,000 y mayores</w:t>
            </w:r>
          </w:p>
        </w:tc>
        <w:tc>
          <w:tcPr>
            <w:tcW w:w="1324" w:type="dxa"/>
            <w:tcBorders>
              <w:top w:val="single" w:sz="6" w:space="0" w:color="auto"/>
              <w:left w:val="single" w:sz="6" w:space="0" w:color="auto"/>
              <w:bottom w:val="single" w:sz="6" w:space="0" w:color="auto"/>
              <w:right w:val="single" w:sz="6" w:space="0" w:color="auto"/>
            </w:tcBorders>
            <w:vAlign w:val="center"/>
          </w:tcPr>
          <w:p w14:paraId="461ECF72"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 xml:space="preserve">500,000 </w:t>
            </w:r>
          </w:p>
        </w:tc>
        <w:tc>
          <w:tcPr>
            <w:tcW w:w="1333" w:type="dxa"/>
            <w:tcBorders>
              <w:top w:val="single" w:sz="6" w:space="0" w:color="auto"/>
              <w:left w:val="single" w:sz="6" w:space="0" w:color="auto"/>
              <w:bottom w:val="single" w:sz="6" w:space="0" w:color="auto"/>
              <w:right w:val="single" w:sz="6" w:space="0" w:color="auto"/>
            </w:tcBorders>
            <w:vAlign w:val="center"/>
          </w:tcPr>
          <w:p w14:paraId="27091C09"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 xml:space="preserve">500,000 </w:t>
            </w:r>
          </w:p>
        </w:tc>
        <w:tc>
          <w:tcPr>
            <w:tcW w:w="1335" w:type="dxa"/>
            <w:tcBorders>
              <w:top w:val="single" w:sz="6" w:space="0" w:color="auto"/>
              <w:left w:val="single" w:sz="6" w:space="0" w:color="auto"/>
              <w:bottom w:val="single" w:sz="6" w:space="0" w:color="auto"/>
              <w:right w:val="single" w:sz="6" w:space="0" w:color="auto"/>
            </w:tcBorders>
            <w:vAlign w:val="center"/>
          </w:tcPr>
          <w:p w14:paraId="23855405"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 xml:space="preserve">700,000 </w:t>
            </w:r>
          </w:p>
        </w:tc>
        <w:tc>
          <w:tcPr>
            <w:tcW w:w="1596" w:type="dxa"/>
            <w:tcBorders>
              <w:top w:val="single" w:sz="6" w:space="0" w:color="auto"/>
              <w:left w:val="single" w:sz="6" w:space="0" w:color="auto"/>
              <w:bottom w:val="single" w:sz="6" w:space="0" w:color="auto"/>
              <w:right w:val="single" w:sz="6" w:space="0" w:color="auto"/>
            </w:tcBorders>
            <w:vAlign w:val="center"/>
          </w:tcPr>
          <w:p w14:paraId="4CF519FC"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7</w:t>
            </w:r>
          </w:p>
        </w:tc>
      </w:tr>
    </w:tbl>
    <w:p w14:paraId="060B9924" w14:textId="77777777" w:rsidR="00DF5012" w:rsidRDefault="00DF5012" w:rsidP="008A0760">
      <w:pPr>
        <w:pStyle w:val="Texto"/>
        <w:spacing w:line="228" w:lineRule="exact"/>
        <w:ind w:firstLine="0"/>
        <w:rPr>
          <w:rFonts w:ascii="Verdana" w:hAnsi="Verdana"/>
          <w:sz w:val="16"/>
          <w:szCs w:val="16"/>
        </w:rPr>
      </w:pPr>
    </w:p>
    <w:p w14:paraId="05FEB5F3" w14:textId="77777777" w:rsidR="008A0760" w:rsidRPr="008A0760" w:rsidRDefault="008A0760" w:rsidP="008A0760">
      <w:pPr>
        <w:spacing w:after="101" w:line="228" w:lineRule="atLeast"/>
        <w:jc w:val="center"/>
        <w:rPr>
          <w:lang w:val="en-US" w:eastAsia="en-US"/>
        </w:rPr>
      </w:pPr>
      <w:r w:rsidRPr="008A0760">
        <w:rPr>
          <w:rFonts w:ascii="Verdana" w:hAnsi="Verdana"/>
          <w:b/>
          <w:bCs/>
          <w:sz w:val="16"/>
          <w:szCs w:val="16"/>
          <w:lang w:val="en-US" w:eastAsia="en-US"/>
        </w:rPr>
        <w:t>Table 2.1</w:t>
      </w:r>
      <w:r w:rsidRPr="008A0760">
        <w:rPr>
          <w:lang w:val="en-US" w:eastAsia="en-US"/>
        </w:rPr>
        <w:t xml:space="preserve"> </w:t>
      </w:r>
    </w:p>
    <w:tbl>
      <w:tblPr>
        <w:tblW w:w="7245" w:type="dxa"/>
        <w:jc w:val="center"/>
        <w:tblCellMar>
          <w:left w:w="0" w:type="dxa"/>
          <w:right w:w="0" w:type="dxa"/>
        </w:tblCellMar>
        <w:tblLook w:val="04A0" w:firstRow="1" w:lastRow="0" w:firstColumn="1" w:lastColumn="0" w:noHBand="0" w:noVBand="1"/>
      </w:tblPr>
      <w:tblGrid>
        <w:gridCol w:w="1657"/>
        <w:gridCol w:w="1324"/>
        <w:gridCol w:w="1333"/>
        <w:gridCol w:w="1335"/>
        <w:gridCol w:w="1596"/>
      </w:tblGrid>
      <w:tr w:rsidR="008A0760" w:rsidRPr="008A0760" w14:paraId="112AA616" w14:textId="77777777" w:rsidTr="008A0760">
        <w:trPr>
          <w:trHeight w:val="20"/>
          <w:jc w:val="center"/>
        </w:trPr>
        <w:tc>
          <w:tcPr>
            <w:tcW w:w="1657"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796E3C7"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Gross Vehicle Weight (kg)</w:t>
            </w:r>
            <w:r w:rsidRPr="008A0760">
              <w:rPr>
                <w:lang w:val="en-US" w:eastAsia="en-US"/>
              </w:rPr>
              <w:t xml:space="preserve"> </w:t>
            </w:r>
          </w:p>
        </w:tc>
        <w:tc>
          <w:tcPr>
            <w:tcW w:w="5588" w:type="dxa"/>
            <w:gridSpan w:val="4"/>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2ACFB20"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Useful life</w:t>
            </w:r>
            <w:r w:rsidRPr="008A0760">
              <w:rPr>
                <w:lang w:val="en-US" w:eastAsia="en-US"/>
              </w:rPr>
              <w:t xml:space="preserve"> </w:t>
            </w:r>
          </w:p>
        </w:tc>
      </w:tr>
      <w:tr w:rsidR="008A0760" w:rsidRPr="008A0760" w14:paraId="4B3EE371"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325AF5" w14:textId="77777777" w:rsidR="008A0760" w:rsidRPr="008A0760" w:rsidRDefault="008A0760" w:rsidP="008A0760">
            <w:pPr>
              <w:rPr>
                <w:lang w:val="en-US" w:eastAsia="en-US"/>
              </w:rPr>
            </w:pPr>
          </w:p>
        </w:tc>
        <w:tc>
          <w:tcPr>
            <w:tcW w:w="3992" w:type="dxa"/>
            <w:gridSpan w:val="3"/>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22D82EFD"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Distance (km)</w:t>
            </w:r>
            <w:r w:rsidRPr="008A0760">
              <w:rPr>
                <w:lang w:val="en-US" w:eastAsia="en-US"/>
              </w:rPr>
              <w:t xml:space="preserve"> </w:t>
            </w:r>
          </w:p>
        </w:tc>
        <w:tc>
          <w:tcPr>
            <w:tcW w:w="1596"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5A8F6C69"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Time (years)</w:t>
            </w:r>
            <w:r w:rsidRPr="008A0760">
              <w:rPr>
                <w:lang w:val="en-US" w:eastAsia="en-US"/>
              </w:rPr>
              <w:t xml:space="preserve"> </w:t>
            </w:r>
          </w:p>
        </w:tc>
      </w:tr>
      <w:tr w:rsidR="008A0760" w:rsidRPr="00743A20" w14:paraId="7D612DD7"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A84416" w14:textId="77777777" w:rsidR="008A0760" w:rsidRPr="008A0760" w:rsidRDefault="008A0760" w:rsidP="008A0760">
            <w:pPr>
              <w:rPr>
                <w:lang w:val="en-US" w:eastAsia="en-US"/>
              </w:rPr>
            </w:pPr>
          </w:p>
        </w:tc>
        <w:tc>
          <w:tcPr>
            <w:tcW w:w="1324"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048D842"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Standard 2A</w:t>
            </w:r>
            <w:r w:rsidRPr="008A0760">
              <w:rPr>
                <w:lang w:val="en-US" w:eastAsia="en-US"/>
              </w:rPr>
              <w:t xml:space="preserve"> </w:t>
            </w:r>
          </w:p>
        </w:tc>
        <w:tc>
          <w:tcPr>
            <w:tcW w:w="1333"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59D34C4"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Standard 2AA</w:t>
            </w:r>
            <w:r w:rsidRPr="008A0760">
              <w:rPr>
                <w:lang w:val="en-US" w:eastAsia="en-US"/>
              </w:rPr>
              <w:t xml:space="preserve"> </w:t>
            </w:r>
          </w:p>
        </w:tc>
        <w:tc>
          <w:tcPr>
            <w:tcW w:w="1335"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3AFE2669"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Standard 2B</w:t>
            </w:r>
            <w:r w:rsidRPr="008A0760">
              <w:rPr>
                <w:lang w:val="en-US" w:eastAsia="en-US"/>
              </w:rPr>
              <w:t xml:space="preserve"> </w:t>
            </w:r>
          </w:p>
        </w:tc>
        <w:tc>
          <w:tcPr>
            <w:tcW w:w="1596"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3145081"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Standards 2A, 2AA and 2B</w:t>
            </w:r>
            <w:r w:rsidRPr="008A0760">
              <w:rPr>
                <w:lang w:val="en-US" w:eastAsia="en-US"/>
              </w:rPr>
              <w:t xml:space="preserve"> </w:t>
            </w:r>
          </w:p>
        </w:tc>
      </w:tr>
      <w:tr w:rsidR="008A0760" w:rsidRPr="008A0760" w14:paraId="4A2F3C4F" w14:textId="77777777" w:rsidTr="008A0760">
        <w:trPr>
          <w:trHeight w:val="20"/>
          <w:jc w:val="center"/>
        </w:trPr>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288E2A"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3,857-15,999</w:t>
            </w:r>
            <w:r w:rsidRPr="008A0760">
              <w:rPr>
                <w:lang w:val="en-US" w:eastAsia="en-US"/>
              </w:rPr>
              <w:t xml:space="preserve"> </w:t>
            </w:r>
          </w:p>
        </w:tc>
        <w:tc>
          <w:tcPr>
            <w:tcW w:w="13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2E29AE0"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200,000</w:t>
            </w:r>
            <w:r w:rsidRPr="008A0760">
              <w:rPr>
                <w:lang w:val="en-US" w:eastAsia="en-US"/>
              </w:rPr>
              <w:t xml:space="preserve"> </w:t>
            </w:r>
          </w:p>
        </w:tc>
        <w:tc>
          <w:tcPr>
            <w:tcW w:w="13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5C775C"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200,000</w:t>
            </w:r>
            <w:r w:rsidRPr="008A0760">
              <w:rPr>
                <w:lang w:val="en-US" w:eastAsia="en-US"/>
              </w:rPr>
              <w:t xml:space="preserve"> </w:t>
            </w:r>
          </w:p>
        </w:tc>
        <w:tc>
          <w:tcPr>
            <w:tcW w:w="13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85C0B84"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300,000</w:t>
            </w:r>
            <w:r w:rsidRPr="008A0760">
              <w:rPr>
                <w:lang w:val="en-US" w:eastAsia="en-US"/>
              </w:rPr>
              <w:t xml:space="preserve"> </w:t>
            </w:r>
          </w:p>
        </w:tc>
        <w:tc>
          <w:tcPr>
            <w:tcW w:w="15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32B3FA"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6</w:t>
            </w:r>
            <w:r w:rsidRPr="008A0760">
              <w:rPr>
                <w:lang w:val="en-US" w:eastAsia="en-US"/>
              </w:rPr>
              <w:t xml:space="preserve"> </w:t>
            </w:r>
          </w:p>
        </w:tc>
      </w:tr>
      <w:tr w:rsidR="008A0760" w:rsidRPr="008A0760" w14:paraId="1F5567AC" w14:textId="77777777" w:rsidTr="008A0760">
        <w:trPr>
          <w:trHeight w:val="20"/>
          <w:jc w:val="center"/>
        </w:trPr>
        <w:tc>
          <w:tcPr>
            <w:tcW w:w="165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298F46"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 xml:space="preserve">16,000 and </w:t>
            </w:r>
            <w:r w:rsidR="007A67E5">
              <w:rPr>
                <w:rFonts w:ascii="Verdana" w:hAnsi="Verdana"/>
                <w:sz w:val="16"/>
                <w:szCs w:val="16"/>
                <w:lang w:val="en-US" w:eastAsia="en-US"/>
              </w:rPr>
              <w:t>greater</w:t>
            </w:r>
            <w:r w:rsidRPr="008A0760">
              <w:rPr>
                <w:lang w:val="en-US" w:eastAsia="en-US"/>
              </w:rPr>
              <w:t xml:space="preserve"> </w:t>
            </w:r>
          </w:p>
        </w:tc>
        <w:tc>
          <w:tcPr>
            <w:tcW w:w="132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6A2B7A"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500,000</w:t>
            </w:r>
            <w:r w:rsidRPr="008A0760">
              <w:rPr>
                <w:lang w:val="en-US" w:eastAsia="en-US"/>
              </w:rPr>
              <w:t xml:space="preserve"> </w:t>
            </w:r>
          </w:p>
        </w:tc>
        <w:tc>
          <w:tcPr>
            <w:tcW w:w="13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129FE4"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500,000</w:t>
            </w:r>
            <w:r w:rsidRPr="008A0760">
              <w:rPr>
                <w:lang w:val="en-US" w:eastAsia="en-US"/>
              </w:rPr>
              <w:t xml:space="preserve"> </w:t>
            </w:r>
          </w:p>
        </w:tc>
        <w:tc>
          <w:tcPr>
            <w:tcW w:w="13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B8CCCFD"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700,000</w:t>
            </w:r>
            <w:r w:rsidRPr="008A0760">
              <w:rPr>
                <w:lang w:val="en-US" w:eastAsia="en-US"/>
              </w:rPr>
              <w:t xml:space="preserve"> </w:t>
            </w:r>
          </w:p>
        </w:tc>
        <w:tc>
          <w:tcPr>
            <w:tcW w:w="159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A0EA9E"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7</w:t>
            </w:r>
            <w:r w:rsidRPr="008A0760">
              <w:rPr>
                <w:lang w:val="en-US" w:eastAsia="en-US"/>
              </w:rPr>
              <w:t xml:space="preserve"> </w:t>
            </w:r>
          </w:p>
        </w:tc>
      </w:tr>
    </w:tbl>
    <w:p w14:paraId="2A76F4C6" w14:textId="77777777" w:rsidR="008A0760" w:rsidRPr="008A0760" w:rsidRDefault="008A0760" w:rsidP="008A0760">
      <w:pPr>
        <w:spacing w:after="101" w:line="228" w:lineRule="atLeast"/>
        <w:ind w:firstLine="288"/>
        <w:jc w:val="both"/>
        <w:rPr>
          <w:lang w:val="en-US" w:eastAsia="en-US"/>
        </w:rPr>
      </w:pPr>
      <w:r w:rsidRPr="008A0760">
        <w:rPr>
          <w:rFonts w:ascii="Verdana" w:hAnsi="Verdana"/>
          <w:sz w:val="16"/>
          <w:szCs w:val="16"/>
          <w:lang w:val="en-US" w:eastAsia="en-US"/>
        </w:rPr>
        <w:t> </w:t>
      </w:r>
    </w:p>
    <w:tbl>
      <w:tblPr>
        <w:tblW w:w="0" w:type="auto"/>
        <w:tblLook w:val="04A0" w:firstRow="1" w:lastRow="0" w:firstColumn="1" w:lastColumn="0" w:noHBand="0" w:noVBand="1"/>
      </w:tblPr>
      <w:tblGrid>
        <w:gridCol w:w="4679"/>
        <w:gridCol w:w="4681"/>
      </w:tblGrid>
      <w:tr w:rsidR="008A0760" w:rsidRPr="00743A20" w14:paraId="0407FF31" w14:textId="77777777" w:rsidTr="007A67E5">
        <w:tc>
          <w:tcPr>
            <w:tcW w:w="4788" w:type="dxa"/>
            <w:shd w:val="clear" w:color="auto" w:fill="auto"/>
          </w:tcPr>
          <w:p w14:paraId="309907C1" w14:textId="77777777" w:rsidR="008A0760" w:rsidRPr="007A67E5" w:rsidRDefault="007A67E5" w:rsidP="007A67E5">
            <w:pPr>
              <w:spacing w:after="101" w:line="228" w:lineRule="atLeast"/>
              <w:jc w:val="both"/>
              <w:rPr>
                <w:lang w:eastAsia="en-US"/>
              </w:rPr>
            </w:pPr>
            <w:r w:rsidRPr="00A57824">
              <w:rPr>
                <w:rFonts w:ascii="Verdana" w:hAnsi="Verdana"/>
                <w:b/>
                <w:sz w:val="16"/>
                <w:szCs w:val="16"/>
              </w:rPr>
              <w:t xml:space="preserve">4.1.5. </w:t>
            </w:r>
            <w:r w:rsidRPr="00A57824">
              <w:rPr>
                <w:rFonts w:ascii="Verdana" w:hAnsi="Verdana"/>
                <w:sz w:val="16"/>
                <w:szCs w:val="16"/>
              </w:rPr>
              <w:t>Los motores nuevos a diésel que cumplan con el estándar 2AA, establecidos en la Tabla 2 de la presente norma oficial mexicana deben tener incorporado el Sistema de Diagnóstico a Bordo (SDB/OBD), para el cual aplicarán los umbrales que entrarán en operación al alcanzar los siguientes valores:  7,000 mg/kWh de niveles de NOx y 100 mg/kWh de partículas.</w:t>
            </w:r>
          </w:p>
        </w:tc>
        <w:tc>
          <w:tcPr>
            <w:tcW w:w="4788" w:type="dxa"/>
            <w:shd w:val="clear" w:color="auto" w:fill="auto"/>
          </w:tcPr>
          <w:p w14:paraId="79CB36F3" w14:textId="77777777" w:rsidR="008A0760" w:rsidRPr="007A67E5" w:rsidRDefault="007A67E5" w:rsidP="007A67E5">
            <w:pPr>
              <w:pStyle w:val="Texto"/>
              <w:spacing w:line="228" w:lineRule="exact"/>
              <w:ind w:firstLine="0"/>
              <w:rPr>
                <w:rFonts w:ascii="Verdana" w:hAnsi="Verdana"/>
                <w:sz w:val="16"/>
                <w:szCs w:val="16"/>
                <w:lang w:val="en-US"/>
              </w:rPr>
            </w:pPr>
            <w:r w:rsidRPr="00A57824">
              <w:rPr>
                <w:rFonts w:ascii="Verdana" w:hAnsi="Verdana"/>
                <w:b/>
                <w:bCs/>
                <w:sz w:val="16"/>
                <w:szCs w:val="16"/>
                <w:lang w:val="en-US" w:eastAsia="en-US"/>
              </w:rPr>
              <w:t>4.1.5.</w:t>
            </w:r>
            <w:r w:rsidRPr="00A57824">
              <w:rPr>
                <w:lang w:val="en-US" w:eastAsia="en-US"/>
              </w:rPr>
              <w:t xml:space="preserve"> </w:t>
            </w:r>
            <w:r w:rsidRPr="00A57824">
              <w:rPr>
                <w:rFonts w:ascii="Verdana" w:hAnsi="Verdana"/>
                <w:sz w:val="16"/>
                <w:szCs w:val="16"/>
                <w:lang w:val="en-US" w:eastAsia="en-US"/>
              </w:rPr>
              <w:t xml:space="preserve">New diesel engines that comply with the 2AA standard, established in Table 2 of this </w:t>
            </w:r>
            <w:r>
              <w:rPr>
                <w:rFonts w:ascii="Verdana" w:hAnsi="Verdana"/>
                <w:sz w:val="16"/>
                <w:szCs w:val="16"/>
                <w:lang w:val="en-US" w:eastAsia="en-US"/>
              </w:rPr>
              <w:t>Official Mexican Standard</w:t>
            </w:r>
            <w:r w:rsidRPr="00A57824">
              <w:rPr>
                <w:rFonts w:ascii="Verdana" w:hAnsi="Verdana"/>
                <w:sz w:val="16"/>
                <w:szCs w:val="16"/>
                <w:lang w:val="en-US" w:eastAsia="en-US"/>
              </w:rPr>
              <w:t>, must have the On-Board Diagnostic System (</w:t>
            </w:r>
            <w:r w:rsidR="002D78B5">
              <w:rPr>
                <w:rFonts w:ascii="Verdana" w:hAnsi="Verdana"/>
                <w:sz w:val="16"/>
                <w:szCs w:val="16"/>
                <w:lang w:val="en-US" w:eastAsia="en-US"/>
              </w:rPr>
              <w:t>SDB/OBD</w:t>
            </w:r>
            <w:r w:rsidRPr="00A57824">
              <w:rPr>
                <w:rFonts w:ascii="Verdana" w:hAnsi="Verdana"/>
                <w:sz w:val="16"/>
                <w:szCs w:val="16"/>
                <w:lang w:val="en-US" w:eastAsia="en-US"/>
              </w:rPr>
              <w:t>) incorporated, for which the thresholds that will come into operation upon reaching the following values: 7,000 mg/kWh of</w:t>
            </w:r>
            <w:r w:rsidRPr="00A57824">
              <w:rPr>
                <w:lang w:val="en-US" w:eastAsia="en-US"/>
              </w:rPr>
              <w:t xml:space="preserve"> </w:t>
            </w:r>
            <w:r w:rsidRPr="00A57824">
              <w:rPr>
                <w:rFonts w:ascii="Verdana" w:hAnsi="Verdana"/>
                <w:sz w:val="16"/>
                <w:szCs w:val="16"/>
                <w:lang w:val="en-US" w:eastAsia="en-US"/>
              </w:rPr>
              <w:t>NOx</w:t>
            </w:r>
            <w:r w:rsidRPr="00A57824">
              <w:rPr>
                <w:lang w:val="en-US" w:eastAsia="en-US"/>
              </w:rPr>
              <w:t xml:space="preserve"> </w:t>
            </w:r>
            <w:r w:rsidRPr="00A57824">
              <w:rPr>
                <w:rFonts w:ascii="Verdana" w:hAnsi="Verdana"/>
                <w:sz w:val="16"/>
                <w:szCs w:val="16"/>
                <w:lang w:val="en-US" w:eastAsia="en-US"/>
              </w:rPr>
              <w:t>levels</w:t>
            </w:r>
            <w:r w:rsidRPr="00A57824">
              <w:rPr>
                <w:lang w:val="en-US" w:eastAsia="en-US"/>
              </w:rPr>
              <w:t xml:space="preserve"> </w:t>
            </w:r>
            <w:r w:rsidRPr="00A57824">
              <w:rPr>
                <w:rFonts w:ascii="Verdana" w:hAnsi="Verdana"/>
                <w:sz w:val="16"/>
                <w:szCs w:val="16"/>
                <w:lang w:val="en-US" w:eastAsia="en-US"/>
              </w:rPr>
              <w:t>and 100 mg/kWh of particles.</w:t>
            </w:r>
          </w:p>
        </w:tc>
      </w:tr>
    </w:tbl>
    <w:p w14:paraId="41D5B878" w14:textId="77777777" w:rsidR="008A0760" w:rsidRDefault="008A0760" w:rsidP="008A0760">
      <w:pPr>
        <w:pStyle w:val="Texto"/>
        <w:spacing w:line="228" w:lineRule="exact"/>
        <w:ind w:firstLine="0"/>
        <w:rPr>
          <w:rFonts w:ascii="Verdana" w:hAnsi="Verdana"/>
          <w:sz w:val="16"/>
          <w:szCs w:val="16"/>
          <w:lang w:val="en-US"/>
        </w:rPr>
      </w:pPr>
    </w:p>
    <w:p w14:paraId="3F1299E0" w14:textId="77777777" w:rsidR="007A67E5" w:rsidRPr="008A0760" w:rsidRDefault="007A67E5" w:rsidP="008A0760">
      <w:pPr>
        <w:pStyle w:val="Texto"/>
        <w:spacing w:line="228" w:lineRule="exact"/>
        <w:ind w:firstLine="0"/>
        <w:rPr>
          <w:rFonts w:ascii="Verdana" w:hAnsi="Verdana"/>
          <w:sz w:val="16"/>
          <w:szCs w:val="16"/>
          <w:lang w:val="en-US"/>
        </w:rPr>
      </w:pPr>
    </w:p>
    <w:tbl>
      <w:tblPr>
        <w:tblW w:w="0" w:type="auto"/>
        <w:tblLook w:val="04A0" w:firstRow="1" w:lastRow="0" w:firstColumn="1" w:lastColumn="0" w:noHBand="0" w:noVBand="1"/>
      </w:tblPr>
      <w:tblGrid>
        <w:gridCol w:w="4683"/>
        <w:gridCol w:w="4677"/>
      </w:tblGrid>
      <w:tr w:rsidR="008A0760" w:rsidRPr="00743A20" w14:paraId="72B891D8" w14:textId="77777777" w:rsidTr="007A67E5">
        <w:tc>
          <w:tcPr>
            <w:tcW w:w="4788" w:type="dxa"/>
            <w:shd w:val="clear" w:color="auto" w:fill="auto"/>
          </w:tcPr>
          <w:p w14:paraId="47A60EC0" w14:textId="77777777" w:rsidR="008A0760" w:rsidRPr="00A57824" w:rsidRDefault="008A0760" w:rsidP="00A57824">
            <w:pPr>
              <w:pStyle w:val="Texto"/>
              <w:spacing w:line="228" w:lineRule="exact"/>
              <w:ind w:firstLine="0"/>
              <w:rPr>
                <w:rFonts w:ascii="Verdana" w:hAnsi="Verdana"/>
                <w:b/>
                <w:sz w:val="16"/>
                <w:szCs w:val="16"/>
              </w:rPr>
            </w:pPr>
            <w:r w:rsidRPr="00A57824">
              <w:rPr>
                <w:rFonts w:ascii="Verdana" w:hAnsi="Verdana"/>
                <w:b/>
                <w:sz w:val="16"/>
                <w:szCs w:val="16"/>
              </w:rPr>
              <w:t>4.2. VEHÍCULOS AUTOMOTORES NUEVOS EQUIPADOS CON MOTOR A DIÉSEL</w:t>
            </w:r>
          </w:p>
        </w:tc>
        <w:tc>
          <w:tcPr>
            <w:tcW w:w="4788" w:type="dxa"/>
            <w:shd w:val="clear" w:color="auto" w:fill="auto"/>
          </w:tcPr>
          <w:p w14:paraId="4890B690" w14:textId="77777777" w:rsidR="008A0760" w:rsidRPr="00A57824" w:rsidRDefault="008A0760" w:rsidP="00A57824">
            <w:pPr>
              <w:spacing w:after="101" w:line="228" w:lineRule="atLeast"/>
              <w:jc w:val="both"/>
              <w:rPr>
                <w:lang w:val="en-US"/>
              </w:rPr>
            </w:pPr>
            <w:r w:rsidRPr="00A57824">
              <w:rPr>
                <w:rFonts w:ascii="Verdana" w:hAnsi="Verdana"/>
                <w:b/>
                <w:bCs/>
                <w:sz w:val="16"/>
                <w:szCs w:val="16"/>
                <w:lang w:val="en-US"/>
              </w:rPr>
              <w:t>4.2.</w:t>
            </w:r>
            <w:r w:rsidRPr="00A57824">
              <w:rPr>
                <w:lang w:val="en-US"/>
              </w:rPr>
              <w:t xml:space="preserve"> </w:t>
            </w:r>
            <w:r w:rsidRPr="00A57824">
              <w:rPr>
                <w:rFonts w:ascii="Verdana" w:hAnsi="Verdana"/>
                <w:b/>
                <w:bCs/>
                <w:sz w:val="16"/>
                <w:szCs w:val="16"/>
                <w:lang w:val="en-US"/>
              </w:rPr>
              <w:t>NEW AUTOMOTIVE VEHICLES EQUIPPED WITH DIESEL ENGINE</w:t>
            </w:r>
            <w:r w:rsidRPr="00A57824">
              <w:rPr>
                <w:lang w:val="en-US"/>
              </w:rPr>
              <w:t xml:space="preserve"> </w:t>
            </w:r>
          </w:p>
        </w:tc>
      </w:tr>
      <w:tr w:rsidR="008A0760" w:rsidRPr="00743A20" w14:paraId="1418FF84" w14:textId="77777777" w:rsidTr="007A67E5">
        <w:tc>
          <w:tcPr>
            <w:tcW w:w="4788" w:type="dxa"/>
            <w:shd w:val="clear" w:color="auto" w:fill="auto"/>
          </w:tcPr>
          <w:p w14:paraId="2DBFFC03" w14:textId="77777777" w:rsidR="008A0760" w:rsidRPr="00A57824" w:rsidRDefault="008A0760" w:rsidP="00A57824">
            <w:pPr>
              <w:pStyle w:val="Texto"/>
              <w:spacing w:line="228" w:lineRule="exact"/>
              <w:ind w:firstLine="0"/>
              <w:rPr>
                <w:rFonts w:ascii="Verdana" w:hAnsi="Verdana"/>
                <w:sz w:val="16"/>
                <w:szCs w:val="16"/>
              </w:rPr>
            </w:pPr>
            <w:r w:rsidRPr="00A57824">
              <w:rPr>
                <w:rFonts w:ascii="Verdana" w:hAnsi="Verdana"/>
                <w:sz w:val="16"/>
                <w:szCs w:val="16"/>
              </w:rPr>
              <w:t>Los vehículos nuevos equipados con motor nuevo a diésel tendrán una alternativa al cumplimiento de los estándares A, AA y B contemplados en las Tablas 1 y 2 del presente instrumento normativo. En este caso, se podrá realizar una prueba de dinamómetro de chasis y cumplir con los estándares A y B de la Tabla 3, así como con los estándares A, AA y B de la Tabla 4 de esta norma oficial mexicana; lo anterior, de acuerdo a lo establecido en los numerales 4.2.1 o 4.2.4 que aparecen más adelante y que aplican, según corresponda.</w:t>
            </w:r>
          </w:p>
        </w:tc>
        <w:tc>
          <w:tcPr>
            <w:tcW w:w="4788" w:type="dxa"/>
            <w:shd w:val="clear" w:color="auto" w:fill="auto"/>
          </w:tcPr>
          <w:p w14:paraId="3933D256" w14:textId="77777777" w:rsidR="008A0760" w:rsidRPr="00A57824" w:rsidRDefault="008A0760" w:rsidP="00A57824">
            <w:pPr>
              <w:spacing w:after="101" w:line="228" w:lineRule="atLeast"/>
              <w:jc w:val="both"/>
              <w:rPr>
                <w:lang w:val="en-US"/>
              </w:rPr>
            </w:pPr>
            <w:r w:rsidRPr="00A57824">
              <w:rPr>
                <w:rFonts w:ascii="Verdana" w:hAnsi="Verdana"/>
                <w:sz w:val="16"/>
                <w:szCs w:val="16"/>
                <w:lang w:val="en-US"/>
              </w:rPr>
              <w:t>New vehicles equipped with a new diesel engine will have an alternative to compliance with standards A, AA and B contemplated in Tables 1 and 2 of this regulatory instrument.</w:t>
            </w:r>
            <w:r w:rsidRPr="00A57824">
              <w:rPr>
                <w:lang w:val="en-US"/>
              </w:rPr>
              <w:t xml:space="preserve"> </w:t>
            </w:r>
            <w:r w:rsidRPr="00A57824">
              <w:rPr>
                <w:rFonts w:ascii="Verdana" w:hAnsi="Verdana"/>
                <w:sz w:val="16"/>
                <w:szCs w:val="16"/>
                <w:lang w:val="en-US"/>
              </w:rPr>
              <w:t xml:space="preserve">In this case, a chassis dynamometer test may be performed and comply with standards A and B of Table 3, as well as with standards A, AA and B of Table 4 of this </w:t>
            </w:r>
            <w:r w:rsidR="001F59CA">
              <w:rPr>
                <w:rFonts w:ascii="Verdana" w:hAnsi="Verdana"/>
                <w:sz w:val="16"/>
                <w:szCs w:val="16"/>
                <w:lang w:val="en-US"/>
              </w:rPr>
              <w:t>Official Mexican Standard</w:t>
            </w:r>
            <w:r w:rsidRPr="00A57824">
              <w:rPr>
                <w:rFonts w:ascii="Verdana" w:hAnsi="Verdana"/>
                <w:sz w:val="16"/>
                <w:szCs w:val="16"/>
                <w:lang w:val="en-US"/>
              </w:rPr>
              <w:t>;</w:t>
            </w:r>
            <w:r w:rsidRPr="00A57824">
              <w:rPr>
                <w:lang w:val="en-US"/>
              </w:rPr>
              <w:t xml:space="preserve"> </w:t>
            </w:r>
            <w:r w:rsidRPr="00A57824">
              <w:rPr>
                <w:rFonts w:ascii="Verdana" w:hAnsi="Verdana"/>
                <w:sz w:val="16"/>
                <w:szCs w:val="16"/>
                <w:lang w:val="en-US"/>
              </w:rPr>
              <w:t>the foregoing,</w:t>
            </w:r>
            <w:r w:rsidRPr="00A57824">
              <w:rPr>
                <w:lang w:val="en-US"/>
              </w:rPr>
              <w:t xml:space="preserve"> </w:t>
            </w:r>
            <w:r w:rsidRPr="00A57824">
              <w:rPr>
                <w:rFonts w:ascii="Verdana" w:hAnsi="Verdana"/>
                <w:sz w:val="16"/>
                <w:szCs w:val="16"/>
                <w:lang w:val="en-US"/>
              </w:rPr>
              <w:t>in accordance with</w:t>
            </w:r>
            <w:r w:rsidRPr="00A57824">
              <w:rPr>
                <w:lang w:val="en-US"/>
              </w:rPr>
              <w:t xml:space="preserve"> </w:t>
            </w:r>
            <w:r w:rsidRPr="00A57824">
              <w:rPr>
                <w:rFonts w:ascii="Verdana" w:hAnsi="Verdana"/>
                <w:sz w:val="16"/>
                <w:szCs w:val="16"/>
                <w:lang w:val="en-US"/>
              </w:rPr>
              <w:t>what is established in sections 4.2.1 or 4.2.4 that appear below and that apply, as applicable.</w:t>
            </w:r>
            <w:r w:rsidRPr="00A57824">
              <w:rPr>
                <w:lang w:val="en-US"/>
              </w:rPr>
              <w:t xml:space="preserve"> </w:t>
            </w:r>
          </w:p>
        </w:tc>
      </w:tr>
      <w:tr w:rsidR="008A0760" w:rsidRPr="00743A20" w14:paraId="4D662288" w14:textId="77777777" w:rsidTr="007A67E5">
        <w:tc>
          <w:tcPr>
            <w:tcW w:w="4788" w:type="dxa"/>
            <w:shd w:val="clear" w:color="auto" w:fill="auto"/>
          </w:tcPr>
          <w:p w14:paraId="1E0F2F5D" w14:textId="77777777" w:rsidR="008A0760" w:rsidRPr="00A57824" w:rsidRDefault="008A0760" w:rsidP="00A57824">
            <w:pPr>
              <w:pStyle w:val="Texto"/>
              <w:spacing w:line="228" w:lineRule="exact"/>
              <w:ind w:firstLine="0"/>
              <w:rPr>
                <w:rFonts w:ascii="Verdana" w:hAnsi="Verdana"/>
                <w:sz w:val="16"/>
                <w:szCs w:val="16"/>
              </w:rPr>
            </w:pPr>
            <w:r w:rsidRPr="00A57824">
              <w:rPr>
                <w:rFonts w:ascii="Verdana" w:hAnsi="Verdana"/>
                <w:b/>
                <w:sz w:val="16"/>
                <w:szCs w:val="16"/>
              </w:rPr>
              <w:t>4.2.1.</w:t>
            </w:r>
            <w:r w:rsidRPr="00A57824">
              <w:rPr>
                <w:rFonts w:ascii="Verdana" w:hAnsi="Verdana"/>
                <w:sz w:val="16"/>
                <w:szCs w:val="16"/>
              </w:rPr>
              <w:t xml:space="preserve"> Los vehículos automotores nuevos con peso bruto vehicular mayor a 3,857 kg y hasta </w:t>
            </w:r>
            <w:r w:rsidRPr="00A57824">
              <w:rPr>
                <w:rFonts w:ascii="Verdana" w:hAnsi="Verdana"/>
                <w:sz w:val="16"/>
                <w:szCs w:val="16"/>
                <w:lang w:val="es-ES"/>
              </w:rPr>
              <w:t xml:space="preserve">6,350 </w:t>
            </w:r>
            <w:r w:rsidRPr="00A57824">
              <w:rPr>
                <w:rFonts w:ascii="Verdana" w:hAnsi="Verdana"/>
                <w:sz w:val="16"/>
                <w:szCs w:val="16"/>
              </w:rPr>
              <w:t>kg  (o su equivalente de 8,500 libras hasta 14,000 libras), podrán aplicar una prueba de dinamómetro de chasis, mediante el método de prueba denominado FTP 75, establecido por la Agencia de Protección Ambiental de los Estados Unidos de América, como alternativa para cumplir con los estándares 1A y 1B. En este caso, los vehículos nuevos deberán cumplir con los límites máximos permisibles señalados en el numeral 4.2.2.</w:t>
            </w:r>
          </w:p>
        </w:tc>
        <w:tc>
          <w:tcPr>
            <w:tcW w:w="4788" w:type="dxa"/>
            <w:shd w:val="clear" w:color="auto" w:fill="auto"/>
          </w:tcPr>
          <w:p w14:paraId="4798D668" w14:textId="77777777" w:rsidR="008A0760" w:rsidRPr="00A57824" w:rsidRDefault="008A0760" w:rsidP="00A57824">
            <w:pPr>
              <w:spacing w:after="101" w:line="228" w:lineRule="atLeast"/>
              <w:jc w:val="both"/>
              <w:rPr>
                <w:lang w:val="en-US"/>
              </w:rPr>
            </w:pPr>
            <w:r w:rsidRPr="00A57824">
              <w:rPr>
                <w:rFonts w:ascii="Verdana" w:hAnsi="Verdana"/>
                <w:b/>
                <w:bCs/>
                <w:sz w:val="16"/>
                <w:szCs w:val="16"/>
                <w:lang w:val="en-US"/>
              </w:rPr>
              <w:t>4.2.1.</w:t>
            </w:r>
            <w:r w:rsidRPr="00A57824">
              <w:rPr>
                <w:lang w:val="en-US"/>
              </w:rPr>
              <w:t xml:space="preserve"> </w:t>
            </w:r>
            <w:r w:rsidRPr="00A57824">
              <w:rPr>
                <w:rFonts w:ascii="Verdana" w:hAnsi="Verdana"/>
                <w:sz w:val="16"/>
                <w:szCs w:val="16"/>
                <w:lang w:val="en-US"/>
              </w:rPr>
              <w:t>New automotive vehicles with gross vehicle weight greater than 3,857 kg and up to</w:t>
            </w:r>
            <w:r w:rsidRPr="00A57824">
              <w:rPr>
                <w:lang w:val="en-US"/>
              </w:rPr>
              <w:t xml:space="preserve"> </w:t>
            </w:r>
            <w:r w:rsidRPr="00A57824">
              <w:rPr>
                <w:rFonts w:ascii="Verdana" w:hAnsi="Verdana"/>
                <w:sz w:val="16"/>
                <w:szCs w:val="16"/>
                <w:lang w:val="en-US"/>
              </w:rPr>
              <w:t>6,350</w:t>
            </w:r>
            <w:r w:rsidRPr="00A57824">
              <w:rPr>
                <w:lang w:val="en-US"/>
              </w:rPr>
              <w:t xml:space="preserve"> </w:t>
            </w:r>
            <w:r w:rsidRPr="00A57824">
              <w:rPr>
                <w:rFonts w:ascii="Verdana" w:hAnsi="Verdana"/>
                <w:sz w:val="16"/>
                <w:szCs w:val="16"/>
                <w:lang w:val="en-US"/>
              </w:rPr>
              <w:t xml:space="preserve">kg (or its equivalent of 8,500 pounds up to 14,000 pounds), may apply a chassis dynamometer test, using the test method called FTP 75, established by the Environmental Protection </w:t>
            </w:r>
            <w:r w:rsidR="007A67E5">
              <w:rPr>
                <w:rFonts w:ascii="Verdana" w:hAnsi="Verdana"/>
                <w:sz w:val="16"/>
                <w:szCs w:val="16"/>
                <w:lang w:val="en-US"/>
              </w:rPr>
              <w:t xml:space="preserve">Agency </w:t>
            </w:r>
            <w:r w:rsidRPr="00A57824">
              <w:rPr>
                <w:rFonts w:ascii="Verdana" w:hAnsi="Verdana"/>
                <w:sz w:val="16"/>
                <w:szCs w:val="16"/>
                <w:lang w:val="en-US"/>
              </w:rPr>
              <w:t>of the United States of America, as an alternative to comply with standards 1A and 1B.</w:t>
            </w:r>
            <w:r w:rsidRPr="00A57824">
              <w:rPr>
                <w:lang w:val="en-US"/>
              </w:rPr>
              <w:t xml:space="preserve"> </w:t>
            </w:r>
            <w:r w:rsidRPr="00A57824">
              <w:rPr>
                <w:rFonts w:ascii="Verdana" w:hAnsi="Verdana"/>
                <w:sz w:val="16"/>
                <w:szCs w:val="16"/>
                <w:lang w:val="en-US"/>
              </w:rPr>
              <w:t>In this case, new vehicles must comply with the maximum permissible limits indicated in section 4.2.2.</w:t>
            </w:r>
            <w:r w:rsidRPr="00A57824">
              <w:rPr>
                <w:lang w:val="en-US"/>
              </w:rPr>
              <w:t xml:space="preserve"> </w:t>
            </w:r>
          </w:p>
        </w:tc>
      </w:tr>
      <w:tr w:rsidR="008A0760" w:rsidRPr="00743A20" w14:paraId="52BEF9B2" w14:textId="77777777" w:rsidTr="007A67E5">
        <w:tc>
          <w:tcPr>
            <w:tcW w:w="4788" w:type="dxa"/>
            <w:shd w:val="clear" w:color="auto" w:fill="auto"/>
          </w:tcPr>
          <w:p w14:paraId="62479192" w14:textId="77777777" w:rsidR="008A0760" w:rsidRPr="00A57824" w:rsidRDefault="008A0760" w:rsidP="00A57824">
            <w:pPr>
              <w:pStyle w:val="Texto"/>
              <w:spacing w:line="228" w:lineRule="exact"/>
              <w:ind w:firstLine="0"/>
              <w:rPr>
                <w:rFonts w:ascii="Verdana" w:hAnsi="Verdana"/>
                <w:sz w:val="16"/>
                <w:szCs w:val="16"/>
              </w:rPr>
            </w:pPr>
            <w:r w:rsidRPr="00A57824">
              <w:rPr>
                <w:rFonts w:ascii="Verdana" w:hAnsi="Verdana"/>
                <w:b/>
                <w:sz w:val="16"/>
                <w:szCs w:val="16"/>
              </w:rPr>
              <w:t>4.2.2.</w:t>
            </w:r>
            <w:r w:rsidRPr="00A57824">
              <w:rPr>
                <w:rFonts w:ascii="Verdana" w:hAnsi="Verdana"/>
                <w:sz w:val="16"/>
                <w:szCs w:val="16"/>
              </w:rPr>
              <w:t xml:space="preserve"> Los límites máximos permisibles de emisiones de óxidos de nitrógeno (NOx), hidrocarburos no metano (HCNM) y partículas (Part), provenientes del escape de los vehículos automotores nuevos con peso bruto </w:t>
            </w:r>
            <w:r w:rsidRPr="00A57824">
              <w:rPr>
                <w:rFonts w:ascii="Verdana" w:hAnsi="Verdana"/>
                <w:sz w:val="16"/>
                <w:szCs w:val="16"/>
              </w:rPr>
              <w:lastRenderedPageBreak/>
              <w:t xml:space="preserve">vehicular mayor a 3,857 kg y hasta </w:t>
            </w:r>
            <w:r w:rsidRPr="00A57824">
              <w:rPr>
                <w:rFonts w:ascii="Verdana" w:hAnsi="Verdana"/>
                <w:sz w:val="16"/>
                <w:szCs w:val="16"/>
                <w:lang w:val="es-ES"/>
              </w:rPr>
              <w:t xml:space="preserve">6,350 </w:t>
            </w:r>
            <w:r w:rsidRPr="00A57824">
              <w:rPr>
                <w:rFonts w:ascii="Verdana" w:hAnsi="Verdana"/>
                <w:sz w:val="16"/>
                <w:szCs w:val="16"/>
              </w:rPr>
              <w:t>kg que integren motor a diésel, se indican en la Tabla 3.</w:t>
            </w:r>
          </w:p>
        </w:tc>
        <w:tc>
          <w:tcPr>
            <w:tcW w:w="4788" w:type="dxa"/>
            <w:shd w:val="clear" w:color="auto" w:fill="auto"/>
          </w:tcPr>
          <w:p w14:paraId="6EA889E5" w14:textId="77777777" w:rsidR="008A0760" w:rsidRPr="00A57824" w:rsidRDefault="008A0760" w:rsidP="00A57824">
            <w:pPr>
              <w:spacing w:after="101" w:line="228" w:lineRule="atLeast"/>
              <w:jc w:val="both"/>
              <w:rPr>
                <w:lang w:val="en-US"/>
              </w:rPr>
            </w:pPr>
            <w:r w:rsidRPr="00A57824">
              <w:rPr>
                <w:rFonts w:ascii="Verdana" w:hAnsi="Verdana"/>
                <w:b/>
                <w:bCs/>
                <w:sz w:val="16"/>
                <w:szCs w:val="16"/>
                <w:lang w:val="en-US"/>
              </w:rPr>
              <w:lastRenderedPageBreak/>
              <w:t>4.2.2.</w:t>
            </w:r>
            <w:r w:rsidRPr="00A57824">
              <w:rPr>
                <w:lang w:val="en-US"/>
              </w:rPr>
              <w:t xml:space="preserve"> </w:t>
            </w:r>
            <w:r w:rsidRPr="00A57824">
              <w:rPr>
                <w:rFonts w:ascii="Verdana" w:hAnsi="Verdana"/>
                <w:sz w:val="16"/>
                <w:szCs w:val="16"/>
                <w:lang w:val="en-US"/>
              </w:rPr>
              <w:t xml:space="preserve">The maximum permissible limits of emissions of nitrogen oxides </w:t>
            </w:r>
            <w:r w:rsidR="00475F08">
              <w:rPr>
                <w:rFonts w:ascii="Verdana" w:hAnsi="Verdana"/>
                <w:sz w:val="16"/>
                <w:szCs w:val="16"/>
                <w:lang w:val="en-US"/>
              </w:rPr>
              <w:t>(NOx)</w:t>
            </w:r>
            <w:r w:rsidRPr="00A57824">
              <w:rPr>
                <w:rFonts w:ascii="Verdana" w:hAnsi="Verdana"/>
                <w:sz w:val="16"/>
                <w:szCs w:val="16"/>
                <w:lang w:val="en-US"/>
              </w:rPr>
              <w:t xml:space="preserve">, non-methane hydrocarbons (HCNM) and particles (Part), from the exhaust of new automotive vehicles with gross vehicle weight greater </w:t>
            </w:r>
            <w:r w:rsidRPr="00A57824">
              <w:rPr>
                <w:rFonts w:ascii="Verdana" w:hAnsi="Verdana"/>
                <w:sz w:val="16"/>
                <w:szCs w:val="16"/>
                <w:lang w:val="en-US"/>
              </w:rPr>
              <w:lastRenderedPageBreak/>
              <w:t>than 3,857 kg and up to</w:t>
            </w:r>
            <w:r w:rsidRPr="00A57824">
              <w:rPr>
                <w:lang w:val="en-US"/>
              </w:rPr>
              <w:t xml:space="preserve"> </w:t>
            </w:r>
            <w:r w:rsidRPr="00A57824">
              <w:rPr>
                <w:rFonts w:ascii="Verdana" w:hAnsi="Verdana"/>
                <w:sz w:val="16"/>
                <w:szCs w:val="16"/>
                <w:lang w:val="en-US"/>
              </w:rPr>
              <w:t>6,350</w:t>
            </w:r>
            <w:r w:rsidRPr="00A57824">
              <w:rPr>
                <w:lang w:val="en-US"/>
              </w:rPr>
              <w:t xml:space="preserve"> </w:t>
            </w:r>
            <w:r w:rsidRPr="00A57824">
              <w:rPr>
                <w:rFonts w:ascii="Verdana" w:hAnsi="Verdana"/>
                <w:sz w:val="16"/>
                <w:szCs w:val="16"/>
                <w:lang w:val="en-US"/>
              </w:rPr>
              <w:t>kg that integrate engine to diesel, are indicated in Table 3.</w:t>
            </w:r>
            <w:r w:rsidRPr="00A57824">
              <w:rPr>
                <w:lang w:val="en-US"/>
              </w:rPr>
              <w:t xml:space="preserve"> </w:t>
            </w:r>
          </w:p>
        </w:tc>
      </w:tr>
    </w:tbl>
    <w:p w14:paraId="037E03E6" w14:textId="77777777" w:rsidR="00DF5012" w:rsidRPr="00BA3592" w:rsidRDefault="00DF5012" w:rsidP="00DF5012">
      <w:pPr>
        <w:pStyle w:val="Texto"/>
        <w:spacing w:line="228" w:lineRule="exact"/>
        <w:ind w:firstLine="0"/>
        <w:jc w:val="center"/>
        <w:rPr>
          <w:rFonts w:ascii="Verdana" w:hAnsi="Verdana"/>
          <w:b/>
          <w:sz w:val="16"/>
          <w:szCs w:val="16"/>
        </w:rPr>
      </w:pPr>
      <w:r w:rsidRPr="00BA3592">
        <w:rPr>
          <w:rFonts w:ascii="Verdana" w:hAnsi="Verdana"/>
          <w:b/>
          <w:sz w:val="16"/>
          <w:szCs w:val="16"/>
        </w:rPr>
        <w:lastRenderedPageBreak/>
        <w:t>Tabla 3</w:t>
      </w:r>
    </w:p>
    <w:tbl>
      <w:tblPr>
        <w:tblW w:w="6721" w:type="dxa"/>
        <w:jc w:val="center"/>
        <w:tblCellMar>
          <w:left w:w="70" w:type="dxa"/>
          <w:right w:w="70" w:type="dxa"/>
        </w:tblCellMar>
        <w:tblLook w:val="0000" w:firstRow="0" w:lastRow="0" w:firstColumn="0" w:lastColumn="0" w:noHBand="0" w:noVBand="0"/>
      </w:tblPr>
      <w:tblGrid>
        <w:gridCol w:w="1094"/>
        <w:gridCol w:w="1550"/>
        <w:gridCol w:w="1261"/>
        <w:gridCol w:w="853"/>
        <w:gridCol w:w="1075"/>
        <w:gridCol w:w="888"/>
      </w:tblGrid>
      <w:tr w:rsidR="00DF5012" w:rsidRPr="00BA3592" w14:paraId="443E4573" w14:textId="77777777">
        <w:trPr>
          <w:trHeight w:val="20"/>
          <w:jc w:val="center"/>
        </w:trPr>
        <w:tc>
          <w:tcPr>
            <w:tcW w:w="1094" w:type="dxa"/>
            <w:vMerge w:val="restart"/>
            <w:tcBorders>
              <w:top w:val="single" w:sz="6" w:space="0" w:color="auto"/>
              <w:left w:val="single" w:sz="6" w:space="0" w:color="auto"/>
              <w:right w:val="single" w:sz="6" w:space="0" w:color="auto"/>
            </w:tcBorders>
            <w:shd w:val="pct12" w:color="auto" w:fill="auto"/>
            <w:noWrap/>
            <w:vAlign w:val="center"/>
          </w:tcPr>
          <w:p w14:paraId="1468470E"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Estándar</w:t>
            </w:r>
          </w:p>
        </w:tc>
        <w:tc>
          <w:tcPr>
            <w:tcW w:w="1550" w:type="dxa"/>
            <w:vMerge w:val="restart"/>
            <w:tcBorders>
              <w:top w:val="single" w:sz="6" w:space="0" w:color="auto"/>
              <w:left w:val="single" w:sz="6" w:space="0" w:color="auto"/>
              <w:right w:val="single" w:sz="6" w:space="0" w:color="auto"/>
            </w:tcBorders>
            <w:shd w:val="pct12" w:color="auto" w:fill="auto"/>
            <w:vAlign w:val="center"/>
          </w:tcPr>
          <w:p w14:paraId="7F7A95E9"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Peso bruto vehicular (kg)</w:t>
            </w:r>
          </w:p>
        </w:tc>
        <w:tc>
          <w:tcPr>
            <w:tcW w:w="1261" w:type="dxa"/>
            <w:vMerge w:val="restart"/>
            <w:tcBorders>
              <w:top w:val="single" w:sz="6" w:space="0" w:color="auto"/>
              <w:left w:val="single" w:sz="6" w:space="0" w:color="auto"/>
              <w:right w:val="single" w:sz="6" w:space="0" w:color="auto"/>
            </w:tcBorders>
            <w:shd w:val="pct12" w:color="auto" w:fill="auto"/>
            <w:vAlign w:val="center"/>
          </w:tcPr>
          <w:p w14:paraId="1CD603D5"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 xml:space="preserve">Método de prueba </w:t>
            </w:r>
          </w:p>
        </w:tc>
        <w:tc>
          <w:tcPr>
            <w:tcW w:w="853" w:type="dxa"/>
            <w:tcBorders>
              <w:top w:val="single" w:sz="6" w:space="0" w:color="auto"/>
              <w:left w:val="single" w:sz="6" w:space="0" w:color="auto"/>
              <w:bottom w:val="single" w:sz="6" w:space="0" w:color="auto"/>
              <w:right w:val="single" w:sz="6" w:space="0" w:color="auto"/>
            </w:tcBorders>
            <w:shd w:val="pct12" w:color="auto" w:fill="auto"/>
            <w:vAlign w:val="center"/>
          </w:tcPr>
          <w:p w14:paraId="595DC357"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NOx</w:t>
            </w:r>
          </w:p>
        </w:tc>
        <w:tc>
          <w:tcPr>
            <w:tcW w:w="1075" w:type="dxa"/>
            <w:tcBorders>
              <w:top w:val="single" w:sz="6" w:space="0" w:color="auto"/>
              <w:left w:val="single" w:sz="6" w:space="0" w:color="auto"/>
              <w:bottom w:val="single" w:sz="6" w:space="0" w:color="auto"/>
              <w:right w:val="single" w:sz="6" w:space="0" w:color="auto"/>
            </w:tcBorders>
            <w:shd w:val="pct12" w:color="auto" w:fill="auto"/>
            <w:vAlign w:val="center"/>
          </w:tcPr>
          <w:p w14:paraId="7D1BCCF3"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HCNM</w:t>
            </w:r>
          </w:p>
        </w:tc>
        <w:tc>
          <w:tcPr>
            <w:tcW w:w="888" w:type="dxa"/>
            <w:tcBorders>
              <w:top w:val="single" w:sz="6" w:space="0" w:color="auto"/>
              <w:left w:val="single" w:sz="6" w:space="0" w:color="auto"/>
              <w:bottom w:val="single" w:sz="6" w:space="0" w:color="auto"/>
              <w:right w:val="single" w:sz="6" w:space="0" w:color="auto"/>
            </w:tcBorders>
            <w:shd w:val="pct12" w:color="auto" w:fill="auto"/>
            <w:vAlign w:val="center"/>
          </w:tcPr>
          <w:p w14:paraId="2E927925"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Part</w:t>
            </w:r>
          </w:p>
        </w:tc>
      </w:tr>
      <w:tr w:rsidR="00DF5012" w:rsidRPr="00BA3592" w14:paraId="5B4B8169" w14:textId="77777777">
        <w:trPr>
          <w:trHeight w:val="20"/>
          <w:jc w:val="center"/>
        </w:trPr>
        <w:tc>
          <w:tcPr>
            <w:tcW w:w="1094" w:type="dxa"/>
            <w:vMerge/>
            <w:tcBorders>
              <w:left w:val="single" w:sz="6" w:space="0" w:color="auto"/>
              <w:bottom w:val="single" w:sz="6" w:space="0" w:color="auto"/>
              <w:right w:val="single" w:sz="6" w:space="0" w:color="auto"/>
            </w:tcBorders>
            <w:shd w:val="pct12" w:color="auto" w:fill="auto"/>
            <w:vAlign w:val="center"/>
          </w:tcPr>
          <w:p w14:paraId="23FB31C8" w14:textId="77777777" w:rsidR="00DF5012" w:rsidRPr="00BA3592" w:rsidRDefault="00DF5012" w:rsidP="00931F51">
            <w:pPr>
              <w:pStyle w:val="Texto"/>
              <w:spacing w:before="40" w:after="40" w:line="228" w:lineRule="exact"/>
              <w:ind w:firstLine="0"/>
              <w:jc w:val="center"/>
              <w:rPr>
                <w:rFonts w:ascii="Verdana" w:hAnsi="Verdana"/>
                <w:b/>
                <w:sz w:val="16"/>
                <w:szCs w:val="16"/>
              </w:rPr>
            </w:pPr>
          </w:p>
        </w:tc>
        <w:tc>
          <w:tcPr>
            <w:tcW w:w="1550" w:type="dxa"/>
            <w:vMerge/>
            <w:tcBorders>
              <w:left w:val="single" w:sz="6" w:space="0" w:color="auto"/>
              <w:bottom w:val="single" w:sz="6" w:space="0" w:color="auto"/>
              <w:right w:val="single" w:sz="6" w:space="0" w:color="auto"/>
            </w:tcBorders>
            <w:shd w:val="pct12" w:color="auto" w:fill="auto"/>
            <w:vAlign w:val="center"/>
          </w:tcPr>
          <w:p w14:paraId="76B199CC" w14:textId="77777777" w:rsidR="00DF5012" w:rsidRPr="00BA3592" w:rsidRDefault="00DF5012" w:rsidP="00931F51">
            <w:pPr>
              <w:pStyle w:val="Texto"/>
              <w:spacing w:before="40" w:after="40" w:line="228" w:lineRule="exact"/>
              <w:ind w:firstLine="0"/>
              <w:jc w:val="center"/>
              <w:rPr>
                <w:rFonts w:ascii="Verdana" w:hAnsi="Verdana"/>
                <w:b/>
                <w:sz w:val="16"/>
                <w:szCs w:val="16"/>
              </w:rPr>
            </w:pPr>
          </w:p>
        </w:tc>
        <w:tc>
          <w:tcPr>
            <w:tcW w:w="1261" w:type="dxa"/>
            <w:vMerge/>
            <w:tcBorders>
              <w:left w:val="single" w:sz="6" w:space="0" w:color="auto"/>
              <w:bottom w:val="single" w:sz="6" w:space="0" w:color="auto"/>
              <w:right w:val="single" w:sz="6" w:space="0" w:color="auto"/>
            </w:tcBorders>
            <w:shd w:val="pct12" w:color="auto" w:fill="auto"/>
            <w:vAlign w:val="center"/>
          </w:tcPr>
          <w:p w14:paraId="166626A4" w14:textId="77777777" w:rsidR="00DF5012" w:rsidRPr="00BA3592" w:rsidRDefault="00DF5012" w:rsidP="00931F51">
            <w:pPr>
              <w:pStyle w:val="Texto"/>
              <w:spacing w:before="40" w:after="40" w:line="228" w:lineRule="exact"/>
              <w:ind w:firstLine="0"/>
              <w:jc w:val="center"/>
              <w:rPr>
                <w:rFonts w:ascii="Verdana" w:hAnsi="Verdana"/>
                <w:b/>
                <w:sz w:val="16"/>
                <w:szCs w:val="16"/>
              </w:rPr>
            </w:pPr>
          </w:p>
        </w:tc>
        <w:tc>
          <w:tcPr>
            <w:tcW w:w="2816" w:type="dxa"/>
            <w:gridSpan w:val="3"/>
            <w:tcBorders>
              <w:top w:val="single" w:sz="6" w:space="0" w:color="auto"/>
              <w:left w:val="single" w:sz="6" w:space="0" w:color="auto"/>
              <w:bottom w:val="single" w:sz="6" w:space="0" w:color="auto"/>
              <w:right w:val="single" w:sz="6" w:space="0" w:color="auto"/>
            </w:tcBorders>
            <w:shd w:val="pct12" w:color="auto" w:fill="auto"/>
            <w:vAlign w:val="center"/>
          </w:tcPr>
          <w:p w14:paraId="67E51B0C"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 xml:space="preserve">g/km </w:t>
            </w:r>
            <w:r w:rsidRPr="00BA3592">
              <w:rPr>
                <w:rFonts w:ascii="Verdana" w:hAnsi="Verdana"/>
                <w:b/>
                <w:sz w:val="16"/>
                <w:szCs w:val="16"/>
                <w:vertAlign w:val="superscript"/>
              </w:rPr>
              <w:t>(1)</w:t>
            </w:r>
          </w:p>
        </w:tc>
      </w:tr>
      <w:tr w:rsidR="00DF5012" w:rsidRPr="00BA3592" w14:paraId="2FC6A20F" w14:textId="77777777">
        <w:trPr>
          <w:trHeight w:val="20"/>
          <w:jc w:val="center"/>
        </w:trPr>
        <w:tc>
          <w:tcPr>
            <w:tcW w:w="1094" w:type="dxa"/>
            <w:vMerge w:val="restart"/>
            <w:tcBorders>
              <w:top w:val="single" w:sz="6" w:space="0" w:color="auto"/>
              <w:left w:val="single" w:sz="6" w:space="0" w:color="auto"/>
              <w:right w:val="single" w:sz="6" w:space="0" w:color="auto"/>
            </w:tcBorders>
            <w:shd w:val="clear" w:color="auto" w:fill="FFFFFF"/>
            <w:vAlign w:val="center"/>
          </w:tcPr>
          <w:p w14:paraId="7AB0821E"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 xml:space="preserve">3A </w:t>
            </w:r>
            <w:r w:rsidRPr="00BA3592">
              <w:rPr>
                <w:rFonts w:ascii="Verdana" w:hAnsi="Verdana"/>
                <w:b/>
                <w:sz w:val="16"/>
                <w:szCs w:val="16"/>
                <w:vertAlign w:val="superscript"/>
              </w:rPr>
              <w:t>(2)</w:t>
            </w:r>
          </w:p>
        </w:tc>
        <w:tc>
          <w:tcPr>
            <w:tcW w:w="1550" w:type="dxa"/>
            <w:tcBorders>
              <w:top w:val="single" w:sz="6" w:space="0" w:color="auto"/>
              <w:left w:val="single" w:sz="6" w:space="0" w:color="auto"/>
              <w:bottom w:val="single" w:sz="6" w:space="0" w:color="auto"/>
              <w:right w:val="single" w:sz="6" w:space="0" w:color="auto"/>
            </w:tcBorders>
            <w:shd w:val="clear" w:color="auto" w:fill="FFFFFF"/>
            <w:vAlign w:val="center"/>
          </w:tcPr>
          <w:p w14:paraId="607CA518"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3,857–4,539</w:t>
            </w:r>
          </w:p>
        </w:tc>
        <w:tc>
          <w:tcPr>
            <w:tcW w:w="1261" w:type="dxa"/>
            <w:vMerge w:val="restart"/>
            <w:tcBorders>
              <w:top w:val="single" w:sz="6" w:space="0" w:color="auto"/>
              <w:left w:val="single" w:sz="6" w:space="0" w:color="auto"/>
              <w:right w:val="single" w:sz="6" w:space="0" w:color="auto"/>
            </w:tcBorders>
            <w:shd w:val="clear" w:color="auto" w:fill="FFFFFF"/>
            <w:vAlign w:val="center"/>
          </w:tcPr>
          <w:p w14:paraId="28D66EA6"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FTP 75</w:t>
            </w: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14:paraId="455FA37B"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0.311</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010F82F9"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0.121</w:t>
            </w:r>
          </w:p>
        </w:tc>
        <w:tc>
          <w:tcPr>
            <w:tcW w:w="888" w:type="dxa"/>
            <w:tcBorders>
              <w:top w:val="single" w:sz="6" w:space="0" w:color="auto"/>
              <w:left w:val="single" w:sz="6" w:space="0" w:color="auto"/>
              <w:bottom w:val="single" w:sz="6" w:space="0" w:color="auto"/>
              <w:right w:val="single" w:sz="6" w:space="0" w:color="auto"/>
            </w:tcBorders>
            <w:shd w:val="clear" w:color="auto" w:fill="FFFFFF"/>
            <w:vAlign w:val="center"/>
          </w:tcPr>
          <w:p w14:paraId="4B204367"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0.037</w:t>
            </w:r>
          </w:p>
        </w:tc>
      </w:tr>
      <w:tr w:rsidR="00DF5012" w:rsidRPr="00BA3592" w14:paraId="69D34D36" w14:textId="77777777">
        <w:trPr>
          <w:trHeight w:val="20"/>
          <w:jc w:val="center"/>
        </w:trPr>
        <w:tc>
          <w:tcPr>
            <w:tcW w:w="1094" w:type="dxa"/>
            <w:vMerge/>
            <w:tcBorders>
              <w:left w:val="single" w:sz="6" w:space="0" w:color="auto"/>
              <w:bottom w:val="single" w:sz="6" w:space="0" w:color="000000"/>
              <w:right w:val="single" w:sz="6" w:space="0" w:color="auto"/>
            </w:tcBorders>
            <w:vAlign w:val="center"/>
          </w:tcPr>
          <w:p w14:paraId="7243DE02" w14:textId="77777777" w:rsidR="00DF5012" w:rsidRPr="00BA3592" w:rsidRDefault="00DF5012" w:rsidP="00931F51">
            <w:pPr>
              <w:pStyle w:val="Texto"/>
              <w:spacing w:before="40" w:after="40" w:line="228" w:lineRule="exact"/>
              <w:ind w:firstLine="0"/>
              <w:jc w:val="center"/>
              <w:rPr>
                <w:rFonts w:ascii="Verdana" w:hAnsi="Verdana"/>
                <w:b/>
                <w:sz w:val="16"/>
                <w:szCs w:val="16"/>
              </w:rPr>
            </w:pPr>
          </w:p>
        </w:tc>
        <w:tc>
          <w:tcPr>
            <w:tcW w:w="1550" w:type="dxa"/>
            <w:tcBorders>
              <w:top w:val="single" w:sz="6" w:space="0" w:color="auto"/>
              <w:left w:val="single" w:sz="6" w:space="0" w:color="auto"/>
              <w:bottom w:val="single" w:sz="6" w:space="0" w:color="auto"/>
              <w:right w:val="single" w:sz="6" w:space="0" w:color="auto"/>
            </w:tcBorders>
            <w:shd w:val="clear" w:color="auto" w:fill="FFFFFF"/>
            <w:vAlign w:val="center"/>
          </w:tcPr>
          <w:p w14:paraId="30A8D449"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4,540–6,350</w:t>
            </w:r>
          </w:p>
        </w:tc>
        <w:tc>
          <w:tcPr>
            <w:tcW w:w="1261" w:type="dxa"/>
            <w:vMerge/>
            <w:tcBorders>
              <w:left w:val="single" w:sz="6" w:space="0" w:color="auto"/>
              <w:bottom w:val="single" w:sz="6" w:space="0" w:color="000000"/>
              <w:right w:val="single" w:sz="6" w:space="0" w:color="auto"/>
            </w:tcBorders>
            <w:vAlign w:val="center"/>
          </w:tcPr>
          <w:p w14:paraId="57E4BB2D" w14:textId="77777777" w:rsidR="00DF5012" w:rsidRPr="00BA3592" w:rsidRDefault="00DF5012" w:rsidP="00931F51">
            <w:pPr>
              <w:pStyle w:val="Texto"/>
              <w:spacing w:before="40" w:after="40" w:line="228" w:lineRule="exact"/>
              <w:ind w:firstLine="0"/>
              <w:jc w:val="center"/>
              <w:rPr>
                <w:rFonts w:ascii="Verdana" w:hAnsi="Verdana"/>
                <w:sz w:val="16"/>
                <w:szCs w:val="16"/>
              </w:rPr>
            </w:pPr>
          </w:p>
        </w:tc>
        <w:tc>
          <w:tcPr>
            <w:tcW w:w="853" w:type="dxa"/>
            <w:tcBorders>
              <w:top w:val="single" w:sz="6" w:space="0" w:color="auto"/>
              <w:left w:val="single" w:sz="6" w:space="0" w:color="auto"/>
              <w:bottom w:val="single" w:sz="6" w:space="0" w:color="auto"/>
              <w:right w:val="single" w:sz="6" w:space="0" w:color="auto"/>
            </w:tcBorders>
            <w:shd w:val="clear" w:color="auto" w:fill="FFFFFF"/>
            <w:vAlign w:val="center"/>
          </w:tcPr>
          <w:p w14:paraId="7CED9233"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0.435</w:t>
            </w:r>
          </w:p>
        </w:tc>
        <w:tc>
          <w:tcPr>
            <w:tcW w:w="1075" w:type="dxa"/>
            <w:tcBorders>
              <w:top w:val="single" w:sz="6" w:space="0" w:color="auto"/>
              <w:left w:val="single" w:sz="6" w:space="0" w:color="auto"/>
              <w:bottom w:val="single" w:sz="6" w:space="0" w:color="auto"/>
              <w:right w:val="single" w:sz="6" w:space="0" w:color="auto"/>
            </w:tcBorders>
            <w:shd w:val="clear" w:color="auto" w:fill="FFFFFF"/>
            <w:vAlign w:val="center"/>
          </w:tcPr>
          <w:p w14:paraId="410E9B19"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0.143</w:t>
            </w:r>
          </w:p>
        </w:tc>
        <w:tc>
          <w:tcPr>
            <w:tcW w:w="888" w:type="dxa"/>
            <w:tcBorders>
              <w:top w:val="single" w:sz="6" w:space="0" w:color="auto"/>
              <w:left w:val="single" w:sz="6" w:space="0" w:color="auto"/>
              <w:bottom w:val="single" w:sz="6" w:space="0" w:color="auto"/>
              <w:right w:val="single" w:sz="6" w:space="0" w:color="auto"/>
            </w:tcBorders>
            <w:shd w:val="clear" w:color="auto" w:fill="FFFFFF"/>
            <w:vAlign w:val="center"/>
          </w:tcPr>
          <w:p w14:paraId="6860EF90"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0.037</w:t>
            </w:r>
          </w:p>
        </w:tc>
      </w:tr>
      <w:tr w:rsidR="00DF5012" w:rsidRPr="00BA3592" w14:paraId="40BB4F3A" w14:textId="77777777">
        <w:trPr>
          <w:trHeight w:val="20"/>
          <w:jc w:val="center"/>
        </w:trPr>
        <w:tc>
          <w:tcPr>
            <w:tcW w:w="1094" w:type="dxa"/>
            <w:vMerge w:val="restart"/>
            <w:tcBorders>
              <w:top w:val="single" w:sz="6" w:space="0" w:color="auto"/>
              <w:left w:val="single" w:sz="6" w:space="0" w:color="auto"/>
              <w:right w:val="single" w:sz="6" w:space="0" w:color="auto"/>
            </w:tcBorders>
            <w:vAlign w:val="center"/>
          </w:tcPr>
          <w:p w14:paraId="6A461204" w14:textId="77777777" w:rsidR="00DF5012" w:rsidRPr="00BA3592" w:rsidRDefault="00DF5012" w:rsidP="00931F51">
            <w:pPr>
              <w:pStyle w:val="Texto"/>
              <w:spacing w:before="40" w:after="40" w:line="228" w:lineRule="exact"/>
              <w:ind w:firstLine="0"/>
              <w:jc w:val="center"/>
              <w:rPr>
                <w:rFonts w:ascii="Verdana" w:hAnsi="Verdana"/>
                <w:b/>
                <w:sz w:val="16"/>
                <w:szCs w:val="16"/>
              </w:rPr>
            </w:pPr>
            <w:r w:rsidRPr="00BA3592">
              <w:rPr>
                <w:rFonts w:ascii="Verdana" w:hAnsi="Verdana"/>
                <w:b/>
                <w:sz w:val="16"/>
                <w:szCs w:val="16"/>
              </w:rPr>
              <w:t xml:space="preserve">3B </w:t>
            </w:r>
            <w:r w:rsidRPr="00BA3592">
              <w:rPr>
                <w:rFonts w:ascii="Verdana" w:hAnsi="Verdana"/>
                <w:b/>
                <w:sz w:val="16"/>
                <w:szCs w:val="16"/>
                <w:vertAlign w:val="superscript"/>
              </w:rPr>
              <w:t>(3)</w:t>
            </w:r>
          </w:p>
        </w:tc>
        <w:tc>
          <w:tcPr>
            <w:tcW w:w="1550" w:type="dxa"/>
            <w:tcBorders>
              <w:top w:val="single" w:sz="6" w:space="0" w:color="auto"/>
              <w:left w:val="single" w:sz="6" w:space="0" w:color="auto"/>
              <w:bottom w:val="single" w:sz="6" w:space="0" w:color="auto"/>
              <w:right w:val="single" w:sz="6" w:space="0" w:color="auto"/>
            </w:tcBorders>
            <w:vAlign w:val="center"/>
          </w:tcPr>
          <w:p w14:paraId="1D2E17E5"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3,857–4,539</w:t>
            </w:r>
          </w:p>
        </w:tc>
        <w:tc>
          <w:tcPr>
            <w:tcW w:w="1261" w:type="dxa"/>
            <w:vMerge w:val="restart"/>
            <w:tcBorders>
              <w:top w:val="single" w:sz="6" w:space="0" w:color="auto"/>
              <w:left w:val="single" w:sz="6" w:space="0" w:color="auto"/>
              <w:right w:val="single" w:sz="6" w:space="0" w:color="auto"/>
            </w:tcBorders>
            <w:vAlign w:val="center"/>
          </w:tcPr>
          <w:p w14:paraId="0C576A03"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FTP 75</w:t>
            </w:r>
          </w:p>
        </w:tc>
        <w:tc>
          <w:tcPr>
            <w:tcW w:w="853" w:type="dxa"/>
            <w:tcBorders>
              <w:top w:val="single" w:sz="6" w:space="0" w:color="auto"/>
              <w:left w:val="single" w:sz="6" w:space="0" w:color="auto"/>
              <w:bottom w:val="single" w:sz="6" w:space="0" w:color="auto"/>
              <w:right w:val="single" w:sz="6" w:space="0" w:color="auto"/>
            </w:tcBorders>
            <w:vAlign w:val="center"/>
          </w:tcPr>
          <w:p w14:paraId="108AA2F3"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0.124</w:t>
            </w:r>
          </w:p>
        </w:tc>
        <w:tc>
          <w:tcPr>
            <w:tcW w:w="1075" w:type="dxa"/>
            <w:tcBorders>
              <w:top w:val="single" w:sz="6" w:space="0" w:color="auto"/>
              <w:left w:val="single" w:sz="6" w:space="0" w:color="auto"/>
              <w:bottom w:val="single" w:sz="6" w:space="0" w:color="auto"/>
              <w:right w:val="single" w:sz="6" w:space="0" w:color="auto"/>
            </w:tcBorders>
            <w:vAlign w:val="center"/>
          </w:tcPr>
          <w:p w14:paraId="3199FE0C"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0.121</w:t>
            </w:r>
          </w:p>
        </w:tc>
        <w:tc>
          <w:tcPr>
            <w:tcW w:w="888" w:type="dxa"/>
            <w:tcBorders>
              <w:top w:val="single" w:sz="6" w:space="0" w:color="auto"/>
              <w:left w:val="single" w:sz="6" w:space="0" w:color="auto"/>
              <w:bottom w:val="single" w:sz="6" w:space="0" w:color="auto"/>
              <w:right w:val="single" w:sz="6" w:space="0" w:color="auto"/>
            </w:tcBorders>
            <w:vAlign w:val="center"/>
          </w:tcPr>
          <w:p w14:paraId="7BB3EDEB"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0.012</w:t>
            </w:r>
          </w:p>
        </w:tc>
      </w:tr>
      <w:tr w:rsidR="00DF5012" w:rsidRPr="00BA3592" w14:paraId="5C3291C8" w14:textId="77777777">
        <w:trPr>
          <w:trHeight w:val="20"/>
          <w:jc w:val="center"/>
        </w:trPr>
        <w:tc>
          <w:tcPr>
            <w:tcW w:w="1094" w:type="dxa"/>
            <w:vMerge/>
            <w:tcBorders>
              <w:left w:val="single" w:sz="6" w:space="0" w:color="auto"/>
              <w:bottom w:val="single" w:sz="6" w:space="0" w:color="auto"/>
              <w:right w:val="single" w:sz="6" w:space="0" w:color="auto"/>
            </w:tcBorders>
            <w:vAlign w:val="center"/>
          </w:tcPr>
          <w:p w14:paraId="6CDB2B79" w14:textId="77777777" w:rsidR="00DF5012" w:rsidRPr="00BA3592" w:rsidRDefault="00DF5012" w:rsidP="00931F51">
            <w:pPr>
              <w:pStyle w:val="Texto"/>
              <w:spacing w:before="40" w:after="40" w:line="228" w:lineRule="exact"/>
              <w:ind w:firstLine="0"/>
              <w:jc w:val="center"/>
              <w:rPr>
                <w:rFonts w:ascii="Verdana" w:hAnsi="Verdana"/>
                <w:b/>
                <w:sz w:val="16"/>
                <w:szCs w:val="16"/>
              </w:rPr>
            </w:pPr>
          </w:p>
        </w:tc>
        <w:tc>
          <w:tcPr>
            <w:tcW w:w="1550" w:type="dxa"/>
            <w:tcBorders>
              <w:top w:val="single" w:sz="6" w:space="0" w:color="auto"/>
              <w:left w:val="single" w:sz="6" w:space="0" w:color="auto"/>
              <w:bottom w:val="single" w:sz="6" w:space="0" w:color="auto"/>
              <w:right w:val="single" w:sz="6" w:space="0" w:color="auto"/>
            </w:tcBorders>
            <w:vAlign w:val="center"/>
          </w:tcPr>
          <w:p w14:paraId="2F1FC522"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4,540–6,350</w:t>
            </w:r>
          </w:p>
        </w:tc>
        <w:tc>
          <w:tcPr>
            <w:tcW w:w="1261" w:type="dxa"/>
            <w:vMerge/>
            <w:tcBorders>
              <w:left w:val="single" w:sz="6" w:space="0" w:color="auto"/>
              <w:bottom w:val="single" w:sz="6" w:space="0" w:color="auto"/>
              <w:right w:val="single" w:sz="6" w:space="0" w:color="auto"/>
            </w:tcBorders>
            <w:vAlign w:val="center"/>
          </w:tcPr>
          <w:p w14:paraId="70DA6CB6" w14:textId="77777777" w:rsidR="00DF5012" w:rsidRPr="00BA3592" w:rsidRDefault="00DF5012" w:rsidP="00931F51">
            <w:pPr>
              <w:pStyle w:val="Texto"/>
              <w:spacing w:before="40" w:after="40" w:line="228" w:lineRule="exact"/>
              <w:ind w:firstLine="0"/>
              <w:jc w:val="center"/>
              <w:rPr>
                <w:rFonts w:ascii="Verdana" w:hAnsi="Verdana"/>
                <w:sz w:val="16"/>
                <w:szCs w:val="16"/>
              </w:rPr>
            </w:pPr>
          </w:p>
        </w:tc>
        <w:tc>
          <w:tcPr>
            <w:tcW w:w="853" w:type="dxa"/>
            <w:tcBorders>
              <w:top w:val="single" w:sz="6" w:space="0" w:color="auto"/>
              <w:left w:val="single" w:sz="6" w:space="0" w:color="auto"/>
              <w:bottom w:val="single" w:sz="6" w:space="0" w:color="auto"/>
              <w:right w:val="single" w:sz="6" w:space="0" w:color="auto"/>
            </w:tcBorders>
            <w:vAlign w:val="center"/>
          </w:tcPr>
          <w:p w14:paraId="06896746"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0.249</w:t>
            </w:r>
          </w:p>
        </w:tc>
        <w:tc>
          <w:tcPr>
            <w:tcW w:w="1075" w:type="dxa"/>
            <w:tcBorders>
              <w:top w:val="single" w:sz="6" w:space="0" w:color="auto"/>
              <w:left w:val="single" w:sz="6" w:space="0" w:color="auto"/>
              <w:bottom w:val="single" w:sz="6" w:space="0" w:color="auto"/>
              <w:right w:val="single" w:sz="6" w:space="0" w:color="auto"/>
            </w:tcBorders>
            <w:vAlign w:val="center"/>
          </w:tcPr>
          <w:p w14:paraId="604BA44C"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0.143</w:t>
            </w:r>
          </w:p>
        </w:tc>
        <w:tc>
          <w:tcPr>
            <w:tcW w:w="888" w:type="dxa"/>
            <w:tcBorders>
              <w:top w:val="single" w:sz="6" w:space="0" w:color="auto"/>
              <w:left w:val="single" w:sz="6" w:space="0" w:color="auto"/>
              <w:bottom w:val="single" w:sz="6" w:space="0" w:color="auto"/>
              <w:right w:val="single" w:sz="6" w:space="0" w:color="auto"/>
            </w:tcBorders>
            <w:vAlign w:val="center"/>
          </w:tcPr>
          <w:p w14:paraId="50EAD678" w14:textId="77777777" w:rsidR="00DF5012" w:rsidRPr="00BA3592" w:rsidRDefault="00DF5012" w:rsidP="00931F51">
            <w:pPr>
              <w:pStyle w:val="Texto"/>
              <w:spacing w:before="40" w:after="40" w:line="228" w:lineRule="exact"/>
              <w:ind w:firstLine="0"/>
              <w:jc w:val="center"/>
              <w:rPr>
                <w:rFonts w:ascii="Verdana" w:hAnsi="Verdana"/>
                <w:sz w:val="16"/>
                <w:szCs w:val="16"/>
              </w:rPr>
            </w:pPr>
            <w:r w:rsidRPr="00BA3592">
              <w:rPr>
                <w:rFonts w:ascii="Verdana" w:hAnsi="Verdana"/>
                <w:sz w:val="16"/>
                <w:szCs w:val="16"/>
              </w:rPr>
              <w:t>0.012</w:t>
            </w:r>
          </w:p>
        </w:tc>
      </w:tr>
    </w:tbl>
    <w:p w14:paraId="1B0F9DD8" w14:textId="77777777" w:rsidR="00DF5012" w:rsidRPr="00BA3592" w:rsidRDefault="00DF5012" w:rsidP="00DF5012">
      <w:pPr>
        <w:pStyle w:val="Texto"/>
        <w:spacing w:after="0" w:line="14" w:lineRule="exact"/>
        <w:rPr>
          <w:rFonts w:ascii="Verdana" w:hAnsi="Verdana"/>
          <w:sz w:val="16"/>
          <w:szCs w:val="16"/>
        </w:rPr>
      </w:pPr>
    </w:p>
    <w:tbl>
      <w:tblPr>
        <w:tblW w:w="6721" w:type="dxa"/>
        <w:jc w:val="center"/>
        <w:tblCellMar>
          <w:left w:w="70" w:type="dxa"/>
          <w:right w:w="70" w:type="dxa"/>
        </w:tblCellMar>
        <w:tblLook w:val="0000" w:firstRow="0" w:lastRow="0" w:firstColumn="0" w:lastColumn="0" w:noHBand="0" w:noVBand="0"/>
      </w:tblPr>
      <w:tblGrid>
        <w:gridCol w:w="6721"/>
      </w:tblGrid>
      <w:tr w:rsidR="00DF5012" w:rsidRPr="00BA3592" w14:paraId="3D701AB0" w14:textId="77777777">
        <w:trPr>
          <w:trHeight w:val="20"/>
          <w:jc w:val="center"/>
        </w:trPr>
        <w:tc>
          <w:tcPr>
            <w:tcW w:w="6721" w:type="dxa"/>
          </w:tcPr>
          <w:p w14:paraId="4127286F" w14:textId="77777777" w:rsidR="00DF5012" w:rsidRPr="00BA3592" w:rsidRDefault="00DF5012" w:rsidP="00931F51">
            <w:pPr>
              <w:pStyle w:val="Texto"/>
              <w:spacing w:line="232" w:lineRule="exact"/>
              <w:ind w:firstLine="0"/>
              <w:rPr>
                <w:rFonts w:ascii="Verdana" w:hAnsi="Verdana"/>
                <w:sz w:val="16"/>
                <w:szCs w:val="16"/>
              </w:rPr>
            </w:pPr>
            <w:r w:rsidRPr="00BA3592">
              <w:rPr>
                <w:rFonts w:ascii="Verdana" w:hAnsi="Verdana"/>
                <w:sz w:val="16"/>
                <w:szCs w:val="16"/>
              </w:rPr>
              <w:t>Notas:</w:t>
            </w:r>
          </w:p>
          <w:p w14:paraId="1646F04F" w14:textId="77777777" w:rsidR="00DF5012" w:rsidRPr="00BA3592" w:rsidRDefault="00DF5012" w:rsidP="00931F51">
            <w:pPr>
              <w:pStyle w:val="Texto"/>
              <w:spacing w:line="232" w:lineRule="exact"/>
              <w:ind w:left="360" w:hanging="360"/>
              <w:rPr>
                <w:rFonts w:ascii="Verdana" w:hAnsi="Verdana"/>
                <w:sz w:val="16"/>
                <w:szCs w:val="16"/>
                <w:lang w:val="es-ES"/>
              </w:rPr>
            </w:pPr>
            <w:r w:rsidRPr="00BA3592">
              <w:rPr>
                <w:rFonts w:ascii="Verdana" w:hAnsi="Verdana"/>
                <w:sz w:val="16"/>
                <w:szCs w:val="16"/>
                <w:lang w:val="es-ES"/>
              </w:rPr>
              <w:t>1.</w:t>
            </w:r>
            <w:r w:rsidRPr="00BA3592">
              <w:rPr>
                <w:rFonts w:ascii="Verdana" w:hAnsi="Verdana"/>
                <w:sz w:val="16"/>
                <w:szCs w:val="16"/>
                <w:lang w:val="es-ES"/>
              </w:rPr>
              <w:tab/>
              <w:t>g/km = gramos por kilómetro.</w:t>
            </w:r>
          </w:p>
          <w:p w14:paraId="3A7DD334" w14:textId="77777777" w:rsidR="00DF5012" w:rsidRPr="00BA3592" w:rsidRDefault="00DF5012" w:rsidP="00931F51">
            <w:pPr>
              <w:pStyle w:val="Texto"/>
              <w:spacing w:line="232" w:lineRule="exact"/>
              <w:ind w:left="360" w:hanging="360"/>
              <w:rPr>
                <w:rFonts w:ascii="Verdana" w:hAnsi="Verdana"/>
                <w:sz w:val="16"/>
                <w:szCs w:val="16"/>
                <w:lang w:val="es-ES"/>
              </w:rPr>
            </w:pPr>
            <w:r w:rsidRPr="00BA3592">
              <w:rPr>
                <w:rFonts w:ascii="Verdana" w:hAnsi="Verdana"/>
                <w:sz w:val="16"/>
                <w:szCs w:val="16"/>
                <w:lang w:val="es-ES"/>
              </w:rPr>
              <w:t>2.</w:t>
            </w:r>
            <w:r w:rsidRPr="00BA3592">
              <w:rPr>
                <w:rFonts w:ascii="Verdana" w:hAnsi="Verdana"/>
                <w:sz w:val="16"/>
                <w:szCs w:val="16"/>
                <w:lang w:val="es-ES"/>
              </w:rPr>
              <w:tab/>
              <w:t xml:space="preserve">Estándar </w:t>
            </w:r>
            <w:r w:rsidRPr="00BA3592">
              <w:rPr>
                <w:rFonts w:ascii="Verdana" w:hAnsi="Verdana"/>
                <w:b/>
                <w:sz w:val="16"/>
                <w:szCs w:val="16"/>
                <w:lang w:val="es-ES"/>
              </w:rPr>
              <w:t>3A</w:t>
            </w:r>
            <w:r w:rsidRPr="00BA3592">
              <w:rPr>
                <w:rFonts w:ascii="Verdana" w:hAnsi="Verdana"/>
                <w:sz w:val="16"/>
                <w:szCs w:val="16"/>
                <w:lang w:val="es-ES"/>
              </w:rPr>
              <w:t>. Límites máximos permisibles para vehículos automotores nuevos con peso bruto vehicular mayor a 3,857 kg y hasta 6,350 kg, producidos a partir de la entrada en vigor de la presente norma oficial mexicana y hasta el 30 de junio de 2019, obtenidos con el método de prueba denominado Ciclo en Ciudad FTP (FTP 75), establecido por la Agencia de Protección Ambiental de los Estados Unidos de América descrito en el numeral 3.5 de la presente norma oficial mexicana. Los valores del estándar A equivalentes en gramos por milla (g/mi) se presentan en el Apéndice D.</w:t>
            </w:r>
          </w:p>
          <w:p w14:paraId="081C36D4" w14:textId="77777777" w:rsidR="00DF5012" w:rsidRPr="00BA3592" w:rsidRDefault="00DF5012" w:rsidP="00931F51">
            <w:pPr>
              <w:pStyle w:val="Texto"/>
              <w:spacing w:line="232" w:lineRule="exact"/>
              <w:ind w:left="360" w:hanging="360"/>
              <w:rPr>
                <w:rFonts w:ascii="Verdana" w:hAnsi="Verdana"/>
                <w:sz w:val="16"/>
                <w:szCs w:val="16"/>
              </w:rPr>
            </w:pPr>
            <w:r w:rsidRPr="00BA3592">
              <w:rPr>
                <w:rFonts w:ascii="Verdana" w:hAnsi="Verdana"/>
                <w:sz w:val="16"/>
                <w:szCs w:val="16"/>
                <w:lang w:val="es-ES"/>
              </w:rPr>
              <w:t>3.</w:t>
            </w:r>
            <w:r w:rsidRPr="00BA3592">
              <w:rPr>
                <w:rFonts w:ascii="Verdana" w:hAnsi="Verdana"/>
                <w:sz w:val="16"/>
                <w:szCs w:val="16"/>
                <w:lang w:val="es-ES"/>
              </w:rPr>
              <w:tab/>
              <w:t xml:space="preserve">Estándar </w:t>
            </w:r>
            <w:r w:rsidRPr="00BA3592">
              <w:rPr>
                <w:rFonts w:ascii="Verdana" w:hAnsi="Verdana"/>
                <w:b/>
                <w:sz w:val="16"/>
                <w:szCs w:val="16"/>
                <w:lang w:val="es-ES"/>
              </w:rPr>
              <w:t>3B</w:t>
            </w:r>
            <w:r w:rsidRPr="00BA3592">
              <w:rPr>
                <w:rFonts w:ascii="Verdana" w:hAnsi="Verdana"/>
                <w:sz w:val="16"/>
                <w:szCs w:val="16"/>
                <w:lang w:val="es-ES"/>
              </w:rPr>
              <w:t xml:space="preserve">. Límites máximos permisibles para vehículos automotores nuevos con peso bruto vehicular mayor a 3,857 kg y hasta 6,350 kg, producidos a partir </w:t>
            </w:r>
            <w:r w:rsidRPr="00BA3592">
              <w:rPr>
                <w:rFonts w:ascii="Verdana" w:hAnsi="Verdana"/>
                <w:sz w:val="16"/>
                <w:szCs w:val="16"/>
              </w:rPr>
              <w:t>del 1 de enero de 2019</w:t>
            </w:r>
            <w:r w:rsidRPr="00BA3592">
              <w:rPr>
                <w:rFonts w:ascii="Verdana" w:hAnsi="Verdana"/>
                <w:sz w:val="16"/>
                <w:szCs w:val="16"/>
                <w:lang w:val="es-ES"/>
              </w:rPr>
              <w:t>, obtenidos con el método de prueba denominado Ciclo en Ciudad FTP (FTP 75), establecido por la Agencia de Protección Ambiental de los Estados Unidos de América descrito en el numeral 3.5 de la presente norma oficial mexicana. Los valores del estándar B equivalentes en gramos por milla (g/mi) se presentan en el Apéndice D.</w:t>
            </w:r>
            <w:r w:rsidRPr="00BA3592">
              <w:rPr>
                <w:rFonts w:ascii="Verdana" w:hAnsi="Verdana"/>
                <w:sz w:val="16"/>
                <w:szCs w:val="16"/>
              </w:rPr>
              <w:t xml:space="preserve"> Este estándar requiere el uso de diésel automotriz con un contenido máximo de azufre de 15 mg/kg, el cual estará disponible en el país, conforme a lo establecido en la nota 3 de la Tabla 7 de la Norma Oficial Mexicana NOM-016-CRE-2016. Especificaciones de la calidad de los petrolíferos, publicada en el Diario Oficial de la Federación, el 29 de agosto de 2016.</w:t>
            </w:r>
          </w:p>
        </w:tc>
      </w:tr>
    </w:tbl>
    <w:p w14:paraId="10BCAA35" w14:textId="77777777" w:rsidR="008A0760" w:rsidRDefault="008A0760" w:rsidP="00DF5012">
      <w:pPr>
        <w:pStyle w:val="Texto"/>
        <w:spacing w:line="232" w:lineRule="exact"/>
        <w:rPr>
          <w:rFonts w:ascii="Verdana" w:hAnsi="Verdana"/>
          <w:b/>
          <w:sz w:val="16"/>
          <w:szCs w:val="16"/>
        </w:rPr>
      </w:pPr>
    </w:p>
    <w:p w14:paraId="30DA65AF" w14:textId="77777777" w:rsidR="008A0760" w:rsidRPr="008A0760" w:rsidRDefault="008A0760" w:rsidP="008A0760">
      <w:pPr>
        <w:spacing w:after="101" w:line="228" w:lineRule="atLeast"/>
        <w:jc w:val="center"/>
        <w:rPr>
          <w:lang w:val="en-US" w:eastAsia="en-US"/>
        </w:rPr>
      </w:pPr>
      <w:r w:rsidRPr="008A0760">
        <w:rPr>
          <w:rFonts w:ascii="Verdana" w:hAnsi="Verdana"/>
          <w:b/>
          <w:bCs/>
          <w:sz w:val="16"/>
          <w:szCs w:val="16"/>
          <w:lang w:val="en-US" w:eastAsia="en-US"/>
        </w:rPr>
        <w:t>Table 3</w:t>
      </w:r>
      <w:r w:rsidRPr="008A0760">
        <w:rPr>
          <w:lang w:val="en-US" w:eastAsia="en-US"/>
        </w:rPr>
        <w:t xml:space="preserve"> </w:t>
      </w:r>
    </w:p>
    <w:tbl>
      <w:tblPr>
        <w:tblW w:w="6721" w:type="dxa"/>
        <w:jc w:val="center"/>
        <w:tblCellMar>
          <w:left w:w="0" w:type="dxa"/>
          <w:right w:w="0" w:type="dxa"/>
        </w:tblCellMar>
        <w:tblLook w:val="04A0" w:firstRow="1" w:lastRow="0" w:firstColumn="1" w:lastColumn="0" w:noHBand="0" w:noVBand="1"/>
      </w:tblPr>
      <w:tblGrid>
        <w:gridCol w:w="1094"/>
        <w:gridCol w:w="1550"/>
        <w:gridCol w:w="1261"/>
        <w:gridCol w:w="853"/>
        <w:gridCol w:w="1075"/>
        <w:gridCol w:w="888"/>
      </w:tblGrid>
      <w:tr w:rsidR="008A0760" w:rsidRPr="008A0760" w14:paraId="7732DAD2" w14:textId="77777777" w:rsidTr="00337D87">
        <w:trPr>
          <w:trHeight w:val="20"/>
          <w:jc w:val="center"/>
        </w:trPr>
        <w:tc>
          <w:tcPr>
            <w:tcW w:w="1094"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457BA76A"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Standard</w:t>
            </w:r>
            <w:r w:rsidRPr="008A0760">
              <w:rPr>
                <w:lang w:val="en-US" w:eastAsia="en-US"/>
              </w:rPr>
              <w:t xml:space="preserve"> </w:t>
            </w:r>
          </w:p>
        </w:tc>
        <w:tc>
          <w:tcPr>
            <w:tcW w:w="1550"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33D27A3B"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Gross vehicle weight (kg)</w:t>
            </w:r>
            <w:r w:rsidRPr="008A0760">
              <w:rPr>
                <w:lang w:val="en-US" w:eastAsia="en-US"/>
              </w:rPr>
              <w:t xml:space="preserve"> </w:t>
            </w:r>
          </w:p>
        </w:tc>
        <w:tc>
          <w:tcPr>
            <w:tcW w:w="1261"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2CA7F26A"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Testing method</w:t>
            </w:r>
            <w:r w:rsidRPr="008A0760">
              <w:rPr>
                <w:lang w:val="en-US" w:eastAsia="en-US"/>
              </w:rPr>
              <w:t xml:space="preserve"> </w:t>
            </w:r>
          </w:p>
        </w:tc>
        <w:tc>
          <w:tcPr>
            <w:tcW w:w="853" w:type="dxa"/>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420BA333"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NOx</w:t>
            </w:r>
            <w:r w:rsidRPr="008A0760">
              <w:rPr>
                <w:lang w:val="en-US" w:eastAsia="en-US"/>
              </w:rPr>
              <w:t xml:space="preserve"> </w:t>
            </w:r>
          </w:p>
        </w:tc>
        <w:tc>
          <w:tcPr>
            <w:tcW w:w="1075" w:type="dxa"/>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5380BB6F"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HCNM</w:t>
            </w:r>
            <w:r w:rsidRPr="008A0760">
              <w:rPr>
                <w:lang w:val="en-US" w:eastAsia="en-US"/>
              </w:rPr>
              <w:t xml:space="preserve"> </w:t>
            </w:r>
          </w:p>
        </w:tc>
        <w:tc>
          <w:tcPr>
            <w:tcW w:w="888" w:type="dxa"/>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0CA37E59"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Part</w:t>
            </w:r>
            <w:r w:rsidRPr="008A0760">
              <w:rPr>
                <w:lang w:val="en-US" w:eastAsia="en-US"/>
              </w:rPr>
              <w:t xml:space="preserve"> </w:t>
            </w:r>
          </w:p>
        </w:tc>
      </w:tr>
      <w:tr w:rsidR="008A0760" w:rsidRPr="008A0760" w14:paraId="59FF80FB" w14:textId="77777777" w:rsidTr="00337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0196DB" w14:textId="77777777" w:rsidR="008A0760" w:rsidRPr="008A0760" w:rsidRDefault="008A0760" w:rsidP="008A0760">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055767" w14:textId="77777777" w:rsidR="008A0760" w:rsidRPr="008A0760" w:rsidRDefault="008A0760" w:rsidP="008A0760">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F6F065" w14:textId="77777777" w:rsidR="008A0760" w:rsidRPr="008A0760" w:rsidRDefault="008A0760" w:rsidP="008A0760">
            <w:pPr>
              <w:rPr>
                <w:lang w:val="en-US" w:eastAsia="en-US"/>
              </w:rPr>
            </w:pPr>
          </w:p>
        </w:tc>
        <w:tc>
          <w:tcPr>
            <w:tcW w:w="2816" w:type="dxa"/>
            <w:gridSpan w:val="3"/>
            <w:tcBorders>
              <w:top w:val="single" w:sz="6" w:space="0" w:color="000000"/>
              <w:left w:val="single" w:sz="6" w:space="0" w:color="000000"/>
              <w:bottom w:val="single" w:sz="6" w:space="0" w:color="000000"/>
              <w:right w:val="single" w:sz="6" w:space="0" w:color="000000"/>
            </w:tcBorders>
            <w:shd w:val="clear" w:color="auto" w:fill="DFDFDF"/>
            <w:tcMar>
              <w:top w:w="0" w:type="dxa"/>
              <w:left w:w="70" w:type="dxa"/>
              <w:bottom w:w="0" w:type="dxa"/>
              <w:right w:w="70" w:type="dxa"/>
            </w:tcMar>
            <w:vAlign w:val="center"/>
            <w:hideMark/>
          </w:tcPr>
          <w:p w14:paraId="687134B2"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g / km</w:t>
            </w:r>
            <w:r w:rsidRPr="008A0760">
              <w:rPr>
                <w:lang w:val="en-US" w:eastAsia="en-US"/>
              </w:rPr>
              <w:t xml:space="preserve"> </w:t>
            </w:r>
            <w:r w:rsidRPr="008A0760">
              <w:rPr>
                <w:rFonts w:ascii="Verdana" w:hAnsi="Verdana"/>
                <w:b/>
                <w:bCs/>
                <w:sz w:val="11"/>
                <w:szCs w:val="11"/>
                <w:vertAlign w:val="superscript"/>
                <w:lang w:val="en-US" w:eastAsia="en-US"/>
              </w:rPr>
              <w:t>(1)</w:t>
            </w:r>
            <w:r w:rsidRPr="008A0760">
              <w:rPr>
                <w:lang w:val="en-US" w:eastAsia="en-US"/>
              </w:rPr>
              <w:t xml:space="preserve"> </w:t>
            </w:r>
          </w:p>
        </w:tc>
      </w:tr>
      <w:tr w:rsidR="008A0760" w:rsidRPr="008A0760" w14:paraId="6DA05DEB" w14:textId="77777777" w:rsidTr="00337D87">
        <w:trPr>
          <w:trHeight w:val="20"/>
          <w:jc w:val="center"/>
        </w:trPr>
        <w:tc>
          <w:tcPr>
            <w:tcW w:w="109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3A0401BD"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3A</w:t>
            </w:r>
            <w:r w:rsidRPr="008A0760">
              <w:rPr>
                <w:lang w:val="en-US" w:eastAsia="en-US"/>
              </w:rPr>
              <w:t xml:space="preserve"> </w:t>
            </w:r>
            <w:r w:rsidRPr="008A0760">
              <w:rPr>
                <w:rFonts w:ascii="Verdana" w:hAnsi="Verdana"/>
                <w:b/>
                <w:bCs/>
                <w:sz w:val="11"/>
                <w:szCs w:val="11"/>
                <w:vertAlign w:val="superscript"/>
                <w:lang w:val="en-US" w:eastAsia="en-US"/>
              </w:rPr>
              <w:t>(2)</w:t>
            </w:r>
            <w:r w:rsidRPr="008A0760">
              <w:rPr>
                <w:lang w:val="en-US" w:eastAsia="en-US"/>
              </w:rPr>
              <w:t xml:space="preserve"> </w:t>
            </w:r>
          </w:p>
        </w:tc>
        <w:tc>
          <w:tcPr>
            <w:tcW w:w="15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46C3805C"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3,857-4,539</w:t>
            </w:r>
            <w:r w:rsidRPr="008A0760">
              <w:rPr>
                <w:lang w:val="en-US" w:eastAsia="en-US"/>
              </w:rPr>
              <w:t xml:space="preserve"> </w:t>
            </w:r>
          </w:p>
        </w:tc>
        <w:tc>
          <w:tcPr>
            <w:tcW w:w="126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552014F3"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FTP 75</w:t>
            </w:r>
            <w:r w:rsidRPr="008A0760">
              <w:rPr>
                <w:lang w:val="en-US" w:eastAsia="en-US"/>
              </w:rPr>
              <w:t xml:space="preserve"> </w:t>
            </w:r>
          </w:p>
        </w:tc>
        <w:tc>
          <w:tcPr>
            <w:tcW w:w="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4AD08BB6"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0.311</w:t>
            </w:r>
            <w:r w:rsidRPr="008A0760">
              <w:rPr>
                <w:lang w:val="en-US" w:eastAsia="en-US"/>
              </w:rPr>
              <w:t xml:space="preserve"> </w:t>
            </w:r>
          </w:p>
        </w:tc>
        <w:tc>
          <w:tcPr>
            <w:tcW w:w="1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3D8CB25D"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0.121</w:t>
            </w:r>
            <w:r w:rsidRPr="008A0760">
              <w:rPr>
                <w:lang w:val="en-US" w:eastAsia="en-US"/>
              </w:rPr>
              <w:t xml:space="preserve"> </w:t>
            </w:r>
          </w:p>
        </w:tc>
        <w:tc>
          <w:tcPr>
            <w:tcW w:w="888"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59A36D2E"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0.037</w:t>
            </w:r>
            <w:r w:rsidRPr="008A0760">
              <w:rPr>
                <w:lang w:val="en-US" w:eastAsia="en-US"/>
              </w:rPr>
              <w:t xml:space="preserve"> </w:t>
            </w:r>
          </w:p>
        </w:tc>
      </w:tr>
      <w:tr w:rsidR="008A0760" w:rsidRPr="008A0760" w14:paraId="69CF2CD2" w14:textId="77777777" w:rsidTr="00337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3FE2E7" w14:textId="77777777" w:rsidR="008A0760" w:rsidRPr="008A0760" w:rsidRDefault="008A0760" w:rsidP="008A0760">
            <w:pPr>
              <w:rPr>
                <w:lang w:val="en-US" w:eastAsia="en-US"/>
              </w:rPr>
            </w:pPr>
          </w:p>
        </w:tc>
        <w:tc>
          <w:tcPr>
            <w:tcW w:w="1550"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79F08C5C"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4,540-6,350</w:t>
            </w:r>
            <w:r w:rsidRPr="008A0760">
              <w:rPr>
                <w:lang w:val="en-US" w:eastAsia="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459A76" w14:textId="77777777" w:rsidR="008A0760" w:rsidRPr="008A0760" w:rsidRDefault="008A0760" w:rsidP="008A0760">
            <w:pPr>
              <w:rPr>
                <w:lang w:val="en-US" w:eastAsia="en-US"/>
              </w:rPr>
            </w:pPr>
          </w:p>
        </w:tc>
        <w:tc>
          <w:tcPr>
            <w:tcW w:w="853"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35437038"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0.435</w:t>
            </w:r>
            <w:r w:rsidRPr="008A0760">
              <w:rPr>
                <w:lang w:val="en-US" w:eastAsia="en-US"/>
              </w:rPr>
              <w:t xml:space="preserve"> </w:t>
            </w:r>
          </w:p>
        </w:tc>
        <w:tc>
          <w:tcPr>
            <w:tcW w:w="1075"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7734D587"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0.143</w:t>
            </w:r>
            <w:r w:rsidRPr="008A0760">
              <w:rPr>
                <w:lang w:val="en-US" w:eastAsia="en-US"/>
              </w:rPr>
              <w:t xml:space="preserve"> </w:t>
            </w:r>
          </w:p>
        </w:tc>
        <w:tc>
          <w:tcPr>
            <w:tcW w:w="888" w:type="dxa"/>
            <w:tcBorders>
              <w:top w:val="single" w:sz="6" w:space="0" w:color="000000"/>
              <w:left w:val="single" w:sz="6" w:space="0" w:color="000000"/>
              <w:bottom w:val="single" w:sz="6" w:space="0" w:color="000000"/>
              <w:right w:val="single" w:sz="6" w:space="0" w:color="000000"/>
            </w:tcBorders>
            <w:shd w:val="clear" w:color="auto" w:fill="FFFFFF"/>
            <w:tcMar>
              <w:top w:w="0" w:type="dxa"/>
              <w:left w:w="70" w:type="dxa"/>
              <w:bottom w:w="0" w:type="dxa"/>
              <w:right w:w="70" w:type="dxa"/>
            </w:tcMar>
            <w:vAlign w:val="center"/>
            <w:hideMark/>
          </w:tcPr>
          <w:p w14:paraId="40F09D4B"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0.037</w:t>
            </w:r>
            <w:r w:rsidRPr="008A0760">
              <w:rPr>
                <w:lang w:val="en-US" w:eastAsia="en-US"/>
              </w:rPr>
              <w:t xml:space="preserve"> </w:t>
            </w:r>
          </w:p>
        </w:tc>
      </w:tr>
      <w:tr w:rsidR="008A0760" w:rsidRPr="008A0760" w14:paraId="62D60E8B" w14:textId="77777777" w:rsidTr="00337D87">
        <w:trPr>
          <w:trHeight w:val="20"/>
          <w:jc w:val="center"/>
        </w:trPr>
        <w:tc>
          <w:tcPr>
            <w:tcW w:w="1094"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F767AE" w14:textId="77777777" w:rsidR="008A0760" w:rsidRPr="008A0760" w:rsidRDefault="008A0760" w:rsidP="008A0760">
            <w:pPr>
              <w:spacing w:before="40" w:after="40" w:line="228" w:lineRule="atLeast"/>
              <w:jc w:val="center"/>
              <w:rPr>
                <w:lang w:val="en-US" w:eastAsia="en-US"/>
              </w:rPr>
            </w:pPr>
            <w:r w:rsidRPr="008A0760">
              <w:rPr>
                <w:rFonts w:ascii="Verdana" w:hAnsi="Verdana"/>
                <w:b/>
                <w:bCs/>
                <w:sz w:val="16"/>
                <w:szCs w:val="16"/>
                <w:lang w:val="en-US" w:eastAsia="en-US"/>
              </w:rPr>
              <w:t>3B</w:t>
            </w:r>
            <w:r w:rsidRPr="008A0760">
              <w:rPr>
                <w:lang w:val="en-US" w:eastAsia="en-US"/>
              </w:rPr>
              <w:t xml:space="preserve"> </w:t>
            </w:r>
            <w:r w:rsidRPr="008A0760">
              <w:rPr>
                <w:rFonts w:ascii="Verdana" w:hAnsi="Verdana"/>
                <w:b/>
                <w:bCs/>
                <w:sz w:val="11"/>
                <w:szCs w:val="11"/>
                <w:vertAlign w:val="superscript"/>
                <w:lang w:val="en-US" w:eastAsia="en-US"/>
              </w:rPr>
              <w:t>(3)</w:t>
            </w:r>
            <w:r w:rsidRPr="008A0760">
              <w:rPr>
                <w:lang w:val="en-US" w:eastAsia="en-US"/>
              </w:rPr>
              <w:t xml:space="preserve"> </w:t>
            </w:r>
          </w:p>
        </w:tc>
        <w:tc>
          <w:tcPr>
            <w:tcW w:w="15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514D8F"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3,857-4,539</w:t>
            </w:r>
            <w:r w:rsidRPr="008A0760">
              <w:rPr>
                <w:lang w:val="en-US" w:eastAsia="en-US"/>
              </w:rPr>
              <w:t xml:space="preserve"> </w:t>
            </w:r>
          </w:p>
        </w:tc>
        <w:tc>
          <w:tcPr>
            <w:tcW w:w="126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194E80"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FTP 75</w:t>
            </w:r>
            <w:r w:rsidRPr="008A0760">
              <w:rPr>
                <w:lang w:val="en-US" w:eastAsia="en-US"/>
              </w:rPr>
              <w:t xml:space="preserve"> </w:t>
            </w:r>
          </w:p>
        </w:tc>
        <w:tc>
          <w:tcPr>
            <w:tcW w:w="8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E55F89"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0.124</w:t>
            </w:r>
            <w:r w:rsidRPr="008A0760">
              <w:rPr>
                <w:lang w:val="en-US" w:eastAsia="en-US"/>
              </w:rPr>
              <w:t xml:space="preserve"> </w:t>
            </w:r>
          </w:p>
        </w:tc>
        <w:tc>
          <w:tcPr>
            <w:tcW w:w="10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8EFF35"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0.121</w:t>
            </w:r>
            <w:r w:rsidRPr="008A0760">
              <w:rPr>
                <w:lang w:val="en-US" w:eastAsia="en-US"/>
              </w:rPr>
              <w:t xml:space="preserve"> </w:t>
            </w:r>
          </w:p>
        </w:tc>
        <w:tc>
          <w:tcPr>
            <w:tcW w:w="8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E17870"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0.012</w:t>
            </w:r>
            <w:r w:rsidRPr="008A0760">
              <w:rPr>
                <w:lang w:val="en-US" w:eastAsia="en-US"/>
              </w:rPr>
              <w:t xml:space="preserve"> </w:t>
            </w:r>
          </w:p>
        </w:tc>
      </w:tr>
      <w:tr w:rsidR="008A0760" w:rsidRPr="008A0760" w14:paraId="5721219E" w14:textId="77777777" w:rsidTr="00337D87">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F8CAA1" w14:textId="77777777" w:rsidR="008A0760" w:rsidRPr="008A0760" w:rsidRDefault="008A0760" w:rsidP="008A0760">
            <w:pPr>
              <w:rPr>
                <w:lang w:val="en-US" w:eastAsia="en-US"/>
              </w:rPr>
            </w:pPr>
          </w:p>
        </w:tc>
        <w:tc>
          <w:tcPr>
            <w:tcW w:w="15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825E0E"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4,540-6,350</w:t>
            </w:r>
            <w:r w:rsidRPr="008A0760">
              <w:rPr>
                <w:lang w:val="en-US" w:eastAsia="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5EF137" w14:textId="77777777" w:rsidR="008A0760" w:rsidRPr="008A0760" w:rsidRDefault="008A0760" w:rsidP="008A0760">
            <w:pPr>
              <w:rPr>
                <w:lang w:val="en-US" w:eastAsia="en-US"/>
              </w:rPr>
            </w:pPr>
          </w:p>
        </w:tc>
        <w:tc>
          <w:tcPr>
            <w:tcW w:w="85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589251"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0.249</w:t>
            </w:r>
            <w:r w:rsidRPr="008A0760">
              <w:rPr>
                <w:lang w:val="en-US" w:eastAsia="en-US"/>
              </w:rPr>
              <w:t xml:space="preserve"> </w:t>
            </w:r>
          </w:p>
        </w:tc>
        <w:tc>
          <w:tcPr>
            <w:tcW w:w="10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F1DDE8"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0.143</w:t>
            </w:r>
            <w:r w:rsidRPr="008A0760">
              <w:rPr>
                <w:lang w:val="en-US" w:eastAsia="en-US"/>
              </w:rPr>
              <w:t xml:space="preserve"> </w:t>
            </w:r>
          </w:p>
        </w:tc>
        <w:tc>
          <w:tcPr>
            <w:tcW w:w="8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DAD4C4" w14:textId="77777777" w:rsidR="008A0760" w:rsidRPr="008A0760" w:rsidRDefault="008A0760" w:rsidP="008A0760">
            <w:pPr>
              <w:spacing w:before="40" w:after="40" w:line="228" w:lineRule="atLeast"/>
              <w:jc w:val="center"/>
              <w:rPr>
                <w:lang w:val="en-US" w:eastAsia="en-US"/>
              </w:rPr>
            </w:pPr>
            <w:r w:rsidRPr="008A0760">
              <w:rPr>
                <w:rFonts w:ascii="Verdana" w:hAnsi="Verdana"/>
                <w:sz w:val="16"/>
                <w:szCs w:val="16"/>
                <w:lang w:val="en-US" w:eastAsia="en-US"/>
              </w:rPr>
              <w:t>0.012</w:t>
            </w:r>
            <w:r w:rsidRPr="008A0760">
              <w:rPr>
                <w:lang w:val="en-US" w:eastAsia="en-US"/>
              </w:rPr>
              <w:t xml:space="preserve"> </w:t>
            </w:r>
          </w:p>
        </w:tc>
      </w:tr>
    </w:tbl>
    <w:p w14:paraId="2D139001" w14:textId="77777777" w:rsidR="008A0760" w:rsidRPr="008A0760" w:rsidRDefault="008A0760" w:rsidP="008A0760">
      <w:pPr>
        <w:spacing w:line="14" w:lineRule="atLeast"/>
        <w:ind w:firstLine="288"/>
        <w:jc w:val="both"/>
        <w:rPr>
          <w:lang w:val="en-US" w:eastAsia="en-US"/>
        </w:rPr>
      </w:pPr>
      <w:r w:rsidRPr="008A0760">
        <w:rPr>
          <w:rFonts w:ascii="Verdana" w:hAnsi="Verdana"/>
          <w:sz w:val="16"/>
          <w:szCs w:val="16"/>
          <w:lang w:val="en-US" w:eastAsia="en-US"/>
        </w:rPr>
        <w:t> </w:t>
      </w:r>
    </w:p>
    <w:tbl>
      <w:tblPr>
        <w:tblW w:w="6721" w:type="dxa"/>
        <w:jc w:val="center"/>
        <w:tblCellMar>
          <w:left w:w="0" w:type="dxa"/>
          <w:right w:w="0" w:type="dxa"/>
        </w:tblCellMar>
        <w:tblLook w:val="04A0" w:firstRow="1" w:lastRow="0" w:firstColumn="1" w:lastColumn="0" w:noHBand="0" w:noVBand="1"/>
      </w:tblPr>
      <w:tblGrid>
        <w:gridCol w:w="6721"/>
      </w:tblGrid>
      <w:tr w:rsidR="008A0760" w:rsidRPr="00743A20" w14:paraId="32B735CA" w14:textId="77777777" w:rsidTr="00337D87">
        <w:trPr>
          <w:trHeight w:val="20"/>
          <w:jc w:val="center"/>
        </w:trPr>
        <w:tc>
          <w:tcPr>
            <w:tcW w:w="6721" w:type="dxa"/>
            <w:tcMar>
              <w:top w:w="0" w:type="dxa"/>
              <w:left w:w="70" w:type="dxa"/>
              <w:bottom w:w="0" w:type="dxa"/>
              <w:right w:w="70" w:type="dxa"/>
            </w:tcMar>
            <w:hideMark/>
          </w:tcPr>
          <w:p w14:paraId="62883587" w14:textId="77777777" w:rsidR="008A0760" w:rsidRPr="008A0760" w:rsidRDefault="008A0760" w:rsidP="008A0760">
            <w:pPr>
              <w:spacing w:after="101" w:line="232" w:lineRule="atLeast"/>
              <w:jc w:val="both"/>
              <w:rPr>
                <w:lang w:val="en-US" w:eastAsia="en-US"/>
              </w:rPr>
            </w:pPr>
            <w:r w:rsidRPr="008A0760">
              <w:rPr>
                <w:rFonts w:ascii="Verdana" w:hAnsi="Verdana"/>
                <w:sz w:val="16"/>
                <w:szCs w:val="16"/>
                <w:lang w:val="en-US" w:eastAsia="en-US"/>
              </w:rPr>
              <w:t>Notes:</w:t>
            </w:r>
            <w:r w:rsidRPr="008A0760">
              <w:rPr>
                <w:lang w:val="en-US" w:eastAsia="en-US"/>
              </w:rPr>
              <w:t xml:space="preserve"> </w:t>
            </w:r>
          </w:p>
          <w:p w14:paraId="1E7A5A9B" w14:textId="0E72E9DE" w:rsidR="008A0760" w:rsidRPr="008A0760" w:rsidRDefault="008A0760" w:rsidP="008A0760">
            <w:pPr>
              <w:spacing w:after="101" w:line="232" w:lineRule="atLeast"/>
              <w:ind w:hanging="360"/>
              <w:jc w:val="both"/>
              <w:rPr>
                <w:lang w:val="en-US" w:eastAsia="en-US"/>
              </w:rPr>
            </w:pPr>
            <w:r w:rsidRPr="008A0760">
              <w:rPr>
                <w:rFonts w:ascii="Verdana" w:hAnsi="Verdana"/>
                <w:sz w:val="16"/>
                <w:szCs w:val="16"/>
                <w:lang w:val="en-US" w:eastAsia="en-US"/>
              </w:rPr>
              <w:t>1.</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1.</w:t>
            </w:r>
            <w:r w:rsidRPr="008A0760">
              <w:rPr>
                <w:rFonts w:ascii="Verdana" w:hAnsi="Verdana"/>
                <w:sz w:val="16"/>
                <w:szCs w:val="16"/>
                <w:lang w:val="en-US" w:eastAsia="en-US"/>
              </w:rPr>
              <w:t>          g / km = grams per kilometer.</w:t>
            </w:r>
            <w:r w:rsidRPr="008A0760">
              <w:rPr>
                <w:lang w:val="en-US" w:eastAsia="en-US"/>
              </w:rPr>
              <w:t xml:space="preserve"> </w:t>
            </w:r>
          </w:p>
          <w:p w14:paraId="56F2A8A0" w14:textId="54ACF0F5" w:rsidR="008A0760" w:rsidRPr="008A0760" w:rsidRDefault="008A0760" w:rsidP="008A0760">
            <w:pPr>
              <w:spacing w:after="101" w:line="232" w:lineRule="atLeast"/>
              <w:ind w:hanging="360"/>
              <w:jc w:val="both"/>
              <w:rPr>
                <w:lang w:val="en-US" w:eastAsia="en-US"/>
              </w:rPr>
            </w:pPr>
            <w:r w:rsidRPr="008A0760">
              <w:rPr>
                <w:rFonts w:ascii="Verdana" w:hAnsi="Verdana"/>
                <w:sz w:val="16"/>
                <w:szCs w:val="16"/>
                <w:lang w:val="en-US" w:eastAsia="en-US"/>
              </w:rPr>
              <w:lastRenderedPageBreak/>
              <w:t>2.</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2.</w:t>
            </w:r>
            <w:r w:rsidRPr="008A0760">
              <w:rPr>
                <w:rFonts w:ascii="Verdana" w:hAnsi="Verdana"/>
                <w:sz w:val="16"/>
                <w:szCs w:val="16"/>
                <w:lang w:val="en-US" w:eastAsia="en-US"/>
              </w:rPr>
              <w:t>           Standard</w:t>
            </w:r>
            <w:r w:rsidRPr="008A0760">
              <w:rPr>
                <w:lang w:val="en-US" w:eastAsia="en-US"/>
              </w:rPr>
              <w:t xml:space="preserve"> </w:t>
            </w:r>
            <w:r w:rsidRPr="008A0760">
              <w:rPr>
                <w:rFonts w:ascii="Verdana" w:hAnsi="Verdana"/>
                <w:b/>
                <w:bCs/>
                <w:sz w:val="16"/>
                <w:szCs w:val="16"/>
                <w:lang w:val="en-US" w:eastAsia="en-US"/>
              </w:rPr>
              <w:t>3A</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 xml:space="preserve">Maximum permissible limits for new automotive vehicles with gross vehicle weight greater than 3,857 kg and up to 6,350 kg, produced as of the entry into force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 xml:space="preserve"> and until June 30, 2019, obtained with the test method called Cycle in FTP City (FTP 75), established by the Environmental Protection Agency of the United States of America described in numeral 3.5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 xml:space="preserve">Standard A values </w:t>
            </w:r>
            <w:r w:rsidRPr="008A0760">
              <w:rPr>
                <w:rFonts w:ascii="Arial" w:hAnsi="Arial" w:cs="Arial"/>
                <w:sz w:val="16"/>
                <w:szCs w:val="16"/>
                <w:lang w:val="en-US" w:eastAsia="en-US"/>
              </w:rPr>
              <w:t>​​</w:t>
            </w:r>
            <w:r w:rsidRPr="008A0760">
              <w:rPr>
                <w:rFonts w:ascii="Verdana" w:hAnsi="Verdana"/>
                <w:sz w:val="16"/>
                <w:szCs w:val="16"/>
                <w:lang w:val="en-US" w:eastAsia="en-US"/>
              </w:rPr>
              <w:t>in grams per mile (g/mi) are presented in Appendix D.</w:t>
            </w:r>
            <w:r w:rsidRPr="008A0760">
              <w:rPr>
                <w:lang w:val="en-US" w:eastAsia="en-US"/>
              </w:rPr>
              <w:t xml:space="preserve"> </w:t>
            </w:r>
          </w:p>
          <w:p w14:paraId="363BE46F" w14:textId="120AFEAF" w:rsidR="008A0760" w:rsidRPr="008A0760" w:rsidRDefault="008A0760" w:rsidP="008A0760">
            <w:pPr>
              <w:spacing w:after="101" w:line="232" w:lineRule="atLeast"/>
              <w:ind w:hanging="360"/>
              <w:jc w:val="both"/>
              <w:rPr>
                <w:lang w:val="en-US" w:eastAsia="en-US"/>
              </w:rPr>
            </w:pPr>
            <w:r w:rsidRPr="008A0760">
              <w:rPr>
                <w:rFonts w:ascii="Verdana" w:hAnsi="Verdana"/>
                <w:sz w:val="16"/>
                <w:szCs w:val="16"/>
                <w:lang w:val="en-US" w:eastAsia="en-US"/>
              </w:rPr>
              <w:t>3.</w:t>
            </w:r>
            <w:r w:rsidRPr="008A0760">
              <w:rPr>
                <w:lang w:val="en-US" w:eastAsia="en-US"/>
              </w:rPr>
              <w:t xml:space="preserve"> </w:t>
            </w:r>
            <w:r w:rsidRPr="008A0760">
              <w:rPr>
                <w:rFonts w:ascii="Verdana" w:hAnsi="Verdana"/>
                <w:sz w:val="16"/>
                <w:szCs w:val="16"/>
                <w:lang w:val="en-US" w:eastAsia="en-US"/>
              </w:rPr>
              <w:t>   </w:t>
            </w:r>
            <w:r w:rsidR="00B32D99">
              <w:rPr>
                <w:rFonts w:ascii="Verdana" w:hAnsi="Verdana"/>
                <w:sz w:val="16"/>
                <w:szCs w:val="16"/>
                <w:lang w:val="en-US" w:eastAsia="en-US"/>
              </w:rPr>
              <w:t>3.</w:t>
            </w:r>
            <w:r w:rsidRPr="008A0760">
              <w:rPr>
                <w:rFonts w:ascii="Verdana" w:hAnsi="Verdana"/>
                <w:sz w:val="16"/>
                <w:szCs w:val="16"/>
                <w:lang w:val="en-US" w:eastAsia="en-US"/>
              </w:rPr>
              <w:t>           Standard</w:t>
            </w:r>
            <w:r w:rsidRPr="008A0760">
              <w:rPr>
                <w:lang w:val="en-US" w:eastAsia="en-US"/>
              </w:rPr>
              <w:t xml:space="preserve"> </w:t>
            </w:r>
            <w:r w:rsidRPr="008A0760">
              <w:rPr>
                <w:rFonts w:ascii="Verdana" w:hAnsi="Verdana"/>
                <w:b/>
                <w:bCs/>
                <w:sz w:val="16"/>
                <w:szCs w:val="16"/>
                <w:lang w:val="en-US" w:eastAsia="en-US"/>
              </w:rPr>
              <w:t>3B</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Maximum permissible limits for new automotive vehicles with gross vehicle weight greater than 3,857 kg and up to 6,350 kg, produced as</w:t>
            </w:r>
            <w:r w:rsidRPr="008A0760">
              <w:rPr>
                <w:lang w:val="en-US" w:eastAsia="en-US"/>
              </w:rPr>
              <w:t xml:space="preserve"> </w:t>
            </w:r>
            <w:r w:rsidRPr="008A0760">
              <w:rPr>
                <w:rFonts w:ascii="Verdana" w:hAnsi="Verdana"/>
                <w:sz w:val="16"/>
                <w:szCs w:val="16"/>
                <w:lang w:val="en-US" w:eastAsia="en-US"/>
              </w:rPr>
              <w:t xml:space="preserve">of January 1, 2019, obtained with the test method called </w:t>
            </w:r>
            <w:r w:rsidR="00A66C6A">
              <w:rPr>
                <w:rFonts w:ascii="Verdana" w:hAnsi="Verdana"/>
                <w:sz w:val="16"/>
                <w:szCs w:val="16"/>
                <w:lang w:val="en-US" w:eastAsia="en-US"/>
              </w:rPr>
              <w:t xml:space="preserve">City driving </w:t>
            </w:r>
            <w:r w:rsidRPr="008A0760">
              <w:rPr>
                <w:rFonts w:ascii="Verdana" w:hAnsi="Verdana"/>
                <w:sz w:val="16"/>
                <w:szCs w:val="16"/>
                <w:lang w:val="en-US" w:eastAsia="en-US"/>
              </w:rPr>
              <w:t xml:space="preserve">Cycle in FTP (FTP 75), established by the Environmental Protection </w:t>
            </w:r>
            <w:r w:rsidR="00A66C6A">
              <w:rPr>
                <w:rFonts w:ascii="Verdana" w:hAnsi="Verdana"/>
                <w:sz w:val="16"/>
                <w:szCs w:val="16"/>
                <w:lang w:val="en-US" w:eastAsia="en-US"/>
              </w:rPr>
              <w:t xml:space="preserve">Agency </w:t>
            </w:r>
            <w:r w:rsidRPr="008A0760">
              <w:rPr>
                <w:rFonts w:ascii="Verdana" w:hAnsi="Verdana"/>
                <w:sz w:val="16"/>
                <w:szCs w:val="16"/>
                <w:lang w:val="en-US" w:eastAsia="en-US"/>
              </w:rPr>
              <w:t xml:space="preserve">of the United States of America described in numeral 3.5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 xml:space="preserve">The values </w:t>
            </w:r>
            <w:r w:rsidRPr="008A0760">
              <w:rPr>
                <w:rFonts w:ascii="Arial" w:hAnsi="Arial" w:cs="Arial"/>
                <w:sz w:val="16"/>
                <w:szCs w:val="16"/>
                <w:lang w:val="en-US" w:eastAsia="en-US"/>
              </w:rPr>
              <w:t>​​</w:t>
            </w:r>
            <w:r w:rsidRPr="008A0760">
              <w:rPr>
                <w:rFonts w:ascii="Verdana" w:hAnsi="Verdana"/>
                <w:sz w:val="16"/>
                <w:szCs w:val="16"/>
                <w:lang w:val="en-US" w:eastAsia="en-US"/>
              </w:rPr>
              <w:t>of standard B equivalents in grams per mile (g/mi) are presented in Appendix D.</w:t>
            </w:r>
            <w:r w:rsidRPr="008A0760">
              <w:rPr>
                <w:lang w:val="en-US" w:eastAsia="en-US"/>
              </w:rPr>
              <w:t xml:space="preserve"> </w:t>
            </w:r>
            <w:r w:rsidRPr="008A0760">
              <w:rPr>
                <w:rFonts w:ascii="Verdana" w:hAnsi="Verdana"/>
                <w:sz w:val="16"/>
                <w:szCs w:val="16"/>
                <w:lang w:val="en-US" w:eastAsia="en-US"/>
              </w:rPr>
              <w:t xml:space="preserve">This standard requires the use of automotive diesel with a maximum sulfur content of 15 </w:t>
            </w:r>
            <w:r w:rsidR="00475F08">
              <w:rPr>
                <w:rFonts w:ascii="Verdana" w:hAnsi="Verdana"/>
                <w:sz w:val="16"/>
                <w:szCs w:val="16"/>
                <w:lang w:val="en-US" w:eastAsia="en-US"/>
              </w:rPr>
              <w:t>mg/kg</w:t>
            </w:r>
            <w:r w:rsidRPr="008A0760">
              <w:rPr>
                <w:rFonts w:ascii="Verdana" w:hAnsi="Verdana"/>
                <w:sz w:val="16"/>
                <w:szCs w:val="16"/>
                <w:lang w:val="en-US" w:eastAsia="en-US"/>
              </w:rPr>
              <w:t>, which will be available in the country, in accordance with the provisions of note 3 of Table 7 of the Official Mexican Standard NOM-016-CRE-2016.</w:t>
            </w:r>
            <w:r w:rsidRPr="008A0760">
              <w:rPr>
                <w:lang w:val="en-US" w:eastAsia="en-US"/>
              </w:rPr>
              <w:t xml:space="preserve"> </w:t>
            </w:r>
            <w:r w:rsidRPr="008A0760">
              <w:rPr>
                <w:rFonts w:ascii="Verdana" w:hAnsi="Verdana"/>
                <w:sz w:val="16"/>
                <w:szCs w:val="16"/>
                <w:lang w:val="en-US" w:eastAsia="en-US"/>
              </w:rPr>
              <w:t xml:space="preserve">Petroleum quality specifications, published in the Official </w:t>
            </w:r>
            <w:r w:rsidR="00735A37">
              <w:rPr>
                <w:rFonts w:ascii="Verdana" w:hAnsi="Verdana"/>
                <w:sz w:val="16"/>
                <w:szCs w:val="16"/>
                <w:lang w:val="en-US" w:eastAsia="en-US"/>
              </w:rPr>
              <w:t>Daily</w:t>
            </w:r>
            <w:r w:rsidRPr="008A0760">
              <w:rPr>
                <w:rFonts w:ascii="Verdana" w:hAnsi="Verdana"/>
                <w:sz w:val="16"/>
                <w:szCs w:val="16"/>
                <w:lang w:val="en-US" w:eastAsia="en-US"/>
              </w:rPr>
              <w:t xml:space="preserve"> of the Federation, on August 29, 2016.</w:t>
            </w:r>
            <w:r w:rsidRPr="008A0760">
              <w:rPr>
                <w:lang w:val="en-US" w:eastAsia="en-US"/>
              </w:rPr>
              <w:t xml:space="preserve"> </w:t>
            </w:r>
          </w:p>
        </w:tc>
      </w:tr>
    </w:tbl>
    <w:p w14:paraId="39975A74" w14:textId="77777777" w:rsidR="008A0760" w:rsidRPr="008A0760" w:rsidRDefault="008A0760" w:rsidP="008A0760">
      <w:pPr>
        <w:spacing w:after="160" w:line="259" w:lineRule="auto"/>
        <w:rPr>
          <w:sz w:val="22"/>
          <w:szCs w:val="22"/>
          <w:lang w:val="en-US" w:eastAsia="en-US"/>
        </w:rPr>
      </w:pPr>
      <w:r w:rsidRPr="008A0760">
        <w:rPr>
          <w:rFonts w:ascii="Calibri" w:hAnsi="Calibri" w:cs="Calibri"/>
          <w:sz w:val="22"/>
          <w:szCs w:val="22"/>
          <w:lang w:val="en-US" w:eastAsia="en-US"/>
        </w:rPr>
        <w:lastRenderedPageBreak/>
        <w:t> </w:t>
      </w:r>
    </w:p>
    <w:tbl>
      <w:tblPr>
        <w:tblW w:w="0" w:type="auto"/>
        <w:tblLook w:val="04A0" w:firstRow="1" w:lastRow="0" w:firstColumn="1" w:lastColumn="0" w:noHBand="0" w:noVBand="1"/>
      </w:tblPr>
      <w:tblGrid>
        <w:gridCol w:w="4680"/>
        <w:gridCol w:w="4680"/>
      </w:tblGrid>
      <w:tr w:rsidR="008A0760" w:rsidRPr="00743A20" w14:paraId="09E004D3" w14:textId="77777777" w:rsidTr="00A66C6A">
        <w:tc>
          <w:tcPr>
            <w:tcW w:w="4788" w:type="dxa"/>
            <w:shd w:val="clear" w:color="auto" w:fill="auto"/>
          </w:tcPr>
          <w:p w14:paraId="7E75E655"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4.2.3.</w:t>
            </w:r>
            <w:r w:rsidRPr="00A57824">
              <w:rPr>
                <w:rFonts w:ascii="Verdana" w:hAnsi="Verdana"/>
                <w:sz w:val="16"/>
                <w:szCs w:val="16"/>
              </w:rPr>
              <w:t xml:space="preserve"> Los vehículos automotores nuevos que se certifiquen a través del método de prueba denominado Ciclo en Ciudad FTP 75, deberán cumplir con el estándar 3A o 3B, contemplados en la Tabla 3, según corresponda y la vida útil, en ambos casos, es de 193,121 km u 11 años.</w:t>
            </w:r>
          </w:p>
        </w:tc>
        <w:tc>
          <w:tcPr>
            <w:tcW w:w="4788" w:type="dxa"/>
            <w:shd w:val="clear" w:color="auto" w:fill="auto"/>
          </w:tcPr>
          <w:p w14:paraId="0C12550D" w14:textId="77777777" w:rsidR="00A66C6A" w:rsidRPr="00A66C6A" w:rsidRDefault="00A66C6A" w:rsidP="00A66C6A">
            <w:pPr>
              <w:spacing w:after="160" w:line="276" w:lineRule="auto"/>
              <w:rPr>
                <w:rFonts w:ascii="Verdana" w:eastAsia="Calibri" w:hAnsi="Verdana"/>
                <w:sz w:val="16"/>
                <w:szCs w:val="16"/>
                <w:lang w:val="en-US" w:eastAsia="en-US"/>
              </w:rPr>
            </w:pPr>
            <w:r w:rsidRPr="00A66C6A">
              <w:rPr>
                <w:rFonts w:ascii="Verdana" w:eastAsia="Calibri" w:hAnsi="Verdana"/>
                <w:b/>
                <w:sz w:val="16"/>
                <w:szCs w:val="16"/>
                <w:lang w:val="en-US" w:eastAsia="en-US"/>
              </w:rPr>
              <w:t>4.2.3.</w:t>
            </w:r>
            <w:r w:rsidRPr="00A66C6A">
              <w:rPr>
                <w:rFonts w:ascii="Verdana" w:eastAsia="Calibri" w:hAnsi="Verdana"/>
                <w:sz w:val="16"/>
                <w:szCs w:val="16"/>
                <w:lang w:val="en-US" w:eastAsia="en-US"/>
              </w:rPr>
              <w:t xml:space="preserve"> New automotive vehicles that are certified through the test method called </w:t>
            </w:r>
            <w:r>
              <w:rPr>
                <w:rFonts w:ascii="Verdana" w:eastAsia="Calibri" w:hAnsi="Verdana"/>
                <w:sz w:val="16"/>
                <w:szCs w:val="16"/>
                <w:lang w:val="en-US" w:eastAsia="en-US"/>
              </w:rPr>
              <w:t xml:space="preserve">City driving </w:t>
            </w:r>
            <w:r w:rsidRPr="00A66C6A">
              <w:rPr>
                <w:rFonts w:ascii="Verdana" w:eastAsia="Calibri" w:hAnsi="Verdana"/>
                <w:sz w:val="16"/>
                <w:szCs w:val="16"/>
                <w:lang w:val="en-US" w:eastAsia="en-US"/>
              </w:rPr>
              <w:t xml:space="preserve">Cycle in FTP City 75, must comply with standard 3A or 3B, </w:t>
            </w:r>
            <w:r>
              <w:rPr>
                <w:rFonts w:ascii="Verdana" w:eastAsia="Calibri" w:hAnsi="Verdana"/>
                <w:sz w:val="16"/>
                <w:szCs w:val="16"/>
                <w:lang w:val="en-US" w:eastAsia="en-US"/>
              </w:rPr>
              <w:t>included</w:t>
            </w:r>
            <w:r w:rsidRPr="00A66C6A">
              <w:rPr>
                <w:rFonts w:ascii="Verdana" w:eastAsia="Calibri" w:hAnsi="Verdana"/>
                <w:sz w:val="16"/>
                <w:szCs w:val="16"/>
                <w:lang w:val="en-US" w:eastAsia="en-US"/>
              </w:rPr>
              <w:t xml:space="preserve"> in Table 3, as appropriate and the useful life, in both cases, is 193,121 km </w:t>
            </w:r>
            <w:r>
              <w:rPr>
                <w:rFonts w:ascii="Verdana" w:eastAsia="Calibri" w:hAnsi="Verdana"/>
                <w:sz w:val="16"/>
                <w:szCs w:val="16"/>
                <w:lang w:val="en-US" w:eastAsia="en-US"/>
              </w:rPr>
              <w:t>or</w:t>
            </w:r>
            <w:r w:rsidRPr="00A66C6A">
              <w:rPr>
                <w:rFonts w:ascii="Verdana" w:eastAsia="Calibri" w:hAnsi="Verdana"/>
                <w:sz w:val="16"/>
                <w:szCs w:val="16"/>
                <w:lang w:val="en-US" w:eastAsia="en-US"/>
              </w:rPr>
              <w:t xml:space="preserve"> 11 years.</w:t>
            </w:r>
          </w:p>
          <w:p w14:paraId="3655851A" w14:textId="77777777" w:rsidR="008A0760" w:rsidRPr="00A57824" w:rsidRDefault="008A0760" w:rsidP="00A66C6A">
            <w:pPr>
              <w:spacing w:after="160" w:line="276" w:lineRule="auto"/>
              <w:rPr>
                <w:rFonts w:ascii="Calibri" w:eastAsia="Calibri" w:hAnsi="Calibri"/>
                <w:sz w:val="22"/>
                <w:szCs w:val="22"/>
                <w:lang w:val="en-US" w:eastAsia="en-US"/>
              </w:rPr>
            </w:pPr>
          </w:p>
        </w:tc>
      </w:tr>
      <w:tr w:rsidR="008A0760" w:rsidRPr="00743A20" w14:paraId="73D5A600" w14:textId="77777777" w:rsidTr="00A66C6A">
        <w:tc>
          <w:tcPr>
            <w:tcW w:w="4788" w:type="dxa"/>
            <w:shd w:val="clear" w:color="auto" w:fill="auto"/>
          </w:tcPr>
          <w:p w14:paraId="7225C5FA" w14:textId="77777777" w:rsidR="008A0760" w:rsidRPr="00A66C6A" w:rsidRDefault="008A0760" w:rsidP="00A66C6A">
            <w:pPr>
              <w:pStyle w:val="Texto"/>
              <w:spacing w:line="276" w:lineRule="auto"/>
              <w:rPr>
                <w:rFonts w:ascii="Verdana" w:hAnsi="Verdana"/>
                <w:sz w:val="16"/>
                <w:szCs w:val="16"/>
              </w:rPr>
            </w:pPr>
            <w:r w:rsidRPr="00A66C6A">
              <w:rPr>
                <w:rFonts w:ascii="Verdana" w:hAnsi="Verdana"/>
                <w:b/>
                <w:sz w:val="16"/>
                <w:szCs w:val="16"/>
              </w:rPr>
              <w:t>4.2.4.</w:t>
            </w:r>
            <w:r w:rsidRPr="00A66C6A">
              <w:rPr>
                <w:rFonts w:ascii="Verdana" w:hAnsi="Verdana"/>
                <w:sz w:val="16"/>
                <w:szCs w:val="16"/>
              </w:rPr>
              <w:t xml:space="preserve"> Los vehículos automotores nuevos con peso bruto vehicular mayor de 3,857 kg y masa de referencia menor o igual a 2,840 kg, podrán aplicar una prueba de dinamómetro de chasis, mediante el método de prueba NCEP, establecido por el Parlamento Europeo y el Consejo de la Unión Europea como alternativa para cumplir con los estándares 2A, 2AA y 2B de esta norma oficial mexicana. En este caso, los vehículos nuevos deberán cumplir con los límites máximos permisibles señalados en el numeral 4.2.5.</w:t>
            </w:r>
          </w:p>
        </w:tc>
        <w:tc>
          <w:tcPr>
            <w:tcW w:w="4788" w:type="dxa"/>
            <w:shd w:val="clear" w:color="auto" w:fill="auto"/>
          </w:tcPr>
          <w:p w14:paraId="2E28F1EC" w14:textId="77777777" w:rsidR="008A0760" w:rsidRPr="00A66C6A" w:rsidRDefault="00A66C6A" w:rsidP="00A66C6A">
            <w:pPr>
              <w:spacing w:after="160" w:line="276" w:lineRule="auto"/>
              <w:rPr>
                <w:rFonts w:ascii="Verdana" w:eastAsia="Calibri" w:hAnsi="Verdana"/>
                <w:sz w:val="16"/>
                <w:szCs w:val="16"/>
                <w:lang w:val="en-US" w:eastAsia="en-US"/>
              </w:rPr>
            </w:pPr>
            <w:r w:rsidRPr="00A66C6A">
              <w:rPr>
                <w:rFonts w:ascii="Verdana" w:eastAsia="Calibri" w:hAnsi="Verdana"/>
                <w:b/>
                <w:sz w:val="16"/>
                <w:szCs w:val="16"/>
                <w:lang w:val="en-US" w:eastAsia="en-US"/>
              </w:rPr>
              <w:t>4.2.4</w:t>
            </w:r>
            <w:r w:rsidRPr="00A66C6A">
              <w:rPr>
                <w:rFonts w:ascii="Verdana" w:eastAsia="Calibri" w:hAnsi="Verdana"/>
                <w:sz w:val="16"/>
                <w:szCs w:val="16"/>
                <w:lang w:val="en-US" w:eastAsia="en-US"/>
              </w:rPr>
              <w:t>. New motor vehicles with gross vehicle weight greater than 3,857 kg and reference mass less than or equal to 2,840 kg, may apply a chassis dynamometer test, using the NCEP test method, established by the European Parliament and the Council of the Union European Union as an alternative to comply with standards 2A, 2AA and 2B of this official Mexican standard. In this case, new vehicles must comply with the maximum permissible limits indicated in section 4.2.5.</w:t>
            </w:r>
          </w:p>
        </w:tc>
      </w:tr>
      <w:tr w:rsidR="008A0760" w:rsidRPr="00743A20" w14:paraId="427BD77C" w14:textId="77777777" w:rsidTr="00A66C6A">
        <w:tc>
          <w:tcPr>
            <w:tcW w:w="4788" w:type="dxa"/>
            <w:shd w:val="clear" w:color="auto" w:fill="auto"/>
          </w:tcPr>
          <w:p w14:paraId="664E41D6" w14:textId="77777777" w:rsidR="008A0760" w:rsidRPr="00A57824" w:rsidRDefault="008A0760" w:rsidP="00A66C6A">
            <w:pPr>
              <w:pStyle w:val="Texto"/>
              <w:spacing w:line="276" w:lineRule="auto"/>
              <w:rPr>
                <w:rFonts w:ascii="Verdana" w:hAnsi="Verdana"/>
                <w:sz w:val="16"/>
                <w:szCs w:val="16"/>
              </w:rPr>
            </w:pPr>
            <w:r w:rsidRPr="00A57824">
              <w:rPr>
                <w:rFonts w:ascii="Verdana" w:hAnsi="Verdana"/>
                <w:b/>
                <w:sz w:val="16"/>
                <w:szCs w:val="16"/>
              </w:rPr>
              <w:t>4.2.5.</w:t>
            </w:r>
            <w:r w:rsidRPr="00A57824">
              <w:rPr>
                <w:rFonts w:ascii="Verdana" w:hAnsi="Verdana"/>
                <w:sz w:val="16"/>
                <w:szCs w:val="16"/>
              </w:rPr>
              <w:t xml:space="preserve"> Los límites máximos permisibles de emisión de monóxido de carbono (CO), óxidos de nitrógeno (NOx), hidrocarburos totales más óxidos de nitrógeno (HC+NOx), partículas (Part) y número de partículas (Núm. Part), provenientes del escape de los vehículos automotores nuevos con peso bruto vehicular mayor a 3,857 kg y masa de referencia menor o igual a 2,840 kg que integren motor nuevo a diésel, se indican en la Tabla 4.</w:t>
            </w:r>
          </w:p>
        </w:tc>
        <w:tc>
          <w:tcPr>
            <w:tcW w:w="4788" w:type="dxa"/>
            <w:shd w:val="clear" w:color="auto" w:fill="auto"/>
          </w:tcPr>
          <w:p w14:paraId="6340A80D" w14:textId="77777777" w:rsidR="008A0760" w:rsidRPr="00A57824" w:rsidRDefault="00A66C6A" w:rsidP="00A66C6A">
            <w:pPr>
              <w:spacing w:after="160" w:line="276" w:lineRule="auto"/>
              <w:rPr>
                <w:rFonts w:ascii="Calibri" w:eastAsia="Calibri" w:hAnsi="Calibri"/>
                <w:sz w:val="22"/>
                <w:szCs w:val="22"/>
                <w:lang w:val="en-US" w:eastAsia="en-US"/>
              </w:rPr>
            </w:pPr>
            <w:r w:rsidRPr="00A66C6A">
              <w:rPr>
                <w:rFonts w:ascii="Verdana" w:eastAsia="Calibri" w:hAnsi="Verdana"/>
                <w:b/>
                <w:sz w:val="16"/>
                <w:szCs w:val="16"/>
                <w:lang w:val="en-US" w:eastAsia="en-US"/>
              </w:rPr>
              <w:t>4.2.5.</w:t>
            </w:r>
            <w:r w:rsidRPr="00A66C6A">
              <w:rPr>
                <w:rFonts w:ascii="Verdana" w:eastAsia="Calibri" w:hAnsi="Verdana"/>
                <w:sz w:val="16"/>
                <w:szCs w:val="16"/>
                <w:lang w:val="en-US" w:eastAsia="en-US"/>
              </w:rPr>
              <w:t xml:space="preserve"> The maximum permissible emission limits of carbon monoxide (CO), nitrogen oxides (NOx), total hydrocarbons plus nitrogen oxides (HC + NOx), particles (Part) and number of particles (Part No.), from the exhaust of new motor vehicles with a gross vehicle weight greater than 3,857 kg and a reference mass less than or equal to 2,840 kg that integrate a new diesel engine are indicated in Table 4.</w:t>
            </w:r>
          </w:p>
        </w:tc>
      </w:tr>
    </w:tbl>
    <w:p w14:paraId="240684F1" w14:textId="77777777" w:rsidR="00DF5012" w:rsidRPr="00BA3592" w:rsidRDefault="00DF5012" w:rsidP="00DF5012">
      <w:pPr>
        <w:pStyle w:val="Texto"/>
        <w:spacing w:line="232" w:lineRule="exact"/>
        <w:ind w:firstLine="0"/>
        <w:jc w:val="center"/>
        <w:rPr>
          <w:rFonts w:ascii="Verdana" w:hAnsi="Verdana"/>
          <w:b/>
          <w:sz w:val="16"/>
          <w:szCs w:val="16"/>
        </w:rPr>
      </w:pPr>
      <w:r w:rsidRPr="00BA3592">
        <w:rPr>
          <w:rFonts w:ascii="Verdana" w:hAnsi="Verdana"/>
          <w:b/>
          <w:sz w:val="16"/>
          <w:szCs w:val="16"/>
        </w:rPr>
        <w:t>Tabla 4</w:t>
      </w:r>
    </w:p>
    <w:tbl>
      <w:tblPr>
        <w:tblW w:w="8712" w:type="dxa"/>
        <w:jc w:val="center"/>
        <w:tblCellMar>
          <w:left w:w="72" w:type="dxa"/>
          <w:right w:w="72" w:type="dxa"/>
        </w:tblCellMar>
        <w:tblLook w:val="0000" w:firstRow="0" w:lastRow="0" w:firstColumn="0" w:lastColumn="0" w:noHBand="0" w:noVBand="0"/>
      </w:tblPr>
      <w:tblGrid>
        <w:gridCol w:w="1090"/>
        <w:gridCol w:w="1133"/>
        <w:gridCol w:w="1040"/>
        <w:gridCol w:w="976"/>
        <w:gridCol w:w="1002"/>
        <w:gridCol w:w="1074"/>
        <w:gridCol w:w="1003"/>
        <w:gridCol w:w="1394"/>
      </w:tblGrid>
      <w:tr w:rsidR="00DF5012" w:rsidRPr="00BA3592" w14:paraId="4A84B923" w14:textId="77777777">
        <w:trPr>
          <w:cantSplit/>
          <w:trHeight w:val="20"/>
          <w:jc w:val="center"/>
        </w:trPr>
        <w:tc>
          <w:tcPr>
            <w:tcW w:w="1090" w:type="dxa"/>
            <w:vMerge w:val="restart"/>
            <w:tcBorders>
              <w:top w:val="single" w:sz="6" w:space="0" w:color="auto"/>
              <w:left w:val="single" w:sz="6" w:space="0" w:color="auto"/>
              <w:right w:val="single" w:sz="6" w:space="0" w:color="auto"/>
            </w:tcBorders>
            <w:shd w:val="pct12" w:color="auto" w:fill="auto"/>
            <w:noWrap/>
            <w:vAlign w:val="center"/>
          </w:tcPr>
          <w:p w14:paraId="2926E3AD"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r w:rsidRPr="00BA3592">
              <w:rPr>
                <w:rFonts w:ascii="Verdana" w:hAnsi="Verdana"/>
                <w:b/>
                <w:sz w:val="16"/>
                <w:szCs w:val="16"/>
              </w:rPr>
              <w:t>Estándar</w:t>
            </w:r>
          </w:p>
        </w:tc>
        <w:tc>
          <w:tcPr>
            <w:tcW w:w="1133" w:type="dxa"/>
            <w:vMerge w:val="restart"/>
            <w:tcBorders>
              <w:top w:val="single" w:sz="6" w:space="0" w:color="auto"/>
              <w:left w:val="single" w:sz="6" w:space="0" w:color="auto"/>
              <w:right w:val="single" w:sz="6" w:space="0" w:color="auto"/>
            </w:tcBorders>
            <w:shd w:val="pct12" w:color="auto" w:fill="auto"/>
            <w:vAlign w:val="center"/>
          </w:tcPr>
          <w:p w14:paraId="53F91A52"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r w:rsidRPr="00BA3592">
              <w:rPr>
                <w:rFonts w:ascii="Verdana" w:hAnsi="Verdana"/>
                <w:b/>
                <w:sz w:val="16"/>
                <w:szCs w:val="16"/>
              </w:rPr>
              <w:t>Masa de Referencia (kg)</w:t>
            </w:r>
          </w:p>
        </w:tc>
        <w:tc>
          <w:tcPr>
            <w:tcW w:w="1040" w:type="dxa"/>
            <w:vMerge w:val="restart"/>
            <w:tcBorders>
              <w:top w:val="single" w:sz="6" w:space="0" w:color="auto"/>
              <w:left w:val="single" w:sz="6" w:space="0" w:color="auto"/>
              <w:right w:val="single" w:sz="6" w:space="0" w:color="auto"/>
            </w:tcBorders>
            <w:shd w:val="pct12" w:color="auto" w:fill="auto"/>
            <w:vAlign w:val="center"/>
          </w:tcPr>
          <w:p w14:paraId="167397A7"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r w:rsidRPr="00BA3592">
              <w:rPr>
                <w:rFonts w:ascii="Verdana" w:hAnsi="Verdana"/>
                <w:b/>
                <w:sz w:val="16"/>
                <w:szCs w:val="16"/>
              </w:rPr>
              <w:t>Método de prueba</w:t>
            </w:r>
          </w:p>
        </w:tc>
        <w:tc>
          <w:tcPr>
            <w:tcW w:w="976" w:type="dxa"/>
            <w:tcBorders>
              <w:top w:val="single" w:sz="6" w:space="0" w:color="auto"/>
              <w:left w:val="single" w:sz="6" w:space="0" w:color="auto"/>
              <w:bottom w:val="single" w:sz="6" w:space="0" w:color="auto"/>
              <w:right w:val="single" w:sz="6" w:space="0" w:color="auto"/>
            </w:tcBorders>
            <w:shd w:val="pct12" w:color="auto" w:fill="auto"/>
            <w:vAlign w:val="center"/>
          </w:tcPr>
          <w:p w14:paraId="6B8DAFAA"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r w:rsidRPr="00BA3592">
              <w:rPr>
                <w:rFonts w:ascii="Verdana" w:hAnsi="Verdana"/>
                <w:b/>
                <w:sz w:val="16"/>
                <w:szCs w:val="16"/>
                <w:lang w:val="es-ES_tradnl"/>
              </w:rPr>
              <w:t>CO</w:t>
            </w:r>
          </w:p>
        </w:tc>
        <w:tc>
          <w:tcPr>
            <w:tcW w:w="1002" w:type="dxa"/>
            <w:tcBorders>
              <w:top w:val="single" w:sz="6" w:space="0" w:color="auto"/>
              <w:left w:val="single" w:sz="6" w:space="0" w:color="auto"/>
              <w:bottom w:val="single" w:sz="6" w:space="0" w:color="auto"/>
              <w:right w:val="single" w:sz="6" w:space="0" w:color="auto"/>
            </w:tcBorders>
            <w:shd w:val="pct12" w:color="auto" w:fill="auto"/>
            <w:vAlign w:val="center"/>
          </w:tcPr>
          <w:p w14:paraId="35991055"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r w:rsidRPr="00BA3592">
              <w:rPr>
                <w:rFonts w:ascii="Verdana" w:hAnsi="Verdana"/>
                <w:b/>
                <w:sz w:val="16"/>
                <w:szCs w:val="16"/>
                <w:lang w:val="es-ES_tradnl"/>
              </w:rPr>
              <w:t>NOx</w:t>
            </w:r>
          </w:p>
        </w:tc>
        <w:tc>
          <w:tcPr>
            <w:tcW w:w="1074" w:type="dxa"/>
            <w:tcBorders>
              <w:top w:val="single" w:sz="6" w:space="0" w:color="auto"/>
              <w:left w:val="single" w:sz="6" w:space="0" w:color="auto"/>
              <w:bottom w:val="single" w:sz="6" w:space="0" w:color="auto"/>
              <w:right w:val="single" w:sz="6" w:space="0" w:color="auto"/>
            </w:tcBorders>
            <w:shd w:val="pct12" w:color="auto" w:fill="auto"/>
            <w:vAlign w:val="center"/>
          </w:tcPr>
          <w:p w14:paraId="4C146538"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r w:rsidRPr="00BA3592">
              <w:rPr>
                <w:rFonts w:ascii="Verdana" w:hAnsi="Verdana"/>
                <w:b/>
                <w:sz w:val="16"/>
                <w:szCs w:val="16"/>
                <w:lang w:val="es-ES_tradnl"/>
              </w:rPr>
              <w:t>HC+NOx</w:t>
            </w:r>
          </w:p>
        </w:tc>
        <w:tc>
          <w:tcPr>
            <w:tcW w:w="1003" w:type="dxa"/>
            <w:tcBorders>
              <w:top w:val="single" w:sz="6" w:space="0" w:color="auto"/>
              <w:left w:val="single" w:sz="6" w:space="0" w:color="auto"/>
              <w:bottom w:val="single" w:sz="6" w:space="0" w:color="auto"/>
              <w:right w:val="single" w:sz="6" w:space="0" w:color="auto"/>
            </w:tcBorders>
            <w:shd w:val="pct12" w:color="auto" w:fill="auto"/>
            <w:vAlign w:val="center"/>
          </w:tcPr>
          <w:p w14:paraId="457BF51A"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r w:rsidRPr="00BA3592">
              <w:rPr>
                <w:rFonts w:ascii="Verdana" w:hAnsi="Verdana"/>
                <w:b/>
                <w:sz w:val="16"/>
                <w:szCs w:val="16"/>
                <w:lang w:val="es-ES_tradnl"/>
              </w:rPr>
              <w:t>Part</w:t>
            </w:r>
          </w:p>
        </w:tc>
        <w:tc>
          <w:tcPr>
            <w:tcW w:w="1394" w:type="dxa"/>
            <w:tcBorders>
              <w:top w:val="single" w:sz="6" w:space="0" w:color="auto"/>
              <w:left w:val="single" w:sz="6" w:space="0" w:color="auto"/>
              <w:bottom w:val="single" w:sz="6" w:space="0" w:color="auto"/>
              <w:right w:val="single" w:sz="6" w:space="0" w:color="auto"/>
            </w:tcBorders>
            <w:shd w:val="pct12" w:color="auto" w:fill="auto"/>
            <w:vAlign w:val="center"/>
          </w:tcPr>
          <w:p w14:paraId="3F76C588"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r w:rsidRPr="00BA3592">
              <w:rPr>
                <w:rFonts w:ascii="Verdana" w:hAnsi="Verdana"/>
                <w:b/>
                <w:sz w:val="16"/>
                <w:szCs w:val="16"/>
                <w:lang w:val="es-ES_tradnl"/>
              </w:rPr>
              <w:t>Núm. Part.</w:t>
            </w:r>
          </w:p>
        </w:tc>
      </w:tr>
      <w:tr w:rsidR="00DF5012" w:rsidRPr="00BA3592" w14:paraId="0FCDC304" w14:textId="77777777">
        <w:trPr>
          <w:cantSplit/>
          <w:trHeight w:val="20"/>
          <w:jc w:val="center"/>
        </w:trPr>
        <w:tc>
          <w:tcPr>
            <w:tcW w:w="1090" w:type="dxa"/>
            <w:vMerge/>
            <w:tcBorders>
              <w:left w:val="single" w:sz="6" w:space="0" w:color="auto"/>
              <w:bottom w:val="single" w:sz="6" w:space="0" w:color="auto"/>
              <w:right w:val="single" w:sz="6" w:space="0" w:color="auto"/>
            </w:tcBorders>
            <w:shd w:val="pct12" w:color="auto" w:fill="auto"/>
            <w:vAlign w:val="center"/>
          </w:tcPr>
          <w:p w14:paraId="60BF5F89"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p>
        </w:tc>
        <w:tc>
          <w:tcPr>
            <w:tcW w:w="1133" w:type="dxa"/>
            <w:vMerge/>
            <w:tcBorders>
              <w:left w:val="single" w:sz="6" w:space="0" w:color="auto"/>
              <w:bottom w:val="single" w:sz="6" w:space="0" w:color="auto"/>
              <w:right w:val="single" w:sz="6" w:space="0" w:color="auto"/>
            </w:tcBorders>
            <w:shd w:val="pct12" w:color="auto" w:fill="auto"/>
            <w:vAlign w:val="center"/>
          </w:tcPr>
          <w:p w14:paraId="28C0F339"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p>
        </w:tc>
        <w:tc>
          <w:tcPr>
            <w:tcW w:w="1040" w:type="dxa"/>
            <w:vMerge/>
            <w:tcBorders>
              <w:left w:val="single" w:sz="6" w:space="0" w:color="auto"/>
              <w:bottom w:val="single" w:sz="6" w:space="0" w:color="auto"/>
              <w:right w:val="single" w:sz="6" w:space="0" w:color="auto"/>
            </w:tcBorders>
            <w:shd w:val="pct12" w:color="auto" w:fill="auto"/>
            <w:vAlign w:val="center"/>
          </w:tcPr>
          <w:p w14:paraId="0D3F8D21"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p>
        </w:tc>
        <w:tc>
          <w:tcPr>
            <w:tcW w:w="4055" w:type="dxa"/>
            <w:gridSpan w:val="4"/>
            <w:tcBorders>
              <w:top w:val="single" w:sz="6" w:space="0" w:color="auto"/>
              <w:left w:val="single" w:sz="6" w:space="0" w:color="auto"/>
              <w:bottom w:val="single" w:sz="6" w:space="0" w:color="auto"/>
              <w:right w:val="single" w:sz="6" w:space="0" w:color="auto"/>
            </w:tcBorders>
            <w:shd w:val="pct12" w:color="auto" w:fill="auto"/>
            <w:vAlign w:val="center"/>
          </w:tcPr>
          <w:p w14:paraId="5A15E009" w14:textId="77777777" w:rsidR="00DF5012" w:rsidRPr="00BA3592" w:rsidRDefault="00DF5012" w:rsidP="00931F51">
            <w:pPr>
              <w:pStyle w:val="Texto"/>
              <w:spacing w:before="40" w:after="40" w:line="232" w:lineRule="exact"/>
              <w:ind w:firstLine="0"/>
              <w:jc w:val="center"/>
              <w:rPr>
                <w:rFonts w:ascii="Verdana" w:hAnsi="Verdana"/>
                <w:b/>
                <w:i/>
                <w:sz w:val="16"/>
                <w:szCs w:val="16"/>
                <w:lang w:val="es-ES_tradnl"/>
              </w:rPr>
            </w:pPr>
            <w:r w:rsidRPr="00BA3592">
              <w:rPr>
                <w:rFonts w:ascii="Verdana" w:hAnsi="Verdana"/>
                <w:b/>
                <w:sz w:val="16"/>
                <w:szCs w:val="16"/>
                <w:lang w:val="es-ES_tradnl"/>
              </w:rPr>
              <w:t>g/km</w:t>
            </w:r>
            <w:r w:rsidRPr="00BA3592">
              <w:rPr>
                <w:rFonts w:ascii="Verdana" w:hAnsi="Verdana"/>
                <w:b/>
                <w:sz w:val="16"/>
                <w:szCs w:val="16"/>
                <w:vertAlign w:val="superscript"/>
                <w:lang w:val="es-ES_tradnl"/>
              </w:rPr>
              <w:t>(1)</w:t>
            </w:r>
          </w:p>
        </w:tc>
        <w:tc>
          <w:tcPr>
            <w:tcW w:w="1394" w:type="dxa"/>
            <w:tcBorders>
              <w:top w:val="single" w:sz="6" w:space="0" w:color="auto"/>
              <w:left w:val="single" w:sz="6" w:space="0" w:color="auto"/>
              <w:bottom w:val="single" w:sz="6" w:space="0" w:color="auto"/>
              <w:right w:val="single" w:sz="6" w:space="0" w:color="auto"/>
            </w:tcBorders>
            <w:shd w:val="pct12" w:color="auto" w:fill="auto"/>
            <w:vAlign w:val="center"/>
          </w:tcPr>
          <w:p w14:paraId="1440AA31" w14:textId="77777777" w:rsidR="00DF5012" w:rsidRPr="00BA3592" w:rsidRDefault="00DF5012" w:rsidP="00931F51">
            <w:pPr>
              <w:pStyle w:val="Texto"/>
              <w:spacing w:before="40" w:after="40" w:line="232" w:lineRule="exact"/>
              <w:ind w:firstLine="0"/>
              <w:jc w:val="center"/>
              <w:rPr>
                <w:rFonts w:ascii="Verdana" w:hAnsi="Verdana"/>
                <w:b/>
                <w:i/>
                <w:sz w:val="16"/>
                <w:szCs w:val="16"/>
                <w:lang w:val="es-ES_tradnl"/>
              </w:rPr>
            </w:pPr>
            <w:r w:rsidRPr="00BA3592">
              <w:rPr>
                <w:rFonts w:ascii="Verdana" w:hAnsi="Verdana"/>
                <w:b/>
                <w:sz w:val="16"/>
                <w:szCs w:val="16"/>
                <w:lang w:val="es-ES_tradnl"/>
              </w:rPr>
              <w:t xml:space="preserve">Número/km </w:t>
            </w:r>
            <w:r w:rsidRPr="00BA3592">
              <w:rPr>
                <w:rFonts w:ascii="Verdana" w:hAnsi="Verdana"/>
                <w:b/>
                <w:sz w:val="16"/>
                <w:szCs w:val="16"/>
                <w:vertAlign w:val="superscript"/>
                <w:lang w:val="es-ES_tradnl"/>
              </w:rPr>
              <w:t>(2)</w:t>
            </w:r>
          </w:p>
        </w:tc>
      </w:tr>
      <w:tr w:rsidR="00DF5012" w:rsidRPr="00BA3592" w14:paraId="7D2A4B5C" w14:textId="77777777">
        <w:trPr>
          <w:cantSplit/>
          <w:trHeight w:val="20"/>
          <w:jc w:val="center"/>
        </w:trPr>
        <w:tc>
          <w:tcPr>
            <w:tcW w:w="1090" w:type="dxa"/>
            <w:tcBorders>
              <w:top w:val="single" w:sz="6" w:space="0" w:color="auto"/>
              <w:left w:val="single" w:sz="6" w:space="0" w:color="auto"/>
              <w:bottom w:val="single" w:sz="6" w:space="0" w:color="auto"/>
              <w:right w:val="single" w:sz="6" w:space="0" w:color="auto"/>
            </w:tcBorders>
            <w:shd w:val="clear" w:color="auto" w:fill="FFFFFF"/>
            <w:vAlign w:val="center"/>
          </w:tcPr>
          <w:p w14:paraId="63BF202E"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b/>
                <w:sz w:val="16"/>
                <w:szCs w:val="16"/>
                <w:lang w:val="es-ES_tradnl"/>
              </w:rPr>
              <w:t>4A</w:t>
            </w:r>
            <w:r w:rsidRPr="00BA3592">
              <w:rPr>
                <w:rFonts w:ascii="Verdana" w:hAnsi="Verdana"/>
                <w:sz w:val="16"/>
                <w:szCs w:val="16"/>
                <w:lang w:val="es-ES_tradnl"/>
              </w:rPr>
              <w:t xml:space="preserve"> </w:t>
            </w:r>
            <w:r w:rsidRPr="00BA3592">
              <w:rPr>
                <w:rFonts w:ascii="Verdana" w:hAnsi="Verdana"/>
                <w:sz w:val="16"/>
                <w:szCs w:val="16"/>
                <w:vertAlign w:val="superscript"/>
                <w:lang w:val="es-ES_tradnl"/>
              </w:rPr>
              <w:t>(3)</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3642799A"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≤2,840</w:t>
            </w: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2F3FCA36"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NCEP</w:t>
            </w:r>
          </w:p>
        </w:tc>
        <w:tc>
          <w:tcPr>
            <w:tcW w:w="976" w:type="dxa"/>
            <w:tcBorders>
              <w:top w:val="single" w:sz="6" w:space="0" w:color="auto"/>
              <w:left w:val="single" w:sz="6" w:space="0" w:color="auto"/>
              <w:bottom w:val="single" w:sz="6" w:space="0" w:color="auto"/>
              <w:right w:val="single" w:sz="6" w:space="0" w:color="auto"/>
            </w:tcBorders>
            <w:shd w:val="clear" w:color="auto" w:fill="FFFFFF"/>
            <w:vAlign w:val="center"/>
          </w:tcPr>
          <w:p w14:paraId="3D3D351C"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0.74</w:t>
            </w:r>
          </w:p>
        </w:tc>
        <w:tc>
          <w:tcPr>
            <w:tcW w:w="1002" w:type="dxa"/>
            <w:tcBorders>
              <w:top w:val="single" w:sz="6" w:space="0" w:color="auto"/>
              <w:left w:val="single" w:sz="6" w:space="0" w:color="auto"/>
              <w:bottom w:val="single" w:sz="6" w:space="0" w:color="auto"/>
              <w:right w:val="single" w:sz="6" w:space="0" w:color="auto"/>
            </w:tcBorders>
            <w:shd w:val="clear" w:color="auto" w:fill="FFFFFF"/>
            <w:vAlign w:val="center"/>
          </w:tcPr>
          <w:p w14:paraId="702B558D"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0.39</w:t>
            </w:r>
          </w:p>
        </w:tc>
        <w:tc>
          <w:tcPr>
            <w:tcW w:w="1074" w:type="dxa"/>
            <w:tcBorders>
              <w:top w:val="single" w:sz="6" w:space="0" w:color="auto"/>
              <w:left w:val="single" w:sz="6" w:space="0" w:color="auto"/>
              <w:bottom w:val="single" w:sz="6" w:space="0" w:color="auto"/>
              <w:right w:val="single" w:sz="6" w:space="0" w:color="auto"/>
            </w:tcBorders>
            <w:shd w:val="clear" w:color="auto" w:fill="FFFFFF"/>
            <w:vAlign w:val="center"/>
          </w:tcPr>
          <w:p w14:paraId="497DEF05"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0.46</w:t>
            </w:r>
          </w:p>
        </w:tc>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14:paraId="7F4762C3"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0.06</w:t>
            </w:r>
          </w:p>
        </w:tc>
        <w:tc>
          <w:tcPr>
            <w:tcW w:w="1394" w:type="dxa"/>
            <w:tcBorders>
              <w:top w:val="single" w:sz="6" w:space="0" w:color="auto"/>
              <w:left w:val="single" w:sz="6" w:space="0" w:color="auto"/>
              <w:bottom w:val="single" w:sz="6" w:space="0" w:color="auto"/>
              <w:right w:val="single" w:sz="6" w:space="0" w:color="auto"/>
            </w:tcBorders>
            <w:shd w:val="clear" w:color="auto" w:fill="FFFFFF"/>
            <w:vAlign w:val="center"/>
          </w:tcPr>
          <w:p w14:paraId="70A4CBC5"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No aplica</w:t>
            </w:r>
          </w:p>
        </w:tc>
      </w:tr>
      <w:tr w:rsidR="00DF5012" w:rsidRPr="00BA3592" w14:paraId="6F0F2750" w14:textId="77777777">
        <w:trPr>
          <w:cantSplit/>
          <w:trHeight w:val="20"/>
          <w:jc w:val="center"/>
        </w:trPr>
        <w:tc>
          <w:tcPr>
            <w:tcW w:w="1090" w:type="dxa"/>
            <w:tcBorders>
              <w:top w:val="single" w:sz="6" w:space="0" w:color="auto"/>
              <w:left w:val="single" w:sz="6" w:space="0" w:color="auto"/>
              <w:bottom w:val="single" w:sz="6" w:space="0" w:color="auto"/>
              <w:right w:val="single" w:sz="6" w:space="0" w:color="auto"/>
            </w:tcBorders>
            <w:vAlign w:val="center"/>
          </w:tcPr>
          <w:p w14:paraId="5A99FFEE" w14:textId="77777777" w:rsidR="00DF5012" w:rsidRPr="00BA3592" w:rsidRDefault="00DF5012" w:rsidP="00931F51">
            <w:pPr>
              <w:pStyle w:val="Texto"/>
              <w:spacing w:before="40" w:after="40" w:line="232" w:lineRule="exact"/>
              <w:ind w:firstLine="0"/>
              <w:jc w:val="center"/>
              <w:rPr>
                <w:rFonts w:ascii="Verdana" w:hAnsi="Verdana"/>
                <w:b/>
                <w:sz w:val="16"/>
                <w:szCs w:val="16"/>
                <w:lang w:val="es-ES_tradnl"/>
              </w:rPr>
            </w:pPr>
            <w:r w:rsidRPr="00BA3592">
              <w:rPr>
                <w:rFonts w:ascii="Verdana" w:hAnsi="Verdana"/>
                <w:b/>
                <w:sz w:val="16"/>
                <w:szCs w:val="16"/>
                <w:lang w:val="es-ES_tradnl"/>
              </w:rPr>
              <w:t xml:space="preserve">4AA </w:t>
            </w:r>
            <w:r w:rsidRPr="00BA3592">
              <w:rPr>
                <w:rFonts w:ascii="Verdana" w:hAnsi="Verdana"/>
                <w:sz w:val="16"/>
                <w:szCs w:val="16"/>
                <w:vertAlign w:val="superscript"/>
                <w:lang w:val="es-ES_tradnl"/>
              </w:rPr>
              <w:t>(4)</w:t>
            </w:r>
          </w:p>
        </w:tc>
        <w:tc>
          <w:tcPr>
            <w:tcW w:w="1133" w:type="dxa"/>
            <w:tcBorders>
              <w:top w:val="single" w:sz="6" w:space="0" w:color="auto"/>
              <w:left w:val="single" w:sz="6" w:space="0" w:color="auto"/>
              <w:bottom w:val="single" w:sz="6" w:space="0" w:color="auto"/>
              <w:right w:val="single" w:sz="6" w:space="0" w:color="auto"/>
            </w:tcBorders>
            <w:shd w:val="clear" w:color="auto" w:fill="FFFFFF"/>
            <w:vAlign w:val="center"/>
          </w:tcPr>
          <w:p w14:paraId="60FC42DF"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≤2,840</w:t>
            </w: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489E570D"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NCEP</w:t>
            </w:r>
          </w:p>
        </w:tc>
        <w:tc>
          <w:tcPr>
            <w:tcW w:w="976" w:type="dxa"/>
            <w:tcBorders>
              <w:top w:val="single" w:sz="6" w:space="0" w:color="auto"/>
              <w:left w:val="single" w:sz="6" w:space="0" w:color="auto"/>
              <w:bottom w:val="single" w:sz="6" w:space="0" w:color="auto"/>
              <w:right w:val="single" w:sz="6" w:space="0" w:color="auto"/>
            </w:tcBorders>
            <w:shd w:val="clear" w:color="auto" w:fill="FFFFFF"/>
            <w:vAlign w:val="center"/>
          </w:tcPr>
          <w:p w14:paraId="7D7E7917"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0.74</w:t>
            </w:r>
          </w:p>
        </w:tc>
        <w:tc>
          <w:tcPr>
            <w:tcW w:w="1002" w:type="dxa"/>
            <w:tcBorders>
              <w:top w:val="single" w:sz="6" w:space="0" w:color="auto"/>
              <w:left w:val="single" w:sz="6" w:space="0" w:color="auto"/>
              <w:bottom w:val="single" w:sz="6" w:space="0" w:color="auto"/>
              <w:right w:val="single" w:sz="6" w:space="0" w:color="auto"/>
            </w:tcBorders>
            <w:vAlign w:val="center"/>
          </w:tcPr>
          <w:p w14:paraId="77F872B8"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rPr>
              <w:t>0.28</w:t>
            </w:r>
          </w:p>
        </w:tc>
        <w:tc>
          <w:tcPr>
            <w:tcW w:w="1074" w:type="dxa"/>
            <w:tcBorders>
              <w:top w:val="single" w:sz="6" w:space="0" w:color="auto"/>
              <w:left w:val="single" w:sz="6" w:space="0" w:color="auto"/>
              <w:bottom w:val="single" w:sz="6" w:space="0" w:color="auto"/>
              <w:right w:val="single" w:sz="6" w:space="0" w:color="auto"/>
            </w:tcBorders>
            <w:vAlign w:val="center"/>
          </w:tcPr>
          <w:p w14:paraId="1155F75B"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rPr>
              <w:t>0.35</w:t>
            </w:r>
          </w:p>
        </w:tc>
        <w:tc>
          <w:tcPr>
            <w:tcW w:w="1003" w:type="dxa"/>
            <w:tcBorders>
              <w:top w:val="single" w:sz="6" w:space="0" w:color="auto"/>
              <w:left w:val="single" w:sz="6" w:space="0" w:color="auto"/>
              <w:bottom w:val="single" w:sz="6" w:space="0" w:color="auto"/>
              <w:right w:val="single" w:sz="6" w:space="0" w:color="auto"/>
            </w:tcBorders>
            <w:vAlign w:val="center"/>
          </w:tcPr>
          <w:p w14:paraId="29FF10F0"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rPr>
              <w:t>0.005</w:t>
            </w:r>
          </w:p>
        </w:tc>
        <w:tc>
          <w:tcPr>
            <w:tcW w:w="1394" w:type="dxa"/>
            <w:tcBorders>
              <w:top w:val="single" w:sz="6" w:space="0" w:color="auto"/>
              <w:left w:val="single" w:sz="6" w:space="0" w:color="auto"/>
              <w:bottom w:val="single" w:sz="6" w:space="0" w:color="auto"/>
              <w:right w:val="single" w:sz="6" w:space="0" w:color="auto"/>
            </w:tcBorders>
            <w:vAlign w:val="center"/>
          </w:tcPr>
          <w:p w14:paraId="3939877A"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No aplica</w:t>
            </w:r>
          </w:p>
        </w:tc>
      </w:tr>
      <w:tr w:rsidR="00DF5012" w:rsidRPr="00BA3592" w14:paraId="6824535C" w14:textId="77777777">
        <w:trPr>
          <w:cantSplit/>
          <w:trHeight w:val="20"/>
          <w:jc w:val="center"/>
        </w:trPr>
        <w:tc>
          <w:tcPr>
            <w:tcW w:w="1090" w:type="dxa"/>
            <w:tcBorders>
              <w:top w:val="single" w:sz="6" w:space="0" w:color="auto"/>
              <w:left w:val="single" w:sz="6" w:space="0" w:color="auto"/>
              <w:bottom w:val="single" w:sz="6" w:space="0" w:color="auto"/>
              <w:right w:val="single" w:sz="6" w:space="0" w:color="auto"/>
            </w:tcBorders>
            <w:vAlign w:val="center"/>
          </w:tcPr>
          <w:p w14:paraId="336419A8"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b/>
                <w:sz w:val="16"/>
                <w:szCs w:val="16"/>
                <w:lang w:val="es-ES_tradnl"/>
              </w:rPr>
              <w:t>4B</w:t>
            </w:r>
            <w:r w:rsidRPr="00BA3592">
              <w:rPr>
                <w:rFonts w:ascii="Verdana" w:hAnsi="Verdana"/>
                <w:sz w:val="16"/>
                <w:szCs w:val="16"/>
                <w:lang w:val="es-ES_tradnl"/>
              </w:rPr>
              <w:t xml:space="preserve"> </w:t>
            </w:r>
            <w:r w:rsidRPr="00BA3592">
              <w:rPr>
                <w:rFonts w:ascii="Verdana" w:hAnsi="Verdana"/>
                <w:sz w:val="16"/>
                <w:szCs w:val="16"/>
                <w:vertAlign w:val="superscript"/>
                <w:lang w:val="es-ES_tradnl"/>
              </w:rPr>
              <w:t>(5)</w:t>
            </w:r>
          </w:p>
        </w:tc>
        <w:tc>
          <w:tcPr>
            <w:tcW w:w="1133" w:type="dxa"/>
            <w:tcBorders>
              <w:top w:val="single" w:sz="6" w:space="0" w:color="auto"/>
              <w:left w:val="single" w:sz="6" w:space="0" w:color="auto"/>
              <w:bottom w:val="single" w:sz="6" w:space="0" w:color="auto"/>
              <w:right w:val="single" w:sz="6" w:space="0" w:color="auto"/>
            </w:tcBorders>
            <w:vAlign w:val="center"/>
          </w:tcPr>
          <w:p w14:paraId="22390398"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≤2,840</w:t>
            </w:r>
          </w:p>
        </w:tc>
        <w:tc>
          <w:tcPr>
            <w:tcW w:w="1040" w:type="dxa"/>
            <w:tcBorders>
              <w:top w:val="single" w:sz="6" w:space="0" w:color="auto"/>
              <w:left w:val="single" w:sz="6" w:space="0" w:color="auto"/>
              <w:bottom w:val="single" w:sz="6" w:space="0" w:color="auto"/>
              <w:right w:val="single" w:sz="6" w:space="0" w:color="auto"/>
            </w:tcBorders>
            <w:vAlign w:val="center"/>
          </w:tcPr>
          <w:p w14:paraId="004BB597"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NCEP</w:t>
            </w:r>
          </w:p>
        </w:tc>
        <w:tc>
          <w:tcPr>
            <w:tcW w:w="976" w:type="dxa"/>
            <w:tcBorders>
              <w:top w:val="single" w:sz="6" w:space="0" w:color="auto"/>
              <w:left w:val="single" w:sz="6" w:space="0" w:color="auto"/>
              <w:bottom w:val="single" w:sz="6" w:space="0" w:color="auto"/>
              <w:right w:val="single" w:sz="6" w:space="0" w:color="auto"/>
            </w:tcBorders>
            <w:vAlign w:val="center"/>
          </w:tcPr>
          <w:p w14:paraId="73820D63"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0.74</w:t>
            </w:r>
          </w:p>
        </w:tc>
        <w:tc>
          <w:tcPr>
            <w:tcW w:w="1002" w:type="dxa"/>
            <w:tcBorders>
              <w:top w:val="single" w:sz="6" w:space="0" w:color="auto"/>
              <w:left w:val="single" w:sz="6" w:space="0" w:color="auto"/>
              <w:bottom w:val="single" w:sz="6" w:space="0" w:color="auto"/>
              <w:right w:val="single" w:sz="6" w:space="0" w:color="auto"/>
            </w:tcBorders>
            <w:vAlign w:val="center"/>
          </w:tcPr>
          <w:p w14:paraId="5F487D42"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0.125</w:t>
            </w:r>
          </w:p>
        </w:tc>
        <w:tc>
          <w:tcPr>
            <w:tcW w:w="1074" w:type="dxa"/>
            <w:tcBorders>
              <w:top w:val="single" w:sz="6" w:space="0" w:color="auto"/>
              <w:left w:val="single" w:sz="6" w:space="0" w:color="auto"/>
              <w:bottom w:val="single" w:sz="6" w:space="0" w:color="auto"/>
              <w:right w:val="single" w:sz="6" w:space="0" w:color="auto"/>
            </w:tcBorders>
            <w:vAlign w:val="center"/>
          </w:tcPr>
          <w:p w14:paraId="7AFA4396"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0.215</w:t>
            </w:r>
          </w:p>
        </w:tc>
        <w:tc>
          <w:tcPr>
            <w:tcW w:w="1003" w:type="dxa"/>
            <w:tcBorders>
              <w:top w:val="single" w:sz="6" w:space="0" w:color="auto"/>
              <w:left w:val="single" w:sz="6" w:space="0" w:color="auto"/>
              <w:bottom w:val="single" w:sz="6" w:space="0" w:color="auto"/>
              <w:right w:val="single" w:sz="6" w:space="0" w:color="auto"/>
            </w:tcBorders>
            <w:vAlign w:val="center"/>
          </w:tcPr>
          <w:p w14:paraId="6DFFBFEF"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0.005</w:t>
            </w:r>
          </w:p>
        </w:tc>
        <w:tc>
          <w:tcPr>
            <w:tcW w:w="1394" w:type="dxa"/>
            <w:tcBorders>
              <w:top w:val="single" w:sz="6" w:space="0" w:color="auto"/>
              <w:left w:val="single" w:sz="6" w:space="0" w:color="auto"/>
              <w:bottom w:val="single" w:sz="6" w:space="0" w:color="auto"/>
              <w:right w:val="single" w:sz="6" w:space="0" w:color="auto"/>
            </w:tcBorders>
            <w:vAlign w:val="center"/>
          </w:tcPr>
          <w:p w14:paraId="07732A24" w14:textId="77777777" w:rsidR="00DF5012" w:rsidRPr="00BA3592" w:rsidRDefault="00DF5012" w:rsidP="00931F51">
            <w:pPr>
              <w:pStyle w:val="Texto"/>
              <w:spacing w:before="40" w:after="40" w:line="232" w:lineRule="exact"/>
              <w:ind w:firstLine="0"/>
              <w:jc w:val="center"/>
              <w:rPr>
                <w:rFonts w:ascii="Verdana" w:hAnsi="Verdana"/>
                <w:sz w:val="16"/>
                <w:szCs w:val="16"/>
                <w:lang w:val="es-ES_tradnl"/>
              </w:rPr>
            </w:pPr>
            <w:r w:rsidRPr="00BA3592">
              <w:rPr>
                <w:rFonts w:ascii="Verdana" w:hAnsi="Verdana"/>
                <w:sz w:val="16"/>
                <w:szCs w:val="16"/>
                <w:lang w:val="es-ES_tradnl"/>
              </w:rPr>
              <w:t>6.0x10</w:t>
            </w:r>
            <w:r w:rsidRPr="00BA3592">
              <w:rPr>
                <w:rFonts w:ascii="Verdana" w:hAnsi="Verdana"/>
                <w:sz w:val="16"/>
                <w:szCs w:val="16"/>
                <w:vertAlign w:val="superscript"/>
                <w:lang w:val="es-ES_tradnl"/>
              </w:rPr>
              <w:t>11</w:t>
            </w:r>
          </w:p>
        </w:tc>
      </w:tr>
      <w:tr w:rsidR="008A0760" w:rsidRPr="00BA3592" w14:paraId="23DA3B16" w14:textId="77777777" w:rsidTr="00337D87">
        <w:trPr>
          <w:cantSplit/>
          <w:trHeight w:val="20"/>
          <w:jc w:val="center"/>
        </w:trPr>
        <w:tc>
          <w:tcPr>
            <w:tcW w:w="8712" w:type="dxa"/>
            <w:gridSpan w:val="8"/>
            <w:tcBorders>
              <w:top w:val="single" w:sz="6" w:space="0" w:color="auto"/>
              <w:left w:val="single" w:sz="6" w:space="0" w:color="auto"/>
              <w:bottom w:val="single" w:sz="6" w:space="0" w:color="auto"/>
              <w:right w:val="single" w:sz="6" w:space="0" w:color="auto"/>
            </w:tcBorders>
            <w:vAlign w:val="center"/>
          </w:tcPr>
          <w:p w14:paraId="549ED7AC" w14:textId="77777777" w:rsidR="008A0760" w:rsidRPr="00BA3592" w:rsidRDefault="008A0760" w:rsidP="008A0760">
            <w:pPr>
              <w:pStyle w:val="Texto"/>
              <w:spacing w:line="232" w:lineRule="exact"/>
              <w:ind w:left="936" w:right="576" w:hanging="360"/>
              <w:rPr>
                <w:rFonts w:ascii="Verdana" w:hAnsi="Verdana"/>
                <w:sz w:val="16"/>
                <w:szCs w:val="16"/>
              </w:rPr>
            </w:pPr>
            <w:r w:rsidRPr="00BA3592">
              <w:rPr>
                <w:rFonts w:ascii="Verdana" w:hAnsi="Verdana"/>
                <w:sz w:val="16"/>
                <w:szCs w:val="16"/>
              </w:rPr>
              <w:t>Notas:</w:t>
            </w:r>
          </w:p>
          <w:p w14:paraId="6CC4C6DC" w14:textId="77777777" w:rsidR="008A0760" w:rsidRPr="00BA3592" w:rsidRDefault="008A0760" w:rsidP="008A0760">
            <w:pPr>
              <w:pStyle w:val="Texto"/>
              <w:spacing w:line="232" w:lineRule="exact"/>
              <w:ind w:left="936" w:right="576" w:hanging="360"/>
              <w:rPr>
                <w:rFonts w:ascii="Verdana" w:hAnsi="Verdana"/>
                <w:sz w:val="16"/>
                <w:szCs w:val="16"/>
                <w:lang w:val="es-ES"/>
              </w:rPr>
            </w:pPr>
            <w:r w:rsidRPr="00BA3592">
              <w:rPr>
                <w:rFonts w:ascii="Verdana" w:hAnsi="Verdana"/>
                <w:sz w:val="16"/>
                <w:szCs w:val="16"/>
                <w:lang w:val="es-ES"/>
              </w:rPr>
              <w:t>1.</w:t>
            </w:r>
            <w:r w:rsidRPr="00BA3592">
              <w:rPr>
                <w:rFonts w:ascii="Verdana" w:hAnsi="Verdana"/>
                <w:sz w:val="16"/>
                <w:szCs w:val="16"/>
                <w:lang w:val="es-ES"/>
              </w:rPr>
              <w:tab/>
              <w:t>g/km = gramos por kilómetro.</w:t>
            </w:r>
          </w:p>
          <w:p w14:paraId="540DDCE8" w14:textId="77777777" w:rsidR="008A0760" w:rsidRPr="00BA3592" w:rsidRDefault="008A0760" w:rsidP="008A0760">
            <w:pPr>
              <w:pStyle w:val="Texto"/>
              <w:spacing w:line="232" w:lineRule="exact"/>
              <w:ind w:left="936" w:right="576" w:hanging="360"/>
              <w:rPr>
                <w:rFonts w:ascii="Verdana" w:hAnsi="Verdana"/>
                <w:sz w:val="16"/>
                <w:szCs w:val="16"/>
                <w:lang w:val="es-ES"/>
              </w:rPr>
            </w:pPr>
            <w:r w:rsidRPr="00BA3592">
              <w:rPr>
                <w:rFonts w:ascii="Verdana" w:hAnsi="Verdana"/>
                <w:sz w:val="16"/>
                <w:szCs w:val="16"/>
                <w:lang w:val="es-ES"/>
              </w:rPr>
              <w:t>2.</w:t>
            </w:r>
            <w:r w:rsidRPr="00BA3592">
              <w:rPr>
                <w:rFonts w:ascii="Verdana" w:hAnsi="Verdana"/>
                <w:sz w:val="16"/>
                <w:szCs w:val="16"/>
                <w:lang w:val="es-ES"/>
              </w:rPr>
              <w:tab/>
              <w:t>Número de partículas/km: número de partículas por kilómetro.</w:t>
            </w:r>
          </w:p>
          <w:p w14:paraId="32E09B34" w14:textId="77777777" w:rsidR="008A0760" w:rsidRPr="00BA3592" w:rsidRDefault="008A0760" w:rsidP="008A0760">
            <w:pPr>
              <w:pStyle w:val="Texto"/>
              <w:spacing w:line="232" w:lineRule="exact"/>
              <w:ind w:left="936" w:right="576" w:hanging="360"/>
              <w:rPr>
                <w:rFonts w:ascii="Verdana" w:hAnsi="Verdana"/>
                <w:sz w:val="16"/>
                <w:szCs w:val="16"/>
              </w:rPr>
            </w:pPr>
            <w:r w:rsidRPr="00BA3592">
              <w:rPr>
                <w:rFonts w:ascii="Verdana" w:hAnsi="Verdana"/>
                <w:sz w:val="16"/>
                <w:szCs w:val="16"/>
                <w:lang w:val="es-ES"/>
              </w:rPr>
              <w:t>3.</w:t>
            </w:r>
            <w:r w:rsidRPr="00BA3592">
              <w:rPr>
                <w:rFonts w:ascii="Verdana" w:hAnsi="Verdana"/>
                <w:sz w:val="16"/>
                <w:szCs w:val="16"/>
                <w:lang w:val="es-ES"/>
              </w:rPr>
              <w:tab/>
            </w:r>
            <w:r w:rsidRPr="00BA3592">
              <w:rPr>
                <w:rFonts w:ascii="Verdana" w:hAnsi="Verdana"/>
                <w:sz w:val="16"/>
                <w:szCs w:val="16"/>
              </w:rPr>
              <w:t xml:space="preserve">Estándar </w:t>
            </w:r>
            <w:r w:rsidRPr="00BA3592">
              <w:rPr>
                <w:rFonts w:ascii="Verdana" w:hAnsi="Verdana"/>
                <w:b/>
                <w:sz w:val="16"/>
                <w:szCs w:val="16"/>
              </w:rPr>
              <w:t>4A</w:t>
            </w:r>
            <w:r w:rsidRPr="00BA3592">
              <w:rPr>
                <w:rFonts w:ascii="Verdana" w:hAnsi="Verdana"/>
                <w:sz w:val="16"/>
                <w:szCs w:val="16"/>
              </w:rPr>
              <w:t>. Límites máximos permisibles para vehículos automotores nuevos con peso bruto vehicular mayor a 3,857 kg y masa de referencia menor o igual a 2,840 kg, producidos a partir de la entrada en vigor de la presente norma oficial mexicana y hasta el 30 de junio de 2019, obtenidos con el método de prueba Nuevo Ciclo Europeo de Prueba (NCEP), descrito en el numeral 3.20 de la presente norma oficial mexicana.</w:t>
            </w:r>
          </w:p>
          <w:p w14:paraId="27389DA7" w14:textId="00DDE1FB" w:rsidR="00AB486C" w:rsidRDefault="008A0760" w:rsidP="00AB486C">
            <w:pPr>
              <w:pStyle w:val="Texto"/>
              <w:spacing w:line="220" w:lineRule="exact"/>
              <w:ind w:left="360" w:hanging="360"/>
              <w:rPr>
                <w:rFonts w:ascii="Verdana" w:hAnsi="Verdana"/>
                <w:sz w:val="16"/>
                <w:szCs w:val="16"/>
              </w:rPr>
            </w:pPr>
            <w:r w:rsidRPr="00BA3592">
              <w:rPr>
                <w:rFonts w:ascii="Verdana" w:hAnsi="Verdana"/>
                <w:sz w:val="16"/>
                <w:szCs w:val="16"/>
                <w:lang w:val="es-ES"/>
              </w:rPr>
              <w:t>4.</w:t>
            </w:r>
            <w:r w:rsidRPr="00BA3592">
              <w:rPr>
                <w:rFonts w:ascii="Verdana" w:hAnsi="Verdana"/>
                <w:sz w:val="16"/>
                <w:szCs w:val="16"/>
                <w:lang w:val="es-ES"/>
              </w:rPr>
              <w:tab/>
            </w:r>
            <w:r w:rsidR="00B32D99">
              <w:rPr>
                <w:rFonts w:ascii="Verdana" w:hAnsi="Verdana"/>
                <w:i/>
                <w:sz w:val="16"/>
                <w:szCs w:val="16"/>
              </w:rPr>
              <w:t xml:space="preserve">Estándar </w:t>
            </w:r>
            <w:r w:rsidR="00B32D99">
              <w:rPr>
                <w:rFonts w:ascii="Verdana" w:hAnsi="Verdana"/>
                <w:b/>
                <w:i/>
                <w:sz w:val="16"/>
                <w:szCs w:val="16"/>
              </w:rPr>
              <w:t>4AA</w:t>
            </w:r>
            <w:r w:rsidR="00B32D99">
              <w:rPr>
                <w:rFonts w:ascii="Verdana" w:hAnsi="Verdana"/>
                <w:i/>
                <w:sz w:val="16"/>
                <w:szCs w:val="16"/>
              </w:rPr>
              <w:t>. Límites máximos permisibles para motores y vehículos automotores nuevos producidos a partir del 1 de enero de 2019 y hasta el 31 de diciembre de 2021, obtenidos con el Nuevo Ciclo Europeo de Prueba (NCEP), descrito en el numeral 3.20 de la presente norma oficial mexicana</w:t>
            </w:r>
            <w:r w:rsidR="00B32D99" w:rsidRPr="00B32D99">
              <w:rPr>
                <w:rFonts w:ascii="Verdana" w:hAnsi="Verdana"/>
                <w:i/>
                <w:color w:val="0000FA"/>
                <w:sz w:val="16"/>
                <w:szCs w:val="16"/>
              </w:rPr>
              <w:t>.” (Modificación publicada DOF 12-11-2020)</w:t>
            </w:r>
            <w:r w:rsidRPr="00B32D99">
              <w:rPr>
                <w:rFonts w:ascii="Verdana" w:hAnsi="Verdana"/>
                <w:i/>
                <w:color w:val="0000FA"/>
                <w:sz w:val="16"/>
                <w:szCs w:val="16"/>
              </w:rPr>
              <w:t>.</w:t>
            </w:r>
            <w:r w:rsidR="00AB486C">
              <w:rPr>
                <w:rFonts w:ascii="Verdana" w:hAnsi="Verdana"/>
                <w:i/>
                <w:color w:val="0000FA"/>
                <w:sz w:val="16"/>
                <w:szCs w:val="16"/>
              </w:rPr>
              <w:t xml:space="preserve"> </w:t>
            </w:r>
            <w:r w:rsidR="00AB486C">
              <w:rPr>
                <w:rFonts w:ascii="Verdana" w:hAnsi="Verdana"/>
                <w:i/>
                <w:color w:val="0000FA"/>
                <w:sz w:val="16"/>
                <w:szCs w:val="16"/>
              </w:rPr>
              <w:t>(modificación que se deja insubsistente DOF 25-04-2024)</w:t>
            </w:r>
          </w:p>
          <w:p w14:paraId="6DAEFB72" w14:textId="4204D31B" w:rsidR="008A0760" w:rsidRPr="00BA3592" w:rsidRDefault="008A0760" w:rsidP="008A0760">
            <w:pPr>
              <w:pStyle w:val="Texto"/>
              <w:spacing w:line="240" w:lineRule="exact"/>
              <w:ind w:left="936" w:right="576" w:hanging="360"/>
              <w:rPr>
                <w:rFonts w:ascii="Verdana" w:hAnsi="Verdana"/>
                <w:sz w:val="16"/>
                <w:szCs w:val="16"/>
              </w:rPr>
            </w:pPr>
          </w:p>
          <w:p w14:paraId="6CF13148" w14:textId="77777777" w:rsidR="008A0760" w:rsidRPr="00BA3592" w:rsidRDefault="008A0760" w:rsidP="008A0760">
            <w:pPr>
              <w:pStyle w:val="Texto"/>
              <w:spacing w:line="240" w:lineRule="exact"/>
              <w:ind w:left="936" w:right="576" w:hanging="360"/>
              <w:rPr>
                <w:rFonts w:ascii="Verdana" w:hAnsi="Verdana"/>
                <w:sz w:val="16"/>
                <w:szCs w:val="16"/>
              </w:rPr>
            </w:pPr>
            <w:r w:rsidRPr="00BA3592">
              <w:rPr>
                <w:rFonts w:ascii="Verdana" w:hAnsi="Verdana"/>
                <w:sz w:val="16"/>
                <w:szCs w:val="16"/>
                <w:lang w:val="es-ES"/>
              </w:rPr>
              <w:t>5.</w:t>
            </w:r>
            <w:r w:rsidRPr="00BA3592">
              <w:rPr>
                <w:rFonts w:ascii="Verdana" w:hAnsi="Verdana"/>
                <w:sz w:val="16"/>
                <w:szCs w:val="16"/>
                <w:lang w:val="es-ES"/>
              </w:rPr>
              <w:tab/>
            </w:r>
            <w:r w:rsidRPr="00BA3592">
              <w:rPr>
                <w:rFonts w:ascii="Verdana" w:hAnsi="Verdana"/>
                <w:sz w:val="16"/>
                <w:szCs w:val="16"/>
              </w:rPr>
              <w:t xml:space="preserve">Estándar </w:t>
            </w:r>
            <w:r w:rsidRPr="00BA3592">
              <w:rPr>
                <w:rFonts w:ascii="Verdana" w:hAnsi="Verdana"/>
                <w:b/>
                <w:sz w:val="16"/>
                <w:szCs w:val="16"/>
              </w:rPr>
              <w:t>4B</w:t>
            </w:r>
            <w:r w:rsidRPr="00BA3592">
              <w:rPr>
                <w:rFonts w:ascii="Verdana" w:hAnsi="Verdana"/>
                <w:sz w:val="16"/>
                <w:szCs w:val="16"/>
              </w:rPr>
              <w:t>. Límites máximos permisibles para vehículos automotores nuevos con peso bruto vehicular mayor a 3,857 kg y masa de referencia menor o igual a 2,840 kg, producidos a partir del 1 de enero de 2019, obtenidos con el método de prueba Nuevo Ciclo Europeo de Prueba (NCEP), descrito en el numeral 3.20 de la presente norma oficial mexicana. Este estándar requiere el uso de diésel automotriz con un contenido máximo de azufre de 15 mg/kg, el cual estará disponible en el país, conforme a lo establecido en la nota 3 de la Tabla 7 de la Norma Oficial Mexicana NOM-016-CRE-2016. Especificaciones de la calidad de los petrolíferos, publicada en el Diario Oficial de la Federación, el 29 de agosto de 2016.</w:t>
            </w:r>
          </w:p>
          <w:p w14:paraId="7BFC9482" w14:textId="77777777" w:rsidR="008A0760" w:rsidRPr="00BA3592" w:rsidRDefault="008A0760" w:rsidP="00931F51">
            <w:pPr>
              <w:pStyle w:val="Texto"/>
              <w:spacing w:before="40" w:after="40" w:line="232" w:lineRule="exact"/>
              <w:ind w:firstLine="0"/>
              <w:jc w:val="center"/>
              <w:rPr>
                <w:rFonts w:ascii="Verdana" w:hAnsi="Verdana"/>
                <w:sz w:val="16"/>
                <w:szCs w:val="16"/>
                <w:lang w:val="es-ES_tradnl"/>
              </w:rPr>
            </w:pPr>
          </w:p>
        </w:tc>
      </w:tr>
    </w:tbl>
    <w:p w14:paraId="06197836" w14:textId="77777777" w:rsidR="008A0760" w:rsidRDefault="008A0760" w:rsidP="008A0760">
      <w:pPr>
        <w:pStyle w:val="Texto"/>
        <w:spacing w:line="240" w:lineRule="exact"/>
        <w:ind w:firstLine="0"/>
        <w:rPr>
          <w:rFonts w:ascii="Verdana" w:hAnsi="Verdana"/>
          <w:b/>
          <w:sz w:val="16"/>
          <w:szCs w:val="16"/>
        </w:rPr>
      </w:pPr>
    </w:p>
    <w:p w14:paraId="29A4A6E1" w14:textId="77777777" w:rsidR="008A0760" w:rsidRPr="008A0760" w:rsidRDefault="008A0760" w:rsidP="008A0760">
      <w:pPr>
        <w:spacing w:after="101" w:line="232" w:lineRule="atLeast"/>
        <w:jc w:val="center"/>
        <w:rPr>
          <w:lang w:val="en-US" w:eastAsia="en-US"/>
        </w:rPr>
      </w:pPr>
      <w:r w:rsidRPr="008A0760">
        <w:rPr>
          <w:rFonts w:ascii="Verdana" w:hAnsi="Verdana"/>
          <w:b/>
          <w:bCs/>
          <w:sz w:val="16"/>
          <w:szCs w:val="16"/>
          <w:lang w:val="en-US" w:eastAsia="en-US"/>
        </w:rPr>
        <w:t>Table 4</w:t>
      </w:r>
      <w:r w:rsidRPr="008A0760">
        <w:rPr>
          <w:lang w:val="en-US" w:eastAsia="en-US"/>
        </w:rPr>
        <w:t xml:space="preserve"> </w:t>
      </w:r>
    </w:p>
    <w:tbl>
      <w:tblPr>
        <w:tblW w:w="8712" w:type="dxa"/>
        <w:jc w:val="center"/>
        <w:tblCellMar>
          <w:left w:w="0" w:type="dxa"/>
          <w:right w:w="0" w:type="dxa"/>
        </w:tblCellMar>
        <w:tblLook w:val="04A0" w:firstRow="1" w:lastRow="0" w:firstColumn="1" w:lastColumn="0" w:noHBand="0" w:noVBand="1"/>
      </w:tblPr>
      <w:tblGrid>
        <w:gridCol w:w="1090"/>
        <w:gridCol w:w="1133"/>
        <w:gridCol w:w="1040"/>
        <w:gridCol w:w="976"/>
        <w:gridCol w:w="1002"/>
        <w:gridCol w:w="1074"/>
        <w:gridCol w:w="1003"/>
        <w:gridCol w:w="1394"/>
      </w:tblGrid>
      <w:tr w:rsidR="008A0760" w:rsidRPr="008A0760" w14:paraId="714F3D2A" w14:textId="77777777" w:rsidTr="008A0760">
        <w:trPr>
          <w:trHeight w:val="20"/>
          <w:jc w:val="center"/>
        </w:trPr>
        <w:tc>
          <w:tcPr>
            <w:tcW w:w="1090"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2CA2DE4E"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Standard</w:t>
            </w:r>
            <w:r w:rsidRPr="008A0760">
              <w:rPr>
                <w:lang w:val="en-US" w:eastAsia="en-US"/>
              </w:rPr>
              <w:t xml:space="preserve"> </w:t>
            </w:r>
          </w:p>
        </w:tc>
        <w:tc>
          <w:tcPr>
            <w:tcW w:w="1133"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7F3724A2"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Reference Mass (kg)</w:t>
            </w:r>
            <w:r w:rsidRPr="008A0760">
              <w:rPr>
                <w:lang w:val="en-US" w:eastAsia="en-US"/>
              </w:rPr>
              <w:t xml:space="preserve"> </w:t>
            </w:r>
          </w:p>
        </w:tc>
        <w:tc>
          <w:tcPr>
            <w:tcW w:w="1040"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018553F1"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Testing method</w:t>
            </w:r>
            <w:r w:rsidRPr="008A0760">
              <w:rPr>
                <w:lang w:val="en-US" w:eastAsia="en-US"/>
              </w:rPr>
              <w:t xml:space="preserve"> </w:t>
            </w:r>
          </w:p>
        </w:tc>
        <w:tc>
          <w:tcPr>
            <w:tcW w:w="976"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72F1E60A"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CO</w:t>
            </w:r>
            <w:r w:rsidRPr="008A0760">
              <w:rPr>
                <w:lang w:val="en-US" w:eastAsia="en-US"/>
              </w:rPr>
              <w:t xml:space="preserve"> </w:t>
            </w:r>
          </w:p>
        </w:tc>
        <w:tc>
          <w:tcPr>
            <w:tcW w:w="1002"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5131541"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NOx</w:t>
            </w:r>
            <w:r w:rsidRPr="008A0760">
              <w:rPr>
                <w:lang w:val="en-US" w:eastAsia="en-US"/>
              </w:rPr>
              <w:t xml:space="preserve"> </w:t>
            </w:r>
          </w:p>
        </w:tc>
        <w:tc>
          <w:tcPr>
            <w:tcW w:w="1074"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08233B27"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HC + NOx</w:t>
            </w:r>
            <w:r w:rsidRPr="008A0760">
              <w:rPr>
                <w:lang w:val="en-US" w:eastAsia="en-US"/>
              </w:rPr>
              <w:t xml:space="preserve"> </w:t>
            </w:r>
          </w:p>
        </w:tc>
        <w:tc>
          <w:tcPr>
            <w:tcW w:w="1003"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AA10728"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Part</w:t>
            </w:r>
            <w:r w:rsidRPr="008A0760">
              <w:rPr>
                <w:lang w:val="en-US" w:eastAsia="en-US"/>
              </w:rPr>
              <w:t xml:space="preserve"> </w:t>
            </w:r>
          </w:p>
        </w:tc>
        <w:tc>
          <w:tcPr>
            <w:tcW w:w="1394"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E9C6805"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No.</w:t>
            </w:r>
            <w:r w:rsidRPr="008A0760">
              <w:rPr>
                <w:lang w:val="en-US" w:eastAsia="en-US"/>
              </w:rPr>
              <w:t xml:space="preserve"> </w:t>
            </w:r>
            <w:r w:rsidRPr="008A0760">
              <w:rPr>
                <w:rFonts w:ascii="Verdana" w:hAnsi="Verdana"/>
                <w:b/>
                <w:bCs/>
                <w:sz w:val="16"/>
                <w:szCs w:val="16"/>
                <w:lang w:val="en-US" w:eastAsia="en-US"/>
              </w:rPr>
              <w:t>Part.</w:t>
            </w:r>
            <w:r w:rsidRPr="008A0760">
              <w:rPr>
                <w:lang w:val="en-US" w:eastAsia="en-US"/>
              </w:rPr>
              <w:t xml:space="preserve"> </w:t>
            </w:r>
          </w:p>
        </w:tc>
      </w:tr>
      <w:tr w:rsidR="008A0760" w:rsidRPr="008A0760" w14:paraId="3A5B5DCD"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EA5AB0" w14:textId="77777777" w:rsidR="008A0760" w:rsidRPr="008A0760" w:rsidRDefault="008A0760" w:rsidP="008A0760">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A5D11A" w14:textId="77777777" w:rsidR="008A0760" w:rsidRPr="008A0760" w:rsidRDefault="008A0760" w:rsidP="008A0760">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53B102" w14:textId="77777777" w:rsidR="008A0760" w:rsidRPr="008A0760" w:rsidRDefault="008A0760" w:rsidP="008A0760">
            <w:pPr>
              <w:rPr>
                <w:lang w:val="en-US" w:eastAsia="en-US"/>
              </w:rPr>
            </w:pPr>
          </w:p>
        </w:tc>
        <w:tc>
          <w:tcPr>
            <w:tcW w:w="4055" w:type="dxa"/>
            <w:gridSpan w:val="4"/>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2DBA560C"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g/km</w:t>
            </w:r>
            <w:r w:rsidRPr="008A0760">
              <w:rPr>
                <w:rFonts w:ascii="Verdana" w:hAnsi="Verdana"/>
                <w:b/>
                <w:bCs/>
                <w:sz w:val="11"/>
                <w:szCs w:val="11"/>
                <w:vertAlign w:val="superscript"/>
                <w:lang w:val="en-US" w:eastAsia="en-US"/>
              </w:rPr>
              <w:t>(</w:t>
            </w:r>
            <w:r w:rsidRPr="008A0760">
              <w:rPr>
                <w:lang w:val="en-US" w:eastAsia="en-US"/>
              </w:rPr>
              <w:t xml:space="preserve"> </w:t>
            </w:r>
            <w:r w:rsidRPr="008A0760">
              <w:rPr>
                <w:rFonts w:ascii="Verdana" w:hAnsi="Verdana"/>
                <w:b/>
                <w:bCs/>
                <w:sz w:val="11"/>
                <w:szCs w:val="11"/>
                <w:vertAlign w:val="superscript"/>
                <w:lang w:val="en-US" w:eastAsia="en-US"/>
              </w:rPr>
              <w:t>1)</w:t>
            </w:r>
            <w:r w:rsidRPr="008A0760">
              <w:rPr>
                <w:lang w:val="en-US" w:eastAsia="en-US"/>
              </w:rPr>
              <w:t xml:space="preserve"> </w:t>
            </w:r>
          </w:p>
        </w:tc>
        <w:tc>
          <w:tcPr>
            <w:tcW w:w="1394"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6083C64D"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Number/km</w:t>
            </w:r>
            <w:r w:rsidRPr="008A0760">
              <w:rPr>
                <w:lang w:val="en-US" w:eastAsia="en-US"/>
              </w:rPr>
              <w:t xml:space="preserve"> </w:t>
            </w:r>
            <w:r w:rsidRPr="008A0760">
              <w:rPr>
                <w:rFonts w:ascii="Verdana" w:hAnsi="Verdana"/>
                <w:b/>
                <w:bCs/>
                <w:sz w:val="11"/>
                <w:szCs w:val="11"/>
                <w:vertAlign w:val="superscript"/>
                <w:lang w:val="en-US" w:eastAsia="en-US"/>
              </w:rPr>
              <w:t>(2)</w:t>
            </w:r>
            <w:r w:rsidRPr="008A0760">
              <w:rPr>
                <w:lang w:val="en-US" w:eastAsia="en-US"/>
              </w:rPr>
              <w:t xml:space="preserve"> </w:t>
            </w:r>
          </w:p>
        </w:tc>
      </w:tr>
      <w:tr w:rsidR="008A0760" w:rsidRPr="008A0760" w14:paraId="7E989360" w14:textId="77777777" w:rsidTr="008A0760">
        <w:trPr>
          <w:trHeight w:val="20"/>
          <w:jc w:val="center"/>
        </w:trPr>
        <w:tc>
          <w:tcPr>
            <w:tcW w:w="1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E2A558A"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4A</w:t>
            </w:r>
            <w:r w:rsidRPr="008A0760">
              <w:rPr>
                <w:lang w:val="en-US" w:eastAsia="en-US"/>
              </w:rPr>
              <w:t xml:space="preserve"> </w:t>
            </w:r>
            <w:r w:rsidRPr="008A0760">
              <w:rPr>
                <w:rFonts w:ascii="Verdana" w:hAnsi="Verdana"/>
                <w:sz w:val="11"/>
                <w:szCs w:val="11"/>
                <w:vertAlign w:val="superscript"/>
                <w:lang w:val="en-US" w:eastAsia="en-US"/>
              </w:rPr>
              <w:t>(3)</w:t>
            </w:r>
            <w:r w:rsidRPr="008A0760">
              <w:rPr>
                <w:lang w:val="en-US" w:eastAsia="en-US"/>
              </w:rPr>
              <w:t xml:space="preserve"> </w:t>
            </w:r>
          </w:p>
        </w:tc>
        <w:tc>
          <w:tcPr>
            <w:tcW w:w="11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92087B2"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≤2,840</w:t>
            </w:r>
            <w:r w:rsidRPr="008A0760">
              <w:rPr>
                <w:lang w:val="en-US" w:eastAsia="en-US"/>
              </w:rPr>
              <w:t xml:space="preserve"> </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002751C"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NCEP</w:t>
            </w:r>
            <w:r w:rsidRPr="008A0760">
              <w:rPr>
                <w:lang w:val="en-US" w:eastAsia="en-US"/>
              </w:rPr>
              <w:t xml:space="preserve"> </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953648D"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0.74</w:t>
            </w:r>
            <w:r w:rsidRPr="008A0760">
              <w:rPr>
                <w:lang w:val="en-US" w:eastAsia="en-US"/>
              </w:rPr>
              <w:t xml:space="preserve"> </w:t>
            </w:r>
          </w:p>
        </w:tc>
        <w:tc>
          <w:tcPr>
            <w:tcW w:w="100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F45439A"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0.39</w:t>
            </w:r>
            <w:r w:rsidRPr="008A0760">
              <w:rPr>
                <w:lang w:val="en-US" w:eastAsia="en-US"/>
              </w:rPr>
              <w:t xml:space="preserve"> </w:t>
            </w:r>
          </w:p>
        </w:tc>
        <w:tc>
          <w:tcPr>
            <w:tcW w:w="1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F3F1E46"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0.46</w:t>
            </w:r>
            <w:r w:rsidRPr="008A0760">
              <w:rPr>
                <w:lang w:val="en-US" w:eastAsia="en-US"/>
              </w:rPr>
              <w:t xml:space="preserve"> </w:t>
            </w:r>
          </w:p>
        </w:tc>
        <w:tc>
          <w:tcPr>
            <w:tcW w:w="100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73792729"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0.06</w:t>
            </w:r>
            <w:r w:rsidRPr="008A0760">
              <w:rPr>
                <w:lang w:val="en-US" w:eastAsia="en-US"/>
              </w:rPr>
              <w:t xml:space="preserve"> </w:t>
            </w:r>
          </w:p>
        </w:tc>
        <w:tc>
          <w:tcPr>
            <w:tcW w:w="139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9E057E5"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r>
      <w:tr w:rsidR="008A0760" w:rsidRPr="008A0760" w14:paraId="6A60EECA" w14:textId="77777777" w:rsidTr="008A0760">
        <w:trPr>
          <w:trHeight w:val="20"/>
          <w:jc w:val="center"/>
        </w:trPr>
        <w:tc>
          <w:tcPr>
            <w:tcW w:w="10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E5ACA01"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4AA</w:t>
            </w:r>
            <w:r w:rsidRPr="008A0760">
              <w:rPr>
                <w:lang w:val="en-US" w:eastAsia="en-US"/>
              </w:rPr>
              <w:t xml:space="preserve"> </w:t>
            </w:r>
            <w:r w:rsidRPr="008A0760">
              <w:rPr>
                <w:rFonts w:ascii="Verdana" w:hAnsi="Verdana"/>
                <w:sz w:val="11"/>
                <w:szCs w:val="11"/>
                <w:vertAlign w:val="superscript"/>
                <w:lang w:val="en-US" w:eastAsia="en-US"/>
              </w:rPr>
              <w:t>(4)</w:t>
            </w:r>
            <w:r w:rsidRPr="008A0760">
              <w:rPr>
                <w:lang w:val="en-US" w:eastAsia="en-US"/>
              </w:rPr>
              <w:t xml:space="preserve"> </w:t>
            </w:r>
          </w:p>
        </w:tc>
        <w:tc>
          <w:tcPr>
            <w:tcW w:w="1133"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C045338"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≤2,840</w:t>
            </w:r>
            <w:r w:rsidRPr="008A0760">
              <w:rPr>
                <w:lang w:val="en-US" w:eastAsia="en-US"/>
              </w:rPr>
              <w:t xml:space="preserve"> </w:t>
            </w:r>
          </w:p>
        </w:tc>
        <w:tc>
          <w:tcPr>
            <w:tcW w:w="1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0CF9506E"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NCEP</w:t>
            </w:r>
            <w:r w:rsidRPr="008A0760">
              <w:rPr>
                <w:lang w:val="en-US" w:eastAsia="en-US"/>
              </w:rPr>
              <w:t xml:space="preserve"> </w:t>
            </w:r>
          </w:p>
        </w:tc>
        <w:tc>
          <w:tcPr>
            <w:tcW w:w="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38F5192"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0.74</w:t>
            </w:r>
            <w:r w:rsidRPr="008A0760">
              <w:rPr>
                <w:lang w:val="en-US" w:eastAsia="en-US"/>
              </w:rPr>
              <w:t xml:space="preserve"> </w:t>
            </w:r>
          </w:p>
        </w:tc>
        <w:tc>
          <w:tcPr>
            <w:tcW w:w="10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C391E10"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0.28</w:t>
            </w:r>
            <w:r w:rsidRPr="008A0760">
              <w:rPr>
                <w:lang w:val="en-US" w:eastAsia="en-US"/>
              </w:rPr>
              <w:t xml:space="preserve"> </w:t>
            </w:r>
          </w:p>
        </w:tc>
        <w:tc>
          <w:tcPr>
            <w:tcW w:w="10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6432559"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0.35</w:t>
            </w:r>
            <w:r w:rsidRPr="008A0760">
              <w:rPr>
                <w:lang w:val="en-US" w:eastAsia="en-US"/>
              </w:rPr>
              <w:t xml:space="preserve"> </w:t>
            </w:r>
          </w:p>
        </w:tc>
        <w:tc>
          <w:tcPr>
            <w:tcW w:w="100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FCC9DC"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0.005</w:t>
            </w:r>
            <w:r w:rsidRPr="008A0760">
              <w:rPr>
                <w:lang w:val="en-US" w:eastAsia="en-US"/>
              </w:rPr>
              <w:t xml:space="preserve"> </w:t>
            </w:r>
          </w:p>
        </w:tc>
        <w:tc>
          <w:tcPr>
            <w:tcW w:w="1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D8C095"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Does not apply</w:t>
            </w:r>
            <w:r w:rsidRPr="008A0760">
              <w:rPr>
                <w:lang w:val="en-US" w:eastAsia="en-US"/>
              </w:rPr>
              <w:t xml:space="preserve"> </w:t>
            </w:r>
          </w:p>
        </w:tc>
      </w:tr>
      <w:tr w:rsidR="008A0760" w:rsidRPr="008A0760" w14:paraId="22D79027" w14:textId="77777777" w:rsidTr="008A0760">
        <w:trPr>
          <w:trHeight w:val="20"/>
          <w:jc w:val="center"/>
        </w:trPr>
        <w:tc>
          <w:tcPr>
            <w:tcW w:w="10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3B5B358" w14:textId="77777777" w:rsidR="008A0760" w:rsidRPr="008A0760" w:rsidRDefault="008A0760" w:rsidP="008A0760">
            <w:pPr>
              <w:spacing w:before="40" w:after="40" w:line="232" w:lineRule="atLeast"/>
              <w:jc w:val="center"/>
              <w:rPr>
                <w:lang w:val="en-US" w:eastAsia="en-US"/>
              </w:rPr>
            </w:pPr>
            <w:r w:rsidRPr="008A0760">
              <w:rPr>
                <w:rFonts w:ascii="Verdana" w:hAnsi="Verdana"/>
                <w:b/>
                <w:bCs/>
                <w:sz w:val="16"/>
                <w:szCs w:val="16"/>
                <w:lang w:val="en-US" w:eastAsia="en-US"/>
              </w:rPr>
              <w:t>4B</w:t>
            </w:r>
            <w:r w:rsidRPr="008A0760">
              <w:rPr>
                <w:lang w:val="en-US" w:eastAsia="en-US"/>
              </w:rPr>
              <w:t xml:space="preserve"> </w:t>
            </w:r>
            <w:r w:rsidRPr="008A0760">
              <w:rPr>
                <w:rFonts w:ascii="Verdana" w:hAnsi="Verdana"/>
                <w:sz w:val="11"/>
                <w:szCs w:val="11"/>
                <w:vertAlign w:val="superscript"/>
                <w:lang w:val="en-US" w:eastAsia="en-US"/>
              </w:rPr>
              <w:t>(5)</w:t>
            </w:r>
            <w:r w:rsidRPr="008A0760">
              <w:rPr>
                <w:lang w:val="en-US" w:eastAsia="en-US"/>
              </w:rPr>
              <w:t xml:space="preserve"> </w:t>
            </w:r>
          </w:p>
        </w:tc>
        <w:tc>
          <w:tcPr>
            <w:tcW w:w="113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CAE0965"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≤2,840</w:t>
            </w:r>
            <w:r w:rsidRPr="008A0760">
              <w:rPr>
                <w:lang w:val="en-US" w:eastAsia="en-US"/>
              </w:rPr>
              <w:t xml:space="preserve"> </w:t>
            </w:r>
          </w:p>
        </w:tc>
        <w:tc>
          <w:tcPr>
            <w:tcW w:w="104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BAB13AE"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NCEP</w:t>
            </w:r>
            <w:r w:rsidRPr="008A0760">
              <w:rPr>
                <w:lang w:val="en-US" w:eastAsia="en-US"/>
              </w:rPr>
              <w:t xml:space="preserve"> </w:t>
            </w:r>
          </w:p>
        </w:tc>
        <w:tc>
          <w:tcPr>
            <w:tcW w:w="97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1E9F3A"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0.74</w:t>
            </w:r>
            <w:r w:rsidRPr="008A0760">
              <w:rPr>
                <w:lang w:val="en-US" w:eastAsia="en-US"/>
              </w:rPr>
              <w:t xml:space="preserve"> </w:t>
            </w:r>
          </w:p>
        </w:tc>
        <w:tc>
          <w:tcPr>
            <w:tcW w:w="100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CF4391"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0.125</w:t>
            </w:r>
            <w:r w:rsidRPr="008A0760">
              <w:rPr>
                <w:lang w:val="en-US" w:eastAsia="en-US"/>
              </w:rPr>
              <w:t xml:space="preserve"> </w:t>
            </w:r>
          </w:p>
        </w:tc>
        <w:tc>
          <w:tcPr>
            <w:tcW w:w="107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C600729"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0.215</w:t>
            </w:r>
            <w:r w:rsidRPr="008A0760">
              <w:rPr>
                <w:lang w:val="en-US" w:eastAsia="en-US"/>
              </w:rPr>
              <w:t xml:space="preserve"> </w:t>
            </w:r>
          </w:p>
        </w:tc>
        <w:tc>
          <w:tcPr>
            <w:tcW w:w="100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FFA8E7"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0.005</w:t>
            </w:r>
            <w:r w:rsidRPr="008A0760">
              <w:rPr>
                <w:lang w:val="en-US" w:eastAsia="en-US"/>
              </w:rPr>
              <w:t xml:space="preserve"> </w:t>
            </w:r>
          </w:p>
        </w:tc>
        <w:tc>
          <w:tcPr>
            <w:tcW w:w="139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CFF8D2B"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6.0x10</w:t>
            </w:r>
            <w:r w:rsidRPr="008A0760">
              <w:rPr>
                <w:lang w:val="en-US" w:eastAsia="en-US"/>
              </w:rPr>
              <w:t xml:space="preserve"> </w:t>
            </w:r>
            <w:r w:rsidRPr="008A0760">
              <w:rPr>
                <w:rFonts w:ascii="Verdana" w:hAnsi="Verdana"/>
                <w:sz w:val="11"/>
                <w:szCs w:val="11"/>
                <w:vertAlign w:val="superscript"/>
                <w:lang w:val="en-US" w:eastAsia="en-US"/>
              </w:rPr>
              <w:t>11</w:t>
            </w:r>
            <w:r w:rsidRPr="008A0760">
              <w:rPr>
                <w:lang w:val="en-US" w:eastAsia="en-US"/>
              </w:rPr>
              <w:t xml:space="preserve"> </w:t>
            </w:r>
          </w:p>
        </w:tc>
      </w:tr>
      <w:tr w:rsidR="008A0760" w:rsidRPr="00743A20" w14:paraId="2A0A5805" w14:textId="77777777" w:rsidTr="008A0760">
        <w:trPr>
          <w:trHeight w:val="20"/>
          <w:jc w:val="center"/>
        </w:trPr>
        <w:tc>
          <w:tcPr>
            <w:tcW w:w="8712"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2C1E070" w14:textId="77777777" w:rsidR="008A0760" w:rsidRPr="008A0760" w:rsidRDefault="008A0760" w:rsidP="008A0760">
            <w:pPr>
              <w:spacing w:after="101" w:line="232" w:lineRule="atLeast"/>
              <w:ind w:left="576" w:right="576" w:hanging="360"/>
              <w:jc w:val="both"/>
              <w:rPr>
                <w:lang w:val="en-US" w:eastAsia="en-US"/>
              </w:rPr>
            </w:pPr>
            <w:r w:rsidRPr="008A0760">
              <w:rPr>
                <w:rFonts w:ascii="Verdana" w:hAnsi="Verdana"/>
                <w:sz w:val="16"/>
                <w:szCs w:val="16"/>
                <w:lang w:val="en-US" w:eastAsia="en-US"/>
              </w:rPr>
              <w:t>Notes:</w:t>
            </w:r>
            <w:r w:rsidRPr="008A0760">
              <w:rPr>
                <w:lang w:val="en-US" w:eastAsia="en-US"/>
              </w:rPr>
              <w:t xml:space="preserve"> </w:t>
            </w:r>
          </w:p>
          <w:p w14:paraId="22CC1257" w14:textId="77777777" w:rsidR="008A0760" w:rsidRPr="008A0760" w:rsidRDefault="008A0760" w:rsidP="008A0760">
            <w:pPr>
              <w:spacing w:after="101" w:line="232" w:lineRule="atLeast"/>
              <w:ind w:left="576" w:right="576" w:hanging="360"/>
              <w:jc w:val="both"/>
              <w:rPr>
                <w:lang w:val="en-US" w:eastAsia="en-US"/>
              </w:rPr>
            </w:pPr>
            <w:r w:rsidRPr="008A0760">
              <w:rPr>
                <w:rFonts w:ascii="Verdana" w:hAnsi="Verdana"/>
                <w:sz w:val="16"/>
                <w:szCs w:val="16"/>
                <w:lang w:val="en-US" w:eastAsia="en-US"/>
              </w:rPr>
              <w:t>1.</w:t>
            </w:r>
            <w:r w:rsidRPr="008A0760">
              <w:rPr>
                <w:lang w:val="en-US" w:eastAsia="en-US"/>
              </w:rPr>
              <w:t xml:space="preserve"> </w:t>
            </w:r>
            <w:r w:rsidRPr="008A0760">
              <w:rPr>
                <w:rFonts w:ascii="Verdana" w:hAnsi="Verdana"/>
                <w:sz w:val="16"/>
                <w:szCs w:val="16"/>
                <w:lang w:val="en-US" w:eastAsia="en-US"/>
              </w:rPr>
              <w:t>              g / km = grams per kilometer.</w:t>
            </w:r>
            <w:r w:rsidRPr="008A0760">
              <w:rPr>
                <w:lang w:val="en-US" w:eastAsia="en-US"/>
              </w:rPr>
              <w:t xml:space="preserve"> </w:t>
            </w:r>
          </w:p>
          <w:p w14:paraId="09E84B6E" w14:textId="77777777" w:rsidR="008A0760" w:rsidRPr="008A0760" w:rsidRDefault="008A0760" w:rsidP="008A0760">
            <w:pPr>
              <w:spacing w:after="101" w:line="232" w:lineRule="atLeast"/>
              <w:ind w:left="576" w:right="576" w:hanging="360"/>
              <w:jc w:val="both"/>
              <w:rPr>
                <w:lang w:val="en-US" w:eastAsia="en-US"/>
              </w:rPr>
            </w:pPr>
            <w:r w:rsidRPr="008A0760">
              <w:rPr>
                <w:rFonts w:ascii="Verdana" w:hAnsi="Verdana"/>
                <w:sz w:val="16"/>
                <w:szCs w:val="16"/>
                <w:lang w:val="en-US" w:eastAsia="en-US"/>
              </w:rPr>
              <w:t>2.</w:t>
            </w:r>
            <w:r w:rsidRPr="008A0760">
              <w:rPr>
                <w:lang w:val="en-US" w:eastAsia="en-US"/>
              </w:rPr>
              <w:t xml:space="preserve"> </w:t>
            </w:r>
            <w:r w:rsidRPr="008A0760">
              <w:rPr>
                <w:rFonts w:ascii="Verdana" w:hAnsi="Verdana"/>
                <w:sz w:val="16"/>
                <w:szCs w:val="16"/>
                <w:lang w:val="en-US" w:eastAsia="en-US"/>
              </w:rPr>
              <w:t>              Number of particles / km: number of particles per kilometer.</w:t>
            </w:r>
            <w:r w:rsidRPr="008A0760">
              <w:rPr>
                <w:lang w:val="en-US" w:eastAsia="en-US"/>
              </w:rPr>
              <w:t xml:space="preserve"> </w:t>
            </w:r>
          </w:p>
          <w:p w14:paraId="2FA27ACD" w14:textId="77777777" w:rsidR="008A0760" w:rsidRPr="008A0760" w:rsidRDefault="008A0760" w:rsidP="008A0760">
            <w:pPr>
              <w:spacing w:after="101" w:line="232" w:lineRule="atLeast"/>
              <w:ind w:left="576" w:right="576" w:hanging="360"/>
              <w:jc w:val="both"/>
              <w:rPr>
                <w:lang w:val="en-US" w:eastAsia="en-US"/>
              </w:rPr>
            </w:pPr>
            <w:r w:rsidRPr="008A0760">
              <w:rPr>
                <w:rFonts w:ascii="Verdana" w:hAnsi="Verdana"/>
                <w:sz w:val="16"/>
                <w:szCs w:val="16"/>
                <w:lang w:val="en-US" w:eastAsia="en-US"/>
              </w:rPr>
              <w:lastRenderedPageBreak/>
              <w:t>3.</w:t>
            </w:r>
            <w:r w:rsidRPr="008A0760">
              <w:rPr>
                <w:lang w:val="en-US" w:eastAsia="en-US"/>
              </w:rPr>
              <w:t xml:space="preserve"> </w:t>
            </w:r>
            <w:r w:rsidRPr="008A0760">
              <w:rPr>
                <w:rFonts w:ascii="Verdana" w:hAnsi="Verdana"/>
                <w:sz w:val="16"/>
                <w:szCs w:val="16"/>
                <w:lang w:val="en-US" w:eastAsia="en-US"/>
              </w:rPr>
              <w:t>              Standard</w:t>
            </w:r>
            <w:r w:rsidRPr="008A0760">
              <w:rPr>
                <w:lang w:val="en-US" w:eastAsia="en-US"/>
              </w:rPr>
              <w:t xml:space="preserve"> </w:t>
            </w:r>
            <w:r w:rsidRPr="008A0760">
              <w:rPr>
                <w:rFonts w:ascii="Verdana" w:hAnsi="Verdana"/>
                <w:b/>
                <w:bCs/>
                <w:sz w:val="16"/>
                <w:szCs w:val="16"/>
                <w:lang w:val="en-US" w:eastAsia="en-US"/>
              </w:rPr>
              <w:t>4A</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 xml:space="preserve">Maximum permissible limits for new automotive vehicles with gross vehicle weight greater than 3,857 kg and reference mass less than or equal to 2,840 kg, produced as of the entry into force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 xml:space="preserve"> and until June 30, 2019, obtained with the test method New European Test Cycle (N</w:t>
            </w:r>
            <w:r w:rsidR="00A66C6A">
              <w:rPr>
                <w:rFonts w:ascii="Verdana" w:hAnsi="Verdana"/>
                <w:sz w:val="16"/>
                <w:szCs w:val="16"/>
                <w:lang w:val="en-US" w:eastAsia="en-US"/>
              </w:rPr>
              <w:t>ETC</w:t>
            </w:r>
            <w:r w:rsidRPr="008A0760">
              <w:rPr>
                <w:rFonts w:ascii="Verdana" w:hAnsi="Verdana"/>
                <w:sz w:val="16"/>
                <w:szCs w:val="16"/>
                <w:lang w:val="en-US" w:eastAsia="en-US"/>
              </w:rPr>
              <w:t xml:space="preserve">), described in numeral 3.20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w:t>
            </w:r>
            <w:r w:rsidRPr="008A0760">
              <w:rPr>
                <w:lang w:val="en-US" w:eastAsia="en-US"/>
              </w:rPr>
              <w:t xml:space="preserve"> </w:t>
            </w:r>
          </w:p>
          <w:p w14:paraId="074DDB06" w14:textId="6EFAD79B" w:rsidR="008A0760" w:rsidRPr="008A0760" w:rsidRDefault="00B32D99" w:rsidP="008A0760">
            <w:pPr>
              <w:spacing w:after="101" w:line="240" w:lineRule="atLeast"/>
              <w:ind w:left="576" w:right="576" w:hanging="360"/>
              <w:jc w:val="both"/>
              <w:rPr>
                <w:lang w:val="en-US" w:eastAsia="en-US"/>
              </w:rPr>
            </w:pPr>
            <w:r>
              <w:rPr>
                <w:rFonts w:ascii="Verdana" w:hAnsi="Verdana"/>
                <w:sz w:val="16"/>
                <w:szCs w:val="16"/>
                <w:lang w:val="en-US" w:eastAsia="en-US"/>
              </w:rPr>
              <w:t>4</w:t>
            </w:r>
            <w:r w:rsidR="008A0760" w:rsidRPr="008A0760">
              <w:rPr>
                <w:rFonts w:ascii="Verdana" w:hAnsi="Verdana"/>
                <w:sz w:val="16"/>
                <w:szCs w:val="16"/>
                <w:lang w:val="en-US" w:eastAsia="en-US"/>
              </w:rPr>
              <w:t>.</w:t>
            </w:r>
            <w:r w:rsidR="008A0760" w:rsidRPr="008A0760">
              <w:rPr>
                <w:lang w:val="en-US" w:eastAsia="en-US"/>
              </w:rPr>
              <w:t xml:space="preserve"> </w:t>
            </w:r>
            <w:r w:rsidR="008A0760" w:rsidRPr="008A0760">
              <w:rPr>
                <w:rFonts w:ascii="Verdana" w:hAnsi="Verdana"/>
                <w:sz w:val="16"/>
                <w:szCs w:val="16"/>
                <w:lang w:val="en-US" w:eastAsia="en-US"/>
              </w:rPr>
              <w:t xml:space="preserve">              </w:t>
            </w:r>
            <w:r w:rsidRPr="001C63AD">
              <w:rPr>
                <w:rFonts w:ascii="Verdana" w:hAnsi="Verdana"/>
                <w:color w:val="0000FA"/>
                <w:sz w:val="16"/>
                <w:szCs w:val="16"/>
                <w:lang w:val="en-US" w:eastAsia="en-US"/>
              </w:rPr>
              <w:t>Standard 4AA. Maximum Permissible Limits for new motors and automotive vehicles produced from the 1st of January of 2019 and until the 31st of December of 2021 obtained with the New European Test Cycle (NCEP), described in the section number 3.20 of this Official Mexican Standard</w:t>
            </w:r>
            <w:r w:rsidRPr="00B32D99">
              <w:rPr>
                <w:rFonts w:ascii="Verdana" w:hAnsi="Verdana"/>
                <w:sz w:val="16"/>
                <w:szCs w:val="16"/>
                <w:lang w:val="en-US" w:eastAsia="en-US"/>
              </w:rPr>
              <w:t>.</w:t>
            </w:r>
            <w:r>
              <w:rPr>
                <w:rFonts w:ascii="Verdana" w:hAnsi="Verdana"/>
                <w:sz w:val="16"/>
                <w:szCs w:val="16"/>
                <w:lang w:val="en-US" w:eastAsia="en-US"/>
              </w:rPr>
              <w:t xml:space="preserve"> </w:t>
            </w:r>
            <w:r w:rsidRPr="00B32D99">
              <w:rPr>
                <w:rFonts w:ascii="Verdana" w:hAnsi="Verdana"/>
                <w:i/>
                <w:iCs/>
                <w:color w:val="0000FA"/>
                <w:sz w:val="16"/>
                <w:szCs w:val="16"/>
                <w:lang w:val="en-US" w:eastAsia="en-US"/>
              </w:rPr>
              <w:t>Modification published in the DOF on Nov. 12, 2020</w:t>
            </w:r>
            <w:r w:rsidR="008A0760" w:rsidRPr="00B32D99">
              <w:rPr>
                <w:rFonts w:ascii="Verdana" w:hAnsi="Verdana"/>
                <w:i/>
                <w:iCs/>
                <w:color w:val="0000FA"/>
                <w:sz w:val="16"/>
                <w:szCs w:val="16"/>
                <w:lang w:val="en-US" w:eastAsia="en-US"/>
              </w:rPr>
              <w:t>.</w:t>
            </w:r>
            <w:r w:rsidR="008A0760" w:rsidRPr="00B32D99">
              <w:rPr>
                <w:color w:val="0000FA"/>
                <w:lang w:val="en-US" w:eastAsia="en-US"/>
              </w:rPr>
              <w:t xml:space="preserve"> </w:t>
            </w:r>
            <w:r w:rsidR="00833438">
              <w:rPr>
                <w:rFonts w:ascii="Verdana" w:hAnsi="Verdana"/>
                <w:i/>
                <w:iCs/>
                <w:color w:val="0000FA"/>
                <w:sz w:val="16"/>
                <w:szCs w:val="16"/>
                <w:lang w:val="en-US"/>
              </w:rPr>
              <w:t>(modification that invalidates 1AA DOF 25-04-2024)</w:t>
            </w:r>
          </w:p>
          <w:p w14:paraId="50D832C5" w14:textId="77777777" w:rsidR="008A0760" w:rsidRPr="008A0760" w:rsidRDefault="008A0760" w:rsidP="008A0760">
            <w:pPr>
              <w:spacing w:after="101" w:line="240" w:lineRule="atLeast"/>
              <w:ind w:left="576" w:right="576" w:hanging="360"/>
              <w:jc w:val="both"/>
              <w:rPr>
                <w:lang w:val="en-US" w:eastAsia="en-US"/>
              </w:rPr>
            </w:pPr>
            <w:r w:rsidRPr="008A0760">
              <w:rPr>
                <w:rFonts w:ascii="Verdana" w:hAnsi="Verdana"/>
                <w:sz w:val="16"/>
                <w:szCs w:val="16"/>
                <w:lang w:val="en-US" w:eastAsia="en-US"/>
              </w:rPr>
              <w:t>5.</w:t>
            </w:r>
            <w:r w:rsidRPr="008A0760">
              <w:rPr>
                <w:lang w:val="en-US" w:eastAsia="en-US"/>
              </w:rPr>
              <w:t xml:space="preserve"> </w:t>
            </w:r>
            <w:r w:rsidRPr="008A0760">
              <w:rPr>
                <w:rFonts w:ascii="Verdana" w:hAnsi="Verdana"/>
                <w:sz w:val="16"/>
                <w:szCs w:val="16"/>
                <w:lang w:val="en-US" w:eastAsia="en-US"/>
              </w:rPr>
              <w:t>              Standard</w:t>
            </w:r>
            <w:r w:rsidRPr="008A0760">
              <w:rPr>
                <w:lang w:val="en-US" w:eastAsia="en-US"/>
              </w:rPr>
              <w:t xml:space="preserve"> </w:t>
            </w:r>
            <w:r w:rsidRPr="008A0760">
              <w:rPr>
                <w:rFonts w:ascii="Verdana" w:hAnsi="Verdana"/>
                <w:b/>
                <w:bCs/>
                <w:sz w:val="16"/>
                <w:szCs w:val="16"/>
                <w:lang w:val="en-US" w:eastAsia="en-US"/>
              </w:rPr>
              <w:t>4B</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Maximum permissible limits for new motor vehicles with gross vehicle weight greater than 3,857 kg and reference mass less than or equal to 2,840 kg, produced as of January 1, 2019, obtained with the New European Test Cycle (</w:t>
            </w:r>
            <w:r w:rsidR="00A66C6A">
              <w:rPr>
                <w:rFonts w:ascii="Verdana" w:hAnsi="Verdana"/>
                <w:sz w:val="16"/>
                <w:szCs w:val="16"/>
                <w:lang w:val="en-US" w:eastAsia="en-US"/>
              </w:rPr>
              <w:t>NETC</w:t>
            </w:r>
            <w:r w:rsidRPr="008A0760">
              <w:rPr>
                <w:rFonts w:ascii="Verdana" w:hAnsi="Verdana"/>
                <w:sz w:val="16"/>
                <w:szCs w:val="16"/>
                <w:lang w:val="en-US" w:eastAsia="en-US"/>
              </w:rPr>
              <w:t xml:space="preserve">) test method, described in numeral 3.20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 xml:space="preserve">This standard requires the use of automotive diesel with a maximum sulfur content of 15 </w:t>
            </w:r>
            <w:r w:rsidR="00475F08">
              <w:rPr>
                <w:rFonts w:ascii="Verdana" w:hAnsi="Verdana"/>
                <w:sz w:val="16"/>
                <w:szCs w:val="16"/>
                <w:lang w:val="en-US" w:eastAsia="en-US"/>
              </w:rPr>
              <w:t>mg/kg</w:t>
            </w:r>
            <w:r w:rsidRPr="008A0760">
              <w:rPr>
                <w:rFonts w:ascii="Verdana" w:hAnsi="Verdana"/>
                <w:sz w:val="16"/>
                <w:szCs w:val="16"/>
                <w:lang w:val="en-US" w:eastAsia="en-US"/>
              </w:rPr>
              <w:t>, which will be available in the country, as established in note 3 of Table 7 of the Official Mexican Standard NOM-016-CRE -2016.</w:t>
            </w:r>
            <w:r w:rsidRPr="008A0760">
              <w:rPr>
                <w:lang w:val="en-US" w:eastAsia="en-US"/>
              </w:rPr>
              <w:t xml:space="preserve"> </w:t>
            </w:r>
            <w:r w:rsidRPr="008A0760">
              <w:rPr>
                <w:rFonts w:ascii="Verdana" w:hAnsi="Verdana"/>
                <w:sz w:val="16"/>
                <w:szCs w:val="16"/>
                <w:lang w:val="en-US" w:eastAsia="en-US"/>
              </w:rPr>
              <w:t xml:space="preserve">Petroleum quality specifications, published in the Official </w:t>
            </w:r>
            <w:r w:rsidR="00735A37">
              <w:rPr>
                <w:rFonts w:ascii="Verdana" w:hAnsi="Verdana"/>
                <w:sz w:val="16"/>
                <w:szCs w:val="16"/>
                <w:lang w:val="en-US" w:eastAsia="en-US"/>
              </w:rPr>
              <w:t>Daily</w:t>
            </w:r>
            <w:r w:rsidRPr="008A0760">
              <w:rPr>
                <w:rFonts w:ascii="Verdana" w:hAnsi="Verdana"/>
                <w:sz w:val="16"/>
                <w:szCs w:val="16"/>
                <w:lang w:val="en-US" w:eastAsia="en-US"/>
              </w:rPr>
              <w:t xml:space="preserve"> of the Federation, on August 29, 2016.</w:t>
            </w:r>
            <w:r w:rsidRPr="008A0760">
              <w:rPr>
                <w:lang w:val="en-US" w:eastAsia="en-US"/>
              </w:rPr>
              <w:t xml:space="preserve"> </w:t>
            </w:r>
          </w:p>
          <w:p w14:paraId="1120953F" w14:textId="77777777" w:rsidR="008A0760" w:rsidRPr="008A0760" w:rsidRDefault="008A0760" w:rsidP="008A0760">
            <w:pPr>
              <w:spacing w:before="40" w:after="40" w:line="232" w:lineRule="atLeast"/>
              <w:jc w:val="center"/>
              <w:rPr>
                <w:lang w:val="en-US" w:eastAsia="en-US"/>
              </w:rPr>
            </w:pPr>
            <w:r w:rsidRPr="008A0760">
              <w:rPr>
                <w:rFonts w:ascii="Verdana" w:hAnsi="Verdana"/>
                <w:sz w:val="16"/>
                <w:szCs w:val="16"/>
                <w:lang w:val="en-US" w:eastAsia="en-US"/>
              </w:rPr>
              <w:t> </w:t>
            </w:r>
          </w:p>
        </w:tc>
      </w:tr>
    </w:tbl>
    <w:p w14:paraId="69DF9241" w14:textId="77777777" w:rsidR="008A0760" w:rsidRPr="008A0760" w:rsidRDefault="008A0760" w:rsidP="008A0760">
      <w:pPr>
        <w:spacing w:after="101" w:line="240" w:lineRule="atLeast"/>
        <w:ind w:firstLine="288"/>
        <w:jc w:val="both"/>
        <w:rPr>
          <w:lang w:val="en-US" w:eastAsia="en-US"/>
        </w:rPr>
      </w:pPr>
      <w:r w:rsidRPr="008A0760">
        <w:rPr>
          <w:rFonts w:ascii="Verdana" w:hAnsi="Verdana"/>
          <w:b/>
          <w:bCs/>
          <w:sz w:val="16"/>
          <w:szCs w:val="16"/>
          <w:lang w:val="en-US" w:eastAsia="en-US"/>
        </w:rPr>
        <w:lastRenderedPageBreak/>
        <w:t> </w:t>
      </w:r>
    </w:p>
    <w:tbl>
      <w:tblPr>
        <w:tblW w:w="0" w:type="auto"/>
        <w:tblLook w:val="04A0" w:firstRow="1" w:lastRow="0" w:firstColumn="1" w:lastColumn="0" w:noHBand="0" w:noVBand="1"/>
      </w:tblPr>
      <w:tblGrid>
        <w:gridCol w:w="4674"/>
        <w:gridCol w:w="4686"/>
      </w:tblGrid>
      <w:tr w:rsidR="008A0760" w:rsidRPr="00743A20" w14:paraId="1930D582" w14:textId="77777777" w:rsidTr="00A66C6A">
        <w:tc>
          <w:tcPr>
            <w:tcW w:w="4788" w:type="dxa"/>
            <w:shd w:val="clear" w:color="auto" w:fill="auto"/>
          </w:tcPr>
          <w:p w14:paraId="40FAAAAB" w14:textId="77777777" w:rsidR="008A0760" w:rsidRPr="00A57824" w:rsidRDefault="008A0760" w:rsidP="00A66C6A">
            <w:pPr>
              <w:spacing w:after="160" w:line="276" w:lineRule="auto"/>
              <w:jc w:val="both"/>
              <w:rPr>
                <w:rFonts w:ascii="Verdana" w:hAnsi="Verdana"/>
                <w:sz w:val="16"/>
                <w:szCs w:val="16"/>
              </w:rPr>
            </w:pPr>
            <w:r w:rsidRPr="00A57824">
              <w:rPr>
                <w:rFonts w:ascii="Verdana" w:hAnsi="Verdana"/>
                <w:b/>
                <w:sz w:val="16"/>
                <w:szCs w:val="16"/>
              </w:rPr>
              <w:t>4.2.6.</w:t>
            </w:r>
            <w:r w:rsidRPr="00A57824">
              <w:rPr>
                <w:rFonts w:ascii="Verdana" w:hAnsi="Verdana"/>
                <w:sz w:val="16"/>
                <w:szCs w:val="16"/>
              </w:rPr>
              <w:t xml:space="preserve"> Los vehículos automotores nuevos que se certifiquen a través de los métodos de prueba establecidos por el Parlamento Europeo y por el Consejo de la Unión Europea, deberán cumplir con los estándares 4A, 4AA o 4B, establecidos en la Tabla 4, según corresponda y la vida útil, en los tres casos, es de 160,000 kilómetros o 5 años.</w:t>
            </w:r>
          </w:p>
        </w:tc>
        <w:tc>
          <w:tcPr>
            <w:tcW w:w="4788" w:type="dxa"/>
            <w:shd w:val="clear" w:color="auto" w:fill="auto"/>
          </w:tcPr>
          <w:p w14:paraId="6B7240E7" w14:textId="77777777" w:rsidR="008A0760" w:rsidRPr="00A57824" w:rsidRDefault="008A0760" w:rsidP="00A66C6A">
            <w:pPr>
              <w:spacing w:line="276" w:lineRule="auto"/>
              <w:jc w:val="both"/>
              <w:rPr>
                <w:lang w:val="en-US"/>
              </w:rPr>
            </w:pPr>
            <w:r w:rsidRPr="00A57824">
              <w:rPr>
                <w:rFonts w:ascii="Verdana" w:hAnsi="Verdana"/>
                <w:b/>
                <w:bCs/>
                <w:sz w:val="16"/>
                <w:szCs w:val="16"/>
                <w:lang w:val="en-US"/>
              </w:rPr>
              <w:t>4.2.6.</w:t>
            </w:r>
            <w:r w:rsidRPr="00A57824">
              <w:rPr>
                <w:lang w:val="en-US"/>
              </w:rPr>
              <w:t xml:space="preserve"> </w:t>
            </w:r>
            <w:r w:rsidRPr="00A57824">
              <w:rPr>
                <w:rFonts w:ascii="Verdana" w:hAnsi="Verdana"/>
                <w:sz w:val="16"/>
                <w:szCs w:val="16"/>
                <w:lang w:val="en-US"/>
              </w:rPr>
              <w:t>New motor vehicles that are certified through the test methods established by the European Parliament and by the Council of the European Union must comply with standards 4A, 4AA or 4B, established in Table 4, as appropriate and life useful, in all three cases, it is 160,000 kilometers or 5 years.</w:t>
            </w:r>
          </w:p>
        </w:tc>
      </w:tr>
      <w:tr w:rsidR="008A0760" w:rsidRPr="00743A20" w14:paraId="0DEEC2E4" w14:textId="77777777" w:rsidTr="00A66C6A">
        <w:tc>
          <w:tcPr>
            <w:tcW w:w="4788" w:type="dxa"/>
            <w:shd w:val="clear" w:color="auto" w:fill="auto"/>
          </w:tcPr>
          <w:p w14:paraId="017B8BCF" w14:textId="77777777" w:rsidR="008A0760" w:rsidRPr="00A57824" w:rsidRDefault="008A0760" w:rsidP="00A66C6A">
            <w:pPr>
              <w:pStyle w:val="Texto"/>
              <w:spacing w:line="276" w:lineRule="auto"/>
              <w:ind w:firstLine="0"/>
              <w:rPr>
                <w:rFonts w:ascii="Verdana" w:hAnsi="Verdana"/>
                <w:b/>
                <w:sz w:val="16"/>
                <w:szCs w:val="16"/>
              </w:rPr>
            </w:pPr>
            <w:r w:rsidRPr="00A57824">
              <w:rPr>
                <w:rFonts w:ascii="Verdana" w:hAnsi="Verdana"/>
                <w:b/>
                <w:sz w:val="16"/>
                <w:szCs w:val="16"/>
              </w:rPr>
              <w:t xml:space="preserve">4.2.7. </w:t>
            </w:r>
            <w:r w:rsidRPr="00A57824">
              <w:rPr>
                <w:rFonts w:ascii="Verdana" w:hAnsi="Verdana"/>
                <w:sz w:val="16"/>
                <w:szCs w:val="16"/>
              </w:rPr>
              <w:t>Los motores nuevos a diésel que cumplan con el estándar 4AA, establecidos en la Tabla 4 de la presente norma oficial mexicana deben tener incorporado el Sistema de Diagnóstico a Bordo (SDB/OBD), para el cual aplicarán los umbrales que entrarán en operación al alcanzar los valores que se mencionan a continuación: CO de 2.8, HCNM de 0.4, NOx de 0.840 y de partículas 0.05, todos ellos expresados en g/km.</w:t>
            </w:r>
          </w:p>
        </w:tc>
        <w:tc>
          <w:tcPr>
            <w:tcW w:w="4788" w:type="dxa"/>
            <w:shd w:val="clear" w:color="auto" w:fill="auto"/>
          </w:tcPr>
          <w:p w14:paraId="7BAF44C9"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4.2.7.</w:t>
            </w:r>
            <w:r w:rsidRPr="00A57824">
              <w:rPr>
                <w:lang w:val="en-US"/>
              </w:rPr>
              <w:t xml:space="preserve"> </w:t>
            </w:r>
            <w:r w:rsidRPr="00A57824">
              <w:rPr>
                <w:rFonts w:ascii="Verdana" w:hAnsi="Verdana"/>
                <w:sz w:val="16"/>
                <w:szCs w:val="16"/>
                <w:lang w:val="en-US"/>
              </w:rPr>
              <w:t xml:space="preserve">New diesel engines that comply with the 4AA standard, established in Table 4 of this </w:t>
            </w:r>
            <w:r w:rsidR="00735A37">
              <w:rPr>
                <w:rFonts w:ascii="Verdana" w:hAnsi="Verdana"/>
                <w:sz w:val="16"/>
                <w:szCs w:val="16"/>
                <w:lang w:val="en-US"/>
              </w:rPr>
              <w:t>Official Mexican Standard</w:t>
            </w:r>
            <w:r w:rsidRPr="00A57824">
              <w:rPr>
                <w:rFonts w:ascii="Verdana" w:hAnsi="Verdana"/>
                <w:sz w:val="16"/>
                <w:szCs w:val="16"/>
                <w:lang w:val="en-US"/>
              </w:rPr>
              <w:t xml:space="preserve">, must have incorporated the On-Board Diagnostic System (SDB/OBD), for which the thresholds that will come into operation upon reaching the values </w:t>
            </w:r>
            <w:r w:rsidRPr="00A57824">
              <w:rPr>
                <w:rFonts w:ascii="Arial" w:hAnsi="Arial" w:cs="Arial"/>
                <w:sz w:val="16"/>
                <w:szCs w:val="16"/>
                <w:lang w:val="en-US"/>
              </w:rPr>
              <w:t>​​</w:t>
            </w:r>
            <w:r w:rsidRPr="00A57824">
              <w:rPr>
                <w:rFonts w:ascii="Verdana" w:hAnsi="Verdana"/>
                <w:sz w:val="16"/>
                <w:szCs w:val="16"/>
                <w:lang w:val="en-US"/>
              </w:rPr>
              <w:t>that are mentioned next: CO of 2.8, HCNM of 0.4, NOx of 0.840 and of particles 0.05, all of them expressed in g/km.</w:t>
            </w:r>
          </w:p>
        </w:tc>
      </w:tr>
      <w:tr w:rsidR="008A0760" w:rsidRPr="00A57824" w14:paraId="6A7CB490" w14:textId="77777777" w:rsidTr="00A66C6A">
        <w:tc>
          <w:tcPr>
            <w:tcW w:w="4788" w:type="dxa"/>
            <w:shd w:val="clear" w:color="auto" w:fill="auto"/>
          </w:tcPr>
          <w:p w14:paraId="1BB76B30" w14:textId="77777777" w:rsidR="008A0760" w:rsidRPr="00A57824" w:rsidRDefault="008A0760" w:rsidP="00A66C6A">
            <w:pPr>
              <w:pStyle w:val="Texto"/>
              <w:spacing w:line="276" w:lineRule="auto"/>
              <w:ind w:firstLine="0"/>
              <w:rPr>
                <w:rFonts w:ascii="Verdana" w:hAnsi="Verdana"/>
                <w:b/>
                <w:sz w:val="16"/>
                <w:szCs w:val="16"/>
              </w:rPr>
            </w:pPr>
            <w:r w:rsidRPr="00A57824">
              <w:rPr>
                <w:rFonts w:ascii="Verdana" w:hAnsi="Verdana"/>
                <w:b/>
                <w:sz w:val="16"/>
                <w:szCs w:val="16"/>
              </w:rPr>
              <w:t>4.3. EMISIONES DEL CÁRTER</w:t>
            </w:r>
          </w:p>
        </w:tc>
        <w:tc>
          <w:tcPr>
            <w:tcW w:w="4788" w:type="dxa"/>
            <w:shd w:val="clear" w:color="auto" w:fill="auto"/>
          </w:tcPr>
          <w:p w14:paraId="6697D96A" w14:textId="77777777" w:rsidR="008A0760" w:rsidRPr="00844E0D" w:rsidRDefault="008A0760" w:rsidP="00A66C6A">
            <w:pPr>
              <w:spacing w:after="101" w:line="276" w:lineRule="auto"/>
              <w:jc w:val="both"/>
            </w:pPr>
            <w:r w:rsidRPr="00A57824">
              <w:rPr>
                <w:rFonts w:ascii="Verdana" w:hAnsi="Verdana"/>
                <w:b/>
                <w:bCs/>
                <w:sz w:val="16"/>
                <w:szCs w:val="16"/>
              </w:rPr>
              <w:t>4.3.</w:t>
            </w:r>
            <w:r w:rsidRPr="00844E0D">
              <w:t xml:space="preserve"> </w:t>
            </w:r>
            <w:r w:rsidRPr="00A57824">
              <w:rPr>
                <w:rFonts w:ascii="Verdana" w:hAnsi="Verdana"/>
                <w:b/>
                <w:bCs/>
                <w:sz w:val="16"/>
                <w:szCs w:val="16"/>
              </w:rPr>
              <w:t>CRANKCASE EMISSIONS</w:t>
            </w:r>
          </w:p>
        </w:tc>
      </w:tr>
      <w:tr w:rsidR="008A0760" w:rsidRPr="00743A20" w14:paraId="429FD9A4" w14:textId="77777777" w:rsidTr="00A66C6A">
        <w:tc>
          <w:tcPr>
            <w:tcW w:w="4788" w:type="dxa"/>
            <w:shd w:val="clear" w:color="auto" w:fill="auto"/>
          </w:tcPr>
          <w:p w14:paraId="4D27D838"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Las emisiones provenientes del cárter del motor nuevo a diésel y de los vehículos automotores nuevos que los incorporen objeto de esta norma, no deberán liberarse directamente a la atmósfera, con las excepciones establecidas a continuación:</w:t>
            </w:r>
          </w:p>
        </w:tc>
        <w:tc>
          <w:tcPr>
            <w:tcW w:w="4788" w:type="dxa"/>
            <w:shd w:val="clear" w:color="auto" w:fill="auto"/>
          </w:tcPr>
          <w:p w14:paraId="0C9EC95E"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 xml:space="preserve">Emissions from the crankcase of the new diesel engine and the new automotive vehicles that incorporate them subject to this standard, </w:t>
            </w:r>
            <w:r w:rsidR="00A66C6A">
              <w:rPr>
                <w:rFonts w:ascii="Verdana" w:hAnsi="Verdana"/>
                <w:sz w:val="16"/>
                <w:szCs w:val="16"/>
                <w:lang w:val="en-US"/>
              </w:rPr>
              <w:t>must</w:t>
            </w:r>
            <w:r w:rsidRPr="00A57824">
              <w:rPr>
                <w:rFonts w:ascii="Verdana" w:hAnsi="Verdana"/>
                <w:sz w:val="16"/>
                <w:szCs w:val="16"/>
                <w:lang w:val="en-US"/>
              </w:rPr>
              <w:t xml:space="preserve"> not be released directly into the atmosphere, with the exceptions established below:</w:t>
            </w:r>
          </w:p>
        </w:tc>
      </w:tr>
      <w:tr w:rsidR="008A0760" w:rsidRPr="00743A20" w14:paraId="2F6B5288" w14:textId="77777777" w:rsidTr="00A66C6A">
        <w:tc>
          <w:tcPr>
            <w:tcW w:w="4788" w:type="dxa"/>
            <w:shd w:val="clear" w:color="auto" w:fill="auto"/>
          </w:tcPr>
          <w:p w14:paraId="096D2ECA"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 xml:space="preserve">4.3.1. </w:t>
            </w:r>
            <w:r w:rsidRPr="00A57824">
              <w:rPr>
                <w:rFonts w:ascii="Verdana" w:hAnsi="Verdana"/>
                <w:sz w:val="16"/>
                <w:szCs w:val="16"/>
              </w:rPr>
              <w:t xml:space="preserve">Los motores nuevos equipados con turbo-compresores, bombas o compresores de sobrealimentación para la admisión de aire, podrán liberar emisiones del cárter a la atmósfera sólo si estas emisiones se suman a las emisiones de los gases de la combustión durante las pruebas de certificación de </w:t>
            </w:r>
            <w:r w:rsidRPr="00A57824">
              <w:rPr>
                <w:rFonts w:ascii="Verdana" w:hAnsi="Verdana"/>
                <w:sz w:val="16"/>
                <w:szCs w:val="16"/>
              </w:rPr>
              <w:lastRenderedPageBreak/>
              <w:t>emisiones, bien sea matemáticamente o físicamente. Las emisiones que resulten deberán cumplir con lo establecido en los numerales 4.1 o 4.2 de la presente norma oficial mexicana.</w:t>
            </w:r>
          </w:p>
        </w:tc>
        <w:tc>
          <w:tcPr>
            <w:tcW w:w="4788" w:type="dxa"/>
            <w:shd w:val="clear" w:color="auto" w:fill="auto"/>
          </w:tcPr>
          <w:p w14:paraId="3CA8B66D"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lastRenderedPageBreak/>
              <w:t>4.3.1.</w:t>
            </w:r>
            <w:r w:rsidRPr="00A57824">
              <w:rPr>
                <w:lang w:val="en-US"/>
              </w:rPr>
              <w:t xml:space="preserve"> </w:t>
            </w:r>
            <w:r w:rsidRPr="00A57824">
              <w:rPr>
                <w:rFonts w:ascii="Verdana" w:hAnsi="Verdana"/>
                <w:sz w:val="16"/>
                <w:szCs w:val="16"/>
                <w:lang w:val="en-US"/>
              </w:rPr>
              <w:t>New engines equipped with turbo-compressors, pumps or supercharging compressors for air intake may release crankcase emissions to the atmosphere only if these emissions are added to the emissions of combustion gases during emission certification tests, either mathematically or physically.</w:t>
            </w:r>
            <w:r w:rsidRPr="00A57824">
              <w:rPr>
                <w:lang w:val="en-US"/>
              </w:rPr>
              <w:t xml:space="preserve"> </w:t>
            </w:r>
            <w:r w:rsidRPr="00A57824">
              <w:rPr>
                <w:rFonts w:ascii="Verdana" w:hAnsi="Verdana"/>
                <w:sz w:val="16"/>
                <w:szCs w:val="16"/>
                <w:lang w:val="en-US"/>
              </w:rPr>
              <w:t xml:space="preserve">The resulting </w:t>
            </w:r>
            <w:r w:rsidRPr="00A57824">
              <w:rPr>
                <w:rFonts w:ascii="Verdana" w:hAnsi="Verdana"/>
                <w:sz w:val="16"/>
                <w:szCs w:val="16"/>
                <w:lang w:val="en-US"/>
              </w:rPr>
              <w:lastRenderedPageBreak/>
              <w:t xml:space="preserve">emissions must comply with the provisions of paragraphs 4.1 or 4.2 of this </w:t>
            </w:r>
            <w:r w:rsidR="00735A37">
              <w:rPr>
                <w:rFonts w:ascii="Verdana" w:hAnsi="Verdana"/>
                <w:sz w:val="16"/>
                <w:szCs w:val="16"/>
                <w:lang w:val="en-US"/>
              </w:rPr>
              <w:t>Official Mexican Standard</w:t>
            </w:r>
            <w:r w:rsidRPr="00A57824">
              <w:rPr>
                <w:rFonts w:ascii="Verdana" w:hAnsi="Verdana"/>
                <w:sz w:val="16"/>
                <w:szCs w:val="16"/>
                <w:lang w:val="en-US"/>
              </w:rPr>
              <w:t>.</w:t>
            </w:r>
          </w:p>
        </w:tc>
      </w:tr>
      <w:tr w:rsidR="008A0760" w:rsidRPr="00743A20" w14:paraId="0B5A8C94" w14:textId="77777777" w:rsidTr="00A66C6A">
        <w:tc>
          <w:tcPr>
            <w:tcW w:w="4788" w:type="dxa"/>
            <w:shd w:val="clear" w:color="auto" w:fill="auto"/>
          </w:tcPr>
          <w:p w14:paraId="434A0A91"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lastRenderedPageBreak/>
              <w:t>4.3.2.</w:t>
            </w:r>
            <w:r w:rsidRPr="00A57824">
              <w:rPr>
                <w:rFonts w:ascii="Verdana" w:hAnsi="Verdana"/>
                <w:sz w:val="16"/>
                <w:szCs w:val="16"/>
              </w:rPr>
              <w:t xml:space="preserve"> Se considerará que las emisiones del cárter no se han liberado directamente a la atmósfera cuando éstas son conducidas al escape en un punto corriente arriba respecto de cualquier dispositivo de post-tratamiento del gas de escape.</w:t>
            </w:r>
          </w:p>
        </w:tc>
        <w:tc>
          <w:tcPr>
            <w:tcW w:w="4788" w:type="dxa"/>
            <w:shd w:val="clear" w:color="auto" w:fill="auto"/>
          </w:tcPr>
          <w:p w14:paraId="0A842A61"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4.3.2.</w:t>
            </w:r>
            <w:r w:rsidRPr="00A57824">
              <w:rPr>
                <w:lang w:val="en-US"/>
              </w:rPr>
              <w:t xml:space="preserve"> </w:t>
            </w:r>
            <w:r w:rsidRPr="00A57824">
              <w:rPr>
                <w:rFonts w:ascii="Verdana" w:hAnsi="Verdana"/>
                <w:sz w:val="16"/>
                <w:szCs w:val="16"/>
                <w:lang w:val="en-US"/>
              </w:rPr>
              <w:t>Crankcase emissions shall be considered not to have been released directly into the atmosphere when they are conducted to the exhaust at a point upstream of any after-treatment device for the exhaust gas.</w:t>
            </w:r>
          </w:p>
        </w:tc>
      </w:tr>
      <w:tr w:rsidR="008A0760" w:rsidRPr="00A57824" w14:paraId="28EBA2B0" w14:textId="77777777" w:rsidTr="00A66C6A">
        <w:tc>
          <w:tcPr>
            <w:tcW w:w="4788" w:type="dxa"/>
            <w:shd w:val="clear" w:color="auto" w:fill="auto"/>
          </w:tcPr>
          <w:p w14:paraId="2BCFCC3B" w14:textId="77777777" w:rsidR="008A0760" w:rsidRPr="00A57824" w:rsidRDefault="008A0760" w:rsidP="00A66C6A">
            <w:pPr>
              <w:pStyle w:val="Texto"/>
              <w:spacing w:line="276" w:lineRule="auto"/>
              <w:ind w:firstLine="0"/>
              <w:rPr>
                <w:rFonts w:ascii="Verdana" w:hAnsi="Verdana"/>
                <w:b/>
                <w:sz w:val="16"/>
                <w:szCs w:val="16"/>
              </w:rPr>
            </w:pPr>
            <w:r w:rsidRPr="00A57824">
              <w:rPr>
                <w:rFonts w:ascii="Verdana" w:hAnsi="Verdana"/>
                <w:b/>
                <w:sz w:val="16"/>
                <w:szCs w:val="16"/>
                <w:lang w:val="pt-BR"/>
              </w:rPr>
              <w:t>4.4.</w:t>
            </w:r>
            <w:r w:rsidRPr="00A57824">
              <w:rPr>
                <w:rFonts w:ascii="Verdana" w:hAnsi="Verdana"/>
                <w:sz w:val="16"/>
                <w:szCs w:val="16"/>
                <w:lang w:val="pt-BR"/>
              </w:rPr>
              <w:t xml:space="preserve"> </w:t>
            </w:r>
            <w:r w:rsidRPr="00A57824">
              <w:rPr>
                <w:rFonts w:ascii="Verdana" w:hAnsi="Verdana"/>
                <w:b/>
                <w:sz w:val="16"/>
                <w:szCs w:val="16"/>
              </w:rPr>
              <w:t>SISTEMAS DE DIAGNÓSTICO A BORDO</w:t>
            </w:r>
          </w:p>
        </w:tc>
        <w:tc>
          <w:tcPr>
            <w:tcW w:w="4788" w:type="dxa"/>
            <w:shd w:val="clear" w:color="auto" w:fill="auto"/>
          </w:tcPr>
          <w:p w14:paraId="5DDAAB54" w14:textId="77777777" w:rsidR="008A0760" w:rsidRPr="00844E0D" w:rsidRDefault="008A0760" w:rsidP="00A66C6A">
            <w:pPr>
              <w:spacing w:after="101" w:line="276" w:lineRule="auto"/>
              <w:jc w:val="both"/>
            </w:pPr>
            <w:r w:rsidRPr="00A57824">
              <w:rPr>
                <w:rFonts w:ascii="Verdana" w:hAnsi="Verdana"/>
                <w:b/>
                <w:bCs/>
                <w:sz w:val="16"/>
                <w:szCs w:val="16"/>
              </w:rPr>
              <w:t>4.4.</w:t>
            </w:r>
            <w:r w:rsidRPr="00844E0D">
              <w:t xml:space="preserve"> </w:t>
            </w:r>
            <w:r w:rsidRPr="00A57824">
              <w:rPr>
                <w:rFonts w:ascii="Verdana" w:hAnsi="Verdana"/>
                <w:b/>
                <w:bCs/>
                <w:sz w:val="16"/>
                <w:szCs w:val="16"/>
              </w:rPr>
              <w:t>DIAGNOSTIC SYSTEMS ON BOARD</w:t>
            </w:r>
          </w:p>
        </w:tc>
      </w:tr>
      <w:tr w:rsidR="008A0760" w:rsidRPr="00743A20" w14:paraId="69AFF4C4" w14:textId="77777777" w:rsidTr="00A66C6A">
        <w:tc>
          <w:tcPr>
            <w:tcW w:w="4788" w:type="dxa"/>
            <w:shd w:val="clear" w:color="auto" w:fill="auto"/>
          </w:tcPr>
          <w:p w14:paraId="72CD065D"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Los motores nuevos a diésel y los vehículos automotores nuevos equipados con este tipo de motor que cumplan con el estándar B, establecido en las Tablas 1, 2, 3 y 4, de la presente norma deberán contar con un Sistema de Diagnóstico a Bordo (SDB u OBD, por sus siglas en inglés).</w:t>
            </w:r>
          </w:p>
        </w:tc>
        <w:tc>
          <w:tcPr>
            <w:tcW w:w="4788" w:type="dxa"/>
            <w:shd w:val="clear" w:color="auto" w:fill="auto"/>
          </w:tcPr>
          <w:p w14:paraId="3E7A021D"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New diesel engines and new automotive vehicles equipped with this type of engine that comply with standard B, established in Tables 1, 2, 3 and 4, of this standard must have an On-Board Diagnostic System (SDB or OBD, for its acronym in English).</w:t>
            </w:r>
          </w:p>
        </w:tc>
      </w:tr>
      <w:tr w:rsidR="008A0760" w:rsidRPr="00743A20" w14:paraId="1BCAF030" w14:textId="77777777" w:rsidTr="00A66C6A">
        <w:tc>
          <w:tcPr>
            <w:tcW w:w="4788" w:type="dxa"/>
            <w:shd w:val="clear" w:color="auto" w:fill="auto"/>
          </w:tcPr>
          <w:p w14:paraId="1E4DE211"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rPr>
              <w:t>4.4.1.</w:t>
            </w:r>
            <w:r w:rsidRPr="00A57824">
              <w:rPr>
                <w:rFonts w:ascii="Verdana" w:hAnsi="Verdana"/>
                <w:sz w:val="16"/>
                <w:szCs w:val="16"/>
              </w:rPr>
              <w:t xml:space="preserve"> La documentación que presente el fabricante o importador para dar cumplimiento a lo establecido en el numeral 4.1 o 4.2 de la presente norma oficial mexicana, deberá mostrar evidencia de cumplimiento del SDB/OBD y deberá estar incluida en el certificado o constancia emitida por la autoridad de protección ambiental correspondiente al país de origen, o país de certificación, o en el certificado emitido por los organismos de certificación correspondientes al país de origen, o país de certificación. </w:t>
            </w:r>
            <w:r w:rsidRPr="00A57824">
              <w:rPr>
                <w:rFonts w:ascii="Verdana" w:hAnsi="Verdana"/>
                <w:sz w:val="16"/>
                <w:szCs w:val="16"/>
                <w:lang w:val="es-ES_tradnl"/>
              </w:rPr>
              <w:t>En caso de que en los certificados emitidos por las autoridades ambientales competentes no se especifique el cumplimiento del sistema SDB/OBD, el fabricante o importador remitirá un documento complementario, siempre y cuando a través de éste se demuestre que se cumple con dicho sistema y que el documento está firmado por el representante o apoderado legal del fabricante o importador.</w:t>
            </w:r>
          </w:p>
        </w:tc>
        <w:tc>
          <w:tcPr>
            <w:tcW w:w="4788" w:type="dxa"/>
            <w:shd w:val="clear" w:color="auto" w:fill="auto"/>
          </w:tcPr>
          <w:p w14:paraId="2CE65801"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4.4.1.</w:t>
            </w:r>
            <w:r w:rsidRPr="00A57824">
              <w:rPr>
                <w:lang w:val="en-US"/>
              </w:rPr>
              <w:t xml:space="preserve"> </w:t>
            </w:r>
            <w:r w:rsidRPr="00A57824">
              <w:rPr>
                <w:rFonts w:ascii="Verdana" w:hAnsi="Verdana"/>
                <w:sz w:val="16"/>
                <w:szCs w:val="16"/>
                <w:lang w:val="en-US"/>
              </w:rPr>
              <w:t xml:space="preserve">The documentation submitted by the manufacturer or importer to comply with the provisions of paragraph 4.1 or 4.2 of this </w:t>
            </w:r>
            <w:r w:rsidR="00735A37">
              <w:rPr>
                <w:rFonts w:ascii="Verdana" w:hAnsi="Verdana"/>
                <w:sz w:val="16"/>
                <w:szCs w:val="16"/>
                <w:lang w:val="en-US"/>
              </w:rPr>
              <w:t>Official Mexican Standard</w:t>
            </w:r>
            <w:r w:rsidRPr="00A57824">
              <w:rPr>
                <w:rFonts w:ascii="Verdana" w:hAnsi="Verdana"/>
                <w:sz w:val="16"/>
                <w:szCs w:val="16"/>
                <w:lang w:val="en-US"/>
              </w:rPr>
              <w:t>, must show evidence of compliance with the SDB/OBD and must be included in the certificate or certificate issued by the authority of environmental protection corresponding to the country of origin, or country of certification, or in the certificate issued by the</w:t>
            </w:r>
            <w:r w:rsidRPr="00A57824">
              <w:rPr>
                <w:lang w:val="en-US"/>
              </w:rPr>
              <w:t xml:space="preserve"> </w:t>
            </w:r>
            <w:r w:rsidRPr="00A57824">
              <w:rPr>
                <w:rFonts w:ascii="Verdana" w:hAnsi="Verdana"/>
                <w:sz w:val="16"/>
                <w:szCs w:val="16"/>
                <w:lang w:val="en-US"/>
              </w:rPr>
              <w:t>certification bodies corresponding to the country of origin, or country of certification.</w:t>
            </w:r>
            <w:r w:rsidRPr="00A57824">
              <w:rPr>
                <w:lang w:val="en-US"/>
              </w:rPr>
              <w:t xml:space="preserve"> </w:t>
            </w:r>
            <w:r w:rsidRPr="00A57824">
              <w:rPr>
                <w:rFonts w:ascii="Verdana" w:hAnsi="Verdana"/>
                <w:sz w:val="16"/>
                <w:szCs w:val="16"/>
                <w:lang w:val="en-US"/>
              </w:rPr>
              <w:t>In the event that the certificates issued by the competent environmental authorities do not specify compliance with the SDB/OBD system, the manufacturer or importer will send a complementary document, provided that it is demonstrated that this system is complied with and that The document is signed by the representative or legal representative of the manufacturer or importer.</w:t>
            </w:r>
          </w:p>
        </w:tc>
      </w:tr>
      <w:tr w:rsidR="008A0760" w:rsidRPr="00743A20" w14:paraId="15032EEC" w14:textId="77777777" w:rsidTr="00A66C6A">
        <w:tc>
          <w:tcPr>
            <w:tcW w:w="4788" w:type="dxa"/>
            <w:shd w:val="clear" w:color="auto" w:fill="auto"/>
          </w:tcPr>
          <w:p w14:paraId="536D2266" w14:textId="77777777" w:rsidR="008A0760" w:rsidRPr="00A57824" w:rsidRDefault="008A0760" w:rsidP="00A66C6A">
            <w:pPr>
              <w:pStyle w:val="Texto"/>
              <w:spacing w:line="276" w:lineRule="auto"/>
              <w:ind w:firstLine="0"/>
              <w:rPr>
                <w:rFonts w:ascii="Verdana" w:hAnsi="Verdana"/>
                <w:strike/>
                <w:sz w:val="16"/>
                <w:szCs w:val="16"/>
                <w:lang w:val="es-ES_tradnl"/>
              </w:rPr>
            </w:pPr>
            <w:r w:rsidRPr="00A57824">
              <w:rPr>
                <w:rFonts w:ascii="Verdana" w:hAnsi="Verdana"/>
                <w:b/>
                <w:sz w:val="16"/>
                <w:szCs w:val="16"/>
              </w:rPr>
              <w:t>4.4.2.</w:t>
            </w:r>
            <w:r w:rsidRPr="00A57824">
              <w:rPr>
                <w:rFonts w:ascii="Verdana" w:hAnsi="Verdana"/>
                <w:sz w:val="16"/>
                <w:szCs w:val="16"/>
              </w:rPr>
              <w:t xml:space="preserve"> El sistema SDB/OBD deberá cumplir con lo señalado en el Apéndice A de esta norma oficial mexicana, o con una tecnología superior de conformidad con lo indicado en el certificado o constancia emitida por la autoridad de protección ambiental correspondiente al país de origen, o país de certificación, o en el certificado emitido por los organismos de certificación correspondientes al país de origen, o país de certificación.</w:t>
            </w:r>
          </w:p>
        </w:tc>
        <w:tc>
          <w:tcPr>
            <w:tcW w:w="4788" w:type="dxa"/>
            <w:shd w:val="clear" w:color="auto" w:fill="auto"/>
          </w:tcPr>
          <w:p w14:paraId="1CCD8F67"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4.4.2.</w:t>
            </w:r>
            <w:r w:rsidRPr="00A57824">
              <w:rPr>
                <w:lang w:val="en-US"/>
              </w:rPr>
              <w:t xml:space="preserve"> </w:t>
            </w:r>
            <w:r w:rsidRPr="00A57824">
              <w:rPr>
                <w:rFonts w:ascii="Verdana" w:hAnsi="Verdana"/>
                <w:sz w:val="16"/>
                <w:szCs w:val="16"/>
                <w:lang w:val="en-US"/>
              </w:rPr>
              <w:t xml:space="preserve">The SDB/OBD system must comply with what is indicated in Appendix A of this </w:t>
            </w:r>
            <w:r w:rsidR="001F59CA">
              <w:rPr>
                <w:rFonts w:ascii="Verdana" w:hAnsi="Verdana"/>
                <w:sz w:val="16"/>
                <w:szCs w:val="16"/>
                <w:lang w:val="en-US"/>
              </w:rPr>
              <w:t>Official Mexican Standard</w:t>
            </w:r>
            <w:r w:rsidRPr="00A57824">
              <w:rPr>
                <w:rFonts w:ascii="Verdana" w:hAnsi="Verdana"/>
                <w:sz w:val="16"/>
                <w:szCs w:val="16"/>
                <w:lang w:val="en-US"/>
              </w:rPr>
              <w:t>, or with a superior technology in accordance with that indicated in the certificate or certificate issued by the environmental protection authority corresponding to the country of origin, or country. of certification, or in the certificate issued by the certification bodies corresponding to the country of origin, or country of certification.</w:t>
            </w:r>
          </w:p>
        </w:tc>
      </w:tr>
      <w:tr w:rsidR="008A0760" w:rsidRPr="00743A20" w14:paraId="3DA734CC" w14:textId="77777777" w:rsidTr="00A66C6A">
        <w:tc>
          <w:tcPr>
            <w:tcW w:w="4788" w:type="dxa"/>
            <w:shd w:val="clear" w:color="auto" w:fill="auto"/>
          </w:tcPr>
          <w:p w14:paraId="362BD8AB" w14:textId="77777777" w:rsidR="008A0760" w:rsidRPr="00A57824" w:rsidRDefault="008A0760" w:rsidP="00A66C6A">
            <w:pPr>
              <w:pStyle w:val="Texto"/>
              <w:spacing w:line="276" w:lineRule="auto"/>
              <w:ind w:firstLine="0"/>
              <w:rPr>
                <w:rFonts w:ascii="Verdana" w:hAnsi="Verdana"/>
                <w:b/>
                <w:sz w:val="16"/>
                <w:szCs w:val="16"/>
              </w:rPr>
            </w:pPr>
            <w:r w:rsidRPr="00A57824">
              <w:rPr>
                <w:rFonts w:ascii="Verdana" w:hAnsi="Verdana"/>
                <w:b/>
                <w:sz w:val="16"/>
                <w:szCs w:val="16"/>
              </w:rPr>
              <w:t>4.5. ESPECIFICACIONES PARA GARANTIZAR EL CORRECTO FUNCIONAMIENTO DE LOS SISTEMAS DE CONTROL DE NOx</w:t>
            </w:r>
          </w:p>
        </w:tc>
        <w:tc>
          <w:tcPr>
            <w:tcW w:w="4788" w:type="dxa"/>
            <w:shd w:val="clear" w:color="auto" w:fill="auto"/>
          </w:tcPr>
          <w:p w14:paraId="4B23F628"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4.5.</w:t>
            </w:r>
            <w:r w:rsidRPr="00A57824">
              <w:rPr>
                <w:lang w:val="en-US"/>
              </w:rPr>
              <w:t xml:space="preserve"> </w:t>
            </w:r>
            <w:r w:rsidRPr="00A57824">
              <w:rPr>
                <w:rFonts w:ascii="Verdana" w:hAnsi="Verdana"/>
                <w:b/>
                <w:bCs/>
                <w:sz w:val="16"/>
                <w:szCs w:val="16"/>
                <w:lang w:val="en-US"/>
              </w:rPr>
              <w:t>SPECIFICATIONS TO GUARANTEE THE CORRECT FUNCTIONING OF THE NOx CONTROL SYSTEMS</w:t>
            </w:r>
          </w:p>
        </w:tc>
      </w:tr>
      <w:tr w:rsidR="008A0760" w:rsidRPr="00743A20" w14:paraId="2BF5EF33" w14:textId="77777777" w:rsidTr="00A66C6A">
        <w:tc>
          <w:tcPr>
            <w:tcW w:w="4788" w:type="dxa"/>
            <w:shd w:val="clear" w:color="auto" w:fill="auto"/>
          </w:tcPr>
          <w:p w14:paraId="52A14EE6"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4.5.1.</w:t>
            </w:r>
            <w:r w:rsidRPr="00A57824">
              <w:rPr>
                <w:rFonts w:ascii="Verdana" w:hAnsi="Verdana"/>
                <w:sz w:val="16"/>
                <w:szCs w:val="16"/>
              </w:rPr>
              <w:t xml:space="preserve"> En el caso de los vehículos automotores nuevos que requieran de un reactivo (solución acuosa de urea, también conocida como agente de reducción de NOx), para cumplir con las emisiones de NOx establecidas en </w:t>
            </w:r>
            <w:r w:rsidRPr="00A57824">
              <w:rPr>
                <w:rFonts w:ascii="Verdana" w:hAnsi="Verdana"/>
                <w:sz w:val="16"/>
                <w:szCs w:val="16"/>
              </w:rPr>
              <w:lastRenderedPageBreak/>
              <w:t>el estándar B de las Tablas 1, 2, 3 y 4, así como con las establecidas en el estándar AA de las Tablas 2 y 4 de la presente norma oficial mexicana, al contar con un sistema de reducción catalítica selectiva, el fabricante o importador deberá asegurar que se cuenta con un sistema de alertas y acciones de inducción al conductor, que garanticen el correcto funcionamiento del sistema de control de NOx, de acuerdo con lo establecido en el certificado o constancia emitida por la autoridad de protección ambiental correspondiente al país de origen, o país de certificación, o en el certificado emitido por los organismos de certificación correspondientes al país de origen, o país de certificación. Si en los certificados emitidos por las autoridades ambientales competentes no se especifica el cumplimiento del sistema de control de NOx, el fabricante o importador remitirá un documento complementario, siempre y cuando a través de éste se demuestre que se cumple con dicho sistema y que el documento está firmado por el representante o apoderado legal del fabricante o importador.</w:t>
            </w:r>
          </w:p>
        </w:tc>
        <w:tc>
          <w:tcPr>
            <w:tcW w:w="4788" w:type="dxa"/>
            <w:shd w:val="clear" w:color="auto" w:fill="auto"/>
          </w:tcPr>
          <w:p w14:paraId="115CB0C3"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lastRenderedPageBreak/>
              <w:t>4.5.1.</w:t>
            </w:r>
            <w:r w:rsidRPr="00A57824">
              <w:rPr>
                <w:lang w:val="en-US"/>
              </w:rPr>
              <w:t xml:space="preserve"> </w:t>
            </w:r>
            <w:r w:rsidRPr="00A57824">
              <w:rPr>
                <w:rFonts w:ascii="Verdana" w:hAnsi="Verdana"/>
                <w:sz w:val="16"/>
                <w:szCs w:val="16"/>
                <w:lang w:val="en-US"/>
              </w:rPr>
              <w:t xml:space="preserve">In the case of new automotive vehicles that require a reagent (aqueous solution of urea, also known as a NOx reduction agent), to comply with the NOx emissions established in standard B of Tables 1, 2, 3 </w:t>
            </w:r>
            <w:r w:rsidRPr="00A57824">
              <w:rPr>
                <w:rFonts w:ascii="Verdana" w:hAnsi="Verdana"/>
                <w:sz w:val="16"/>
                <w:szCs w:val="16"/>
                <w:lang w:val="en-US"/>
              </w:rPr>
              <w:lastRenderedPageBreak/>
              <w:t xml:space="preserve">and 4, as well as those established in the AA standard of Tables 2 and 4 of this </w:t>
            </w:r>
            <w:r w:rsidR="00735A37">
              <w:rPr>
                <w:rFonts w:ascii="Verdana" w:hAnsi="Verdana"/>
                <w:sz w:val="16"/>
                <w:szCs w:val="16"/>
                <w:lang w:val="en-US"/>
              </w:rPr>
              <w:t>Official Mexican Standard</w:t>
            </w:r>
            <w:r w:rsidRPr="00A57824">
              <w:rPr>
                <w:rFonts w:ascii="Verdana" w:hAnsi="Verdana"/>
                <w:sz w:val="16"/>
                <w:szCs w:val="16"/>
                <w:lang w:val="en-US"/>
              </w:rPr>
              <w:t>, as it has a selective catalytic reduction system, the manufacturer or importer must ensure that there is a system of alerts and actions of induction to the driver, which guarantee the correct functioning of the NOx control system, in accordance with the provisions of the certificate or certificate issued by the environmental protection authority corresponding to the country of origin, or country of certification, or the certificate issued by the certification bodies corresponding to the country of origin, or country of certification.</w:t>
            </w:r>
            <w:r w:rsidRPr="00A57824">
              <w:rPr>
                <w:lang w:val="en-US"/>
              </w:rPr>
              <w:t xml:space="preserve"> </w:t>
            </w:r>
            <w:r w:rsidRPr="00A57824">
              <w:rPr>
                <w:rFonts w:ascii="Verdana" w:hAnsi="Verdana"/>
                <w:sz w:val="16"/>
                <w:szCs w:val="16"/>
                <w:lang w:val="en-US"/>
              </w:rPr>
              <w:t>If the certificates issued by the competent environmental authorities do not specify compliance with the NOx control system, the manufacturer or importer will send a complementary document, provided that it is demonstrated that this system is complied with and that the document It is signed by the representative or legal representative of the manufacturer or importer.</w:t>
            </w:r>
          </w:p>
        </w:tc>
      </w:tr>
      <w:tr w:rsidR="008A0760" w:rsidRPr="00743A20" w14:paraId="67FBC447" w14:textId="77777777" w:rsidTr="00A66C6A">
        <w:tc>
          <w:tcPr>
            <w:tcW w:w="4788" w:type="dxa"/>
            <w:shd w:val="clear" w:color="auto" w:fill="auto"/>
          </w:tcPr>
          <w:p w14:paraId="14E64083" w14:textId="77777777" w:rsidR="008A0760" w:rsidRPr="00A57824" w:rsidRDefault="008A0760" w:rsidP="00A66C6A">
            <w:pPr>
              <w:pStyle w:val="Texto"/>
              <w:spacing w:line="276" w:lineRule="auto"/>
              <w:ind w:firstLine="0"/>
              <w:rPr>
                <w:rFonts w:ascii="Verdana" w:hAnsi="Verdana"/>
                <w:strike/>
                <w:sz w:val="16"/>
                <w:szCs w:val="16"/>
                <w:lang w:val="es-ES_tradnl"/>
              </w:rPr>
            </w:pPr>
            <w:r w:rsidRPr="00A57824">
              <w:rPr>
                <w:rFonts w:ascii="Verdana" w:hAnsi="Verdana"/>
                <w:b/>
                <w:sz w:val="16"/>
                <w:szCs w:val="16"/>
              </w:rPr>
              <w:lastRenderedPageBreak/>
              <w:t>4.5.2.</w:t>
            </w:r>
            <w:r w:rsidRPr="00A57824">
              <w:rPr>
                <w:rFonts w:ascii="Verdana" w:hAnsi="Verdana"/>
                <w:sz w:val="16"/>
                <w:szCs w:val="16"/>
              </w:rPr>
              <w:t xml:space="preserve"> El sistema de control de NOx deberá cumplir con lo señalado en el Apéndice B de esta norma oficial mexicana, o con una tecnología superior, de acuerdo con lo</w:t>
            </w:r>
            <w:r w:rsidRPr="00A57824">
              <w:rPr>
                <w:rFonts w:ascii="Verdana" w:hAnsi="Verdana"/>
                <w:position w:val="-3"/>
                <w:sz w:val="16"/>
                <w:szCs w:val="16"/>
              </w:rPr>
              <w:t xml:space="preserve"> </w:t>
            </w:r>
            <w:r w:rsidRPr="00A57824">
              <w:rPr>
                <w:rFonts w:ascii="Verdana" w:hAnsi="Verdana"/>
                <w:sz w:val="16"/>
                <w:szCs w:val="16"/>
              </w:rPr>
              <w:t>establecido en el certificado o constancia emitida por la autoridad de protección ambiental correspondiente al país de origen, o país de certificación, o en el certificado emitido por los organismos de certificación correspondientes al país de origen, o país de certificación.</w:t>
            </w:r>
          </w:p>
        </w:tc>
        <w:tc>
          <w:tcPr>
            <w:tcW w:w="4788" w:type="dxa"/>
            <w:shd w:val="clear" w:color="auto" w:fill="auto"/>
          </w:tcPr>
          <w:p w14:paraId="604591EB"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4.5.2.</w:t>
            </w:r>
            <w:r w:rsidRPr="00A57824">
              <w:rPr>
                <w:lang w:val="en-US"/>
              </w:rPr>
              <w:t xml:space="preserve"> </w:t>
            </w:r>
            <w:r w:rsidRPr="00A57824">
              <w:rPr>
                <w:rFonts w:ascii="Verdana" w:hAnsi="Verdana"/>
                <w:sz w:val="16"/>
                <w:szCs w:val="16"/>
                <w:lang w:val="en-US"/>
              </w:rPr>
              <w:t xml:space="preserve">The NOx control system must comply with the provisions of Appendix B of this </w:t>
            </w:r>
            <w:r w:rsidR="001F59CA">
              <w:rPr>
                <w:rFonts w:ascii="Verdana" w:hAnsi="Verdana"/>
                <w:sz w:val="16"/>
                <w:szCs w:val="16"/>
                <w:lang w:val="en-US"/>
              </w:rPr>
              <w:t>Official Mexican Standard</w:t>
            </w:r>
            <w:r w:rsidRPr="00A57824">
              <w:rPr>
                <w:rFonts w:ascii="Verdana" w:hAnsi="Verdana"/>
                <w:sz w:val="16"/>
                <w:szCs w:val="16"/>
                <w:lang w:val="en-US"/>
              </w:rPr>
              <w:t>, or with a superior technology, in accordance with</w:t>
            </w:r>
            <w:r w:rsidRPr="00A57824">
              <w:rPr>
                <w:lang w:val="en-US"/>
              </w:rPr>
              <w:t xml:space="preserve"> </w:t>
            </w:r>
            <w:r w:rsidRPr="00A57824">
              <w:rPr>
                <w:rFonts w:ascii="Verdana" w:hAnsi="Verdana"/>
                <w:sz w:val="16"/>
                <w:szCs w:val="16"/>
                <w:lang w:val="en-US"/>
              </w:rPr>
              <w:t>established in the certificate or certificate issued</w:t>
            </w:r>
            <w:r w:rsidRPr="00A57824">
              <w:rPr>
                <w:lang w:val="en-US"/>
              </w:rPr>
              <w:t xml:space="preserve"> </w:t>
            </w:r>
            <w:r w:rsidRPr="00A57824">
              <w:rPr>
                <w:rFonts w:ascii="Verdana" w:hAnsi="Verdana"/>
                <w:sz w:val="16"/>
                <w:szCs w:val="16"/>
                <w:lang w:val="en-US"/>
              </w:rPr>
              <w:t>by the environmental protection authority corresponding to the country of origin, or country of certification, or in the certificate issued by the certification bodies corresponding to the country of origin, or country of certification.</w:t>
            </w:r>
          </w:p>
        </w:tc>
      </w:tr>
      <w:tr w:rsidR="008A0760" w:rsidRPr="00743A20" w14:paraId="64598314" w14:textId="77777777" w:rsidTr="00A66C6A">
        <w:tc>
          <w:tcPr>
            <w:tcW w:w="4788" w:type="dxa"/>
            <w:shd w:val="clear" w:color="auto" w:fill="auto"/>
          </w:tcPr>
          <w:p w14:paraId="40A5C4D0" w14:textId="77777777" w:rsidR="008A0760" w:rsidRPr="00A57824" w:rsidRDefault="008A0760" w:rsidP="00A66C6A">
            <w:pPr>
              <w:pStyle w:val="Texto"/>
              <w:spacing w:line="276" w:lineRule="auto"/>
              <w:ind w:firstLine="0"/>
              <w:rPr>
                <w:rFonts w:ascii="Verdana" w:hAnsi="Verdana"/>
                <w:b/>
                <w:sz w:val="16"/>
                <w:szCs w:val="16"/>
              </w:rPr>
            </w:pPr>
            <w:r w:rsidRPr="00A57824">
              <w:rPr>
                <w:rFonts w:ascii="Verdana" w:hAnsi="Verdana"/>
                <w:b/>
                <w:sz w:val="16"/>
                <w:szCs w:val="16"/>
              </w:rPr>
              <w:t>5.</w:t>
            </w:r>
            <w:r w:rsidRPr="00A57824">
              <w:rPr>
                <w:rFonts w:ascii="Verdana" w:hAnsi="Verdana"/>
                <w:b/>
                <w:sz w:val="16"/>
                <w:szCs w:val="16"/>
              </w:rPr>
              <w:tab/>
              <w:t>PROCEDIMIENTO PARA LA EVALUACIÓN DE LA CONFORMIDAD</w:t>
            </w:r>
          </w:p>
        </w:tc>
        <w:tc>
          <w:tcPr>
            <w:tcW w:w="4788" w:type="dxa"/>
            <w:shd w:val="clear" w:color="auto" w:fill="auto"/>
          </w:tcPr>
          <w:p w14:paraId="327C446B"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5.</w:t>
            </w:r>
            <w:r w:rsidRPr="00A57824">
              <w:rPr>
                <w:lang w:val="en-US"/>
              </w:rPr>
              <w:t xml:space="preserve"> </w:t>
            </w:r>
            <w:r w:rsidRPr="00A57824">
              <w:rPr>
                <w:rFonts w:ascii="Verdana" w:hAnsi="Verdana"/>
                <w:b/>
                <w:bCs/>
                <w:sz w:val="16"/>
                <w:szCs w:val="16"/>
                <w:lang w:val="en-US"/>
              </w:rPr>
              <w:t>      PROCEDURE FOR THE CONFORMITY EVALUATION</w:t>
            </w:r>
          </w:p>
        </w:tc>
      </w:tr>
      <w:tr w:rsidR="008A0760" w:rsidRPr="00743A20" w14:paraId="29934808" w14:textId="77777777" w:rsidTr="00A66C6A">
        <w:tc>
          <w:tcPr>
            <w:tcW w:w="4788" w:type="dxa"/>
            <w:shd w:val="clear" w:color="auto" w:fill="auto"/>
          </w:tcPr>
          <w:p w14:paraId="590677AC"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 xml:space="preserve">5.1. </w:t>
            </w:r>
            <w:r w:rsidRPr="00A57824">
              <w:rPr>
                <w:rFonts w:ascii="Verdana" w:hAnsi="Verdana"/>
                <w:sz w:val="16"/>
                <w:szCs w:val="16"/>
              </w:rPr>
              <w:t>El Certificado NOM, asociado a los numerales 4.1 y 4.2 de la presente norma oficial mexicana, debe obtenerse antes de la importación definitiva o comercialización en el territorio nacional de motores nuevos que usan diésel como combustible y que se utilizarán para la propulsión de vehículos automotores nuevos con peso bruto vehicular mayor a 3,857 kilogramos; así como de vehículos automotores nuevos con peso bruto vehicular mayor a 3,857 kilogramos equipados con motores nuevos a diésel.</w:t>
            </w:r>
          </w:p>
        </w:tc>
        <w:tc>
          <w:tcPr>
            <w:tcW w:w="4788" w:type="dxa"/>
            <w:shd w:val="clear" w:color="auto" w:fill="auto"/>
          </w:tcPr>
          <w:p w14:paraId="6829E06B"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5.1.</w:t>
            </w:r>
            <w:r w:rsidRPr="00A57824">
              <w:rPr>
                <w:lang w:val="en-US"/>
              </w:rPr>
              <w:t xml:space="preserve"> </w:t>
            </w:r>
            <w:r w:rsidRPr="00A57824">
              <w:rPr>
                <w:rFonts w:ascii="Verdana" w:hAnsi="Verdana"/>
                <w:sz w:val="16"/>
                <w:szCs w:val="16"/>
                <w:lang w:val="en-US"/>
              </w:rPr>
              <w:t xml:space="preserve">The NOM Certificate, associated with numerals 4.1 and 4.2 of this </w:t>
            </w:r>
            <w:r w:rsidR="00735A37">
              <w:rPr>
                <w:rFonts w:ascii="Verdana" w:hAnsi="Verdana"/>
                <w:sz w:val="16"/>
                <w:szCs w:val="16"/>
                <w:lang w:val="en-US"/>
              </w:rPr>
              <w:t>Official Mexican Standard</w:t>
            </w:r>
            <w:r w:rsidRPr="00A57824">
              <w:rPr>
                <w:rFonts w:ascii="Verdana" w:hAnsi="Verdana"/>
                <w:sz w:val="16"/>
                <w:szCs w:val="16"/>
                <w:lang w:val="en-US"/>
              </w:rPr>
              <w:t>, must be obtained before the definitive import or commercialization in the national territory of new engines that use diesel as fuel and that will be used for the propulsion of new motor vehicles. with gross vehicle weight greater than 3,857 kilograms;</w:t>
            </w:r>
            <w:r w:rsidRPr="00A57824">
              <w:rPr>
                <w:lang w:val="en-US"/>
              </w:rPr>
              <w:t xml:space="preserve"> </w:t>
            </w:r>
            <w:r w:rsidRPr="00A57824">
              <w:rPr>
                <w:rFonts w:ascii="Verdana" w:hAnsi="Verdana"/>
                <w:sz w:val="16"/>
                <w:szCs w:val="16"/>
                <w:lang w:val="en-US"/>
              </w:rPr>
              <w:t>as well as new automotive vehicles with gross vehicle weight greater than 3,857 kilograms equipped with new diesel engines.</w:t>
            </w:r>
          </w:p>
        </w:tc>
      </w:tr>
      <w:tr w:rsidR="008A0760" w:rsidRPr="00743A20" w14:paraId="2057F78E" w14:textId="77777777" w:rsidTr="00A66C6A">
        <w:tc>
          <w:tcPr>
            <w:tcW w:w="4788" w:type="dxa"/>
            <w:shd w:val="clear" w:color="auto" w:fill="auto"/>
          </w:tcPr>
          <w:p w14:paraId="123F289C"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El Certificado NOM lo expedirá la PROFEPA.</w:t>
            </w:r>
          </w:p>
        </w:tc>
        <w:tc>
          <w:tcPr>
            <w:tcW w:w="4788" w:type="dxa"/>
            <w:shd w:val="clear" w:color="auto" w:fill="auto"/>
          </w:tcPr>
          <w:p w14:paraId="1C05AA03"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The NOM Certificate will be issued by PROFEPA.</w:t>
            </w:r>
          </w:p>
        </w:tc>
      </w:tr>
      <w:tr w:rsidR="008A0760" w:rsidRPr="00743A20" w14:paraId="34B7B6FD" w14:textId="77777777" w:rsidTr="00A66C6A">
        <w:tc>
          <w:tcPr>
            <w:tcW w:w="4788" w:type="dxa"/>
            <w:shd w:val="clear" w:color="auto" w:fill="auto"/>
          </w:tcPr>
          <w:p w14:paraId="69C0BA7B"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5.2.</w:t>
            </w:r>
            <w:r w:rsidRPr="00A57824">
              <w:rPr>
                <w:rFonts w:ascii="Verdana" w:hAnsi="Verdana"/>
                <w:sz w:val="16"/>
                <w:szCs w:val="16"/>
              </w:rPr>
              <w:t xml:space="preserve"> Para obtener el Certificado NOM, se deben presentar los siguientes documentos:</w:t>
            </w:r>
          </w:p>
        </w:tc>
        <w:tc>
          <w:tcPr>
            <w:tcW w:w="4788" w:type="dxa"/>
            <w:shd w:val="clear" w:color="auto" w:fill="auto"/>
          </w:tcPr>
          <w:p w14:paraId="21BEEDDB"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5.2.</w:t>
            </w:r>
            <w:r w:rsidRPr="00A57824">
              <w:rPr>
                <w:lang w:val="en-US"/>
              </w:rPr>
              <w:t xml:space="preserve"> </w:t>
            </w:r>
            <w:r w:rsidRPr="00A57824">
              <w:rPr>
                <w:rFonts w:ascii="Verdana" w:hAnsi="Verdana"/>
                <w:sz w:val="16"/>
                <w:szCs w:val="16"/>
                <w:lang w:val="en-US"/>
              </w:rPr>
              <w:t>To obtain the NOM Certificate, the following documents must be submitted:</w:t>
            </w:r>
          </w:p>
        </w:tc>
      </w:tr>
      <w:tr w:rsidR="008A0760" w:rsidRPr="00A57824" w14:paraId="48E9AD4C" w14:textId="77777777" w:rsidTr="00A66C6A">
        <w:tc>
          <w:tcPr>
            <w:tcW w:w="4788" w:type="dxa"/>
            <w:shd w:val="clear" w:color="auto" w:fill="auto"/>
          </w:tcPr>
          <w:p w14:paraId="06F3C5E1" w14:textId="77777777" w:rsidR="008A0760" w:rsidRPr="00A57824" w:rsidRDefault="008A0760" w:rsidP="00A66C6A">
            <w:pPr>
              <w:pStyle w:val="ROMANOS"/>
              <w:spacing w:line="276" w:lineRule="auto"/>
              <w:ind w:left="0" w:firstLine="0"/>
              <w:rPr>
                <w:rFonts w:ascii="Verdana" w:hAnsi="Verdana"/>
                <w:sz w:val="16"/>
                <w:szCs w:val="16"/>
              </w:rPr>
            </w:pPr>
            <w:r w:rsidRPr="00A57824">
              <w:rPr>
                <w:rFonts w:ascii="Verdana" w:hAnsi="Verdana"/>
                <w:b/>
                <w:sz w:val="16"/>
                <w:szCs w:val="16"/>
              </w:rPr>
              <w:t>a.</w:t>
            </w:r>
            <w:r w:rsidRPr="00A57824">
              <w:rPr>
                <w:rFonts w:ascii="Verdana" w:hAnsi="Verdana"/>
                <w:b/>
                <w:sz w:val="16"/>
                <w:szCs w:val="16"/>
              </w:rPr>
              <w:tab/>
            </w:r>
            <w:r w:rsidRPr="00A57824">
              <w:rPr>
                <w:rFonts w:ascii="Verdana" w:hAnsi="Verdana"/>
                <w:sz w:val="16"/>
                <w:szCs w:val="16"/>
              </w:rPr>
              <w:t>Solicitud en escrito libre.</w:t>
            </w:r>
          </w:p>
        </w:tc>
        <w:tc>
          <w:tcPr>
            <w:tcW w:w="4788" w:type="dxa"/>
            <w:shd w:val="clear" w:color="auto" w:fill="auto"/>
          </w:tcPr>
          <w:p w14:paraId="50FB0488" w14:textId="77777777" w:rsidR="008A0760" w:rsidRPr="00A66C6A" w:rsidRDefault="00A66C6A" w:rsidP="00A66C6A">
            <w:pPr>
              <w:spacing w:after="101" w:line="276" w:lineRule="auto"/>
              <w:jc w:val="both"/>
              <w:rPr>
                <w:lang w:val="en-US"/>
              </w:rPr>
            </w:pPr>
            <w:r w:rsidRPr="00A66C6A">
              <w:rPr>
                <w:rFonts w:ascii="Verdana" w:hAnsi="Verdana"/>
                <w:b/>
                <w:bCs/>
                <w:sz w:val="16"/>
                <w:szCs w:val="16"/>
                <w:lang w:val="en-US"/>
              </w:rPr>
              <w:t>a</w:t>
            </w:r>
            <w:r w:rsidR="008A0760" w:rsidRPr="00A66C6A">
              <w:rPr>
                <w:rFonts w:ascii="Verdana" w:hAnsi="Verdana"/>
                <w:b/>
                <w:bCs/>
                <w:sz w:val="16"/>
                <w:szCs w:val="16"/>
                <w:lang w:val="en-US"/>
              </w:rPr>
              <w:t>.</w:t>
            </w:r>
            <w:r w:rsidR="008A0760" w:rsidRPr="00A66C6A">
              <w:rPr>
                <w:lang w:val="en-US"/>
              </w:rPr>
              <w:t xml:space="preserve"> </w:t>
            </w:r>
            <w:r w:rsidR="008A0760" w:rsidRPr="00A66C6A">
              <w:rPr>
                <w:rFonts w:ascii="Verdana" w:hAnsi="Verdana"/>
                <w:b/>
                <w:bCs/>
                <w:sz w:val="16"/>
                <w:szCs w:val="16"/>
                <w:lang w:val="en-US"/>
              </w:rPr>
              <w:t xml:space="preserve">              </w:t>
            </w:r>
            <w:r w:rsidRPr="00A66C6A">
              <w:rPr>
                <w:rFonts w:ascii="Verdana" w:hAnsi="Verdana"/>
                <w:sz w:val="16"/>
                <w:szCs w:val="16"/>
                <w:lang w:val="en-US"/>
              </w:rPr>
              <w:t>Unformatted</w:t>
            </w:r>
            <w:r w:rsidR="008A0760" w:rsidRPr="00A66C6A">
              <w:rPr>
                <w:rFonts w:ascii="Verdana" w:hAnsi="Verdana"/>
                <w:sz w:val="16"/>
                <w:szCs w:val="16"/>
                <w:lang w:val="en-US"/>
              </w:rPr>
              <w:t xml:space="preserve"> written request.</w:t>
            </w:r>
          </w:p>
        </w:tc>
      </w:tr>
      <w:tr w:rsidR="008A0760" w:rsidRPr="00743A20" w14:paraId="62D3BA8F" w14:textId="77777777" w:rsidTr="00A66C6A">
        <w:tc>
          <w:tcPr>
            <w:tcW w:w="4788" w:type="dxa"/>
            <w:shd w:val="clear" w:color="auto" w:fill="auto"/>
          </w:tcPr>
          <w:p w14:paraId="47AA18EC" w14:textId="77777777" w:rsidR="008A0760" w:rsidRPr="00A57824" w:rsidRDefault="008A0760" w:rsidP="00A66C6A">
            <w:pPr>
              <w:pStyle w:val="ROMANOS"/>
              <w:spacing w:line="276" w:lineRule="auto"/>
              <w:ind w:left="0" w:firstLine="0"/>
              <w:rPr>
                <w:rFonts w:ascii="Verdana" w:hAnsi="Verdana"/>
                <w:sz w:val="16"/>
                <w:szCs w:val="16"/>
              </w:rPr>
            </w:pPr>
            <w:r w:rsidRPr="00A57824">
              <w:rPr>
                <w:rFonts w:ascii="Verdana" w:hAnsi="Verdana"/>
                <w:b/>
                <w:sz w:val="16"/>
                <w:szCs w:val="16"/>
              </w:rPr>
              <w:t>b.</w:t>
            </w:r>
            <w:r w:rsidRPr="00A57824">
              <w:rPr>
                <w:rFonts w:ascii="Verdana" w:hAnsi="Verdana"/>
                <w:b/>
                <w:sz w:val="16"/>
                <w:szCs w:val="16"/>
              </w:rPr>
              <w:tab/>
            </w:r>
            <w:r w:rsidRPr="00A57824">
              <w:rPr>
                <w:rFonts w:ascii="Verdana" w:hAnsi="Verdana"/>
                <w:sz w:val="16"/>
                <w:szCs w:val="16"/>
              </w:rPr>
              <w:t>Copia de la Cédula del Registro Federal de Contribuyentes.</w:t>
            </w:r>
          </w:p>
        </w:tc>
        <w:tc>
          <w:tcPr>
            <w:tcW w:w="4788" w:type="dxa"/>
            <w:shd w:val="clear" w:color="auto" w:fill="auto"/>
          </w:tcPr>
          <w:p w14:paraId="638AE72E" w14:textId="77777777" w:rsidR="008A0760" w:rsidRPr="00A66C6A" w:rsidRDefault="008A0760" w:rsidP="00A66C6A">
            <w:pPr>
              <w:spacing w:after="101" w:line="276" w:lineRule="auto"/>
              <w:jc w:val="both"/>
              <w:rPr>
                <w:lang w:val="en-US"/>
              </w:rPr>
            </w:pPr>
            <w:r w:rsidRPr="00A66C6A">
              <w:rPr>
                <w:rFonts w:ascii="Verdana" w:hAnsi="Verdana"/>
                <w:b/>
                <w:bCs/>
                <w:sz w:val="16"/>
                <w:szCs w:val="16"/>
                <w:lang w:val="en-US"/>
              </w:rPr>
              <w:t>b.</w:t>
            </w:r>
            <w:r w:rsidRPr="00A66C6A">
              <w:rPr>
                <w:lang w:val="en-US"/>
              </w:rPr>
              <w:t xml:space="preserve"> </w:t>
            </w:r>
            <w:r w:rsidRPr="00A66C6A">
              <w:rPr>
                <w:rFonts w:ascii="Verdana" w:hAnsi="Verdana"/>
                <w:b/>
                <w:bCs/>
                <w:sz w:val="16"/>
                <w:szCs w:val="16"/>
                <w:lang w:val="en-US"/>
              </w:rPr>
              <w:t xml:space="preserve">              </w:t>
            </w:r>
            <w:r w:rsidRPr="00A66C6A">
              <w:rPr>
                <w:rFonts w:ascii="Verdana" w:hAnsi="Verdana"/>
                <w:sz w:val="16"/>
                <w:szCs w:val="16"/>
                <w:lang w:val="en-US"/>
              </w:rPr>
              <w:t xml:space="preserve">Copy of the </w:t>
            </w:r>
            <w:r w:rsidR="00A66C6A">
              <w:rPr>
                <w:rFonts w:ascii="Verdana" w:hAnsi="Verdana"/>
                <w:sz w:val="16"/>
                <w:szCs w:val="16"/>
                <w:lang w:val="en-US"/>
              </w:rPr>
              <w:t xml:space="preserve">R.F.C. – Federal Taxpayer Identification </w:t>
            </w:r>
          </w:p>
        </w:tc>
      </w:tr>
      <w:tr w:rsidR="008A0760" w:rsidRPr="00743A20" w14:paraId="68A7D161" w14:textId="77777777" w:rsidTr="00A66C6A">
        <w:tc>
          <w:tcPr>
            <w:tcW w:w="4788" w:type="dxa"/>
            <w:shd w:val="clear" w:color="auto" w:fill="auto"/>
          </w:tcPr>
          <w:p w14:paraId="6FA8DA89" w14:textId="77777777" w:rsidR="008A0760" w:rsidRPr="00A57824" w:rsidRDefault="008A0760" w:rsidP="00A66C6A">
            <w:pPr>
              <w:pStyle w:val="ROMANOS"/>
              <w:spacing w:line="276" w:lineRule="auto"/>
              <w:ind w:left="0" w:firstLine="0"/>
              <w:rPr>
                <w:rFonts w:ascii="Verdana" w:hAnsi="Verdana"/>
                <w:sz w:val="16"/>
                <w:szCs w:val="16"/>
              </w:rPr>
            </w:pPr>
            <w:r w:rsidRPr="00A57824">
              <w:rPr>
                <w:rFonts w:ascii="Verdana" w:hAnsi="Verdana"/>
                <w:b/>
                <w:sz w:val="16"/>
                <w:szCs w:val="16"/>
              </w:rPr>
              <w:t>c.</w:t>
            </w:r>
            <w:r w:rsidRPr="00A57824">
              <w:rPr>
                <w:rFonts w:ascii="Verdana" w:hAnsi="Verdana"/>
                <w:b/>
                <w:sz w:val="16"/>
                <w:szCs w:val="16"/>
              </w:rPr>
              <w:tab/>
            </w:r>
            <w:r w:rsidRPr="00A57824">
              <w:rPr>
                <w:rFonts w:ascii="Verdana" w:hAnsi="Verdana"/>
                <w:sz w:val="16"/>
                <w:szCs w:val="16"/>
              </w:rPr>
              <w:t xml:space="preserve">Especificaciones técnicas del motor nuevo a diésel o del vehículo automotor nuevo a diésel que lo </w:t>
            </w:r>
            <w:r w:rsidRPr="00A57824">
              <w:rPr>
                <w:rFonts w:ascii="Verdana" w:hAnsi="Verdana"/>
                <w:sz w:val="16"/>
                <w:szCs w:val="16"/>
              </w:rPr>
              <w:lastRenderedPageBreak/>
              <w:t>incorpore, en apego a lo dispuesto en el Apéndice C de la presente norma oficial mexicana.</w:t>
            </w:r>
          </w:p>
        </w:tc>
        <w:tc>
          <w:tcPr>
            <w:tcW w:w="4788" w:type="dxa"/>
            <w:shd w:val="clear" w:color="auto" w:fill="auto"/>
          </w:tcPr>
          <w:p w14:paraId="3BD4AAC3"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lastRenderedPageBreak/>
              <w:t>c.</w:t>
            </w:r>
            <w:r w:rsidRPr="00A57824">
              <w:rPr>
                <w:lang w:val="en-US"/>
              </w:rPr>
              <w:t xml:space="preserve"> </w:t>
            </w:r>
            <w:r w:rsidRPr="00A57824">
              <w:rPr>
                <w:rFonts w:ascii="Verdana" w:hAnsi="Verdana"/>
                <w:b/>
                <w:bCs/>
                <w:sz w:val="16"/>
                <w:szCs w:val="16"/>
                <w:lang w:val="en-US"/>
              </w:rPr>
              <w:t xml:space="preserve">              </w:t>
            </w:r>
            <w:r w:rsidRPr="00A57824">
              <w:rPr>
                <w:rFonts w:ascii="Verdana" w:hAnsi="Verdana"/>
                <w:sz w:val="16"/>
                <w:szCs w:val="16"/>
                <w:lang w:val="en-US"/>
              </w:rPr>
              <w:t xml:space="preserve">Technical specifications of the new diesel engine or the new diesel vehicle incorporating it, in </w:t>
            </w:r>
            <w:r w:rsidRPr="00A57824">
              <w:rPr>
                <w:rFonts w:ascii="Verdana" w:hAnsi="Verdana"/>
                <w:sz w:val="16"/>
                <w:szCs w:val="16"/>
                <w:lang w:val="en-US"/>
              </w:rPr>
              <w:lastRenderedPageBreak/>
              <w:t xml:space="preserve">accordance with the provisions of Appendix C of this </w:t>
            </w:r>
            <w:r w:rsidR="00735A37">
              <w:rPr>
                <w:rFonts w:ascii="Verdana" w:hAnsi="Verdana"/>
                <w:sz w:val="16"/>
                <w:szCs w:val="16"/>
                <w:lang w:val="en-US"/>
              </w:rPr>
              <w:t>Official Mexican Standard</w:t>
            </w:r>
            <w:r w:rsidRPr="00A57824">
              <w:rPr>
                <w:rFonts w:ascii="Verdana" w:hAnsi="Verdana"/>
                <w:sz w:val="16"/>
                <w:szCs w:val="16"/>
                <w:lang w:val="en-US"/>
              </w:rPr>
              <w:t>.</w:t>
            </w:r>
          </w:p>
        </w:tc>
      </w:tr>
      <w:tr w:rsidR="008A0760" w:rsidRPr="00743A20" w14:paraId="61E88A13" w14:textId="77777777" w:rsidTr="00A66C6A">
        <w:tc>
          <w:tcPr>
            <w:tcW w:w="4788" w:type="dxa"/>
            <w:shd w:val="clear" w:color="auto" w:fill="auto"/>
          </w:tcPr>
          <w:p w14:paraId="09186E94" w14:textId="77777777" w:rsidR="008A0760" w:rsidRPr="00A57824" w:rsidRDefault="008A0760" w:rsidP="00A66C6A">
            <w:pPr>
              <w:pStyle w:val="ROMANOS"/>
              <w:spacing w:line="276" w:lineRule="auto"/>
              <w:ind w:left="0" w:firstLine="0"/>
              <w:rPr>
                <w:rFonts w:ascii="Verdana" w:hAnsi="Verdana"/>
                <w:sz w:val="16"/>
                <w:szCs w:val="16"/>
              </w:rPr>
            </w:pPr>
            <w:r w:rsidRPr="00A57824">
              <w:rPr>
                <w:rFonts w:ascii="Verdana" w:hAnsi="Verdana"/>
                <w:b/>
                <w:sz w:val="16"/>
                <w:szCs w:val="16"/>
              </w:rPr>
              <w:lastRenderedPageBreak/>
              <w:t>d.</w:t>
            </w:r>
            <w:r w:rsidRPr="00A57824">
              <w:rPr>
                <w:rFonts w:ascii="Verdana" w:hAnsi="Verdana"/>
                <w:b/>
                <w:sz w:val="16"/>
                <w:szCs w:val="16"/>
              </w:rPr>
              <w:tab/>
            </w:r>
            <w:r w:rsidRPr="00A57824">
              <w:rPr>
                <w:rFonts w:ascii="Verdana" w:hAnsi="Verdana"/>
                <w:sz w:val="16"/>
                <w:szCs w:val="16"/>
              </w:rPr>
              <w:t>Especificaciones técnicas del sistema SDB/OBD, de conformidad con la información contemplada en la presente norma oficial mexicana.</w:t>
            </w:r>
          </w:p>
        </w:tc>
        <w:tc>
          <w:tcPr>
            <w:tcW w:w="4788" w:type="dxa"/>
            <w:shd w:val="clear" w:color="auto" w:fill="auto"/>
          </w:tcPr>
          <w:p w14:paraId="0956CC4E"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d.</w:t>
            </w:r>
            <w:r w:rsidRPr="00A57824">
              <w:rPr>
                <w:lang w:val="en-US"/>
              </w:rPr>
              <w:t xml:space="preserve"> </w:t>
            </w:r>
            <w:r w:rsidRPr="00A57824">
              <w:rPr>
                <w:rFonts w:ascii="Verdana" w:hAnsi="Verdana"/>
                <w:b/>
                <w:bCs/>
                <w:sz w:val="16"/>
                <w:szCs w:val="16"/>
                <w:lang w:val="en-US"/>
              </w:rPr>
              <w:t xml:space="preserve">              </w:t>
            </w:r>
            <w:r w:rsidRPr="00A57824">
              <w:rPr>
                <w:rFonts w:ascii="Verdana" w:hAnsi="Verdana"/>
                <w:sz w:val="16"/>
                <w:szCs w:val="16"/>
                <w:lang w:val="en-US"/>
              </w:rPr>
              <w:t xml:space="preserve">Technical specifications of the SDB/OBD system, in accordance with the information contemplated in this </w:t>
            </w:r>
            <w:r w:rsidR="00735A37">
              <w:rPr>
                <w:rFonts w:ascii="Verdana" w:hAnsi="Verdana"/>
                <w:sz w:val="16"/>
                <w:szCs w:val="16"/>
                <w:lang w:val="en-US"/>
              </w:rPr>
              <w:t>Official Mexican Standard</w:t>
            </w:r>
            <w:r w:rsidRPr="00A57824">
              <w:rPr>
                <w:rFonts w:ascii="Verdana" w:hAnsi="Verdana"/>
                <w:sz w:val="16"/>
                <w:szCs w:val="16"/>
                <w:lang w:val="en-US"/>
              </w:rPr>
              <w:t>.</w:t>
            </w:r>
          </w:p>
        </w:tc>
      </w:tr>
      <w:tr w:rsidR="008A0760" w:rsidRPr="00743A20" w14:paraId="3FD92671" w14:textId="77777777" w:rsidTr="00A66C6A">
        <w:tc>
          <w:tcPr>
            <w:tcW w:w="4788" w:type="dxa"/>
            <w:shd w:val="clear" w:color="auto" w:fill="auto"/>
          </w:tcPr>
          <w:p w14:paraId="3105EE85" w14:textId="77777777" w:rsidR="008A0760" w:rsidRPr="00A57824" w:rsidRDefault="008A0760" w:rsidP="00A66C6A">
            <w:pPr>
              <w:pStyle w:val="ROMANOS"/>
              <w:spacing w:line="276" w:lineRule="auto"/>
              <w:ind w:left="0" w:firstLine="0"/>
              <w:rPr>
                <w:rFonts w:ascii="Verdana" w:hAnsi="Verdana"/>
                <w:sz w:val="16"/>
                <w:szCs w:val="16"/>
                <w:lang w:val="es-ES_tradnl"/>
              </w:rPr>
            </w:pPr>
            <w:r w:rsidRPr="00A57824">
              <w:rPr>
                <w:rFonts w:ascii="Verdana" w:hAnsi="Verdana"/>
                <w:b/>
                <w:sz w:val="16"/>
                <w:szCs w:val="16"/>
              </w:rPr>
              <w:t>I.</w:t>
            </w:r>
            <w:r w:rsidRPr="00A57824">
              <w:rPr>
                <w:rFonts w:ascii="Verdana" w:hAnsi="Verdana"/>
                <w:b/>
                <w:sz w:val="16"/>
                <w:szCs w:val="16"/>
              </w:rPr>
              <w:tab/>
            </w:r>
            <w:r w:rsidRPr="00A57824">
              <w:rPr>
                <w:rFonts w:ascii="Verdana" w:hAnsi="Verdana"/>
                <w:sz w:val="16"/>
                <w:szCs w:val="16"/>
              </w:rPr>
              <w:t>En el caso del sistema SDB/OBD que se incorpore a los motores nuevos a diésel o a los vehículos automotores nuevos a diésel a certificarse mediante el estándar 2AA o a través del estándar 4AA, deberán cumplir con lo establecido en el numeral 4.1.5 o en el numeral 4.2.7 de la presente norma oficial mexicana, según corresponda.</w:t>
            </w:r>
          </w:p>
        </w:tc>
        <w:tc>
          <w:tcPr>
            <w:tcW w:w="4788" w:type="dxa"/>
            <w:shd w:val="clear" w:color="auto" w:fill="auto"/>
          </w:tcPr>
          <w:p w14:paraId="4B9C2235"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I.</w:t>
            </w:r>
            <w:r w:rsidRPr="00A57824">
              <w:rPr>
                <w:lang w:val="en-US"/>
              </w:rPr>
              <w:t xml:space="preserve"> </w:t>
            </w:r>
            <w:r w:rsidRPr="00A57824">
              <w:rPr>
                <w:rFonts w:ascii="Verdana" w:hAnsi="Verdana"/>
                <w:b/>
                <w:bCs/>
                <w:sz w:val="16"/>
                <w:szCs w:val="16"/>
                <w:lang w:val="en-US"/>
              </w:rPr>
              <w:t xml:space="preserve">              </w:t>
            </w:r>
            <w:r w:rsidRPr="00A57824">
              <w:rPr>
                <w:rFonts w:ascii="Verdana" w:hAnsi="Verdana"/>
                <w:sz w:val="16"/>
                <w:szCs w:val="16"/>
                <w:lang w:val="en-US"/>
              </w:rPr>
              <w:t xml:space="preserve">In the case of the SDB/OBD system that is incorporated into new diesel engines or new diesel vehicles to be certified by the 2AA standard or through the 4AA standard, they must comply with the provisions of 4.1.5 or 4.2.7 of this </w:t>
            </w:r>
            <w:r w:rsidR="00735A37">
              <w:rPr>
                <w:rFonts w:ascii="Verdana" w:hAnsi="Verdana"/>
                <w:sz w:val="16"/>
                <w:szCs w:val="16"/>
                <w:lang w:val="en-US"/>
              </w:rPr>
              <w:t>Official Mexican Standard</w:t>
            </w:r>
            <w:r w:rsidRPr="00A57824">
              <w:rPr>
                <w:rFonts w:ascii="Verdana" w:hAnsi="Verdana"/>
                <w:sz w:val="16"/>
                <w:szCs w:val="16"/>
                <w:lang w:val="en-US"/>
              </w:rPr>
              <w:t>, as applicable.</w:t>
            </w:r>
          </w:p>
        </w:tc>
      </w:tr>
      <w:tr w:rsidR="008A0760" w:rsidRPr="00743A20" w14:paraId="288B58B8" w14:textId="77777777" w:rsidTr="00A66C6A">
        <w:tc>
          <w:tcPr>
            <w:tcW w:w="4788" w:type="dxa"/>
            <w:shd w:val="clear" w:color="auto" w:fill="auto"/>
          </w:tcPr>
          <w:p w14:paraId="08A49911" w14:textId="77777777" w:rsidR="008A0760" w:rsidRPr="00A57824" w:rsidRDefault="008A0760" w:rsidP="00A66C6A">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II.</w:t>
            </w:r>
            <w:r w:rsidRPr="00A57824">
              <w:rPr>
                <w:rFonts w:ascii="Verdana" w:hAnsi="Verdana"/>
                <w:b/>
                <w:sz w:val="16"/>
                <w:szCs w:val="16"/>
                <w:lang w:val="es-ES_tradnl"/>
              </w:rPr>
              <w:tab/>
            </w:r>
            <w:r w:rsidRPr="00A57824">
              <w:rPr>
                <w:rFonts w:ascii="Verdana" w:hAnsi="Verdana"/>
                <w:sz w:val="16"/>
                <w:szCs w:val="16"/>
                <w:lang w:val="es-ES_tradnl"/>
              </w:rPr>
              <w:t>Lo</w:t>
            </w:r>
            <w:r w:rsidRPr="00A57824">
              <w:rPr>
                <w:rFonts w:ascii="Verdana" w:hAnsi="Verdana"/>
                <w:sz w:val="16"/>
                <w:szCs w:val="16"/>
              </w:rPr>
              <w:t xml:space="preserve">s motores nuevos a diésel o vehículos automotores nuevos a diésel que se certifiquen a través del estándar B, contemplado en las Tablas 1, 2, 3 y 4 de la presente norma oficial mexicana deberán cumplir con lo dispuesto en </w:t>
            </w:r>
            <w:r w:rsidRPr="00A57824">
              <w:rPr>
                <w:rFonts w:ascii="Verdana" w:hAnsi="Verdana"/>
                <w:sz w:val="16"/>
                <w:szCs w:val="16"/>
                <w:lang w:val="es-ES_tradnl"/>
              </w:rPr>
              <w:t>el Apéndice A de la presente norma oficial mexicana, según corresponda.</w:t>
            </w:r>
          </w:p>
        </w:tc>
        <w:tc>
          <w:tcPr>
            <w:tcW w:w="4788" w:type="dxa"/>
            <w:shd w:val="clear" w:color="auto" w:fill="auto"/>
          </w:tcPr>
          <w:p w14:paraId="2D90D6C0"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II.</w:t>
            </w:r>
            <w:r w:rsidRPr="00A57824">
              <w:rPr>
                <w:lang w:val="en-US"/>
              </w:rPr>
              <w:t xml:space="preserve"> </w:t>
            </w:r>
            <w:r w:rsidRPr="00A57824">
              <w:rPr>
                <w:rFonts w:ascii="Verdana" w:hAnsi="Verdana"/>
                <w:b/>
                <w:bCs/>
                <w:sz w:val="16"/>
                <w:szCs w:val="16"/>
                <w:lang w:val="en-US"/>
              </w:rPr>
              <w:t xml:space="preserve">              </w:t>
            </w:r>
            <w:r w:rsidRPr="00A57824">
              <w:rPr>
                <w:rFonts w:ascii="Verdana" w:hAnsi="Verdana"/>
                <w:sz w:val="16"/>
                <w:szCs w:val="16"/>
                <w:lang w:val="en-US"/>
              </w:rPr>
              <w:t>The</w:t>
            </w:r>
            <w:r w:rsidRPr="00A57824">
              <w:rPr>
                <w:lang w:val="en-US"/>
              </w:rPr>
              <w:t xml:space="preserve"> </w:t>
            </w:r>
            <w:r w:rsidRPr="00A57824">
              <w:rPr>
                <w:rFonts w:ascii="Verdana" w:hAnsi="Verdana"/>
                <w:sz w:val="16"/>
                <w:szCs w:val="16"/>
                <w:lang w:val="en-US"/>
              </w:rPr>
              <w:t>s new diesel or new motor vehicle diesel engines to be certified through the standard B referred</w:t>
            </w:r>
            <w:r w:rsidRPr="00A57824">
              <w:rPr>
                <w:lang w:val="en-US"/>
              </w:rPr>
              <w:t xml:space="preserve"> to </w:t>
            </w:r>
            <w:r w:rsidRPr="00A57824">
              <w:rPr>
                <w:rFonts w:ascii="Verdana" w:hAnsi="Verdana"/>
                <w:sz w:val="16"/>
                <w:szCs w:val="16"/>
                <w:lang w:val="en-US"/>
              </w:rPr>
              <w:t xml:space="preserve">in Tables 1, 2, 3 and 4 of this </w:t>
            </w:r>
            <w:r w:rsidR="00735A37">
              <w:rPr>
                <w:rFonts w:ascii="Verdana" w:hAnsi="Verdana"/>
                <w:sz w:val="16"/>
                <w:szCs w:val="16"/>
                <w:lang w:val="en-US"/>
              </w:rPr>
              <w:t>Official Mexican Standard</w:t>
            </w:r>
            <w:r w:rsidRPr="00A57824">
              <w:rPr>
                <w:rFonts w:ascii="Verdana" w:hAnsi="Verdana"/>
                <w:sz w:val="16"/>
                <w:szCs w:val="16"/>
                <w:lang w:val="en-US"/>
              </w:rPr>
              <w:t xml:space="preserve"> must comply with in</w:t>
            </w:r>
            <w:r w:rsidRPr="00A57824">
              <w:rPr>
                <w:lang w:val="en-US"/>
              </w:rPr>
              <w:t xml:space="preserve"> </w:t>
            </w:r>
            <w:r w:rsidRPr="00A57824">
              <w:rPr>
                <w:rFonts w:ascii="Verdana" w:hAnsi="Verdana"/>
                <w:sz w:val="16"/>
                <w:szCs w:val="16"/>
                <w:lang w:val="en-US"/>
              </w:rPr>
              <w:t xml:space="preserve">Appendix A of this </w:t>
            </w:r>
            <w:r w:rsidR="001F59CA">
              <w:rPr>
                <w:rFonts w:ascii="Verdana" w:hAnsi="Verdana"/>
                <w:sz w:val="16"/>
                <w:szCs w:val="16"/>
                <w:lang w:val="en-US"/>
              </w:rPr>
              <w:t>Official Mexican Standard</w:t>
            </w:r>
            <w:r w:rsidRPr="00A57824">
              <w:rPr>
                <w:rFonts w:ascii="Verdana" w:hAnsi="Verdana"/>
                <w:sz w:val="16"/>
                <w:szCs w:val="16"/>
                <w:lang w:val="en-US"/>
              </w:rPr>
              <w:t>, as appropriate.</w:t>
            </w:r>
          </w:p>
        </w:tc>
      </w:tr>
      <w:tr w:rsidR="008A0760" w:rsidRPr="00743A20" w14:paraId="6318AA5E" w14:textId="77777777" w:rsidTr="00A66C6A">
        <w:tc>
          <w:tcPr>
            <w:tcW w:w="4788" w:type="dxa"/>
            <w:shd w:val="clear" w:color="auto" w:fill="auto"/>
          </w:tcPr>
          <w:p w14:paraId="04D763F0" w14:textId="77777777" w:rsidR="008A0760" w:rsidRPr="00A57824" w:rsidRDefault="008A0760" w:rsidP="00A66C6A">
            <w:pPr>
              <w:pStyle w:val="ROMANOS"/>
              <w:spacing w:line="276" w:lineRule="auto"/>
              <w:ind w:left="0" w:firstLine="0"/>
              <w:rPr>
                <w:rFonts w:ascii="Verdana" w:hAnsi="Verdana"/>
                <w:sz w:val="16"/>
                <w:szCs w:val="16"/>
              </w:rPr>
            </w:pPr>
            <w:r w:rsidRPr="00A57824">
              <w:rPr>
                <w:rFonts w:ascii="Verdana" w:hAnsi="Verdana"/>
                <w:b/>
                <w:sz w:val="16"/>
                <w:szCs w:val="16"/>
              </w:rPr>
              <w:t>e.</w:t>
            </w:r>
            <w:r w:rsidRPr="00A57824">
              <w:rPr>
                <w:rFonts w:ascii="Verdana" w:hAnsi="Verdana"/>
                <w:b/>
                <w:sz w:val="16"/>
                <w:szCs w:val="16"/>
              </w:rPr>
              <w:tab/>
            </w:r>
            <w:r w:rsidRPr="00A57824">
              <w:rPr>
                <w:rFonts w:ascii="Verdana" w:hAnsi="Verdana"/>
                <w:sz w:val="16"/>
                <w:szCs w:val="16"/>
              </w:rPr>
              <w:t>Especificaciones técnicas del sistema de control de NOx, de conformidad con lo establecido en la presente norma oficial mexicana.</w:t>
            </w:r>
          </w:p>
        </w:tc>
        <w:tc>
          <w:tcPr>
            <w:tcW w:w="4788" w:type="dxa"/>
            <w:shd w:val="clear" w:color="auto" w:fill="auto"/>
          </w:tcPr>
          <w:p w14:paraId="5621A08A" w14:textId="77777777" w:rsidR="008A0760" w:rsidRPr="00A57824" w:rsidRDefault="00A66C6A" w:rsidP="00A66C6A">
            <w:pPr>
              <w:spacing w:after="101" w:line="276" w:lineRule="auto"/>
              <w:jc w:val="both"/>
              <w:rPr>
                <w:lang w:val="en-US"/>
              </w:rPr>
            </w:pPr>
            <w:r>
              <w:rPr>
                <w:rFonts w:ascii="Verdana" w:hAnsi="Verdana"/>
                <w:b/>
                <w:bCs/>
                <w:sz w:val="16"/>
                <w:szCs w:val="16"/>
                <w:lang w:val="en-US"/>
              </w:rPr>
              <w:t>e</w:t>
            </w:r>
            <w:r w:rsidR="008A0760" w:rsidRPr="00A57824">
              <w:rPr>
                <w:rFonts w:ascii="Verdana" w:hAnsi="Verdana"/>
                <w:b/>
                <w:bCs/>
                <w:sz w:val="16"/>
                <w:szCs w:val="16"/>
                <w:lang w:val="en-US"/>
              </w:rPr>
              <w:t>.</w:t>
            </w:r>
            <w:r w:rsidR="008A0760" w:rsidRPr="00A57824">
              <w:rPr>
                <w:lang w:val="en-US"/>
              </w:rPr>
              <w:t xml:space="preserve"> </w:t>
            </w:r>
            <w:r w:rsidR="008A0760" w:rsidRPr="00A57824">
              <w:rPr>
                <w:rFonts w:ascii="Verdana" w:hAnsi="Verdana"/>
                <w:b/>
                <w:bCs/>
                <w:sz w:val="16"/>
                <w:szCs w:val="16"/>
                <w:lang w:val="en-US"/>
              </w:rPr>
              <w:t xml:space="preserve">              </w:t>
            </w:r>
            <w:r w:rsidR="008A0760" w:rsidRPr="00A57824">
              <w:rPr>
                <w:rFonts w:ascii="Verdana" w:hAnsi="Verdana"/>
                <w:sz w:val="16"/>
                <w:szCs w:val="16"/>
                <w:lang w:val="en-US"/>
              </w:rPr>
              <w:t xml:space="preserve">Technical specifications of the NOx control system, in accordance with the provisions of this </w:t>
            </w:r>
            <w:r w:rsidR="00735A37">
              <w:rPr>
                <w:rFonts w:ascii="Verdana" w:hAnsi="Verdana"/>
                <w:sz w:val="16"/>
                <w:szCs w:val="16"/>
                <w:lang w:val="en-US"/>
              </w:rPr>
              <w:t>Official Mexican Standard</w:t>
            </w:r>
            <w:r w:rsidR="008A0760" w:rsidRPr="00A57824">
              <w:rPr>
                <w:rFonts w:ascii="Verdana" w:hAnsi="Verdana"/>
                <w:sz w:val="16"/>
                <w:szCs w:val="16"/>
                <w:lang w:val="en-US"/>
              </w:rPr>
              <w:t>.</w:t>
            </w:r>
          </w:p>
        </w:tc>
      </w:tr>
      <w:tr w:rsidR="008A0760" w:rsidRPr="00743A20" w14:paraId="10A811F5" w14:textId="77777777" w:rsidTr="00A66C6A">
        <w:tc>
          <w:tcPr>
            <w:tcW w:w="4788" w:type="dxa"/>
            <w:shd w:val="clear" w:color="auto" w:fill="auto"/>
          </w:tcPr>
          <w:p w14:paraId="444CC8FE" w14:textId="77777777" w:rsidR="008A0760" w:rsidRPr="00A57824" w:rsidRDefault="008A0760" w:rsidP="00A66C6A">
            <w:pPr>
              <w:pStyle w:val="ROMANOS"/>
              <w:spacing w:line="276" w:lineRule="auto"/>
              <w:ind w:left="0" w:firstLine="0"/>
              <w:rPr>
                <w:rFonts w:ascii="Verdana" w:hAnsi="Verdana"/>
                <w:sz w:val="16"/>
                <w:szCs w:val="16"/>
              </w:rPr>
            </w:pPr>
            <w:r w:rsidRPr="00A57824">
              <w:rPr>
                <w:rFonts w:ascii="Verdana" w:hAnsi="Verdana"/>
                <w:b/>
                <w:sz w:val="16"/>
                <w:szCs w:val="16"/>
              </w:rPr>
              <w:t>I.</w:t>
            </w:r>
            <w:r w:rsidRPr="00A57824">
              <w:rPr>
                <w:rFonts w:ascii="Verdana" w:hAnsi="Verdana"/>
                <w:b/>
                <w:sz w:val="16"/>
                <w:szCs w:val="16"/>
              </w:rPr>
              <w:tab/>
            </w:r>
            <w:r w:rsidRPr="00A57824">
              <w:rPr>
                <w:rFonts w:ascii="Verdana" w:hAnsi="Verdana"/>
                <w:sz w:val="16"/>
                <w:szCs w:val="16"/>
              </w:rPr>
              <w:t>Los motores nuevos a diésel o vehículos automotores nuevos a diésel que se certifiquen a través del estándar AA de las Tablas 2 y 4 de la presente norma oficial mexicana y que cuenten con un sistema de reducción catalítica selectiva, deberán cumplir con lo dispuesto en el Apéndice B de la presente norma oficial mexicana, según corresponda.</w:t>
            </w:r>
          </w:p>
        </w:tc>
        <w:tc>
          <w:tcPr>
            <w:tcW w:w="4788" w:type="dxa"/>
            <w:shd w:val="clear" w:color="auto" w:fill="auto"/>
          </w:tcPr>
          <w:p w14:paraId="50C780E1"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I.</w:t>
            </w:r>
            <w:r w:rsidRPr="00A57824">
              <w:rPr>
                <w:lang w:val="en-US"/>
              </w:rPr>
              <w:t xml:space="preserve"> </w:t>
            </w:r>
            <w:r w:rsidRPr="00A57824">
              <w:rPr>
                <w:rFonts w:ascii="Verdana" w:hAnsi="Verdana"/>
                <w:b/>
                <w:bCs/>
                <w:sz w:val="16"/>
                <w:szCs w:val="16"/>
                <w:lang w:val="en-US"/>
              </w:rPr>
              <w:t xml:space="preserve">              </w:t>
            </w:r>
            <w:r w:rsidRPr="00A57824">
              <w:rPr>
                <w:rFonts w:ascii="Verdana" w:hAnsi="Verdana"/>
                <w:sz w:val="16"/>
                <w:szCs w:val="16"/>
                <w:lang w:val="en-US"/>
              </w:rPr>
              <w:t xml:space="preserve">New diesel engines or new diesel vehicles that are certified through standard AA of Tables 2 and 4 of this </w:t>
            </w:r>
            <w:r w:rsidR="00735A37">
              <w:rPr>
                <w:rFonts w:ascii="Verdana" w:hAnsi="Verdana"/>
                <w:sz w:val="16"/>
                <w:szCs w:val="16"/>
                <w:lang w:val="en-US"/>
              </w:rPr>
              <w:t>Official Mexican Standard</w:t>
            </w:r>
            <w:r w:rsidRPr="00A57824">
              <w:rPr>
                <w:rFonts w:ascii="Verdana" w:hAnsi="Verdana"/>
                <w:sz w:val="16"/>
                <w:szCs w:val="16"/>
                <w:lang w:val="en-US"/>
              </w:rPr>
              <w:t xml:space="preserve"> and that have a selective catalytic reduction system, shall comply with the provisions of the Appendix B of </w:t>
            </w:r>
            <w:r w:rsidR="00A66C6A">
              <w:rPr>
                <w:rFonts w:ascii="Verdana" w:hAnsi="Verdana"/>
                <w:sz w:val="16"/>
                <w:szCs w:val="16"/>
                <w:lang w:val="en-US"/>
              </w:rPr>
              <w:t>this</w:t>
            </w:r>
            <w:r w:rsidRPr="00A57824">
              <w:rPr>
                <w:rFonts w:ascii="Verdana" w:hAnsi="Verdana"/>
                <w:sz w:val="16"/>
                <w:szCs w:val="16"/>
                <w:lang w:val="en-US"/>
              </w:rPr>
              <w:t xml:space="preserve"> </w:t>
            </w:r>
            <w:r w:rsidR="00735A37">
              <w:rPr>
                <w:rFonts w:ascii="Verdana" w:hAnsi="Verdana"/>
                <w:sz w:val="16"/>
                <w:szCs w:val="16"/>
                <w:lang w:val="en-US"/>
              </w:rPr>
              <w:t>Official Mexican Standard</w:t>
            </w:r>
            <w:r w:rsidRPr="00A57824">
              <w:rPr>
                <w:rFonts w:ascii="Verdana" w:hAnsi="Verdana"/>
                <w:sz w:val="16"/>
                <w:szCs w:val="16"/>
                <w:lang w:val="en-US"/>
              </w:rPr>
              <w:t>, as appropriate.</w:t>
            </w:r>
          </w:p>
        </w:tc>
      </w:tr>
      <w:tr w:rsidR="008A0760" w:rsidRPr="00743A20" w14:paraId="74AAC480" w14:textId="77777777" w:rsidTr="00A66C6A">
        <w:tc>
          <w:tcPr>
            <w:tcW w:w="4788" w:type="dxa"/>
            <w:shd w:val="clear" w:color="auto" w:fill="auto"/>
          </w:tcPr>
          <w:p w14:paraId="1AC58BCB" w14:textId="77777777" w:rsidR="008A0760" w:rsidRPr="00A57824" w:rsidRDefault="008A0760" w:rsidP="00A66C6A">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II.</w:t>
            </w:r>
            <w:r w:rsidRPr="00A57824">
              <w:rPr>
                <w:rFonts w:ascii="Verdana" w:hAnsi="Verdana"/>
                <w:b/>
                <w:sz w:val="16"/>
                <w:szCs w:val="16"/>
                <w:lang w:val="es-ES_tradnl"/>
              </w:rPr>
              <w:tab/>
            </w:r>
            <w:r w:rsidRPr="00A57824">
              <w:rPr>
                <w:rFonts w:ascii="Verdana" w:hAnsi="Verdana"/>
                <w:sz w:val="16"/>
                <w:szCs w:val="16"/>
                <w:lang w:val="es-ES_tradnl"/>
              </w:rPr>
              <w:t>Lo</w:t>
            </w:r>
            <w:r w:rsidRPr="00A57824">
              <w:rPr>
                <w:rFonts w:ascii="Verdana" w:hAnsi="Verdana"/>
                <w:sz w:val="16"/>
                <w:szCs w:val="16"/>
              </w:rPr>
              <w:t xml:space="preserve">s motores nuevos a diésel o vehículos automotores nuevos a diésel que se certifiquen a través del estándar B, contemplado en las Tablas 1, 2, 3 y 4 de la presente norma oficial mexicana deberán cumplir con lo dispuesto en </w:t>
            </w:r>
            <w:r w:rsidRPr="00A57824">
              <w:rPr>
                <w:rFonts w:ascii="Verdana" w:hAnsi="Verdana"/>
                <w:sz w:val="16"/>
                <w:szCs w:val="16"/>
                <w:lang w:val="es-ES_tradnl"/>
              </w:rPr>
              <w:t>el Apéndice B de la presente norma oficial mexicana, según corresponda.</w:t>
            </w:r>
          </w:p>
        </w:tc>
        <w:tc>
          <w:tcPr>
            <w:tcW w:w="4788" w:type="dxa"/>
            <w:shd w:val="clear" w:color="auto" w:fill="auto"/>
          </w:tcPr>
          <w:p w14:paraId="2790AF88" w14:textId="77777777" w:rsidR="008A0760" w:rsidRPr="00A66C6A" w:rsidRDefault="008A0760" w:rsidP="00A66C6A">
            <w:pPr>
              <w:spacing w:after="101" w:line="276" w:lineRule="auto"/>
              <w:jc w:val="both"/>
              <w:rPr>
                <w:rFonts w:ascii="Verdana" w:hAnsi="Verdana"/>
                <w:sz w:val="16"/>
                <w:szCs w:val="16"/>
                <w:lang w:val="en-US"/>
              </w:rPr>
            </w:pPr>
            <w:r w:rsidRPr="00A66C6A">
              <w:rPr>
                <w:rFonts w:ascii="Verdana" w:hAnsi="Verdana"/>
                <w:b/>
                <w:bCs/>
                <w:sz w:val="16"/>
                <w:szCs w:val="16"/>
                <w:lang w:val="en-US"/>
              </w:rPr>
              <w:t>II.</w:t>
            </w:r>
            <w:r w:rsidRPr="00A66C6A">
              <w:rPr>
                <w:rFonts w:ascii="Verdana" w:hAnsi="Verdana"/>
                <w:sz w:val="16"/>
                <w:szCs w:val="16"/>
                <w:lang w:val="en-US"/>
              </w:rPr>
              <w:t xml:space="preserve"> </w:t>
            </w:r>
            <w:r w:rsidRPr="00A66C6A">
              <w:rPr>
                <w:rFonts w:ascii="Verdana" w:hAnsi="Verdana"/>
                <w:b/>
                <w:bCs/>
                <w:sz w:val="16"/>
                <w:szCs w:val="16"/>
                <w:lang w:val="en-US"/>
              </w:rPr>
              <w:t xml:space="preserve">              </w:t>
            </w:r>
            <w:r w:rsidRPr="00A66C6A">
              <w:rPr>
                <w:rFonts w:ascii="Verdana" w:hAnsi="Verdana"/>
                <w:sz w:val="16"/>
                <w:szCs w:val="16"/>
                <w:lang w:val="en-US"/>
              </w:rPr>
              <w:t xml:space="preserve">The new diesel or new motor vehicle diesel engines to be certified through the standard B referred to in Tables 1, 2, 3 and 4 of this </w:t>
            </w:r>
            <w:r w:rsidR="00735A37" w:rsidRPr="00A66C6A">
              <w:rPr>
                <w:rFonts w:ascii="Verdana" w:hAnsi="Verdana"/>
                <w:sz w:val="16"/>
                <w:szCs w:val="16"/>
                <w:lang w:val="en-US"/>
              </w:rPr>
              <w:t>Official Mexican Standard</w:t>
            </w:r>
            <w:r w:rsidRPr="00A66C6A">
              <w:rPr>
                <w:rFonts w:ascii="Verdana" w:hAnsi="Verdana"/>
                <w:sz w:val="16"/>
                <w:szCs w:val="16"/>
                <w:lang w:val="en-US"/>
              </w:rPr>
              <w:t xml:space="preserve"> must comply with Appendix B of </w:t>
            </w:r>
            <w:r w:rsidR="00A66C6A">
              <w:rPr>
                <w:rFonts w:ascii="Verdana" w:hAnsi="Verdana"/>
                <w:sz w:val="16"/>
                <w:szCs w:val="16"/>
                <w:lang w:val="en-US"/>
              </w:rPr>
              <w:t>this</w:t>
            </w:r>
            <w:r w:rsidRPr="00A66C6A">
              <w:rPr>
                <w:rFonts w:ascii="Verdana" w:hAnsi="Verdana"/>
                <w:sz w:val="16"/>
                <w:szCs w:val="16"/>
                <w:lang w:val="en-US"/>
              </w:rPr>
              <w:t xml:space="preserve"> </w:t>
            </w:r>
            <w:r w:rsidR="001F59CA" w:rsidRPr="00A66C6A">
              <w:rPr>
                <w:rFonts w:ascii="Verdana" w:hAnsi="Verdana"/>
                <w:sz w:val="16"/>
                <w:szCs w:val="16"/>
                <w:lang w:val="en-US"/>
              </w:rPr>
              <w:t>Official Mexican Standard</w:t>
            </w:r>
            <w:r w:rsidRPr="00A66C6A">
              <w:rPr>
                <w:rFonts w:ascii="Verdana" w:hAnsi="Verdana"/>
                <w:sz w:val="16"/>
                <w:szCs w:val="16"/>
                <w:lang w:val="en-US"/>
              </w:rPr>
              <w:t>, as appropriate.</w:t>
            </w:r>
          </w:p>
        </w:tc>
      </w:tr>
      <w:tr w:rsidR="008A0760" w:rsidRPr="00A57824" w14:paraId="53D0C078" w14:textId="77777777" w:rsidTr="00A66C6A">
        <w:tc>
          <w:tcPr>
            <w:tcW w:w="4788" w:type="dxa"/>
            <w:shd w:val="clear" w:color="auto" w:fill="auto"/>
          </w:tcPr>
          <w:p w14:paraId="5641695F" w14:textId="77777777" w:rsidR="008A0760" w:rsidRPr="00A57824" w:rsidRDefault="008A0760" w:rsidP="00A66C6A">
            <w:pPr>
              <w:pStyle w:val="ROMANOS"/>
              <w:spacing w:line="276" w:lineRule="auto"/>
              <w:ind w:left="0" w:firstLine="0"/>
              <w:rPr>
                <w:rFonts w:ascii="Verdana" w:hAnsi="Verdana"/>
                <w:sz w:val="16"/>
                <w:szCs w:val="16"/>
              </w:rPr>
            </w:pPr>
            <w:r w:rsidRPr="00A57824">
              <w:rPr>
                <w:rFonts w:ascii="Verdana" w:hAnsi="Verdana"/>
                <w:b/>
                <w:sz w:val="16"/>
                <w:szCs w:val="16"/>
              </w:rPr>
              <w:t>f.</w:t>
            </w:r>
            <w:r w:rsidRPr="00A57824">
              <w:rPr>
                <w:rFonts w:ascii="Verdana" w:hAnsi="Verdana"/>
                <w:b/>
                <w:sz w:val="16"/>
                <w:szCs w:val="16"/>
              </w:rPr>
              <w:tab/>
            </w:r>
            <w:r w:rsidRPr="00A57824">
              <w:rPr>
                <w:rFonts w:ascii="Verdana" w:hAnsi="Verdana"/>
                <w:sz w:val="16"/>
                <w:szCs w:val="16"/>
              </w:rPr>
              <w:t>Documento en el que se demuestre que se cumple con las disposiciones de la presente NOM. En este caso, la PROFEPA aceptará:</w:t>
            </w:r>
          </w:p>
        </w:tc>
        <w:tc>
          <w:tcPr>
            <w:tcW w:w="4788" w:type="dxa"/>
            <w:shd w:val="clear" w:color="auto" w:fill="auto"/>
          </w:tcPr>
          <w:p w14:paraId="2674398E" w14:textId="77777777" w:rsidR="008A0760" w:rsidRPr="00844E0D" w:rsidRDefault="002D78B5" w:rsidP="00A66C6A">
            <w:pPr>
              <w:spacing w:after="101" w:line="276" w:lineRule="auto"/>
              <w:jc w:val="both"/>
            </w:pPr>
            <w:r>
              <w:rPr>
                <w:rFonts w:ascii="Verdana" w:hAnsi="Verdana"/>
                <w:b/>
                <w:bCs/>
                <w:sz w:val="16"/>
                <w:szCs w:val="16"/>
                <w:lang w:val="en-US"/>
              </w:rPr>
              <w:t>f</w:t>
            </w:r>
            <w:r w:rsidR="008A0760" w:rsidRPr="00A57824">
              <w:rPr>
                <w:rFonts w:ascii="Verdana" w:hAnsi="Verdana"/>
                <w:b/>
                <w:bCs/>
                <w:sz w:val="16"/>
                <w:szCs w:val="16"/>
                <w:lang w:val="en-US"/>
              </w:rPr>
              <w:t>.</w:t>
            </w:r>
            <w:r w:rsidR="008A0760" w:rsidRPr="00A57824">
              <w:rPr>
                <w:lang w:val="en-US"/>
              </w:rPr>
              <w:t xml:space="preserve"> </w:t>
            </w:r>
            <w:r w:rsidR="008A0760" w:rsidRPr="00A57824">
              <w:rPr>
                <w:rFonts w:ascii="Verdana" w:hAnsi="Verdana"/>
                <w:b/>
                <w:bCs/>
                <w:sz w:val="16"/>
                <w:szCs w:val="16"/>
                <w:lang w:val="en-US"/>
              </w:rPr>
              <w:t xml:space="preserve">              </w:t>
            </w:r>
            <w:r w:rsidR="008A0760" w:rsidRPr="00A57824">
              <w:rPr>
                <w:rFonts w:ascii="Verdana" w:hAnsi="Verdana"/>
                <w:sz w:val="16"/>
                <w:szCs w:val="16"/>
                <w:lang w:val="en-US"/>
              </w:rPr>
              <w:t>Document in which it is demonstrated that the provisions of this NOM are complied with.</w:t>
            </w:r>
            <w:r w:rsidR="008A0760" w:rsidRPr="00A57824">
              <w:rPr>
                <w:lang w:val="en-US"/>
              </w:rPr>
              <w:t xml:space="preserve"> </w:t>
            </w:r>
            <w:r w:rsidR="008A0760" w:rsidRPr="00A57824">
              <w:rPr>
                <w:rFonts w:ascii="Verdana" w:hAnsi="Verdana"/>
                <w:sz w:val="16"/>
                <w:szCs w:val="16"/>
              </w:rPr>
              <w:t>In this case, PROFEPA will accept:</w:t>
            </w:r>
          </w:p>
        </w:tc>
      </w:tr>
      <w:tr w:rsidR="008A0760" w:rsidRPr="00743A20" w14:paraId="3245C852" w14:textId="77777777" w:rsidTr="00A66C6A">
        <w:tc>
          <w:tcPr>
            <w:tcW w:w="4788" w:type="dxa"/>
            <w:shd w:val="clear" w:color="auto" w:fill="auto"/>
          </w:tcPr>
          <w:p w14:paraId="0A74AB2A" w14:textId="77777777" w:rsidR="008A0760" w:rsidRPr="00A57824" w:rsidRDefault="008A0760" w:rsidP="002D78B5">
            <w:pPr>
              <w:pStyle w:val="ROMANOS"/>
              <w:spacing w:line="276" w:lineRule="auto"/>
              <w:ind w:left="360" w:firstLine="0"/>
              <w:rPr>
                <w:rFonts w:ascii="Verdana" w:hAnsi="Verdana"/>
                <w:sz w:val="16"/>
                <w:szCs w:val="16"/>
                <w:lang w:val="es-ES_tradnl"/>
              </w:rPr>
            </w:pPr>
            <w:r w:rsidRPr="00A57824">
              <w:rPr>
                <w:rFonts w:ascii="Verdana" w:hAnsi="Verdana"/>
                <w:b/>
                <w:sz w:val="16"/>
                <w:szCs w:val="16"/>
                <w:lang w:val="es-ES_tradnl"/>
              </w:rPr>
              <w:t>I.</w:t>
            </w:r>
            <w:r w:rsidRPr="00A57824">
              <w:rPr>
                <w:rFonts w:ascii="Verdana" w:hAnsi="Verdana"/>
                <w:b/>
                <w:sz w:val="16"/>
                <w:szCs w:val="16"/>
                <w:lang w:val="es-ES_tradnl"/>
              </w:rPr>
              <w:tab/>
            </w:r>
            <w:r w:rsidRPr="00A57824">
              <w:rPr>
                <w:rFonts w:ascii="Verdana" w:hAnsi="Verdana"/>
                <w:sz w:val="16"/>
                <w:szCs w:val="16"/>
                <w:lang w:val="es-ES_tradnl"/>
              </w:rPr>
              <w:t>Certificado emitido por la autoridad de protección ambiental correspondiente al país de origen, o país de certificación, o</w:t>
            </w:r>
          </w:p>
        </w:tc>
        <w:tc>
          <w:tcPr>
            <w:tcW w:w="4788" w:type="dxa"/>
            <w:shd w:val="clear" w:color="auto" w:fill="auto"/>
          </w:tcPr>
          <w:p w14:paraId="38D72F7E" w14:textId="77777777" w:rsidR="008A0760" w:rsidRPr="00A57824" w:rsidRDefault="008A0760" w:rsidP="002D78B5">
            <w:pPr>
              <w:spacing w:after="101" w:line="276" w:lineRule="auto"/>
              <w:ind w:left="360"/>
              <w:jc w:val="both"/>
              <w:rPr>
                <w:lang w:val="en-US"/>
              </w:rPr>
            </w:pPr>
            <w:r w:rsidRPr="00A57824">
              <w:rPr>
                <w:rFonts w:ascii="Verdana" w:hAnsi="Verdana"/>
                <w:b/>
                <w:bCs/>
                <w:sz w:val="16"/>
                <w:szCs w:val="16"/>
                <w:lang w:val="en-US"/>
              </w:rPr>
              <w:t>I.</w:t>
            </w:r>
            <w:r w:rsidRPr="00A57824">
              <w:rPr>
                <w:lang w:val="en-US"/>
              </w:rPr>
              <w:t xml:space="preserve"> </w:t>
            </w:r>
            <w:r w:rsidRPr="00A57824">
              <w:rPr>
                <w:rFonts w:ascii="Verdana" w:hAnsi="Verdana"/>
                <w:b/>
                <w:bCs/>
                <w:sz w:val="16"/>
                <w:szCs w:val="16"/>
                <w:lang w:val="en-US"/>
              </w:rPr>
              <w:t xml:space="preserve">              </w:t>
            </w:r>
            <w:r w:rsidRPr="00A57824">
              <w:rPr>
                <w:rFonts w:ascii="Verdana" w:hAnsi="Verdana"/>
                <w:sz w:val="16"/>
                <w:szCs w:val="16"/>
                <w:lang w:val="en-US"/>
              </w:rPr>
              <w:t>Certificate issued by the environmental protection authority corresponding to the country of origin, or country of certification, or</w:t>
            </w:r>
          </w:p>
        </w:tc>
      </w:tr>
      <w:tr w:rsidR="008A0760" w:rsidRPr="00743A20" w14:paraId="6D519BA2" w14:textId="77777777" w:rsidTr="00A66C6A">
        <w:tc>
          <w:tcPr>
            <w:tcW w:w="4788" w:type="dxa"/>
            <w:shd w:val="clear" w:color="auto" w:fill="auto"/>
          </w:tcPr>
          <w:p w14:paraId="3A22B992" w14:textId="77777777" w:rsidR="008A0760" w:rsidRPr="00A57824" w:rsidRDefault="008A0760" w:rsidP="002D78B5">
            <w:pPr>
              <w:pStyle w:val="ROMANOS"/>
              <w:spacing w:line="276" w:lineRule="auto"/>
              <w:ind w:left="360" w:firstLine="0"/>
              <w:rPr>
                <w:rFonts w:ascii="Verdana" w:hAnsi="Verdana"/>
                <w:sz w:val="16"/>
                <w:szCs w:val="16"/>
                <w:lang w:val="es-ES_tradnl"/>
              </w:rPr>
            </w:pPr>
            <w:r w:rsidRPr="00A57824">
              <w:rPr>
                <w:rFonts w:ascii="Verdana" w:hAnsi="Verdana"/>
                <w:b/>
                <w:sz w:val="16"/>
                <w:szCs w:val="16"/>
                <w:lang w:val="es-ES_tradnl"/>
              </w:rPr>
              <w:t>II.</w:t>
            </w:r>
            <w:r w:rsidRPr="00A57824">
              <w:rPr>
                <w:rFonts w:ascii="Verdana" w:hAnsi="Verdana"/>
                <w:b/>
                <w:sz w:val="16"/>
                <w:szCs w:val="16"/>
                <w:lang w:val="es-ES_tradnl"/>
              </w:rPr>
              <w:tab/>
            </w:r>
            <w:r w:rsidRPr="00A57824">
              <w:rPr>
                <w:rFonts w:ascii="Verdana" w:hAnsi="Verdana"/>
                <w:sz w:val="16"/>
                <w:szCs w:val="16"/>
                <w:lang w:val="es-ES_tradnl"/>
              </w:rPr>
              <w:t>Certificado emitido por los Organismos de Certificación correspondientes al país de origen, o país de certificación, o</w:t>
            </w:r>
          </w:p>
        </w:tc>
        <w:tc>
          <w:tcPr>
            <w:tcW w:w="4788" w:type="dxa"/>
            <w:shd w:val="clear" w:color="auto" w:fill="auto"/>
          </w:tcPr>
          <w:p w14:paraId="6135F053" w14:textId="77777777" w:rsidR="008A0760" w:rsidRPr="00A57824" w:rsidRDefault="008A0760" w:rsidP="002D78B5">
            <w:pPr>
              <w:spacing w:after="101" w:line="276" w:lineRule="auto"/>
              <w:ind w:left="360"/>
              <w:jc w:val="both"/>
              <w:rPr>
                <w:lang w:val="en-US"/>
              </w:rPr>
            </w:pPr>
            <w:r w:rsidRPr="00A57824">
              <w:rPr>
                <w:rFonts w:ascii="Verdana" w:hAnsi="Verdana"/>
                <w:b/>
                <w:bCs/>
                <w:sz w:val="16"/>
                <w:szCs w:val="16"/>
                <w:lang w:val="en-US"/>
              </w:rPr>
              <w:t>II.</w:t>
            </w:r>
            <w:r w:rsidRPr="00A57824">
              <w:rPr>
                <w:lang w:val="en-US"/>
              </w:rPr>
              <w:t xml:space="preserve"> </w:t>
            </w:r>
            <w:r w:rsidRPr="00A57824">
              <w:rPr>
                <w:rFonts w:ascii="Verdana" w:hAnsi="Verdana"/>
                <w:b/>
                <w:bCs/>
                <w:sz w:val="16"/>
                <w:szCs w:val="16"/>
                <w:lang w:val="en-US"/>
              </w:rPr>
              <w:t xml:space="preserve">              </w:t>
            </w:r>
            <w:r w:rsidRPr="00A57824">
              <w:rPr>
                <w:rFonts w:ascii="Verdana" w:hAnsi="Verdana"/>
                <w:sz w:val="16"/>
                <w:szCs w:val="16"/>
                <w:lang w:val="en-US"/>
              </w:rPr>
              <w:t>Certificate issued by the Certification Bodies corresponding to the country of origin, or country of certification, or</w:t>
            </w:r>
          </w:p>
        </w:tc>
      </w:tr>
      <w:tr w:rsidR="008A0760" w:rsidRPr="00743A20" w14:paraId="5D48988C" w14:textId="77777777" w:rsidTr="00A66C6A">
        <w:tc>
          <w:tcPr>
            <w:tcW w:w="4788" w:type="dxa"/>
            <w:shd w:val="clear" w:color="auto" w:fill="auto"/>
          </w:tcPr>
          <w:p w14:paraId="6ECC7CE0" w14:textId="77777777" w:rsidR="008A0760" w:rsidRPr="00A57824" w:rsidRDefault="008A0760" w:rsidP="002D78B5">
            <w:pPr>
              <w:pStyle w:val="ROMANOS"/>
              <w:spacing w:line="276" w:lineRule="auto"/>
              <w:ind w:left="360" w:firstLine="0"/>
              <w:rPr>
                <w:rFonts w:ascii="Verdana" w:hAnsi="Verdana"/>
                <w:sz w:val="16"/>
                <w:szCs w:val="16"/>
                <w:lang w:val="es-ES_tradnl"/>
              </w:rPr>
            </w:pPr>
            <w:r w:rsidRPr="00A57824">
              <w:rPr>
                <w:rFonts w:ascii="Verdana" w:hAnsi="Verdana"/>
                <w:b/>
                <w:sz w:val="16"/>
                <w:szCs w:val="16"/>
                <w:lang w:val="es-ES_tradnl"/>
              </w:rPr>
              <w:t>III.</w:t>
            </w:r>
            <w:r w:rsidRPr="00A57824">
              <w:rPr>
                <w:rFonts w:ascii="Verdana" w:hAnsi="Verdana"/>
                <w:b/>
                <w:sz w:val="16"/>
                <w:szCs w:val="16"/>
                <w:lang w:val="es-ES_tradnl"/>
              </w:rPr>
              <w:tab/>
            </w:r>
            <w:r w:rsidRPr="00A57824">
              <w:rPr>
                <w:rFonts w:ascii="Verdana" w:hAnsi="Verdana"/>
                <w:sz w:val="16"/>
                <w:szCs w:val="16"/>
                <w:lang w:val="es-ES_tradnl"/>
              </w:rPr>
              <w:t>Informe de resultados emitido por un:</w:t>
            </w:r>
          </w:p>
        </w:tc>
        <w:tc>
          <w:tcPr>
            <w:tcW w:w="4788" w:type="dxa"/>
            <w:shd w:val="clear" w:color="auto" w:fill="auto"/>
          </w:tcPr>
          <w:p w14:paraId="35DF944A" w14:textId="77777777" w:rsidR="008A0760" w:rsidRPr="00A57824" w:rsidRDefault="008A0760" w:rsidP="002D78B5">
            <w:pPr>
              <w:spacing w:after="101" w:line="276" w:lineRule="auto"/>
              <w:ind w:left="360"/>
              <w:jc w:val="both"/>
              <w:rPr>
                <w:lang w:val="en-US"/>
              </w:rPr>
            </w:pPr>
            <w:r w:rsidRPr="00A57824">
              <w:rPr>
                <w:rFonts w:ascii="Verdana" w:hAnsi="Verdana"/>
                <w:b/>
                <w:bCs/>
                <w:sz w:val="16"/>
                <w:szCs w:val="16"/>
                <w:lang w:val="en-US"/>
              </w:rPr>
              <w:t>III.</w:t>
            </w:r>
            <w:r w:rsidRPr="00A57824">
              <w:rPr>
                <w:lang w:val="en-US"/>
              </w:rPr>
              <w:t xml:space="preserve"> </w:t>
            </w:r>
            <w:r w:rsidRPr="00A57824">
              <w:rPr>
                <w:rFonts w:ascii="Verdana" w:hAnsi="Verdana"/>
                <w:b/>
                <w:bCs/>
                <w:sz w:val="16"/>
                <w:szCs w:val="16"/>
                <w:lang w:val="en-US"/>
              </w:rPr>
              <w:t xml:space="preserve">              </w:t>
            </w:r>
            <w:r w:rsidRPr="00A57824">
              <w:rPr>
                <w:rFonts w:ascii="Verdana" w:hAnsi="Verdana"/>
                <w:sz w:val="16"/>
                <w:szCs w:val="16"/>
                <w:lang w:val="en-US"/>
              </w:rPr>
              <w:t>Report of results issued by a:</w:t>
            </w:r>
          </w:p>
        </w:tc>
      </w:tr>
      <w:tr w:rsidR="008A0760" w:rsidRPr="00743A20" w14:paraId="3E2E7EF9" w14:textId="77777777" w:rsidTr="00A66C6A">
        <w:tc>
          <w:tcPr>
            <w:tcW w:w="4788" w:type="dxa"/>
            <w:shd w:val="clear" w:color="auto" w:fill="auto"/>
          </w:tcPr>
          <w:p w14:paraId="45111F81" w14:textId="77777777" w:rsidR="008A0760" w:rsidRPr="00A57824" w:rsidRDefault="008A0760" w:rsidP="002D78B5">
            <w:pPr>
              <w:pStyle w:val="ROMANOS"/>
              <w:spacing w:line="276" w:lineRule="auto"/>
              <w:ind w:left="360" w:firstLine="0"/>
              <w:rPr>
                <w:rFonts w:ascii="Verdana" w:hAnsi="Verdana"/>
                <w:sz w:val="16"/>
                <w:szCs w:val="16"/>
              </w:rPr>
            </w:pPr>
            <w:r w:rsidRPr="00A57824">
              <w:rPr>
                <w:rFonts w:ascii="Verdana" w:hAnsi="Verdana"/>
                <w:sz w:val="16"/>
                <w:szCs w:val="16"/>
              </w:rPr>
              <w:t xml:space="preserve">Organismo independiente que cuente con un laboratorio acreditado, conforme a lo dispuesto en el artículo 91 de la Ley Federal sobre Metrología y Normalización, a efecto de medir las emisiones </w:t>
            </w:r>
            <w:r w:rsidRPr="00A57824">
              <w:rPr>
                <w:rFonts w:ascii="Verdana" w:hAnsi="Verdana"/>
                <w:sz w:val="16"/>
                <w:szCs w:val="16"/>
              </w:rPr>
              <w:lastRenderedPageBreak/>
              <w:t>provenientes del escape de vehículos automotores nuevos a través del método de prueba FTP 75 u;</w:t>
            </w:r>
          </w:p>
        </w:tc>
        <w:tc>
          <w:tcPr>
            <w:tcW w:w="4788" w:type="dxa"/>
            <w:shd w:val="clear" w:color="auto" w:fill="auto"/>
          </w:tcPr>
          <w:p w14:paraId="3CF2803D" w14:textId="77777777" w:rsidR="008A0760" w:rsidRPr="00A57824" w:rsidRDefault="008A0760" w:rsidP="002D78B5">
            <w:pPr>
              <w:spacing w:after="101" w:line="276" w:lineRule="auto"/>
              <w:ind w:left="360"/>
              <w:jc w:val="both"/>
              <w:rPr>
                <w:lang w:val="en-US"/>
              </w:rPr>
            </w:pPr>
            <w:r w:rsidRPr="00A57824">
              <w:rPr>
                <w:rFonts w:ascii="Verdana" w:hAnsi="Verdana"/>
                <w:sz w:val="16"/>
                <w:szCs w:val="16"/>
                <w:lang w:val="en-US"/>
              </w:rPr>
              <w:lastRenderedPageBreak/>
              <w:t xml:space="preserve">Independent organization that has </w:t>
            </w:r>
            <w:r w:rsidR="002D78B5">
              <w:rPr>
                <w:rFonts w:ascii="Verdana" w:hAnsi="Verdana"/>
                <w:sz w:val="16"/>
                <w:szCs w:val="16"/>
                <w:lang w:val="en-US"/>
              </w:rPr>
              <w:t>a</w:t>
            </w:r>
            <w:r w:rsidRPr="00A57824">
              <w:rPr>
                <w:rFonts w:ascii="Verdana" w:hAnsi="Verdana"/>
                <w:sz w:val="16"/>
                <w:szCs w:val="16"/>
                <w:lang w:val="en-US"/>
              </w:rPr>
              <w:t xml:space="preserve"> laboratory</w:t>
            </w:r>
            <w:r w:rsidR="002D78B5" w:rsidRPr="00A57824">
              <w:rPr>
                <w:rFonts w:ascii="Verdana" w:hAnsi="Verdana"/>
                <w:sz w:val="16"/>
                <w:szCs w:val="16"/>
                <w:lang w:val="en-US"/>
              </w:rPr>
              <w:t xml:space="preserve"> accredited</w:t>
            </w:r>
            <w:r w:rsidRPr="00A57824">
              <w:rPr>
                <w:rFonts w:ascii="Verdana" w:hAnsi="Verdana"/>
                <w:sz w:val="16"/>
                <w:szCs w:val="16"/>
                <w:lang w:val="en-US"/>
              </w:rPr>
              <w:t xml:space="preserve"> in accordance with the provisions of article 91 of the Federal Law on Metrology and Standardization, in order to measure emissions </w:t>
            </w:r>
            <w:r w:rsidRPr="00A57824">
              <w:rPr>
                <w:rFonts w:ascii="Verdana" w:hAnsi="Verdana"/>
                <w:sz w:val="16"/>
                <w:szCs w:val="16"/>
                <w:lang w:val="en-US"/>
              </w:rPr>
              <w:lastRenderedPageBreak/>
              <w:t>from the exhaust of new automotive vehicles through the FTP 75 test method;</w:t>
            </w:r>
            <w:r w:rsidR="002D78B5">
              <w:rPr>
                <w:rFonts w:ascii="Verdana" w:hAnsi="Verdana"/>
                <w:sz w:val="16"/>
                <w:szCs w:val="16"/>
                <w:lang w:val="en-US"/>
              </w:rPr>
              <w:t xml:space="preserve"> or</w:t>
            </w:r>
          </w:p>
        </w:tc>
      </w:tr>
      <w:tr w:rsidR="008A0760" w:rsidRPr="00743A20" w14:paraId="6465C43C" w14:textId="77777777" w:rsidTr="00A66C6A">
        <w:tc>
          <w:tcPr>
            <w:tcW w:w="4788" w:type="dxa"/>
            <w:shd w:val="clear" w:color="auto" w:fill="auto"/>
          </w:tcPr>
          <w:p w14:paraId="18C9F5FE" w14:textId="77777777" w:rsidR="008A0760" w:rsidRPr="00A57824" w:rsidRDefault="008A0760" w:rsidP="002D78B5">
            <w:pPr>
              <w:pStyle w:val="ROMANOS"/>
              <w:spacing w:line="276" w:lineRule="auto"/>
              <w:ind w:left="360" w:firstLine="0"/>
              <w:rPr>
                <w:rFonts w:ascii="Verdana" w:hAnsi="Verdana"/>
                <w:sz w:val="16"/>
                <w:szCs w:val="16"/>
              </w:rPr>
            </w:pPr>
            <w:r w:rsidRPr="00A57824">
              <w:rPr>
                <w:rFonts w:ascii="Verdana" w:hAnsi="Verdana"/>
                <w:sz w:val="16"/>
                <w:szCs w:val="16"/>
              </w:rPr>
              <w:lastRenderedPageBreak/>
              <w:t>Organismo de certificación con acreditación vigente en apego a lo dispuesto en la Ley Federal sobre Metrología y Normalización.</w:t>
            </w:r>
          </w:p>
        </w:tc>
        <w:tc>
          <w:tcPr>
            <w:tcW w:w="4788" w:type="dxa"/>
            <w:shd w:val="clear" w:color="auto" w:fill="auto"/>
          </w:tcPr>
          <w:p w14:paraId="16EEDB75" w14:textId="77777777" w:rsidR="008A0760" w:rsidRPr="00A57824" w:rsidRDefault="008A0760" w:rsidP="002D78B5">
            <w:pPr>
              <w:spacing w:after="101" w:line="276" w:lineRule="auto"/>
              <w:ind w:left="360"/>
              <w:jc w:val="both"/>
              <w:rPr>
                <w:lang w:val="en-US"/>
              </w:rPr>
            </w:pPr>
            <w:r w:rsidRPr="00A57824">
              <w:rPr>
                <w:rFonts w:ascii="Verdana" w:hAnsi="Verdana"/>
                <w:sz w:val="16"/>
                <w:szCs w:val="16"/>
                <w:lang w:val="en-US"/>
              </w:rPr>
              <w:t>Certification body with current accreditation in compliance with the provisions of the Federal Law on Metrology and Standardization.</w:t>
            </w:r>
          </w:p>
        </w:tc>
      </w:tr>
      <w:tr w:rsidR="008A0760" w:rsidRPr="00743A20" w14:paraId="3ACB1841" w14:textId="77777777" w:rsidTr="00A66C6A">
        <w:tc>
          <w:tcPr>
            <w:tcW w:w="4788" w:type="dxa"/>
            <w:shd w:val="clear" w:color="auto" w:fill="auto"/>
          </w:tcPr>
          <w:p w14:paraId="2F261C7F"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5.3.</w:t>
            </w:r>
            <w:r w:rsidRPr="00A57824">
              <w:rPr>
                <w:rFonts w:ascii="Verdana" w:hAnsi="Verdana"/>
                <w:sz w:val="16"/>
                <w:szCs w:val="16"/>
              </w:rPr>
              <w:t xml:space="preserve"> La PROFEPA deberá resolver en un plazo no mayor a 30 días hábiles, contados a partir </w:t>
            </w:r>
            <w:r w:rsidRPr="00A57824">
              <w:rPr>
                <w:rFonts w:ascii="Verdana" w:hAnsi="Verdana"/>
                <w:sz w:val="16"/>
                <w:szCs w:val="16"/>
                <w:lang w:val="es-ES_tradnl"/>
              </w:rPr>
              <w:t>del día siguiente de la recepción</w:t>
            </w:r>
            <w:r w:rsidRPr="00A57824">
              <w:rPr>
                <w:rFonts w:ascii="Verdana" w:hAnsi="Verdana"/>
                <w:sz w:val="16"/>
                <w:szCs w:val="16"/>
              </w:rPr>
              <w:t xml:space="preserve"> de la solicitud.</w:t>
            </w:r>
          </w:p>
        </w:tc>
        <w:tc>
          <w:tcPr>
            <w:tcW w:w="4788" w:type="dxa"/>
            <w:shd w:val="clear" w:color="auto" w:fill="auto"/>
          </w:tcPr>
          <w:p w14:paraId="642000C9"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5.3.</w:t>
            </w:r>
            <w:r w:rsidRPr="00A57824">
              <w:rPr>
                <w:lang w:val="en-US"/>
              </w:rPr>
              <w:t xml:space="preserve"> </w:t>
            </w:r>
            <w:r w:rsidRPr="00A57824">
              <w:rPr>
                <w:rFonts w:ascii="Verdana" w:hAnsi="Verdana"/>
                <w:sz w:val="16"/>
                <w:szCs w:val="16"/>
                <w:lang w:val="en-US"/>
              </w:rPr>
              <w:t>The PROFEPA must resolve within a period not exceeding 30 business days, counted from</w:t>
            </w:r>
            <w:r w:rsidRPr="00A57824">
              <w:rPr>
                <w:lang w:val="en-US"/>
              </w:rPr>
              <w:t xml:space="preserve"> </w:t>
            </w:r>
            <w:r w:rsidRPr="00A57824">
              <w:rPr>
                <w:rFonts w:ascii="Verdana" w:hAnsi="Verdana"/>
                <w:sz w:val="16"/>
                <w:szCs w:val="16"/>
                <w:lang w:val="en-US"/>
              </w:rPr>
              <w:t>the day following receipt</w:t>
            </w:r>
            <w:r w:rsidRPr="00A57824">
              <w:rPr>
                <w:lang w:val="en-US"/>
              </w:rPr>
              <w:t xml:space="preserve"> </w:t>
            </w:r>
            <w:r w:rsidRPr="00A57824">
              <w:rPr>
                <w:rFonts w:ascii="Verdana" w:hAnsi="Verdana"/>
                <w:sz w:val="16"/>
                <w:szCs w:val="16"/>
                <w:lang w:val="en-US"/>
              </w:rPr>
              <w:t>of the request.</w:t>
            </w:r>
          </w:p>
        </w:tc>
      </w:tr>
      <w:tr w:rsidR="008A0760" w:rsidRPr="00743A20" w14:paraId="61CB3CDB" w14:textId="77777777" w:rsidTr="00A66C6A">
        <w:tc>
          <w:tcPr>
            <w:tcW w:w="4788" w:type="dxa"/>
            <w:shd w:val="clear" w:color="auto" w:fill="auto"/>
          </w:tcPr>
          <w:p w14:paraId="1C6E4B69"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5.3.1.</w:t>
            </w:r>
            <w:r w:rsidRPr="00A57824">
              <w:rPr>
                <w:rFonts w:ascii="Verdana" w:hAnsi="Verdana"/>
                <w:sz w:val="16"/>
                <w:szCs w:val="16"/>
              </w:rPr>
              <w:t xml:space="preserve"> En un plazo máximo de 10 días hábiles,</w:t>
            </w:r>
            <w:r w:rsidRPr="00A57824">
              <w:rPr>
                <w:rFonts w:ascii="Verdana" w:hAnsi="Verdana"/>
                <w:b/>
                <w:sz w:val="16"/>
                <w:szCs w:val="16"/>
              </w:rPr>
              <w:t xml:space="preserve"> </w:t>
            </w:r>
            <w:r w:rsidRPr="00A57824">
              <w:rPr>
                <w:rFonts w:ascii="Verdana" w:hAnsi="Verdana"/>
                <w:sz w:val="16"/>
                <w:szCs w:val="16"/>
                <w:lang w:val="es-ES_tradnl"/>
              </w:rPr>
              <w:t>contados a partir de la recepción de la solicitud</w:t>
            </w:r>
            <w:r w:rsidRPr="00A57824">
              <w:rPr>
                <w:rFonts w:ascii="Verdana" w:hAnsi="Verdana"/>
                <w:sz w:val="16"/>
                <w:szCs w:val="16"/>
              </w:rPr>
              <w:t>, la PROFEPA revisará la documentación presentada y en caso de detectar alguna omisión en la misma, prevendrá al interesado en términos de la Ley Federal de Procedimiento Administrativo.</w:t>
            </w:r>
          </w:p>
        </w:tc>
        <w:tc>
          <w:tcPr>
            <w:tcW w:w="4788" w:type="dxa"/>
            <w:shd w:val="clear" w:color="auto" w:fill="auto"/>
          </w:tcPr>
          <w:p w14:paraId="4E4FADCC"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5.3.1.</w:t>
            </w:r>
            <w:r w:rsidRPr="00A57824">
              <w:rPr>
                <w:lang w:val="en-US"/>
              </w:rPr>
              <w:t xml:space="preserve"> </w:t>
            </w:r>
            <w:r w:rsidRPr="00A57824">
              <w:rPr>
                <w:rFonts w:ascii="Verdana" w:hAnsi="Verdana"/>
                <w:sz w:val="16"/>
                <w:szCs w:val="16"/>
                <w:lang w:val="en-US"/>
              </w:rPr>
              <w:t>Within a maximum period of 10 business days,</w:t>
            </w:r>
            <w:r w:rsidRPr="00A57824">
              <w:rPr>
                <w:lang w:val="en-US"/>
              </w:rPr>
              <w:t xml:space="preserve"> </w:t>
            </w:r>
            <w:r w:rsidRPr="00A57824">
              <w:rPr>
                <w:rFonts w:ascii="Verdana" w:hAnsi="Verdana"/>
                <w:sz w:val="16"/>
                <w:szCs w:val="16"/>
                <w:lang w:val="en-US"/>
              </w:rPr>
              <w:t xml:space="preserve">counted from the reception of the application, PROFEPA will review the documentation presented and in case of detecting any omission in it, it will </w:t>
            </w:r>
            <w:r w:rsidR="002D78B5">
              <w:rPr>
                <w:rFonts w:ascii="Verdana" w:hAnsi="Verdana"/>
                <w:sz w:val="16"/>
                <w:szCs w:val="16"/>
                <w:lang w:val="en-US"/>
              </w:rPr>
              <w:t>notify</w:t>
            </w:r>
            <w:r w:rsidRPr="00A57824">
              <w:rPr>
                <w:rFonts w:ascii="Verdana" w:hAnsi="Verdana"/>
                <w:sz w:val="16"/>
                <w:szCs w:val="16"/>
                <w:lang w:val="en-US"/>
              </w:rPr>
              <w:t xml:space="preserve"> the interested party</w:t>
            </w:r>
            <w:r w:rsidR="002D78B5">
              <w:rPr>
                <w:rFonts w:ascii="Verdana" w:hAnsi="Verdana"/>
                <w:sz w:val="16"/>
                <w:szCs w:val="16"/>
                <w:lang w:val="en-US"/>
              </w:rPr>
              <w:t xml:space="preserve"> of additional requirements</w:t>
            </w:r>
            <w:r w:rsidRPr="00A57824">
              <w:rPr>
                <w:rFonts w:ascii="Verdana" w:hAnsi="Verdana"/>
                <w:sz w:val="16"/>
                <w:szCs w:val="16"/>
                <w:lang w:val="en-US"/>
              </w:rPr>
              <w:t xml:space="preserve"> </w:t>
            </w:r>
            <w:r w:rsidR="002D78B5">
              <w:rPr>
                <w:rFonts w:ascii="Verdana" w:hAnsi="Verdana"/>
                <w:sz w:val="16"/>
                <w:szCs w:val="16"/>
                <w:lang w:val="en-US"/>
              </w:rPr>
              <w:t>under the</w:t>
            </w:r>
            <w:r w:rsidRPr="00A57824">
              <w:rPr>
                <w:rFonts w:ascii="Verdana" w:hAnsi="Verdana"/>
                <w:sz w:val="16"/>
                <w:szCs w:val="16"/>
                <w:lang w:val="en-US"/>
              </w:rPr>
              <w:t xml:space="preserve"> terms of the Federal Law of Administrative Procedure.</w:t>
            </w:r>
          </w:p>
        </w:tc>
      </w:tr>
      <w:tr w:rsidR="008A0760" w:rsidRPr="00743A20" w14:paraId="611A9672" w14:textId="77777777" w:rsidTr="00A66C6A">
        <w:tc>
          <w:tcPr>
            <w:tcW w:w="4788" w:type="dxa"/>
            <w:shd w:val="clear" w:color="auto" w:fill="auto"/>
          </w:tcPr>
          <w:p w14:paraId="4CEA7DEA"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5.3.2.</w:t>
            </w:r>
            <w:r w:rsidRPr="00A57824">
              <w:rPr>
                <w:rFonts w:ascii="Verdana" w:hAnsi="Verdana"/>
                <w:sz w:val="16"/>
                <w:szCs w:val="16"/>
              </w:rPr>
              <w:t xml:space="preserve"> Para dar respuesta a la prevención de información, </w:t>
            </w:r>
            <w:r w:rsidRPr="00A57824">
              <w:rPr>
                <w:rFonts w:ascii="Verdana" w:hAnsi="Verdana"/>
                <w:sz w:val="16"/>
                <w:szCs w:val="16"/>
                <w:lang w:val="es-ES_tradnl"/>
              </w:rPr>
              <w:t>el interesado contará con un plazo máximo de 15 días hábiles, contados a partir del día siguiente en el que la autoridad le efectúe la notificación correspondiente;</w:t>
            </w:r>
            <w:r w:rsidRPr="00A57824">
              <w:rPr>
                <w:rFonts w:ascii="Verdana" w:hAnsi="Verdana"/>
                <w:sz w:val="16"/>
                <w:szCs w:val="16"/>
              </w:rPr>
              <w:t xml:space="preserve"> en este caso, el plazo para que la PROFEPA resuelva el trámite, se suspenderá y se reanudará al día hábil inmediato siguiente a aquel en el que el interesado conteste </w:t>
            </w:r>
            <w:r w:rsidRPr="00A57824">
              <w:rPr>
                <w:rFonts w:ascii="Verdana" w:hAnsi="Verdana"/>
                <w:sz w:val="16"/>
                <w:szCs w:val="16"/>
                <w:lang w:val="es-ES_tradnl"/>
              </w:rPr>
              <w:t>la prevención de información</w:t>
            </w:r>
            <w:r w:rsidRPr="00A57824">
              <w:rPr>
                <w:rFonts w:ascii="Verdana" w:hAnsi="Verdana"/>
                <w:sz w:val="16"/>
                <w:szCs w:val="16"/>
              </w:rPr>
              <w:t>.</w:t>
            </w:r>
          </w:p>
        </w:tc>
        <w:tc>
          <w:tcPr>
            <w:tcW w:w="4788" w:type="dxa"/>
            <w:shd w:val="clear" w:color="auto" w:fill="auto"/>
          </w:tcPr>
          <w:p w14:paraId="5AED6A79"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5.3.2.</w:t>
            </w:r>
            <w:r w:rsidRPr="00A57824">
              <w:rPr>
                <w:lang w:val="en-US"/>
              </w:rPr>
              <w:t xml:space="preserve"> </w:t>
            </w:r>
            <w:r w:rsidRPr="00A57824">
              <w:rPr>
                <w:rFonts w:ascii="Verdana" w:hAnsi="Verdana"/>
                <w:sz w:val="16"/>
                <w:szCs w:val="16"/>
                <w:lang w:val="en-US"/>
              </w:rPr>
              <w:t>To respond to the prevention of information,</w:t>
            </w:r>
            <w:r w:rsidRPr="00A57824">
              <w:rPr>
                <w:lang w:val="en-US"/>
              </w:rPr>
              <w:t xml:space="preserve"> </w:t>
            </w:r>
            <w:r w:rsidRPr="00A57824">
              <w:rPr>
                <w:rFonts w:ascii="Verdana" w:hAnsi="Verdana"/>
                <w:sz w:val="16"/>
                <w:szCs w:val="16"/>
                <w:lang w:val="en-US"/>
              </w:rPr>
              <w:t>the interested party will have a maximum period</w:t>
            </w:r>
            <w:r w:rsidRPr="00A57824">
              <w:rPr>
                <w:lang w:val="en-US"/>
              </w:rPr>
              <w:t xml:space="preserve"> </w:t>
            </w:r>
            <w:r w:rsidRPr="00A57824">
              <w:rPr>
                <w:rFonts w:ascii="Verdana" w:hAnsi="Verdana"/>
                <w:sz w:val="16"/>
                <w:szCs w:val="16"/>
                <w:lang w:val="en-US"/>
              </w:rPr>
              <w:t>of 15 working days, counted from the next day on which the authority makes the corresponding notification;</w:t>
            </w:r>
            <w:r w:rsidRPr="00A57824">
              <w:rPr>
                <w:lang w:val="en-US"/>
              </w:rPr>
              <w:t xml:space="preserve"> </w:t>
            </w:r>
            <w:r w:rsidRPr="00A57824">
              <w:rPr>
                <w:rFonts w:ascii="Verdana" w:hAnsi="Verdana"/>
                <w:sz w:val="16"/>
                <w:szCs w:val="16"/>
                <w:lang w:val="en-US"/>
              </w:rPr>
              <w:t>in this case, the deadline for PROFEPA to resolve the procedure will be suspended and resumed on the business day immediately following that in which the interested party responds to</w:t>
            </w:r>
            <w:r w:rsidRPr="00A57824">
              <w:rPr>
                <w:lang w:val="en-US"/>
              </w:rPr>
              <w:t xml:space="preserve"> </w:t>
            </w:r>
            <w:r w:rsidRPr="00A57824">
              <w:rPr>
                <w:rFonts w:ascii="Verdana" w:hAnsi="Verdana"/>
                <w:sz w:val="16"/>
                <w:szCs w:val="16"/>
                <w:lang w:val="en-US"/>
              </w:rPr>
              <w:t>the prevention of information.</w:t>
            </w:r>
          </w:p>
        </w:tc>
      </w:tr>
      <w:tr w:rsidR="008A0760" w:rsidRPr="00743A20" w14:paraId="6A30234B" w14:textId="77777777" w:rsidTr="00A66C6A">
        <w:tc>
          <w:tcPr>
            <w:tcW w:w="4788" w:type="dxa"/>
            <w:shd w:val="clear" w:color="auto" w:fill="auto"/>
          </w:tcPr>
          <w:p w14:paraId="540A823B"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5.3.3.</w:t>
            </w:r>
            <w:r w:rsidRPr="00A57824">
              <w:rPr>
                <w:rFonts w:ascii="Verdana" w:hAnsi="Verdana"/>
                <w:sz w:val="16"/>
                <w:szCs w:val="16"/>
                <w:lang w:val="es-ES_tradnl"/>
              </w:rPr>
              <w:t xml:space="preserve"> En caso de que el particular no dé respuesta a la prevención en el plazo indicado, el trámite será desechado.</w:t>
            </w:r>
          </w:p>
        </w:tc>
        <w:tc>
          <w:tcPr>
            <w:tcW w:w="4788" w:type="dxa"/>
            <w:shd w:val="clear" w:color="auto" w:fill="auto"/>
          </w:tcPr>
          <w:p w14:paraId="32330413"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5.3.3.</w:t>
            </w:r>
            <w:r w:rsidRPr="00A57824">
              <w:rPr>
                <w:lang w:val="en-US"/>
              </w:rPr>
              <w:t xml:space="preserve"> </w:t>
            </w:r>
            <w:r w:rsidRPr="00A57824">
              <w:rPr>
                <w:rFonts w:ascii="Verdana" w:hAnsi="Verdana"/>
                <w:sz w:val="16"/>
                <w:szCs w:val="16"/>
                <w:lang w:val="en-US"/>
              </w:rPr>
              <w:t>In case the individual does not respond to the prevention within the indicated period, the procedure will be discarded.</w:t>
            </w:r>
          </w:p>
        </w:tc>
      </w:tr>
      <w:tr w:rsidR="008A0760" w:rsidRPr="00743A20" w14:paraId="464603FC" w14:textId="77777777" w:rsidTr="00A66C6A">
        <w:tc>
          <w:tcPr>
            <w:tcW w:w="4788" w:type="dxa"/>
            <w:shd w:val="clear" w:color="auto" w:fill="auto"/>
          </w:tcPr>
          <w:p w14:paraId="53C6DEA5"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5.3.4.</w:t>
            </w:r>
            <w:r w:rsidRPr="00A57824">
              <w:rPr>
                <w:rFonts w:ascii="Verdana" w:hAnsi="Verdana"/>
                <w:sz w:val="16"/>
                <w:szCs w:val="16"/>
                <w:lang w:val="es-ES_tradnl"/>
              </w:rPr>
              <w:t xml:space="preserve"> Si concluido el plazo de resolución del trámite de 30 días hábiles, la PROFEPA no emite respuesta, se entenderá que la solicitud procedió y expedirá el Certificado NOM correspondiente.</w:t>
            </w:r>
          </w:p>
        </w:tc>
        <w:tc>
          <w:tcPr>
            <w:tcW w:w="4788" w:type="dxa"/>
            <w:shd w:val="clear" w:color="auto" w:fill="auto"/>
          </w:tcPr>
          <w:p w14:paraId="0F583716"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5.3.4.</w:t>
            </w:r>
            <w:r w:rsidRPr="00A57824">
              <w:rPr>
                <w:lang w:val="en-US"/>
              </w:rPr>
              <w:t xml:space="preserve"> </w:t>
            </w:r>
            <w:r w:rsidRPr="00A57824">
              <w:rPr>
                <w:rFonts w:ascii="Verdana" w:hAnsi="Verdana"/>
                <w:sz w:val="16"/>
                <w:szCs w:val="16"/>
                <w:lang w:val="en-US"/>
              </w:rPr>
              <w:t>If the deadline for resolving the 30-business-day process has expired, PROFEPA does not issue a response, it will be understood that the application proceeded and will issue the corresponding NOM Certificate.</w:t>
            </w:r>
          </w:p>
        </w:tc>
      </w:tr>
      <w:tr w:rsidR="008A0760" w:rsidRPr="00743A20" w14:paraId="14FCA9B3" w14:textId="77777777" w:rsidTr="00A66C6A">
        <w:tc>
          <w:tcPr>
            <w:tcW w:w="4788" w:type="dxa"/>
            <w:shd w:val="clear" w:color="auto" w:fill="auto"/>
          </w:tcPr>
          <w:p w14:paraId="0713AED8"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5.4.</w:t>
            </w:r>
            <w:r w:rsidRPr="00A57824">
              <w:rPr>
                <w:rFonts w:ascii="Verdana" w:hAnsi="Verdana"/>
                <w:sz w:val="16"/>
                <w:szCs w:val="16"/>
              </w:rPr>
              <w:t xml:space="preserve"> Los Certificados NOM tendrán como vigencia el tiempo en que se comercialicen los motores nuevos a diésel y los vehículos automotores nuevos a diésel que cumplan con lo dispuesto en la presente norma oficial mexicana.</w:t>
            </w:r>
          </w:p>
        </w:tc>
        <w:tc>
          <w:tcPr>
            <w:tcW w:w="4788" w:type="dxa"/>
            <w:shd w:val="clear" w:color="auto" w:fill="auto"/>
          </w:tcPr>
          <w:p w14:paraId="19275536"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5.4.</w:t>
            </w:r>
            <w:r w:rsidRPr="00A57824">
              <w:rPr>
                <w:lang w:val="en-US"/>
              </w:rPr>
              <w:t xml:space="preserve"> </w:t>
            </w:r>
            <w:r w:rsidRPr="00A57824">
              <w:rPr>
                <w:rFonts w:ascii="Verdana" w:hAnsi="Verdana"/>
                <w:sz w:val="16"/>
                <w:szCs w:val="16"/>
                <w:lang w:val="en-US"/>
              </w:rPr>
              <w:t xml:space="preserve">The NOM Certificates </w:t>
            </w:r>
            <w:r w:rsidR="002D78B5">
              <w:rPr>
                <w:rFonts w:ascii="Verdana" w:hAnsi="Verdana"/>
                <w:sz w:val="16"/>
                <w:szCs w:val="16"/>
                <w:lang w:val="en-US"/>
              </w:rPr>
              <w:t>will be valid</w:t>
            </w:r>
            <w:r w:rsidRPr="00A57824">
              <w:rPr>
                <w:rFonts w:ascii="Verdana" w:hAnsi="Verdana"/>
                <w:sz w:val="16"/>
                <w:szCs w:val="16"/>
                <w:lang w:val="en-US"/>
              </w:rPr>
              <w:t xml:space="preserve"> the time in which new diesel engines and new diesel vehicles that comply with the provisions of this </w:t>
            </w:r>
            <w:r w:rsidR="00735A37">
              <w:rPr>
                <w:rFonts w:ascii="Verdana" w:hAnsi="Verdana"/>
                <w:sz w:val="16"/>
                <w:szCs w:val="16"/>
                <w:lang w:val="en-US"/>
              </w:rPr>
              <w:t>Official Mexican Standard</w:t>
            </w:r>
            <w:r w:rsidRPr="00A57824">
              <w:rPr>
                <w:rFonts w:ascii="Verdana" w:hAnsi="Verdana"/>
                <w:sz w:val="16"/>
                <w:szCs w:val="16"/>
                <w:lang w:val="en-US"/>
              </w:rPr>
              <w:t xml:space="preserve"> are commercial</w:t>
            </w:r>
            <w:r w:rsidR="002D78B5">
              <w:rPr>
                <w:rFonts w:ascii="Verdana" w:hAnsi="Verdana"/>
                <w:sz w:val="16"/>
                <w:szCs w:val="16"/>
                <w:lang w:val="en-US"/>
              </w:rPr>
              <w:t xml:space="preserve">ly distributed. </w:t>
            </w:r>
          </w:p>
        </w:tc>
      </w:tr>
      <w:tr w:rsidR="008A0760" w:rsidRPr="00A57824" w14:paraId="33CD5195" w14:textId="77777777" w:rsidTr="00A66C6A">
        <w:tc>
          <w:tcPr>
            <w:tcW w:w="4788" w:type="dxa"/>
            <w:shd w:val="clear" w:color="auto" w:fill="auto"/>
          </w:tcPr>
          <w:p w14:paraId="3C06EA88" w14:textId="77777777" w:rsidR="008A0760" w:rsidRPr="00A57824" w:rsidRDefault="008A0760" w:rsidP="00A66C6A">
            <w:pPr>
              <w:pStyle w:val="Texto"/>
              <w:spacing w:line="276" w:lineRule="auto"/>
              <w:ind w:firstLine="0"/>
              <w:rPr>
                <w:rFonts w:ascii="Verdana" w:hAnsi="Verdana"/>
                <w:b/>
                <w:sz w:val="16"/>
                <w:szCs w:val="16"/>
              </w:rPr>
            </w:pPr>
            <w:r w:rsidRPr="00A57824">
              <w:rPr>
                <w:rFonts w:ascii="Verdana" w:hAnsi="Verdana"/>
                <w:b/>
                <w:sz w:val="16"/>
                <w:szCs w:val="16"/>
              </w:rPr>
              <w:t>6.</w:t>
            </w:r>
            <w:r w:rsidRPr="00A57824">
              <w:rPr>
                <w:rFonts w:ascii="Verdana" w:hAnsi="Verdana"/>
                <w:b/>
                <w:sz w:val="16"/>
                <w:szCs w:val="16"/>
              </w:rPr>
              <w:tab/>
              <w:t>CONCORDANCIA CON NORMAS INTERNACIONALES</w:t>
            </w:r>
          </w:p>
        </w:tc>
        <w:tc>
          <w:tcPr>
            <w:tcW w:w="4788" w:type="dxa"/>
            <w:shd w:val="clear" w:color="auto" w:fill="auto"/>
          </w:tcPr>
          <w:p w14:paraId="70602737" w14:textId="77777777" w:rsidR="008A0760" w:rsidRPr="00844E0D" w:rsidRDefault="008A0760" w:rsidP="00A66C6A">
            <w:pPr>
              <w:spacing w:after="101" w:line="276" w:lineRule="auto"/>
              <w:jc w:val="both"/>
            </w:pPr>
            <w:r w:rsidRPr="00A57824">
              <w:rPr>
                <w:rFonts w:ascii="Verdana" w:hAnsi="Verdana"/>
                <w:b/>
                <w:bCs/>
                <w:sz w:val="16"/>
                <w:szCs w:val="16"/>
              </w:rPr>
              <w:t>6</w:t>
            </w:r>
            <w:r w:rsidRPr="00844E0D">
              <w:t xml:space="preserve"> </w:t>
            </w:r>
            <w:r w:rsidRPr="00A57824">
              <w:rPr>
                <w:rFonts w:ascii="Verdana" w:hAnsi="Verdana"/>
                <w:b/>
                <w:bCs/>
                <w:sz w:val="16"/>
                <w:szCs w:val="16"/>
              </w:rPr>
              <w:t>              CONCORDANCE WITH INTERNATIONAL STANDARDS</w:t>
            </w:r>
          </w:p>
        </w:tc>
      </w:tr>
      <w:tr w:rsidR="008A0760" w:rsidRPr="00743A20" w14:paraId="2A3351A6" w14:textId="77777777" w:rsidTr="00A66C6A">
        <w:tc>
          <w:tcPr>
            <w:tcW w:w="4788" w:type="dxa"/>
            <w:shd w:val="clear" w:color="auto" w:fill="auto"/>
          </w:tcPr>
          <w:p w14:paraId="66BF8A7B"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Esta Norma Oficial Mexicana no es equivalente (NEQ) con ninguna Norma Internacional, por no existir esta última al momento de su elaboración.</w:t>
            </w:r>
          </w:p>
        </w:tc>
        <w:tc>
          <w:tcPr>
            <w:tcW w:w="4788" w:type="dxa"/>
            <w:shd w:val="clear" w:color="auto" w:fill="auto"/>
          </w:tcPr>
          <w:p w14:paraId="5D308A37"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 xml:space="preserve">This Official Mexican Standard is not equivalent with any International Standard, since the latter does not exist at the time of its </w:t>
            </w:r>
            <w:r w:rsidR="00A341BE">
              <w:rPr>
                <w:rFonts w:ascii="Verdana" w:hAnsi="Verdana"/>
                <w:sz w:val="16"/>
                <w:szCs w:val="16"/>
                <w:lang w:val="en-US"/>
              </w:rPr>
              <w:t>preparation</w:t>
            </w:r>
            <w:r w:rsidRPr="00A57824">
              <w:rPr>
                <w:rFonts w:ascii="Verdana" w:hAnsi="Verdana"/>
                <w:sz w:val="16"/>
                <w:szCs w:val="16"/>
                <w:lang w:val="en-US"/>
              </w:rPr>
              <w:t>.</w:t>
            </w:r>
          </w:p>
        </w:tc>
      </w:tr>
      <w:tr w:rsidR="008A0760" w:rsidRPr="00A57824" w14:paraId="473B0D2E" w14:textId="77777777" w:rsidTr="00A66C6A">
        <w:tc>
          <w:tcPr>
            <w:tcW w:w="4788" w:type="dxa"/>
            <w:shd w:val="clear" w:color="auto" w:fill="auto"/>
          </w:tcPr>
          <w:p w14:paraId="0DD015D7" w14:textId="77777777" w:rsidR="008A0760" w:rsidRPr="00A57824" w:rsidRDefault="008A0760" w:rsidP="00A66C6A">
            <w:pPr>
              <w:pStyle w:val="Texto"/>
              <w:spacing w:line="276" w:lineRule="auto"/>
              <w:ind w:firstLine="0"/>
              <w:rPr>
                <w:rFonts w:ascii="Verdana" w:hAnsi="Verdana"/>
                <w:b/>
                <w:sz w:val="16"/>
                <w:szCs w:val="16"/>
              </w:rPr>
            </w:pPr>
            <w:r w:rsidRPr="00A57824">
              <w:rPr>
                <w:rFonts w:ascii="Verdana" w:hAnsi="Verdana"/>
                <w:b/>
                <w:sz w:val="16"/>
                <w:szCs w:val="16"/>
              </w:rPr>
              <w:t>7.</w:t>
            </w:r>
            <w:r w:rsidRPr="00A57824">
              <w:rPr>
                <w:rFonts w:ascii="Verdana" w:hAnsi="Verdana"/>
                <w:b/>
                <w:sz w:val="16"/>
                <w:szCs w:val="16"/>
              </w:rPr>
              <w:tab/>
              <w:t>BIBLIOGRAFÍA</w:t>
            </w:r>
          </w:p>
        </w:tc>
        <w:tc>
          <w:tcPr>
            <w:tcW w:w="4788" w:type="dxa"/>
            <w:shd w:val="clear" w:color="auto" w:fill="auto"/>
          </w:tcPr>
          <w:p w14:paraId="02E285FE" w14:textId="77777777" w:rsidR="008A0760" w:rsidRPr="00844E0D" w:rsidRDefault="002D78B5" w:rsidP="00A66C6A">
            <w:pPr>
              <w:spacing w:after="101" w:line="276" w:lineRule="auto"/>
              <w:jc w:val="both"/>
            </w:pPr>
            <w:r>
              <w:rPr>
                <w:rFonts w:ascii="Verdana" w:hAnsi="Verdana"/>
                <w:b/>
                <w:bCs/>
                <w:sz w:val="16"/>
                <w:szCs w:val="16"/>
              </w:rPr>
              <w:t>7.</w:t>
            </w:r>
            <w:r w:rsidR="008A0760" w:rsidRPr="00A57824">
              <w:rPr>
                <w:rFonts w:ascii="Verdana" w:hAnsi="Verdana"/>
                <w:b/>
                <w:bCs/>
                <w:sz w:val="16"/>
                <w:szCs w:val="16"/>
              </w:rPr>
              <w:t>              BIBLIOGRAPHY</w:t>
            </w:r>
          </w:p>
        </w:tc>
      </w:tr>
      <w:tr w:rsidR="008A0760" w:rsidRPr="00743A20" w14:paraId="3321772B" w14:textId="77777777" w:rsidTr="00A66C6A">
        <w:tc>
          <w:tcPr>
            <w:tcW w:w="4788" w:type="dxa"/>
            <w:shd w:val="clear" w:color="auto" w:fill="auto"/>
          </w:tcPr>
          <w:p w14:paraId="3F75887D" w14:textId="77777777" w:rsidR="008A0760" w:rsidRPr="00A57824" w:rsidRDefault="008A0760" w:rsidP="00A66C6A">
            <w:pPr>
              <w:pStyle w:val="Texto"/>
              <w:numPr>
                <w:ilvl w:val="0"/>
                <w:numId w:val="6"/>
              </w:numPr>
              <w:spacing w:line="276" w:lineRule="auto"/>
              <w:ind w:left="648"/>
              <w:rPr>
                <w:rFonts w:ascii="Verdana" w:hAnsi="Verdana"/>
                <w:sz w:val="16"/>
                <w:szCs w:val="16"/>
              </w:rPr>
            </w:pPr>
            <w:r w:rsidRPr="00A57824">
              <w:rPr>
                <w:rFonts w:ascii="Verdana" w:hAnsi="Verdana"/>
                <w:sz w:val="16"/>
                <w:szCs w:val="16"/>
              </w:rPr>
              <w:t>NMX-Z-013-SCFI-2015, Guía para la estructuración y redacción de normas (Cancela a la NMX-Z-013/1-1977), Declaratoria de vigencia publicada en el Diario Oficial de la Federación el 18 de diciembre de 2015.</w:t>
            </w:r>
          </w:p>
        </w:tc>
        <w:tc>
          <w:tcPr>
            <w:tcW w:w="4788" w:type="dxa"/>
            <w:shd w:val="clear" w:color="auto" w:fill="auto"/>
          </w:tcPr>
          <w:p w14:paraId="1B01E7AC" w14:textId="77777777" w:rsidR="008A0760" w:rsidRPr="00A57824" w:rsidRDefault="008A0760" w:rsidP="00A66C6A">
            <w:pPr>
              <w:numPr>
                <w:ilvl w:val="0"/>
                <w:numId w:val="14"/>
              </w:numPr>
              <w:spacing w:after="101" w:line="276" w:lineRule="auto"/>
              <w:ind w:left="432" w:firstLine="0"/>
              <w:jc w:val="both"/>
              <w:rPr>
                <w:sz w:val="16"/>
                <w:szCs w:val="16"/>
                <w:lang w:val="en-US"/>
              </w:rPr>
            </w:pPr>
            <w:r w:rsidRPr="00A57824">
              <w:rPr>
                <w:rFonts w:ascii="Verdana" w:hAnsi="Verdana"/>
                <w:sz w:val="16"/>
                <w:szCs w:val="16"/>
                <w:lang w:val="en-US"/>
              </w:rPr>
              <w:t xml:space="preserve">NMX-Z-013-SCFI-2015, Guide for structuring and drafting standards (Cancels NMX-Z-013 / 1-1977), Declaration of validity published in the Official </w:t>
            </w:r>
            <w:r w:rsidR="00735A37">
              <w:rPr>
                <w:rFonts w:ascii="Verdana" w:hAnsi="Verdana"/>
                <w:sz w:val="16"/>
                <w:szCs w:val="16"/>
                <w:lang w:val="en-US"/>
              </w:rPr>
              <w:t>Daily</w:t>
            </w:r>
            <w:r w:rsidRPr="00A57824">
              <w:rPr>
                <w:rFonts w:ascii="Verdana" w:hAnsi="Verdana"/>
                <w:sz w:val="16"/>
                <w:szCs w:val="16"/>
                <w:lang w:val="en-US"/>
              </w:rPr>
              <w:t xml:space="preserve"> of the Federation on December 18, 2015.</w:t>
            </w:r>
          </w:p>
        </w:tc>
      </w:tr>
      <w:tr w:rsidR="008A0760" w:rsidRPr="00743A20" w14:paraId="4CE685AD" w14:textId="77777777" w:rsidTr="00A66C6A">
        <w:tc>
          <w:tcPr>
            <w:tcW w:w="4788" w:type="dxa"/>
            <w:shd w:val="clear" w:color="auto" w:fill="auto"/>
          </w:tcPr>
          <w:p w14:paraId="25E5839D" w14:textId="77777777" w:rsidR="008A0760" w:rsidRPr="00A57824" w:rsidRDefault="008A0760" w:rsidP="00A66C6A">
            <w:pPr>
              <w:pStyle w:val="Texto"/>
              <w:numPr>
                <w:ilvl w:val="0"/>
                <w:numId w:val="6"/>
              </w:numPr>
              <w:spacing w:line="276" w:lineRule="auto"/>
              <w:ind w:left="648"/>
              <w:rPr>
                <w:rFonts w:ascii="Verdana" w:hAnsi="Verdana"/>
                <w:sz w:val="16"/>
                <w:szCs w:val="16"/>
                <w:lang w:val="en-US"/>
              </w:rPr>
            </w:pPr>
            <w:r w:rsidRPr="00A57824">
              <w:rPr>
                <w:rFonts w:ascii="Verdana" w:hAnsi="Verdana"/>
                <w:sz w:val="16"/>
                <w:szCs w:val="16"/>
                <w:lang w:val="en-US"/>
              </w:rPr>
              <w:lastRenderedPageBreak/>
              <w:t>ISO 22241-1:2006(en) Diesel engines-NOx reduction agent AUS 32-Part 1: Quality requirements.</w:t>
            </w:r>
          </w:p>
        </w:tc>
        <w:tc>
          <w:tcPr>
            <w:tcW w:w="4788" w:type="dxa"/>
            <w:shd w:val="clear" w:color="auto" w:fill="auto"/>
          </w:tcPr>
          <w:p w14:paraId="70F6F373" w14:textId="77777777" w:rsidR="008A0760" w:rsidRPr="00A57824" w:rsidRDefault="008A0760" w:rsidP="00A66C6A">
            <w:pPr>
              <w:numPr>
                <w:ilvl w:val="0"/>
                <w:numId w:val="15"/>
              </w:numPr>
              <w:spacing w:after="101" w:line="276" w:lineRule="auto"/>
              <w:ind w:left="432" w:firstLine="0"/>
              <w:jc w:val="both"/>
              <w:rPr>
                <w:sz w:val="16"/>
                <w:szCs w:val="16"/>
                <w:lang w:val="en-US"/>
              </w:rPr>
            </w:pPr>
            <w:r w:rsidRPr="00A57824">
              <w:rPr>
                <w:rFonts w:ascii="Verdana" w:hAnsi="Verdana"/>
                <w:sz w:val="16"/>
                <w:szCs w:val="16"/>
                <w:lang w:val="en-US"/>
              </w:rPr>
              <w:t>ISO 22241-1: 2006 Diesel engines-NOx reduction agent AUS 32-Part 1: Quality requirements.</w:t>
            </w:r>
          </w:p>
        </w:tc>
      </w:tr>
      <w:tr w:rsidR="008A0760" w:rsidRPr="00743A20" w14:paraId="0AE493B2" w14:textId="77777777" w:rsidTr="00A66C6A">
        <w:tc>
          <w:tcPr>
            <w:tcW w:w="4788" w:type="dxa"/>
            <w:shd w:val="clear" w:color="auto" w:fill="auto"/>
          </w:tcPr>
          <w:p w14:paraId="42A32446" w14:textId="77777777" w:rsidR="008A0760" w:rsidRPr="00A57824" w:rsidRDefault="008A0760" w:rsidP="00A66C6A">
            <w:pPr>
              <w:pStyle w:val="Texto"/>
              <w:numPr>
                <w:ilvl w:val="0"/>
                <w:numId w:val="6"/>
              </w:numPr>
              <w:spacing w:line="276" w:lineRule="auto"/>
              <w:ind w:left="648"/>
              <w:rPr>
                <w:rFonts w:ascii="Verdana" w:hAnsi="Verdana"/>
                <w:sz w:val="16"/>
                <w:szCs w:val="16"/>
              </w:rPr>
            </w:pPr>
            <w:r w:rsidRPr="00A57824">
              <w:rPr>
                <w:rFonts w:ascii="Verdana" w:hAnsi="Verdana"/>
                <w:sz w:val="16"/>
                <w:szCs w:val="16"/>
              </w:rPr>
              <w:t>Código Federal de Regulaciones de la Agencia de Protección Ambiental de los Estados Unidos de América, Título 40 (CFR 40), Partes 69, 80, 85, 86, 89, 90, 1027, 1033, 1042, 1048, 1054, 1060, 1065, 1066 y 1068 revisado en abril de 2009, por la Agencia de Protección Ambiental de los Estados Unidos de América.</w:t>
            </w:r>
          </w:p>
        </w:tc>
        <w:tc>
          <w:tcPr>
            <w:tcW w:w="4788" w:type="dxa"/>
            <w:shd w:val="clear" w:color="auto" w:fill="auto"/>
          </w:tcPr>
          <w:p w14:paraId="07B376E3" w14:textId="77777777" w:rsidR="008A0760" w:rsidRPr="00A57824" w:rsidRDefault="008A0760" w:rsidP="00A66C6A">
            <w:pPr>
              <w:numPr>
                <w:ilvl w:val="0"/>
                <w:numId w:val="16"/>
              </w:numPr>
              <w:spacing w:after="101" w:line="276" w:lineRule="auto"/>
              <w:ind w:left="432" w:firstLine="0"/>
              <w:jc w:val="both"/>
              <w:rPr>
                <w:sz w:val="16"/>
                <w:szCs w:val="16"/>
                <w:lang w:val="en-US"/>
              </w:rPr>
            </w:pPr>
            <w:r w:rsidRPr="00A57824">
              <w:rPr>
                <w:rFonts w:ascii="Verdana" w:hAnsi="Verdana"/>
                <w:sz w:val="16"/>
                <w:szCs w:val="16"/>
                <w:lang w:val="en-US"/>
              </w:rPr>
              <w:t>Federal Code of Regulations of the Environmental Protection Agency of the United States of America, Title 40 (CFR 40), Parts 69, 80, 85, 86, 89, 90, 1027, 1033, 1042, 1048, 1054, 1060, 1065, 1066 and 1068 reviewed in April 2009, by the Environmental Protection Agency of the United States of America.</w:t>
            </w:r>
          </w:p>
        </w:tc>
      </w:tr>
      <w:tr w:rsidR="008A0760" w:rsidRPr="00743A20" w14:paraId="207A0B4D" w14:textId="77777777" w:rsidTr="00A66C6A">
        <w:tc>
          <w:tcPr>
            <w:tcW w:w="4788" w:type="dxa"/>
            <w:shd w:val="clear" w:color="auto" w:fill="auto"/>
          </w:tcPr>
          <w:p w14:paraId="7E02D419" w14:textId="77777777" w:rsidR="008A0760" w:rsidRPr="00A57824" w:rsidRDefault="008A0760" w:rsidP="00A66C6A">
            <w:pPr>
              <w:pStyle w:val="Texto"/>
              <w:numPr>
                <w:ilvl w:val="0"/>
                <w:numId w:val="6"/>
              </w:numPr>
              <w:spacing w:line="276" w:lineRule="auto"/>
              <w:ind w:left="648"/>
              <w:rPr>
                <w:rFonts w:ascii="Verdana" w:hAnsi="Verdana"/>
                <w:sz w:val="16"/>
                <w:szCs w:val="16"/>
              </w:rPr>
            </w:pPr>
            <w:r w:rsidRPr="00A57824">
              <w:rPr>
                <w:rFonts w:ascii="Verdana" w:hAnsi="Verdana"/>
                <w:sz w:val="16"/>
                <w:szCs w:val="16"/>
              </w:rPr>
              <w:t>Directivas Europeas 88/77/CEE, 1999/96/EC, 2001/27/EC, 2005/55/EC, 2005/78/EC, 595/2009, Reg 24.03 y sus subsiguientes enmiendas del Parlamento Europeo y del Consejo de la Unión Europea.</w:t>
            </w:r>
          </w:p>
        </w:tc>
        <w:tc>
          <w:tcPr>
            <w:tcW w:w="4788" w:type="dxa"/>
            <w:shd w:val="clear" w:color="auto" w:fill="auto"/>
          </w:tcPr>
          <w:p w14:paraId="4D8FCB60" w14:textId="77777777" w:rsidR="008A0760" w:rsidRPr="00A57824" w:rsidRDefault="008A0760" w:rsidP="00A66C6A">
            <w:pPr>
              <w:numPr>
                <w:ilvl w:val="0"/>
                <w:numId w:val="17"/>
              </w:numPr>
              <w:spacing w:after="101" w:line="276" w:lineRule="auto"/>
              <w:ind w:left="432" w:firstLine="0"/>
              <w:jc w:val="both"/>
              <w:rPr>
                <w:sz w:val="16"/>
                <w:szCs w:val="16"/>
                <w:lang w:val="en-US"/>
              </w:rPr>
            </w:pPr>
            <w:r w:rsidRPr="00A57824">
              <w:rPr>
                <w:rFonts w:ascii="Verdana" w:hAnsi="Verdana"/>
                <w:sz w:val="16"/>
                <w:szCs w:val="16"/>
                <w:lang w:val="en-US"/>
              </w:rPr>
              <w:t xml:space="preserve">European Directives 88/77 / EEC, 1999/96 / EC, 2001/27 / EC, 2005/55 / </w:t>
            </w:r>
            <w:r w:rsidRPr="00A57824">
              <w:rPr>
                <w:rFonts w:ascii="Arial" w:hAnsi="Arial" w:cs="Arial"/>
                <w:sz w:val="16"/>
                <w:szCs w:val="16"/>
                <w:lang w:val="en-US"/>
              </w:rPr>
              <w:t>​​</w:t>
            </w:r>
            <w:r w:rsidRPr="00A57824">
              <w:rPr>
                <w:rFonts w:ascii="Verdana" w:hAnsi="Verdana"/>
                <w:sz w:val="16"/>
                <w:szCs w:val="16"/>
                <w:lang w:val="en-US"/>
              </w:rPr>
              <w:t>EC, 2005/78 / EC, 595/2009, Reg 24.03 and its subsequent amendments of the European Parliament and of the Council of European Union.</w:t>
            </w:r>
          </w:p>
        </w:tc>
      </w:tr>
      <w:tr w:rsidR="008A0760" w:rsidRPr="00743A20" w14:paraId="7F0C4859" w14:textId="77777777" w:rsidTr="00A66C6A">
        <w:tc>
          <w:tcPr>
            <w:tcW w:w="4788" w:type="dxa"/>
            <w:shd w:val="clear" w:color="auto" w:fill="auto"/>
          </w:tcPr>
          <w:p w14:paraId="05105242" w14:textId="77777777" w:rsidR="008A0760" w:rsidRPr="00A57824" w:rsidRDefault="008A0760" w:rsidP="00A66C6A">
            <w:pPr>
              <w:pStyle w:val="Texto"/>
              <w:numPr>
                <w:ilvl w:val="0"/>
                <w:numId w:val="6"/>
              </w:numPr>
              <w:spacing w:line="276" w:lineRule="auto"/>
              <w:ind w:left="648"/>
              <w:rPr>
                <w:rFonts w:ascii="Verdana" w:hAnsi="Verdana"/>
                <w:sz w:val="16"/>
                <w:szCs w:val="16"/>
              </w:rPr>
            </w:pPr>
            <w:r w:rsidRPr="00A57824">
              <w:rPr>
                <w:rFonts w:ascii="Verdana" w:hAnsi="Verdana"/>
                <w:sz w:val="16"/>
                <w:szCs w:val="16"/>
              </w:rPr>
              <w:t>Reglamento (UE) No. 582/2011 de la Comisión, de 25 de mayo de 2011, por el que se aplica y se modifica el Reglamento (CE) No 595/2009 del Parlamento Europeo y del Consejo, relativo a las emisiones de los vehículos pesados (Euro VI) y por el que se modifican los anexos I y II de la Directiva 2007/46/CE del Parlamento Europeo y del Consejo.</w:t>
            </w:r>
          </w:p>
        </w:tc>
        <w:tc>
          <w:tcPr>
            <w:tcW w:w="4788" w:type="dxa"/>
            <w:shd w:val="clear" w:color="auto" w:fill="auto"/>
          </w:tcPr>
          <w:p w14:paraId="5E3053D0" w14:textId="77777777" w:rsidR="008A0760" w:rsidRPr="00A57824" w:rsidRDefault="008A0760" w:rsidP="00A66C6A">
            <w:pPr>
              <w:numPr>
                <w:ilvl w:val="0"/>
                <w:numId w:val="18"/>
              </w:numPr>
              <w:spacing w:after="101" w:line="276" w:lineRule="auto"/>
              <w:ind w:left="432" w:firstLine="0"/>
              <w:jc w:val="both"/>
              <w:rPr>
                <w:sz w:val="16"/>
                <w:szCs w:val="16"/>
                <w:lang w:val="en-US"/>
              </w:rPr>
            </w:pPr>
            <w:r w:rsidRPr="00A57824">
              <w:rPr>
                <w:rFonts w:ascii="Verdana" w:hAnsi="Verdana"/>
                <w:sz w:val="16"/>
                <w:szCs w:val="16"/>
                <w:lang w:val="en-US"/>
              </w:rPr>
              <w:t>Regulation (EU) No. 582/2011 of the Commission of May 25, 2011, by which</w:t>
            </w:r>
            <w:r w:rsidRPr="00A57824">
              <w:rPr>
                <w:sz w:val="16"/>
                <w:szCs w:val="16"/>
                <w:lang w:val="en-US"/>
              </w:rPr>
              <w:t xml:space="preserve"> </w:t>
            </w:r>
            <w:r w:rsidRPr="00A57824">
              <w:rPr>
                <w:rFonts w:ascii="Verdana" w:hAnsi="Verdana"/>
                <w:sz w:val="16"/>
                <w:szCs w:val="16"/>
                <w:lang w:val="en-US"/>
              </w:rPr>
              <w:t>Regulation (EC) No 595/2009 of the European Parliament and of the Council, concerning emissions from heavy vehicles (Euro VI) and amending Annexes I and II of Directive 2007/46/EC of the European Parliament and of the Council.</w:t>
            </w:r>
          </w:p>
        </w:tc>
      </w:tr>
      <w:tr w:rsidR="008A0760" w:rsidRPr="00A57824" w14:paraId="0F334D1E" w14:textId="77777777" w:rsidTr="00A66C6A">
        <w:tc>
          <w:tcPr>
            <w:tcW w:w="4788" w:type="dxa"/>
            <w:shd w:val="clear" w:color="auto" w:fill="auto"/>
          </w:tcPr>
          <w:p w14:paraId="15406CDB" w14:textId="77777777" w:rsidR="008A0760" w:rsidRPr="00A57824" w:rsidRDefault="008A0760" w:rsidP="00A66C6A">
            <w:pPr>
              <w:pStyle w:val="Texto"/>
              <w:spacing w:line="276" w:lineRule="auto"/>
              <w:ind w:firstLine="0"/>
              <w:rPr>
                <w:rFonts w:ascii="Verdana" w:hAnsi="Verdana"/>
                <w:b/>
                <w:sz w:val="16"/>
                <w:szCs w:val="16"/>
              </w:rPr>
            </w:pPr>
            <w:r w:rsidRPr="00A57824">
              <w:rPr>
                <w:rFonts w:ascii="Verdana" w:hAnsi="Verdana"/>
                <w:b/>
                <w:sz w:val="16"/>
                <w:szCs w:val="16"/>
              </w:rPr>
              <w:t>8.</w:t>
            </w:r>
            <w:r w:rsidRPr="00A57824">
              <w:rPr>
                <w:rFonts w:ascii="Verdana" w:hAnsi="Verdana"/>
                <w:b/>
                <w:sz w:val="16"/>
                <w:szCs w:val="16"/>
              </w:rPr>
              <w:tab/>
              <w:t>VIGILANCIA</w:t>
            </w:r>
          </w:p>
        </w:tc>
        <w:tc>
          <w:tcPr>
            <w:tcW w:w="4788" w:type="dxa"/>
            <w:shd w:val="clear" w:color="auto" w:fill="auto"/>
          </w:tcPr>
          <w:p w14:paraId="639CBE09" w14:textId="77777777" w:rsidR="008A0760" w:rsidRPr="00844E0D" w:rsidRDefault="002D78B5" w:rsidP="00A66C6A">
            <w:pPr>
              <w:spacing w:after="101" w:line="276" w:lineRule="auto"/>
              <w:jc w:val="both"/>
            </w:pPr>
            <w:r>
              <w:rPr>
                <w:rFonts w:ascii="Verdana" w:hAnsi="Verdana"/>
                <w:b/>
                <w:bCs/>
                <w:sz w:val="16"/>
                <w:szCs w:val="16"/>
              </w:rPr>
              <w:t>8.</w:t>
            </w:r>
            <w:r w:rsidR="008A0760" w:rsidRPr="00844E0D">
              <w:t xml:space="preserve"> </w:t>
            </w:r>
            <w:r w:rsidR="008A0760" w:rsidRPr="00A57824">
              <w:rPr>
                <w:rFonts w:ascii="Verdana" w:hAnsi="Verdana"/>
                <w:b/>
                <w:bCs/>
                <w:sz w:val="16"/>
                <w:szCs w:val="16"/>
              </w:rPr>
              <w:t xml:space="preserve">              </w:t>
            </w:r>
            <w:r w:rsidR="00A341BE">
              <w:rPr>
                <w:rFonts w:ascii="Verdana" w:hAnsi="Verdana"/>
                <w:b/>
                <w:bCs/>
                <w:sz w:val="16"/>
                <w:szCs w:val="16"/>
              </w:rPr>
              <w:t>OVERSIGHT</w:t>
            </w:r>
          </w:p>
        </w:tc>
      </w:tr>
      <w:tr w:rsidR="008A0760" w:rsidRPr="00743A20" w14:paraId="7976DF48" w14:textId="77777777" w:rsidTr="00A66C6A">
        <w:tc>
          <w:tcPr>
            <w:tcW w:w="4788" w:type="dxa"/>
            <w:shd w:val="clear" w:color="auto" w:fill="auto"/>
          </w:tcPr>
          <w:p w14:paraId="3E223650"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La vigilancia del cumplimiento de la presente Norma Oficial Mexicana corresponde a la Secretaría del Medio Ambiente y Recursos Naturales, a través de la PROFEPA.</w:t>
            </w:r>
          </w:p>
        </w:tc>
        <w:tc>
          <w:tcPr>
            <w:tcW w:w="4788" w:type="dxa"/>
            <w:shd w:val="clear" w:color="auto" w:fill="auto"/>
          </w:tcPr>
          <w:p w14:paraId="418A80AA"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 xml:space="preserve">The </w:t>
            </w:r>
            <w:r w:rsidR="002D78B5">
              <w:rPr>
                <w:rFonts w:ascii="Verdana" w:hAnsi="Verdana"/>
                <w:sz w:val="16"/>
                <w:szCs w:val="16"/>
                <w:lang w:val="en-US"/>
              </w:rPr>
              <w:t>oversight to</w:t>
            </w:r>
            <w:r w:rsidRPr="00A57824">
              <w:rPr>
                <w:rFonts w:ascii="Verdana" w:hAnsi="Verdana"/>
                <w:sz w:val="16"/>
                <w:szCs w:val="16"/>
                <w:lang w:val="en-US"/>
              </w:rPr>
              <w:t xml:space="preserve"> compliance with this Official Mexican Standard corresponds to the </w:t>
            </w:r>
            <w:r w:rsidR="002D78B5">
              <w:rPr>
                <w:rFonts w:ascii="Verdana" w:hAnsi="Verdana"/>
                <w:sz w:val="16"/>
                <w:szCs w:val="16"/>
                <w:lang w:val="en-US"/>
              </w:rPr>
              <w:t>Secretary</w:t>
            </w:r>
            <w:r w:rsidRPr="00A57824">
              <w:rPr>
                <w:rFonts w:ascii="Verdana" w:hAnsi="Verdana"/>
                <w:sz w:val="16"/>
                <w:szCs w:val="16"/>
                <w:lang w:val="en-US"/>
              </w:rPr>
              <w:t xml:space="preserve"> of the Environment and Natural Resources, through PROFEPA.</w:t>
            </w:r>
          </w:p>
        </w:tc>
      </w:tr>
      <w:tr w:rsidR="008A0760" w:rsidRPr="00A57824" w14:paraId="207084F7" w14:textId="77777777" w:rsidTr="00A66C6A">
        <w:tc>
          <w:tcPr>
            <w:tcW w:w="4788" w:type="dxa"/>
            <w:shd w:val="clear" w:color="auto" w:fill="auto"/>
          </w:tcPr>
          <w:p w14:paraId="6060D214" w14:textId="77777777" w:rsidR="008A0760" w:rsidRPr="00A57824" w:rsidRDefault="008A0760" w:rsidP="00A66C6A">
            <w:pPr>
              <w:pStyle w:val="Texto"/>
              <w:spacing w:line="276" w:lineRule="auto"/>
              <w:ind w:firstLine="0"/>
              <w:rPr>
                <w:rFonts w:ascii="Verdana" w:hAnsi="Verdana"/>
                <w:b/>
                <w:sz w:val="16"/>
                <w:szCs w:val="16"/>
              </w:rPr>
            </w:pPr>
            <w:r w:rsidRPr="00A57824">
              <w:rPr>
                <w:rFonts w:ascii="Verdana" w:hAnsi="Verdana"/>
                <w:b/>
                <w:sz w:val="16"/>
                <w:szCs w:val="16"/>
              </w:rPr>
              <w:t>9.</w:t>
            </w:r>
            <w:r w:rsidRPr="00A57824">
              <w:rPr>
                <w:rFonts w:ascii="Verdana" w:hAnsi="Verdana"/>
                <w:b/>
                <w:sz w:val="16"/>
                <w:szCs w:val="16"/>
              </w:rPr>
              <w:tab/>
              <w:t>SANCIONES</w:t>
            </w:r>
          </w:p>
        </w:tc>
        <w:tc>
          <w:tcPr>
            <w:tcW w:w="4788" w:type="dxa"/>
            <w:shd w:val="clear" w:color="auto" w:fill="auto"/>
          </w:tcPr>
          <w:p w14:paraId="7D682C18" w14:textId="77777777" w:rsidR="008A0760" w:rsidRPr="00844E0D" w:rsidRDefault="008A0760" w:rsidP="00A66C6A">
            <w:pPr>
              <w:spacing w:after="101" w:line="276" w:lineRule="auto"/>
              <w:jc w:val="both"/>
            </w:pPr>
            <w:r w:rsidRPr="00A57824">
              <w:rPr>
                <w:rFonts w:ascii="Verdana" w:hAnsi="Verdana"/>
                <w:b/>
                <w:bCs/>
                <w:sz w:val="16"/>
                <w:szCs w:val="16"/>
              </w:rPr>
              <w:t>9.</w:t>
            </w:r>
            <w:r w:rsidRPr="00844E0D">
              <w:t xml:space="preserve"> </w:t>
            </w:r>
            <w:r w:rsidRPr="00A57824">
              <w:rPr>
                <w:rFonts w:ascii="Verdana" w:hAnsi="Verdana"/>
                <w:b/>
                <w:bCs/>
                <w:sz w:val="16"/>
                <w:szCs w:val="16"/>
              </w:rPr>
              <w:t>              SANCTIONS</w:t>
            </w:r>
          </w:p>
        </w:tc>
      </w:tr>
      <w:tr w:rsidR="008A0760" w:rsidRPr="00743A20" w14:paraId="594A9CCD" w14:textId="77777777" w:rsidTr="00A66C6A">
        <w:tc>
          <w:tcPr>
            <w:tcW w:w="4788" w:type="dxa"/>
            <w:shd w:val="clear" w:color="auto" w:fill="auto"/>
          </w:tcPr>
          <w:p w14:paraId="17A9AF1B"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El incumplimiento de esta norma se sancionará de acuerdo a lo establecido en la Ley General del Equilibrio Ecológico y la Protección al Ambiente, su Reglamento en materia de Prevención y Control de la Contaminación de la Atmósfera y los demás ordenamientos jurídicos que resulten aplicables, sin perjuicio de las que impongan otras dependencias del Ejecutivo Federal en el ejercicio de sus funciones.</w:t>
            </w:r>
          </w:p>
        </w:tc>
        <w:tc>
          <w:tcPr>
            <w:tcW w:w="4788" w:type="dxa"/>
            <w:shd w:val="clear" w:color="auto" w:fill="auto"/>
          </w:tcPr>
          <w:p w14:paraId="63AF5B33"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 xml:space="preserve">Failure to comply with this rule will be sanctioned according to the provisions of the </w:t>
            </w:r>
            <w:r w:rsidR="002D78B5">
              <w:rPr>
                <w:rFonts w:ascii="Verdana" w:hAnsi="Verdana"/>
                <w:sz w:val="16"/>
                <w:szCs w:val="16"/>
                <w:lang w:val="en-US"/>
              </w:rPr>
              <w:t>General Law of Ecological Equilibrium and Protection of the Environment</w:t>
            </w:r>
            <w:r w:rsidRPr="00A57824">
              <w:rPr>
                <w:rFonts w:ascii="Verdana" w:hAnsi="Verdana"/>
                <w:sz w:val="16"/>
                <w:szCs w:val="16"/>
                <w:lang w:val="en-US"/>
              </w:rPr>
              <w:t xml:space="preserve">, its Regulation on the Prevention and Control of Atmospheric Pollution and the other legal </w:t>
            </w:r>
            <w:r w:rsidR="002D78B5">
              <w:rPr>
                <w:rFonts w:ascii="Verdana" w:hAnsi="Verdana"/>
                <w:sz w:val="16"/>
                <w:szCs w:val="16"/>
                <w:lang w:val="en-US"/>
              </w:rPr>
              <w:t>instruments</w:t>
            </w:r>
            <w:r w:rsidRPr="00A57824">
              <w:rPr>
                <w:rFonts w:ascii="Verdana" w:hAnsi="Verdana"/>
                <w:sz w:val="16"/>
                <w:szCs w:val="16"/>
                <w:lang w:val="en-US"/>
              </w:rPr>
              <w:t xml:space="preserve"> that may be applicable, without prejudice </w:t>
            </w:r>
            <w:r w:rsidR="002D78B5">
              <w:rPr>
                <w:rFonts w:ascii="Verdana" w:hAnsi="Verdana"/>
                <w:sz w:val="16"/>
                <w:szCs w:val="16"/>
                <w:lang w:val="en-US"/>
              </w:rPr>
              <w:t>to</w:t>
            </w:r>
            <w:r w:rsidRPr="00A57824">
              <w:rPr>
                <w:rFonts w:ascii="Verdana" w:hAnsi="Verdana"/>
                <w:sz w:val="16"/>
                <w:szCs w:val="16"/>
                <w:lang w:val="en-US"/>
              </w:rPr>
              <w:t xml:space="preserve"> those imposed by other </w:t>
            </w:r>
            <w:r w:rsidR="002D78B5">
              <w:rPr>
                <w:rFonts w:ascii="Verdana" w:hAnsi="Verdana"/>
                <w:sz w:val="16"/>
                <w:szCs w:val="16"/>
                <w:lang w:val="en-US"/>
              </w:rPr>
              <w:t>departments</w:t>
            </w:r>
            <w:r w:rsidRPr="00A57824">
              <w:rPr>
                <w:rFonts w:ascii="Verdana" w:hAnsi="Verdana"/>
                <w:sz w:val="16"/>
                <w:szCs w:val="16"/>
                <w:lang w:val="en-US"/>
              </w:rPr>
              <w:t xml:space="preserve"> of the Federal Executive in the exercise of their functions.</w:t>
            </w:r>
          </w:p>
        </w:tc>
      </w:tr>
      <w:tr w:rsidR="008A0760" w:rsidRPr="00A57824" w14:paraId="66F5F834" w14:textId="77777777" w:rsidTr="00A66C6A">
        <w:tc>
          <w:tcPr>
            <w:tcW w:w="4788" w:type="dxa"/>
            <w:shd w:val="clear" w:color="auto" w:fill="auto"/>
          </w:tcPr>
          <w:p w14:paraId="1E6E462E" w14:textId="77777777" w:rsidR="008A0760" w:rsidRPr="00A57824" w:rsidRDefault="008A0760" w:rsidP="00A66C6A">
            <w:pPr>
              <w:pStyle w:val="ANOTACION"/>
              <w:spacing w:line="276" w:lineRule="auto"/>
              <w:jc w:val="both"/>
              <w:rPr>
                <w:rFonts w:ascii="Verdana" w:hAnsi="Verdana"/>
                <w:sz w:val="16"/>
                <w:szCs w:val="16"/>
              </w:rPr>
            </w:pPr>
            <w:r w:rsidRPr="00A57824">
              <w:rPr>
                <w:rFonts w:ascii="Verdana" w:hAnsi="Verdana"/>
                <w:sz w:val="16"/>
                <w:szCs w:val="16"/>
              </w:rPr>
              <w:t>TRANSITORIOS</w:t>
            </w:r>
          </w:p>
        </w:tc>
        <w:tc>
          <w:tcPr>
            <w:tcW w:w="4788" w:type="dxa"/>
            <w:shd w:val="clear" w:color="auto" w:fill="auto"/>
          </w:tcPr>
          <w:p w14:paraId="07872729" w14:textId="77777777" w:rsidR="008A0760" w:rsidRPr="00844E0D" w:rsidRDefault="00A341BE" w:rsidP="00A66C6A">
            <w:pPr>
              <w:spacing w:before="101" w:after="101" w:line="276" w:lineRule="auto"/>
              <w:jc w:val="both"/>
            </w:pPr>
            <w:r>
              <w:rPr>
                <w:rFonts w:ascii="Verdana" w:hAnsi="Verdana"/>
                <w:b/>
                <w:bCs/>
                <w:sz w:val="16"/>
                <w:szCs w:val="16"/>
              </w:rPr>
              <w:t>TRANSITIONAL ARTICLES</w:t>
            </w:r>
          </w:p>
        </w:tc>
      </w:tr>
      <w:tr w:rsidR="008A0760" w:rsidRPr="00743A20" w14:paraId="5B7FD63E" w14:textId="77777777" w:rsidTr="00A66C6A">
        <w:tc>
          <w:tcPr>
            <w:tcW w:w="4788" w:type="dxa"/>
            <w:shd w:val="clear" w:color="auto" w:fill="auto"/>
          </w:tcPr>
          <w:p w14:paraId="053FD875"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PRIMERO.</w:t>
            </w:r>
            <w:r w:rsidRPr="00A57824">
              <w:rPr>
                <w:rFonts w:ascii="Verdana" w:hAnsi="Verdana"/>
                <w:sz w:val="16"/>
                <w:szCs w:val="16"/>
              </w:rPr>
              <w:t xml:space="preserve"> La presente norma oficial mexicana entrará en vigor 60 días naturales después de su publicación en el Diario Oficial de la Federación.</w:t>
            </w:r>
          </w:p>
        </w:tc>
        <w:tc>
          <w:tcPr>
            <w:tcW w:w="4788" w:type="dxa"/>
            <w:shd w:val="clear" w:color="auto" w:fill="auto"/>
          </w:tcPr>
          <w:p w14:paraId="7D5FB3C0"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FIRST.</w:t>
            </w:r>
            <w:r w:rsidRPr="00A57824">
              <w:rPr>
                <w:lang w:val="en-US"/>
              </w:rPr>
              <w:t xml:space="preserve"> </w:t>
            </w:r>
            <w:r w:rsidR="00A66C6A">
              <w:rPr>
                <w:rFonts w:ascii="Verdana" w:hAnsi="Verdana"/>
                <w:sz w:val="16"/>
                <w:szCs w:val="16"/>
                <w:lang w:val="en-US"/>
              </w:rPr>
              <w:t>This</w:t>
            </w:r>
            <w:r w:rsidRPr="00A57824">
              <w:rPr>
                <w:rFonts w:ascii="Verdana" w:hAnsi="Verdana"/>
                <w:sz w:val="16"/>
                <w:szCs w:val="16"/>
                <w:lang w:val="en-US"/>
              </w:rPr>
              <w:t xml:space="preserve"> </w:t>
            </w:r>
            <w:r w:rsidR="00735A37">
              <w:rPr>
                <w:rFonts w:ascii="Verdana" w:hAnsi="Verdana"/>
                <w:sz w:val="16"/>
                <w:szCs w:val="16"/>
                <w:lang w:val="en-US"/>
              </w:rPr>
              <w:t>Official Mexican Standard</w:t>
            </w:r>
            <w:r w:rsidRPr="00A57824">
              <w:rPr>
                <w:rFonts w:ascii="Verdana" w:hAnsi="Verdana"/>
                <w:sz w:val="16"/>
                <w:szCs w:val="16"/>
                <w:lang w:val="en-US"/>
              </w:rPr>
              <w:t xml:space="preserve"> will take effect 60 calendar days after its publication in the Official </w:t>
            </w:r>
            <w:r w:rsidR="00735A37">
              <w:rPr>
                <w:rFonts w:ascii="Verdana" w:hAnsi="Verdana"/>
                <w:sz w:val="16"/>
                <w:szCs w:val="16"/>
                <w:lang w:val="en-US"/>
              </w:rPr>
              <w:t>Daily</w:t>
            </w:r>
            <w:r w:rsidRPr="00A57824">
              <w:rPr>
                <w:rFonts w:ascii="Verdana" w:hAnsi="Verdana"/>
                <w:sz w:val="16"/>
                <w:szCs w:val="16"/>
                <w:lang w:val="en-US"/>
              </w:rPr>
              <w:t xml:space="preserve"> of the Federation.</w:t>
            </w:r>
          </w:p>
        </w:tc>
      </w:tr>
      <w:tr w:rsidR="008A0760" w:rsidRPr="00743A20" w14:paraId="5C241F66" w14:textId="77777777" w:rsidTr="00A66C6A">
        <w:tc>
          <w:tcPr>
            <w:tcW w:w="4788" w:type="dxa"/>
            <w:shd w:val="clear" w:color="auto" w:fill="auto"/>
          </w:tcPr>
          <w:p w14:paraId="524AEE5A"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t>SEGUNDO.</w:t>
            </w:r>
            <w:r w:rsidRPr="00A57824">
              <w:rPr>
                <w:rFonts w:ascii="Verdana" w:hAnsi="Verdana"/>
                <w:sz w:val="16"/>
                <w:szCs w:val="16"/>
              </w:rPr>
              <w:t xml:space="preserve"> A la entrada en vigor de la presente norma oficial mexicana, se cancela la norma oficial mexicana NOM-044-SEMARNAT-2006, que establece los límites máximos permisibles de emisión de hidrocarburos totales, hidrocarburos no metano, monóxido de carbono, óxidos de nitrógeno, partículas y opacidad de </w:t>
            </w:r>
            <w:r w:rsidRPr="00A57824">
              <w:rPr>
                <w:rFonts w:ascii="Verdana" w:hAnsi="Verdana"/>
                <w:sz w:val="16"/>
                <w:szCs w:val="16"/>
              </w:rPr>
              <w:lastRenderedPageBreak/>
              <w:t>humo provenientes del escape de motores nuevos que usan diésel como combustible, y que se utilizarán para la propulsión de vehículos automotores nuevos con peso bruto vehicular mayor de 3,857 kilogramos, así como para unidades nuevas con peso bruto vehicular mayor a 3,857 kilogramos equipadas con este tipo de motores, publicada en el Diario Oficial de la Federación, el 12 de octubre de 2006.</w:t>
            </w:r>
          </w:p>
        </w:tc>
        <w:tc>
          <w:tcPr>
            <w:tcW w:w="4788" w:type="dxa"/>
            <w:shd w:val="clear" w:color="auto" w:fill="auto"/>
          </w:tcPr>
          <w:p w14:paraId="1FA6C6C4"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lastRenderedPageBreak/>
              <w:t>SECOND.</w:t>
            </w:r>
            <w:r w:rsidRPr="00A57824">
              <w:rPr>
                <w:lang w:val="en-US"/>
              </w:rPr>
              <w:t xml:space="preserve"> </w:t>
            </w:r>
            <w:r w:rsidRPr="00A57824">
              <w:rPr>
                <w:rFonts w:ascii="Verdana" w:hAnsi="Verdana"/>
                <w:sz w:val="16"/>
                <w:szCs w:val="16"/>
                <w:lang w:val="en-US"/>
              </w:rPr>
              <w:t xml:space="preserve">Upon the entry into force of this </w:t>
            </w:r>
            <w:r w:rsidR="00735A37">
              <w:rPr>
                <w:rFonts w:ascii="Verdana" w:hAnsi="Verdana"/>
                <w:sz w:val="16"/>
                <w:szCs w:val="16"/>
                <w:lang w:val="en-US"/>
              </w:rPr>
              <w:t>Official Mexican Standard</w:t>
            </w:r>
            <w:r w:rsidRPr="00A57824">
              <w:rPr>
                <w:rFonts w:ascii="Verdana" w:hAnsi="Verdana"/>
                <w:sz w:val="16"/>
                <w:szCs w:val="16"/>
                <w:lang w:val="en-US"/>
              </w:rPr>
              <w:t xml:space="preserve">, the </w:t>
            </w:r>
            <w:r w:rsidR="001F59CA">
              <w:rPr>
                <w:rFonts w:ascii="Verdana" w:hAnsi="Verdana"/>
                <w:sz w:val="16"/>
                <w:szCs w:val="16"/>
                <w:lang w:val="en-US"/>
              </w:rPr>
              <w:t>Official Mexican Standard</w:t>
            </w:r>
            <w:r w:rsidRPr="00A57824">
              <w:rPr>
                <w:rFonts w:ascii="Verdana" w:hAnsi="Verdana"/>
                <w:sz w:val="16"/>
                <w:szCs w:val="16"/>
                <w:lang w:val="en-US"/>
              </w:rPr>
              <w:t xml:space="preserve"> NOM-044-SEMARNAT-2006 is canceled, which establishes the maximum permissible limits for the emission of total hydrocarbons, non-methane hydrocarbons, carbon monoxide, nitrogen oxides, particles and opacity of </w:t>
            </w:r>
            <w:r w:rsidRPr="00A57824">
              <w:rPr>
                <w:rFonts w:ascii="Verdana" w:hAnsi="Verdana"/>
                <w:sz w:val="16"/>
                <w:szCs w:val="16"/>
                <w:lang w:val="en-US"/>
              </w:rPr>
              <w:lastRenderedPageBreak/>
              <w:t xml:space="preserve">smoke from the exhaust of new engines that use diesel as fuel, and that will be used for the propulsion of new automotive vehicles with gross vehicle weight greater than 3,857 kilograms, as well as for new units with gross vehicle weight greater than 3,857 kilograms equipped with this type of engines, published in the Official </w:t>
            </w:r>
            <w:r w:rsidR="00735A37">
              <w:rPr>
                <w:rFonts w:ascii="Verdana" w:hAnsi="Verdana"/>
                <w:sz w:val="16"/>
                <w:szCs w:val="16"/>
                <w:lang w:val="en-US"/>
              </w:rPr>
              <w:t>Daily</w:t>
            </w:r>
            <w:r w:rsidRPr="00A57824">
              <w:rPr>
                <w:rFonts w:ascii="Verdana" w:hAnsi="Verdana"/>
                <w:sz w:val="16"/>
                <w:szCs w:val="16"/>
                <w:lang w:val="en-US"/>
              </w:rPr>
              <w:t xml:space="preserve"> of the Federation, on October 12, 2006.</w:t>
            </w:r>
          </w:p>
        </w:tc>
      </w:tr>
      <w:tr w:rsidR="008A0760" w:rsidRPr="00743A20" w14:paraId="430BA235" w14:textId="77777777" w:rsidTr="00A66C6A">
        <w:tc>
          <w:tcPr>
            <w:tcW w:w="4788" w:type="dxa"/>
            <w:shd w:val="clear" w:color="auto" w:fill="auto"/>
          </w:tcPr>
          <w:p w14:paraId="70D56FDB"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rPr>
              <w:lastRenderedPageBreak/>
              <w:t xml:space="preserve">TERCERO. </w:t>
            </w:r>
            <w:r w:rsidRPr="00A57824">
              <w:rPr>
                <w:rFonts w:ascii="Verdana" w:hAnsi="Verdana"/>
                <w:sz w:val="16"/>
                <w:szCs w:val="16"/>
              </w:rPr>
              <w:t>Los Certificados NOM expedidos por la PROFEPA con anterioridad a la entrada en vigor de la presente norma oficial mexicana y que ampararon el cumplimiento de los estándares B de las Tablas 1 y 2 de la NOM-044-SEMARNAT-2006, se reconocerán como válidos hasta el 30 de junio de 2019.</w:t>
            </w:r>
          </w:p>
        </w:tc>
        <w:tc>
          <w:tcPr>
            <w:tcW w:w="4788" w:type="dxa"/>
            <w:shd w:val="clear" w:color="auto" w:fill="auto"/>
          </w:tcPr>
          <w:p w14:paraId="473122AA"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THIRD.</w:t>
            </w:r>
            <w:r w:rsidRPr="00A57824">
              <w:rPr>
                <w:lang w:val="en-US"/>
              </w:rPr>
              <w:t xml:space="preserve"> </w:t>
            </w:r>
            <w:r w:rsidRPr="00A57824">
              <w:rPr>
                <w:rFonts w:ascii="Verdana" w:hAnsi="Verdana"/>
                <w:sz w:val="16"/>
                <w:szCs w:val="16"/>
                <w:lang w:val="en-US"/>
              </w:rPr>
              <w:t xml:space="preserve">The NOM Certificates issued by the PROFEPA prior to the entry into force of this </w:t>
            </w:r>
            <w:r w:rsidR="00735A37">
              <w:rPr>
                <w:rFonts w:ascii="Verdana" w:hAnsi="Verdana"/>
                <w:sz w:val="16"/>
                <w:szCs w:val="16"/>
                <w:lang w:val="en-US"/>
              </w:rPr>
              <w:t>Official Mexican Standard</w:t>
            </w:r>
            <w:r w:rsidRPr="00A57824">
              <w:rPr>
                <w:rFonts w:ascii="Verdana" w:hAnsi="Verdana"/>
                <w:sz w:val="16"/>
                <w:szCs w:val="16"/>
                <w:lang w:val="en-US"/>
              </w:rPr>
              <w:t xml:space="preserve"> and that covered compliance with standards B of Tables 1 and 2 of NOM-044-SEMARNAT-2006, will be recognized as valid up to on June 30, 2019.</w:t>
            </w:r>
          </w:p>
        </w:tc>
      </w:tr>
      <w:tr w:rsidR="008A0760" w:rsidRPr="00743A20" w14:paraId="10D288C5" w14:textId="77777777" w:rsidTr="00A66C6A">
        <w:tc>
          <w:tcPr>
            <w:tcW w:w="4788" w:type="dxa"/>
            <w:shd w:val="clear" w:color="auto" w:fill="auto"/>
          </w:tcPr>
          <w:p w14:paraId="305AABEA"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b/>
                <w:sz w:val="16"/>
                <w:szCs w:val="16"/>
                <w:lang w:val="es-ES_tradnl"/>
              </w:rPr>
              <w:t>CUARTO.</w:t>
            </w:r>
            <w:r w:rsidRPr="00A57824">
              <w:rPr>
                <w:rFonts w:ascii="Verdana" w:hAnsi="Verdana"/>
                <w:b/>
                <w:sz w:val="16"/>
                <w:szCs w:val="16"/>
              </w:rPr>
              <w:t xml:space="preserve"> </w:t>
            </w:r>
            <w:r w:rsidRPr="00A57824">
              <w:rPr>
                <w:rFonts w:ascii="Verdana" w:hAnsi="Verdana"/>
                <w:sz w:val="16"/>
                <w:szCs w:val="16"/>
              </w:rPr>
              <w:t>En el caso de los vehículos automotores nuevos que fueron diseñados para poder cumplir con el estándar A contemplado en la Tabla 3 de este instrumento normativo, que no hayan sido certificados por la autoridad ambiental del país de fabricación, porque esto no se requiere en ese territorio, los fabricantes o importadores deberán presentar ante la PROFEPA, un informe de resultados expedido por un:</w:t>
            </w:r>
          </w:p>
        </w:tc>
        <w:tc>
          <w:tcPr>
            <w:tcW w:w="4788" w:type="dxa"/>
            <w:shd w:val="clear" w:color="auto" w:fill="auto"/>
          </w:tcPr>
          <w:p w14:paraId="2181EFA0"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FOURTH.</w:t>
            </w:r>
            <w:r w:rsidRPr="00A57824">
              <w:rPr>
                <w:lang w:val="en-US"/>
              </w:rPr>
              <w:t xml:space="preserve"> </w:t>
            </w:r>
            <w:r w:rsidRPr="00A57824">
              <w:rPr>
                <w:rFonts w:ascii="Verdana" w:hAnsi="Verdana"/>
                <w:sz w:val="16"/>
                <w:szCs w:val="16"/>
                <w:lang w:val="en-US"/>
              </w:rPr>
              <w:t>In the case of new automotive vehicles that were designed to comply with the standard A contemplated in Table 3 of this regulatory instrument, which have not been certified by the environmental authority of the country of manufacture, because this is not required in that territory, manufacturers or importers must submit to PROFEPA, a report of results issued by</w:t>
            </w:r>
            <w:r w:rsidR="002D78B5">
              <w:rPr>
                <w:rFonts w:ascii="Verdana" w:hAnsi="Verdana"/>
                <w:sz w:val="16"/>
                <w:szCs w:val="16"/>
                <w:lang w:val="en-US"/>
              </w:rPr>
              <w:t xml:space="preserve"> an</w:t>
            </w:r>
            <w:r w:rsidRPr="00A57824">
              <w:rPr>
                <w:rFonts w:ascii="Verdana" w:hAnsi="Verdana"/>
                <w:sz w:val="16"/>
                <w:szCs w:val="16"/>
                <w:lang w:val="en-US"/>
              </w:rPr>
              <w:t>:</w:t>
            </w:r>
          </w:p>
        </w:tc>
      </w:tr>
      <w:tr w:rsidR="008A0760" w:rsidRPr="00743A20" w14:paraId="3D2E34DC" w14:textId="77777777" w:rsidTr="00A66C6A">
        <w:tc>
          <w:tcPr>
            <w:tcW w:w="4788" w:type="dxa"/>
            <w:shd w:val="clear" w:color="auto" w:fill="auto"/>
          </w:tcPr>
          <w:p w14:paraId="77D5B784"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Organismo independiente que cuente con un laboratorio acreditado, conforme a lo dispuesto en el artículo 91 de la Ley Federal sobre Metrología y Normalización, a efecto de medir las emisiones provenientes del escape de vehículos automotores nuevos a través del método de prueba FTP 75 u;</w:t>
            </w:r>
          </w:p>
        </w:tc>
        <w:tc>
          <w:tcPr>
            <w:tcW w:w="4788" w:type="dxa"/>
            <w:shd w:val="clear" w:color="auto" w:fill="auto"/>
          </w:tcPr>
          <w:p w14:paraId="5CEE4DDE"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Independent organization that has an accredited laboratory, in accordance with the provisions of article 91 of the Federal Law on Metrology and Standardization, in order to measure emissions from the exhaust of new automotive vehicles through the FTP 75 test method;</w:t>
            </w:r>
            <w:r w:rsidR="002D78B5">
              <w:rPr>
                <w:rFonts w:ascii="Verdana" w:hAnsi="Verdana"/>
                <w:sz w:val="16"/>
                <w:szCs w:val="16"/>
                <w:lang w:val="en-US"/>
              </w:rPr>
              <w:t xml:space="preserve"> or</w:t>
            </w:r>
          </w:p>
        </w:tc>
      </w:tr>
      <w:tr w:rsidR="008A0760" w:rsidRPr="00743A20" w14:paraId="4F4F2886" w14:textId="77777777" w:rsidTr="00A66C6A">
        <w:tc>
          <w:tcPr>
            <w:tcW w:w="4788" w:type="dxa"/>
            <w:shd w:val="clear" w:color="auto" w:fill="auto"/>
          </w:tcPr>
          <w:p w14:paraId="30AEB563"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Organismo de certificación con acreditación vigente en apego a lo dispuesto en la Ley Federal sobre Metrología y Normalización.</w:t>
            </w:r>
          </w:p>
        </w:tc>
        <w:tc>
          <w:tcPr>
            <w:tcW w:w="4788" w:type="dxa"/>
            <w:shd w:val="clear" w:color="auto" w:fill="auto"/>
          </w:tcPr>
          <w:p w14:paraId="39716C29"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Certification body with current accreditation in compliance with the provisions of the Federal Law on Metrology and Standardization.</w:t>
            </w:r>
          </w:p>
        </w:tc>
      </w:tr>
      <w:tr w:rsidR="008A0760" w:rsidRPr="00743A20" w14:paraId="60202000" w14:textId="77777777" w:rsidTr="00A66C6A">
        <w:tc>
          <w:tcPr>
            <w:tcW w:w="4788" w:type="dxa"/>
            <w:shd w:val="clear" w:color="auto" w:fill="auto"/>
          </w:tcPr>
          <w:p w14:paraId="2AD28F66"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 xml:space="preserve">El informe debe indicar que se cumple con el estándar 3A de la presente norma oficial mexicana respecto de las especificaciones y los límites máximos permisibles de emisión de contaminantes, aplicando el método de prueba denominado </w:t>
            </w:r>
            <w:r w:rsidRPr="00A57824">
              <w:rPr>
                <w:rFonts w:ascii="Verdana" w:hAnsi="Verdana"/>
                <w:sz w:val="16"/>
                <w:szCs w:val="16"/>
                <w:lang w:val="es-ES_tradnl"/>
              </w:rPr>
              <w:t>FTP 75</w:t>
            </w:r>
            <w:r w:rsidRPr="00A57824">
              <w:rPr>
                <w:rFonts w:ascii="Verdana" w:hAnsi="Verdana"/>
                <w:sz w:val="16"/>
                <w:szCs w:val="16"/>
              </w:rPr>
              <w:t>. De presentarse esta situación, la familia de motor a certificar, podrá tener un desplazamiento con variaciones aceptables hasta del 30%.</w:t>
            </w:r>
          </w:p>
        </w:tc>
        <w:tc>
          <w:tcPr>
            <w:tcW w:w="4788" w:type="dxa"/>
            <w:shd w:val="clear" w:color="auto" w:fill="auto"/>
          </w:tcPr>
          <w:p w14:paraId="6AD3F30D"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 xml:space="preserve">The report must indicate compliance with standard 3A of this </w:t>
            </w:r>
            <w:r w:rsidR="00735A37">
              <w:rPr>
                <w:rFonts w:ascii="Verdana" w:hAnsi="Verdana"/>
                <w:sz w:val="16"/>
                <w:szCs w:val="16"/>
                <w:lang w:val="en-US"/>
              </w:rPr>
              <w:t>Official Mexican Standard</w:t>
            </w:r>
            <w:r w:rsidRPr="00A57824">
              <w:rPr>
                <w:rFonts w:ascii="Verdana" w:hAnsi="Verdana"/>
                <w:sz w:val="16"/>
                <w:szCs w:val="16"/>
                <w:lang w:val="en-US"/>
              </w:rPr>
              <w:t xml:space="preserve"> with respect to the specifications and the maximum permissible emission limits for contaminants, applying the test method called</w:t>
            </w:r>
            <w:r w:rsidRPr="00A57824">
              <w:rPr>
                <w:lang w:val="en-US"/>
              </w:rPr>
              <w:t xml:space="preserve"> </w:t>
            </w:r>
            <w:r w:rsidRPr="00A57824">
              <w:rPr>
                <w:rFonts w:ascii="Verdana" w:hAnsi="Verdana"/>
                <w:sz w:val="16"/>
                <w:szCs w:val="16"/>
                <w:lang w:val="en-US"/>
              </w:rPr>
              <w:t>FTP 75.</w:t>
            </w:r>
            <w:r w:rsidRPr="00A57824">
              <w:rPr>
                <w:lang w:val="en-US"/>
              </w:rPr>
              <w:t xml:space="preserve"> </w:t>
            </w:r>
            <w:r w:rsidRPr="00A57824">
              <w:rPr>
                <w:rFonts w:ascii="Verdana" w:hAnsi="Verdana"/>
                <w:sz w:val="16"/>
                <w:szCs w:val="16"/>
                <w:lang w:val="en-US"/>
              </w:rPr>
              <w:t>Should this situation arise, the motor family to be certified may have a displacement with acceptable variations of up to 30%.</w:t>
            </w:r>
          </w:p>
        </w:tc>
      </w:tr>
      <w:tr w:rsidR="008A0760" w:rsidRPr="00743A20" w14:paraId="378888F7" w14:textId="77777777" w:rsidTr="00A66C6A">
        <w:tc>
          <w:tcPr>
            <w:tcW w:w="4788" w:type="dxa"/>
            <w:shd w:val="clear" w:color="auto" w:fill="auto"/>
          </w:tcPr>
          <w:p w14:paraId="4B787797"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Durante la realización de las pruebas correspondientes, se contará con la presencia de un servidor público de la PROFEPA. Los costos que deriven de las actividades y acciones a realizar para que dicho servidor público asista a tales pruebas, estarán a cargo del sujeto regulado.</w:t>
            </w:r>
          </w:p>
        </w:tc>
        <w:tc>
          <w:tcPr>
            <w:tcW w:w="4788" w:type="dxa"/>
            <w:shd w:val="clear" w:color="auto" w:fill="auto"/>
          </w:tcPr>
          <w:p w14:paraId="6790C2A8"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 xml:space="preserve">During the </w:t>
            </w:r>
            <w:r w:rsidR="002D78B5">
              <w:rPr>
                <w:rFonts w:ascii="Verdana" w:hAnsi="Verdana"/>
                <w:sz w:val="16"/>
                <w:szCs w:val="16"/>
                <w:lang w:val="en-US"/>
              </w:rPr>
              <w:t>performance</w:t>
            </w:r>
            <w:r w:rsidRPr="00A57824">
              <w:rPr>
                <w:rFonts w:ascii="Verdana" w:hAnsi="Verdana"/>
                <w:sz w:val="16"/>
                <w:szCs w:val="16"/>
                <w:lang w:val="en-US"/>
              </w:rPr>
              <w:t xml:space="preserve"> of the corresponding tests, a public servant </w:t>
            </w:r>
            <w:r w:rsidR="002D78B5">
              <w:rPr>
                <w:rFonts w:ascii="Verdana" w:hAnsi="Verdana"/>
                <w:sz w:val="16"/>
                <w:szCs w:val="16"/>
                <w:lang w:val="en-US"/>
              </w:rPr>
              <w:t xml:space="preserve">from </w:t>
            </w:r>
            <w:r w:rsidRPr="00A57824">
              <w:rPr>
                <w:rFonts w:ascii="Verdana" w:hAnsi="Verdana"/>
                <w:sz w:val="16"/>
                <w:szCs w:val="16"/>
                <w:lang w:val="en-US"/>
              </w:rPr>
              <w:t>PROFEPA will be present.</w:t>
            </w:r>
            <w:r w:rsidRPr="00A57824">
              <w:rPr>
                <w:lang w:val="en-US"/>
              </w:rPr>
              <w:t xml:space="preserve"> </w:t>
            </w:r>
            <w:r w:rsidRPr="00A57824">
              <w:rPr>
                <w:rFonts w:ascii="Verdana" w:hAnsi="Verdana"/>
                <w:sz w:val="16"/>
                <w:szCs w:val="16"/>
                <w:lang w:val="en-US"/>
              </w:rPr>
              <w:t xml:space="preserve">The costs that derive from the activities and actions to be carried out so that said public servant attends such tests, will be </w:t>
            </w:r>
            <w:r w:rsidR="002D78B5">
              <w:rPr>
                <w:rFonts w:ascii="Verdana" w:hAnsi="Verdana"/>
                <w:sz w:val="16"/>
                <w:szCs w:val="16"/>
                <w:lang w:val="en-US"/>
              </w:rPr>
              <w:t>at the expense</w:t>
            </w:r>
            <w:r w:rsidRPr="00A57824">
              <w:rPr>
                <w:rFonts w:ascii="Verdana" w:hAnsi="Verdana"/>
                <w:sz w:val="16"/>
                <w:szCs w:val="16"/>
                <w:lang w:val="en-US"/>
              </w:rPr>
              <w:t xml:space="preserve"> of the regulated subject.</w:t>
            </w:r>
          </w:p>
        </w:tc>
      </w:tr>
      <w:tr w:rsidR="008A0760" w:rsidRPr="001F59CA" w14:paraId="2084CDDB" w14:textId="77777777" w:rsidTr="00A66C6A">
        <w:tc>
          <w:tcPr>
            <w:tcW w:w="4788" w:type="dxa"/>
            <w:shd w:val="clear" w:color="auto" w:fill="auto"/>
          </w:tcPr>
          <w:p w14:paraId="0BFB2EB8" w14:textId="77777777" w:rsidR="008A0760" w:rsidRPr="00A57824" w:rsidRDefault="008A0760" w:rsidP="00A66C6A">
            <w:pPr>
              <w:pStyle w:val="Texto"/>
              <w:spacing w:line="276" w:lineRule="auto"/>
              <w:ind w:firstLine="0"/>
              <w:rPr>
                <w:rFonts w:ascii="Verdana" w:hAnsi="Verdana"/>
                <w:sz w:val="16"/>
                <w:szCs w:val="16"/>
              </w:rPr>
            </w:pPr>
            <w:r w:rsidRPr="00A57824">
              <w:rPr>
                <w:rFonts w:ascii="Verdana" w:hAnsi="Verdana"/>
                <w:sz w:val="16"/>
                <w:szCs w:val="16"/>
              </w:rPr>
              <w:t xml:space="preserve">Ciudad de México, a los once días del mes de diciembre de dos mil diecisiete.- El Subsecretario de Fomento y Normatividad Ambiental de la Secretaría de Medio Ambiente y Recursos Naturales y Presidente del Comité Consultivo Nacional de Normalización de Medio </w:t>
            </w:r>
            <w:r w:rsidRPr="00A57824">
              <w:rPr>
                <w:rFonts w:ascii="Verdana" w:hAnsi="Verdana"/>
                <w:sz w:val="16"/>
                <w:szCs w:val="16"/>
              </w:rPr>
              <w:lastRenderedPageBreak/>
              <w:t xml:space="preserve">Ambiente y Recursos Naturales, </w:t>
            </w:r>
            <w:r w:rsidRPr="00A57824">
              <w:rPr>
                <w:rFonts w:ascii="Verdana" w:hAnsi="Verdana"/>
                <w:b/>
                <w:sz w:val="16"/>
                <w:szCs w:val="16"/>
              </w:rPr>
              <w:t>Cuauhtémoc Ochoa Fernández</w:t>
            </w:r>
            <w:r w:rsidRPr="00A57824">
              <w:rPr>
                <w:rFonts w:ascii="Verdana" w:hAnsi="Verdana"/>
                <w:sz w:val="16"/>
                <w:szCs w:val="16"/>
              </w:rPr>
              <w:t>.- Rúbrica.</w:t>
            </w:r>
          </w:p>
        </w:tc>
        <w:tc>
          <w:tcPr>
            <w:tcW w:w="4788" w:type="dxa"/>
            <w:shd w:val="clear" w:color="auto" w:fill="auto"/>
          </w:tcPr>
          <w:p w14:paraId="3E3C0B28" w14:textId="77777777" w:rsidR="008A0760" w:rsidRPr="001F59CA" w:rsidRDefault="008A0760" w:rsidP="00A66C6A">
            <w:pPr>
              <w:spacing w:after="101" w:line="276" w:lineRule="auto"/>
              <w:jc w:val="both"/>
              <w:rPr>
                <w:lang w:val="en-US"/>
              </w:rPr>
            </w:pPr>
            <w:r w:rsidRPr="00A57824">
              <w:rPr>
                <w:rFonts w:ascii="Verdana" w:hAnsi="Verdana"/>
                <w:sz w:val="16"/>
                <w:szCs w:val="16"/>
                <w:lang w:val="en-US"/>
              </w:rPr>
              <w:lastRenderedPageBreak/>
              <w:t xml:space="preserve">Mexico City, on the eleventh day of the month of December, two thousand and seventeen. The Undersecretary of Environmental Promotion and Regulations of the </w:t>
            </w:r>
            <w:r w:rsidR="002D78B5">
              <w:rPr>
                <w:rFonts w:ascii="Verdana" w:hAnsi="Verdana"/>
                <w:sz w:val="16"/>
                <w:szCs w:val="16"/>
                <w:lang w:val="en-US"/>
              </w:rPr>
              <w:t>Secretary</w:t>
            </w:r>
            <w:r w:rsidRPr="00A57824">
              <w:rPr>
                <w:rFonts w:ascii="Verdana" w:hAnsi="Verdana"/>
                <w:sz w:val="16"/>
                <w:szCs w:val="16"/>
                <w:lang w:val="en-US"/>
              </w:rPr>
              <w:t xml:space="preserve"> of Environment and Natural Resources and President of the National </w:t>
            </w:r>
            <w:r w:rsidR="002D78B5">
              <w:rPr>
                <w:rFonts w:ascii="Verdana" w:hAnsi="Verdana"/>
                <w:sz w:val="16"/>
                <w:szCs w:val="16"/>
                <w:lang w:val="en-US"/>
              </w:rPr>
              <w:lastRenderedPageBreak/>
              <w:t>Consultative</w:t>
            </w:r>
            <w:r w:rsidRPr="00A57824">
              <w:rPr>
                <w:rFonts w:ascii="Verdana" w:hAnsi="Verdana"/>
                <w:sz w:val="16"/>
                <w:szCs w:val="16"/>
                <w:lang w:val="en-US"/>
              </w:rPr>
              <w:t xml:space="preserve"> Committee on the </w:t>
            </w:r>
            <w:r w:rsidR="001F59CA">
              <w:rPr>
                <w:rFonts w:ascii="Verdana" w:hAnsi="Verdana"/>
                <w:sz w:val="16"/>
                <w:szCs w:val="16"/>
                <w:lang w:val="en-US"/>
              </w:rPr>
              <w:t>Standardization</w:t>
            </w:r>
            <w:r w:rsidRPr="00A57824">
              <w:rPr>
                <w:rFonts w:ascii="Verdana" w:hAnsi="Verdana"/>
                <w:sz w:val="16"/>
                <w:szCs w:val="16"/>
                <w:lang w:val="en-US"/>
              </w:rPr>
              <w:t xml:space="preserve"> of the Environment and Natural Resources,</w:t>
            </w:r>
            <w:r w:rsidRPr="00A57824">
              <w:rPr>
                <w:lang w:val="en-US"/>
              </w:rPr>
              <w:t xml:space="preserve"> </w:t>
            </w:r>
            <w:r w:rsidRPr="00A57824">
              <w:rPr>
                <w:rFonts w:ascii="Verdana" w:hAnsi="Verdana"/>
                <w:b/>
                <w:bCs/>
                <w:sz w:val="16"/>
                <w:szCs w:val="16"/>
                <w:lang w:val="en-US"/>
              </w:rPr>
              <w:t>Cuauhtémoc Ochoa Fernández</w:t>
            </w:r>
            <w:r w:rsidRPr="00A57824">
              <w:rPr>
                <w:lang w:val="en-US"/>
              </w:rPr>
              <w:t xml:space="preserve"> </w:t>
            </w:r>
            <w:r w:rsidRPr="00A57824">
              <w:rPr>
                <w:rFonts w:ascii="Verdana" w:hAnsi="Verdana"/>
                <w:sz w:val="16"/>
                <w:szCs w:val="16"/>
                <w:lang w:val="en-US"/>
              </w:rPr>
              <w:t xml:space="preserve">.- </w:t>
            </w:r>
            <w:r w:rsidR="002D78B5">
              <w:rPr>
                <w:rFonts w:ascii="Verdana" w:hAnsi="Verdana"/>
                <w:sz w:val="16"/>
                <w:szCs w:val="16"/>
                <w:lang w:val="en-US"/>
              </w:rPr>
              <w:t>Signed</w:t>
            </w:r>
            <w:r w:rsidRPr="001F59CA">
              <w:rPr>
                <w:rFonts w:ascii="Verdana" w:hAnsi="Verdana"/>
                <w:sz w:val="16"/>
                <w:szCs w:val="16"/>
                <w:lang w:val="en-US"/>
              </w:rPr>
              <w:t>.</w:t>
            </w:r>
          </w:p>
        </w:tc>
      </w:tr>
      <w:tr w:rsidR="008A0760" w:rsidRPr="00A57824" w14:paraId="1578DEB5" w14:textId="77777777" w:rsidTr="00A66C6A">
        <w:tc>
          <w:tcPr>
            <w:tcW w:w="4788" w:type="dxa"/>
            <w:shd w:val="clear" w:color="auto" w:fill="auto"/>
          </w:tcPr>
          <w:p w14:paraId="21DA199C" w14:textId="77777777" w:rsidR="008A0760" w:rsidRPr="00A57824" w:rsidRDefault="008A0760" w:rsidP="002D78B5">
            <w:pPr>
              <w:pStyle w:val="ANOTACION"/>
              <w:spacing w:line="276" w:lineRule="auto"/>
              <w:rPr>
                <w:rFonts w:ascii="Verdana" w:hAnsi="Verdana"/>
                <w:sz w:val="16"/>
                <w:szCs w:val="16"/>
              </w:rPr>
            </w:pPr>
            <w:r w:rsidRPr="00A57824">
              <w:rPr>
                <w:rFonts w:ascii="Verdana" w:hAnsi="Verdana"/>
                <w:sz w:val="16"/>
                <w:szCs w:val="16"/>
              </w:rPr>
              <w:lastRenderedPageBreak/>
              <w:t>APÉNDICE A</w:t>
            </w:r>
          </w:p>
        </w:tc>
        <w:tc>
          <w:tcPr>
            <w:tcW w:w="4788" w:type="dxa"/>
            <w:shd w:val="clear" w:color="auto" w:fill="auto"/>
          </w:tcPr>
          <w:p w14:paraId="47154159" w14:textId="77777777" w:rsidR="008A0760" w:rsidRPr="00844E0D" w:rsidRDefault="008A0760" w:rsidP="002D78B5">
            <w:pPr>
              <w:spacing w:before="101" w:after="101" w:line="276" w:lineRule="auto"/>
              <w:jc w:val="center"/>
            </w:pPr>
            <w:r w:rsidRPr="00A57824">
              <w:rPr>
                <w:rFonts w:ascii="Verdana" w:hAnsi="Verdana"/>
                <w:b/>
                <w:bCs/>
                <w:sz w:val="16"/>
                <w:szCs w:val="16"/>
              </w:rPr>
              <w:t>APPENDIX A</w:t>
            </w:r>
          </w:p>
        </w:tc>
      </w:tr>
      <w:tr w:rsidR="008A0760" w:rsidRPr="00A57824" w14:paraId="50D8ECE8" w14:textId="77777777" w:rsidTr="00A66C6A">
        <w:tc>
          <w:tcPr>
            <w:tcW w:w="4788" w:type="dxa"/>
            <w:shd w:val="clear" w:color="auto" w:fill="auto"/>
          </w:tcPr>
          <w:p w14:paraId="59048465" w14:textId="77777777" w:rsidR="008A0760" w:rsidRPr="00A57824" w:rsidRDefault="008A0760" w:rsidP="002D78B5">
            <w:pPr>
              <w:pStyle w:val="ANOTACION"/>
              <w:spacing w:line="276" w:lineRule="auto"/>
              <w:rPr>
                <w:rFonts w:ascii="Verdana" w:hAnsi="Verdana"/>
                <w:sz w:val="16"/>
                <w:szCs w:val="16"/>
              </w:rPr>
            </w:pPr>
            <w:r w:rsidRPr="00A57824">
              <w:rPr>
                <w:rFonts w:ascii="Verdana" w:hAnsi="Verdana"/>
                <w:sz w:val="16"/>
                <w:szCs w:val="16"/>
              </w:rPr>
              <w:t>NORMATIVO</w:t>
            </w:r>
          </w:p>
        </w:tc>
        <w:tc>
          <w:tcPr>
            <w:tcW w:w="4788" w:type="dxa"/>
            <w:shd w:val="clear" w:color="auto" w:fill="auto"/>
          </w:tcPr>
          <w:p w14:paraId="1D57EAD7" w14:textId="77777777" w:rsidR="008A0760" w:rsidRPr="00844E0D" w:rsidRDefault="00A341BE" w:rsidP="002D78B5">
            <w:pPr>
              <w:spacing w:before="101" w:after="101" w:line="276" w:lineRule="auto"/>
              <w:jc w:val="center"/>
            </w:pPr>
            <w:r>
              <w:rPr>
                <w:rFonts w:ascii="Verdana" w:hAnsi="Verdana"/>
                <w:b/>
                <w:bCs/>
                <w:sz w:val="16"/>
                <w:szCs w:val="16"/>
              </w:rPr>
              <w:t>MANDATORY</w:t>
            </w:r>
          </w:p>
        </w:tc>
      </w:tr>
      <w:tr w:rsidR="008A0760" w:rsidRPr="00743A20" w14:paraId="142675B0" w14:textId="77777777" w:rsidTr="00A66C6A">
        <w:tc>
          <w:tcPr>
            <w:tcW w:w="4788" w:type="dxa"/>
            <w:shd w:val="clear" w:color="auto" w:fill="auto"/>
          </w:tcPr>
          <w:p w14:paraId="2D055FF7" w14:textId="77777777" w:rsidR="008A0760" w:rsidRPr="00A57824" w:rsidRDefault="008A0760" w:rsidP="002D78B5">
            <w:pPr>
              <w:pStyle w:val="Texto"/>
              <w:spacing w:line="276" w:lineRule="auto"/>
              <w:ind w:firstLine="0"/>
              <w:jc w:val="center"/>
              <w:rPr>
                <w:rFonts w:ascii="Verdana" w:hAnsi="Verdana"/>
                <w:b/>
                <w:sz w:val="16"/>
                <w:szCs w:val="16"/>
                <w:lang w:val="es-ES_tradnl"/>
              </w:rPr>
            </w:pPr>
            <w:r w:rsidRPr="00A57824">
              <w:rPr>
                <w:rFonts w:ascii="Verdana" w:hAnsi="Verdana"/>
                <w:b/>
                <w:sz w:val="16"/>
                <w:szCs w:val="16"/>
                <w:lang w:val="es-ES_tradnl"/>
              </w:rPr>
              <w:t>Características técnicas del Sistema de Diagnóstico a Bordo (SDB/OBD)</w:t>
            </w:r>
          </w:p>
        </w:tc>
        <w:tc>
          <w:tcPr>
            <w:tcW w:w="4788" w:type="dxa"/>
            <w:shd w:val="clear" w:color="auto" w:fill="auto"/>
          </w:tcPr>
          <w:p w14:paraId="423F5ED9" w14:textId="77777777" w:rsidR="008A0760" w:rsidRPr="00A57824" w:rsidRDefault="008A0760" w:rsidP="002D78B5">
            <w:pPr>
              <w:spacing w:after="101" w:line="276" w:lineRule="auto"/>
              <w:jc w:val="center"/>
              <w:rPr>
                <w:lang w:val="en-US"/>
              </w:rPr>
            </w:pPr>
            <w:r w:rsidRPr="00A57824">
              <w:rPr>
                <w:rFonts w:ascii="Verdana" w:hAnsi="Verdana"/>
                <w:b/>
                <w:bCs/>
                <w:sz w:val="16"/>
                <w:szCs w:val="16"/>
                <w:lang w:val="en-US"/>
              </w:rPr>
              <w:t>Technical characteristics of the On-Board Diagnostic System (</w:t>
            </w:r>
            <w:r w:rsidR="002D78B5">
              <w:rPr>
                <w:rFonts w:ascii="Verdana" w:hAnsi="Verdana"/>
                <w:b/>
                <w:bCs/>
                <w:sz w:val="16"/>
                <w:szCs w:val="16"/>
                <w:lang w:val="en-US"/>
              </w:rPr>
              <w:t>SDB/OBD</w:t>
            </w:r>
            <w:r w:rsidRPr="00A57824">
              <w:rPr>
                <w:rFonts w:ascii="Verdana" w:hAnsi="Verdana"/>
                <w:b/>
                <w:bCs/>
                <w:sz w:val="16"/>
                <w:szCs w:val="16"/>
                <w:lang w:val="en-US"/>
              </w:rPr>
              <w:t>)</w:t>
            </w:r>
          </w:p>
        </w:tc>
      </w:tr>
      <w:tr w:rsidR="008A0760" w:rsidRPr="00743A20" w14:paraId="28B98A68" w14:textId="77777777" w:rsidTr="00A66C6A">
        <w:tc>
          <w:tcPr>
            <w:tcW w:w="4788" w:type="dxa"/>
            <w:shd w:val="clear" w:color="auto" w:fill="auto"/>
          </w:tcPr>
          <w:p w14:paraId="227DA606"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Los numerales del A.1 al A.6, aplican de manera general sin importar el tipo de certificado o constancia que haya sido emitida, ya sea por la autoridad de protección ambiental correspondiente al país de origen, o país de certificación, o por los organismos de certificación correspondientes al país de origen o país de certificación.</w:t>
            </w:r>
          </w:p>
        </w:tc>
        <w:tc>
          <w:tcPr>
            <w:tcW w:w="4788" w:type="dxa"/>
            <w:shd w:val="clear" w:color="auto" w:fill="auto"/>
          </w:tcPr>
          <w:p w14:paraId="4956F9CA" w14:textId="77777777" w:rsidR="008A0760" w:rsidRPr="00A57824" w:rsidRDefault="008A0760" w:rsidP="00A66C6A">
            <w:pPr>
              <w:spacing w:after="101" w:line="276" w:lineRule="auto"/>
              <w:jc w:val="both"/>
              <w:rPr>
                <w:lang w:val="en-US"/>
              </w:rPr>
            </w:pPr>
            <w:r w:rsidRPr="00A57824">
              <w:rPr>
                <w:rFonts w:ascii="Verdana" w:hAnsi="Verdana"/>
                <w:sz w:val="16"/>
                <w:szCs w:val="16"/>
                <w:lang w:val="en-US"/>
              </w:rPr>
              <w:t>The numerals from A.1 to A.6, apply in a general manner regardless of the type of certificate or certificate that has been issued, either by the environmental protection authority corresponding to the country of origin, or country of</w:t>
            </w:r>
            <w:r w:rsidRPr="00A57824">
              <w:rPr>
                <w:lang w:val="en-US"/>
              </w:rPr>
              <w:t xml:space="preserve"> </w:t>
            </w:r>
            <w:r w:rsidRPr="00A57824">
              <w:rPr>
                <w:rFonts w:ascii="Verdana" w:hAnsi="Verdana"/>
                <w:sz w:val="16"/>
                <w:szCs w:val="16"/>
                <w:lang w:val="en-US"/>
              </w:rPr>
              <w:t>certification, or by the certification bodies corresponding to the country of origin or country of certification.</w:t>
            </w:r>
          </w:p>
        </w:tc>
      </w:tr>
      <w:tr w:rsidR="008A0760" w:rsidRPr="00743A20" w14:paraId="44879E4D" w14:textId="77777777" w:rsidTr="00A66C6A">
        <w:tc>
          <w:tcPr>
            <w:tcW w:w="4788" w:type="dxa"/>
            <w:shd w:val="clear" w:color="auto" w:fill="auto"/>
          </w:tcPr>
          <w:p w14:paraId="70FF9151"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 xml:space="preserve">A.1. </w:t>
            </w:r>
            <w:r w:rsidRPr="00A57824">
              <w:rPr>
                <w:rFonts w:ascii="Verdana" w:hAnsi="Verdana"/>
                <w:sz w:val="16"/>
                <w:szCs w:val="16"/>
                <w:lang w:val="es-ES_tradnl"/>
              </w:rPr>
              <w:t>Los motores a diésel y los vehículos automotores nuevos que los incorporen, deberán acompañarse de la documentación que indique la existencia del sistema SDB/OBD, las especificaciones del mismo y una descripción de la cobertura del sistema. La documentación deberá incluir la información del sistema SDB/OBD que los responsables y operadores del vehículo requerirán para realizar las rutinas de inspección y mantenimiento de los sistemas de control de emisiones y para la correcta operación del vehículo en general.</w:t>
            </w:r>
          </w:p>
        </w:tc>
        <w:tc>
          <w:tcPr>
            <w:tcW w:w="4788" w:type="dxa"/>
            <w:shd w:val="clear" w:color="auto" w:fill="auto"/>
          </w:tcPr>
          <w:p w14:paraId="1776D2F4"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A.1.</w:t>
            </w:r>
            <w:r w:rsidRPr="00A57824">
              <w:rPr>
                <w:lang w:val="en-US"/>
              </w:rPr>
              <w:t xml:space="preserve"> </w:t>
            </w:r>
            <w:r w:rsidRPr="00A57824">
              <w:rPr>
                <w:rFonts w:ascii="Verdana" w:hAnsi="Verdana"/>
                <w:sz w:val="16"/>
                <w:szCs w:val="16"/>
                <w:lang w:val="en-US"/>
              </w:rPr>
              <w:t xml:space="preserve">Diesel engines and new automotive vehicles that incorporate them must be accompanied by documentation indicating the existence of the </w:t>
            </w:r>
            <w:r w:rsidR="002D78B5">
              <w:rPr>
                <w:rFonts w:ascii="Verdana" w:hAnsi="Verdana"/>
                <w:sz w:val="16"/>
                <w:szCs w:val="16"/>
                <w:lang w:val="en-US"/>
              </w:rPr>
              <w:t>SDB/OBD</w:t>
            </w:r>
            <w:r w:rsidRPr="00A57824">
              <w:rPr>
                <w:rFonts w:ascii="Verdana" w:hAnsi="Verdana"/>
                <w:sz w:val="16"/>
                <w:szCs w:val="16"/>
                <w:lang w:val="en-US"/>
              </w:rPr>
              <w:t xml:space="preserve"> system, its specifications and a description of the system's coverage.</w:t>
            </w:r>
            <w:r w:rsidRPr="00A57824">
              <w:rPr>
                <w:lang w:val="en-US"/>
              </w:rPr>
              <w:t xml:space="preserve"> </w:t>
            </w:r>
            <w:r w:rsidRPr="00A57824">
              <w:rPr>
                <w:rFonts w:ascii="Verdana" w:hAnsi="Verdana"/>
                <w:sz w:val="16"/>
                <w:szCs w:val="16"/>
                <w:lang w:val="en-US"/>
              </w:rPr>
              <w:t xml:space="preserve">The documentation must include the </w:t>
            </w:r>
            <w:r w:rsidR="002D78B5">
              <w:rPr>
                <w:rFonts w:ascii="Verdana" w:hAnsi="Verdana"/>
                <w:sz w:val="16"/>
                <w:szCs w:val="16"/>
                <w:lang w:val="en-US"/>
              </w:rPr>
              <w:t>SDB/OBD</w:t>
            </w:r>
            <w:r w:rsidRPr="00A57824">
              <w:rPr>
                <w:rFonts w:ascii="Verdana" w:hAnsi="Verdana"/>
                <w:sz w:val="16"/>
                <w:szCs w:val="16"/>
                <w:lang w:val="en-US"/>
              </w:rPr>
              <w:t xml:space="preserve"> system information that the vehicle managers and operators will require to perform the inspection and maintenance routines of the emission control systems and for the correct operation of the vehicle in general.</w:t>
            </w:r>
          </w:p>
        </w:tc>
      </w:tr>
      <w:tr w:rsidR="008A0760" w:rsidRPr="00743A20" w14:paraId="66F81DFB" w14:textId="77777777" w:rsidTr="00A66C6A">
        <w:tc>
          <w:tcPr>
            <w:tcW w:w="4788" w:type="dxa"/>
            <w:shd w:val="clear" w:color="auto" w:fill="auto"/>
          </w:tcPr>
          <w:p w14:paraId="21D0CAA3"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A.2.</w:t>
            </w:r>
            <w:r w:rsidRPr="00A57824">
              <w:rPr>
                <w:rFonts w:ascii="Verdana" w:hAnsi="Verdana"/>
                <w:sz w:val="16"/>
                <w:szCs w:val="16"/>
                <w:lang w:val="es-ES_tradnl"/>
              </w:rPr>
              <w:t xml:space="preserve"> Los sistemas SDB/OBD deberán identificar y registrar una falla cuando exista mal funcionamiento del motor que afecte el rendimiento en materia de emisiones y del sistema de post-tratamiento, para informar sobre el bajo nivel del reactivo o falla del dosificador, o de las medidas que impidan el funcionamiento normal cuando se detecta ausencia de reactivo. Estos sistemas se diseñarán y construirán de manera que resulten inviolables y resistentes a intentos de alteración por el usuario.</w:t>
            </w:r>
          </w:p>
        </w:tc>
        <w:tc>
          <w:tcPr>
            <w:tcW w:w="4788" w:type="dxa"/>
            <w:shd w:val="clear" w:color="auto" w:fill="auto"/>
          </w:tcPr>
          <w:p w14:paraId="61FAA0CF"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A.2.</w:t>
            </w:r>
            <w:r w:rsidRPr="00A57824">
              <w:rPr>
                <w:lang w:val="en-US"/>
              </w:rPr>
              <w:t xml:space="preserve"> </w:t>
            </w:r>
            <w:r w:rsidRPr="00A57824">
              <w:rPr>
                <w:rFonts w:ascii="Verdana" w:hAnsi="Verdana"/>
                <w:sz w:val="16"/>
                <w:szCs w:val="16"/>
                <w:lang w:val="en-US"/>
              </w:rPr>
              <w:t xml:space="preserve">The </w:t>
            </w:r>
            <w:r w:rsidR="002D78B5">
              <w:rPr>
                <w:rFonts w:ascii="Verdana" w:hAnsi="Verdana"/>
                <w:sz w:val="16"/>
                <w:szCs w:val="16"/>
                <w:lang w:val="en-US"/>
              </w:rPr>
              <w:t>SDB/OBD</w:t>
            </w:r>
            <w:r w:rsidRPr="00A57824">
              <w:rPr>
                <w:rFonts w:ascii="Verdana" w:hAnsi="Verdana"/>
                <w:sz w:val="16"/>
                <w:szCs w:val="16"/>
                <w:lang w:val="en-US"/>
              </w:rPr>
              <w:t xml:space="preserve"> systems must identify and register a </w:t>
            </w:r>
            <w:r w:rsidR="002D78B5">
              <w:rPr>
                <w:rFonts w:ascii="Verdana" w:hAnsi="Verdana"/>
                <w:sz w:val="16"/>
                <w:szCs w:val="16"/>
                <w:lang w:val="en-US"/>
              </w:rPr>
              <w:t>failure</w:t>
            </w:r>
            <w:r w:rsidRPr="00A57824">
              <w:rPr>
                <w:rFonts w:ascii="Verdana" w:hAnsi="Verdana"/>
                <w:sz w:val="16"/>
                <w:szCs w:val="16"/>
                <w:lang w:val="en-US"/>
              </w:rPr>
              <w:t xml:space="preserve"> when there is a malfunction of the engine that affects the performance in terms of emissions and the post-treatment system, to inform about the low level of the reagent or failure of the dos</w:t>
            </w:r>
            <w:r w:rsidR="002D78B5">
              <w:rPr>
                <w:rFonts w:ascii="Verdana" w:hAnsi="Verdana"/>
                <w:sz w:val="16"/>
                <w:szCs w:val="16"/>
                <w:lang w:val="en-US"/>
              </w:rPr>
              <w:t>ifier</w:t>
            </w:r>
            <w:r w:rsidRPr="00A57824">
              <w:rPr>
                <w:rFonts w:ascii="Verdana" w:hAnsi="Verdana"/>
                <w:sz w:val="16"/>
                <w:szCs w:val="16"/>
                <w:lang w:val="en-US"/>
              </w:rPr>
              <w:t>, or the measurements that prevent normal operation when absence of reagent is detected.</w:t>
            </w:r>
            <w:r w:rsidRPr="00A57824">
              <w:rPr>
                <w:lang w:val="en-US"/>
              </w:rPr>
              <w:t xml:space="preserve"> </w:t>
            </w:r>
            <w:r w:rsidRPr="00A57824">
              <w:rPr>
                <w:rFonts w:ascii="Verdana" w:hAnsi="Verdana"/>
                <w:sz w:val="16"/>
                <w:szCs w:val="16"/>
                <w:lang w:val="en-US"/>
              </w:rPr>
              <w:t>These systems will be designed and constructed in such a way that they are inviolable and resistant to attempts of alteration by the user.</w:t>
            </w:r>
          </w:p>
        </w:tc>
      </w:tr>
      <w:tr w:rsidR="008A0760" w:rsidRPr="00743A20" w14:paraId="17A06A8A" w14:textId="77777777" w:rsidTr="00A66C6A">
        <w:tc>
          <w:tcPr>
            <w:tcW w:w="4788" w:type="dxa"/>
            <w:shd w:val="clear" w:color="auto" w:fill="auto"/>
          </w:tcPr>
          <w:p w14:paraId="57A31EE4"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 xml:space="preserve">A.3. </w:t>
            </w:r>
            <w:r w:rsidRPr="00A57824">
              <w:rPr>
                <w:rFonts w:ascii="Verdana" w:hAnsi="Verdana"/>
                <w:sz w:val="16"/>
                <w:szCs w:val="16"/>
                <w:lang w:val="es-ES_tradnl"/>
              </w:rPr>
              <w:t>Los sistemas SDB/OBD instalados en los motores nuevos a diésel y en los vehículos automotores nuevos que los incorporen deberán asegurar que los sistemas funcionan correctamente durante el ciclo de prueba y bajo condiciones específicas.</w:t>
            </w:r>
          </w:p>
        </w:tc>
        <w:tc>
          <w:tcPr>
            <w:tcW w:w="4788" w:type="dxa"/>
            <w:shd w:val="clear" w:color="auto" w:fill="auto"/>
          </w:tcPr>
          <w:p w14:paraId="27E50292"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A.3.</w:t>
            </w:r>
            <w:r w:rsidRPr="00A57824">
              <w:rPr>
                <w:lang w:val="en-US"/>
              </w:rPr>
              <w:t xml:space="preserve"> </w:t>
            </w:r>
            <w:r w:rsidR="002D78B5">
              <w:rPr>
                <w:rFonts w:ascii="Verdana" w:hAnsi="Verdana"/>
                <w:sz w:val="16"/>
                <w:szCs w:val="16"/>
                <w:lang w:val="en-US"/>
              </w:rPr>
              <w:t>SDB/OBD</w:t>
            </w:r>
            <w:r w:rsidRPr="00A57824">
              <w:rPr>
                <w:rFonts w:ascii="Verdana" w:hAnsi="Verdana"/>
                <w:sz w:val="16"/>
                <w:szCs w:val="16"/>
                <w:lang w:val="en-US"/>
              </w:rPr>
              <w:t xml:space="preserve"> systems installed on new diesel engines and new automotive vehicles that incorporate them must ensure that the systems function correctly during the test cycle and under specific conditions.</w:t>
            </w:r>
          </w:p>
        </w:tc>
      </w:tr>
      <w:tr w:rsidR="008A0760" w:rsidRPr="00743A20" w14:paraId="41EF1004" w14:textId="77777777" w:rsidTr="00A66C6A">
        <w:tc>
          <w:tcPr>
            <w:tcW w:w="4788" w:type="dxa"/>
            <w:shd w:val="clear" w:color="auto" w:fill="auto"/>
          </w:tcPr>
          <w:p w14:paraId="0023FF43"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A.4.</w:t>
            </w:r>
            <w:r w:rsidRPr="00A57824">
              <w:rPr>
                <w:rFonts w:ascii="Verdana" w:hAnsi="Verdana"/>
                <w:sz w:val="16"/>
                <w:szCs w:val="16"/>
                <w:lang w:val="es-ES_tradnl"/>
              </w:rPr>
              <w:t xml:space="preserve"> Los motores a diésel y los vehículos automotores nuevos que los incorporen, deberán estar exentos de tener instalado algún dispositivo de desactivación del sistema de control de emisiones, del sistema para informar sobre el bajo nivel del reactivo o de falla del dosificador y de las medidas que impidan el funcionamiento normal del vehículo cuando se detecta ausencia de reactivo o falla del dosificador. Los sistemas </w:t>
            </w:r>
            <w:r w:rsidRPr="00A57824">
              <w:rPr>
                <w:rFonts w:ascii="Verdana" w:hAnsi="Verdana"/>
                <w:sz w:val="16"/>
                <w:szCs w:val="16"/>
                <w:lang w:val="es-ES_tradnl"/>
              </w:rPr>
              <w:lastRenderedPageBreak/>
              <w:t>anteriores deben diseñarse y construirse de manera que resulten inviolables y resistentes a intentos de alteración por el usuario. Estos sistemas y los sistemas SDB/OBD deben cumplir con la certificación de origen.</w:t>
            </w:r>
          </w:p>
        </w:tc>
        <w:tc>
          <w:tcPr>
            <w:tcW w:w="4788" w:type="dxa"/>
            <w:shd w:val="clear" w:color="auto" w:fill="auto"/>
          </w:tcPr>
          <w:p w14:paraId="000459A0"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lastRenderedPageBreak/>
              <w:t>A.4.</w:t>
            </w:r>
            <w:r w:rsidRPr="00A57824">
              <w:rPr>
                <w:lang w:val="en-US"/>
              </w:rPr>
              <w:t xml:space="preserve"> </w:t>
            </w:r>
            <w:r w:rsidRPr="00A57824">
              <w:rPr>
                <w:rFonts w:ascii="Verdana" w:hAnsi="Verdana"/>
                <w:sz w:val="16"/>
                <w:szCs w:val="16"/>
                <w:lang w:val="en-US"/>
              </w:rPr>
              <w:t>Diesel engines and new automotive vehicles that incorporate them, must be exempt from having installed a device to deactivate the emission control system, the system to inform about the low level of the reagent or the failure of the dispenser and the measures that prevent the normal operation of the vehicle when no reagent is detected or the dos</w:t>
            </w:r>
            <w:r w:rsidR="002D78B5">
              <w:rPr>
                <w:rFonts w:ascii="Verdana" w:hAnsi="Verdana"/>
                <w:sz w:val="16"/>
                <w:szCs w:val="16"/>
                <w:lang w:val="en-US"/>
              </w:rPr>
              <w:t>ifier</w:t>
            </w:r>
            <w:r w:rsidRPr="00A57824">
              <w:rPr>
                <w:rFonts w:ascii="Verdana" w:hAnsi="Verdana"/>
                <w:sz w:val="16"/>
                <w:szCs w:val="16"/>
                <w:lang w:val="en-US"/>
              </w:rPr>
              <w:t xml:space="preserve"> fails.</w:t>
            </w:r>
            <w:r w:rsidRPr="00A57824">
              <w:rPr>
                <w:lang w:val="en-US"/>
              </w:rPr>
              <w:t xml:space="preserve"> </w:t>
            </w:r>
            <w:r w:rsidRPr="00A57824">
              <w:rPr>
                <w:rFonts w:ascii="Verdana" w:hAnsi="Verdana"/>
                <w:sz w:val="16"/>
                <w:szCs w:val="16"/>
                <w:lang w:val="en-US"/>
              </w:rPr>
              <w:t xml:space="preserve">The previous systems must be designed and constructed in such a </w:t>
            </w:r>
            <w:r w:rsidRPr="00A57824">
              <w:rPr>
                <w:rFonts w:ascii="Verdana" w:hAnsi="Verdana"/>
                <w:sz w:val="16"/>
                <w:szCs w:val="16"/>
                <w:lang w:val="en-US"/>
              </w:rPr>
              <w:lastRenderedPageBreak/>
              <w:t>way that they are inviolable and resistant to attempts of alteration by the user.</w:t>
            </w:r>
            <w:r w:rsidRPr="00A57824">
              <w:rPr>
                <w:lang w:val="en-US"/>
              </w:rPr>
              <w:t xml:space="preserve"> </w:t>
            </w:r>
            <w:r w:rsidRPr="00A57824">
              <w:rPr>
                <w:rFonts w:ascii="Verdana" w:hAnsi="Verdana"/>
                <w:sz w:val="16"/>
                <w:szCs w:val="16"/>
                <w:lang w:val="en-US"/>
              </w:rPr>
              <w:t xml:space="preserve">These systems and </w:t>
            </w:r>
            <w:r w:rsidR="002D78B5">
              <w:rPr>
                <w:rFonts w:ascii="Verdana" w:hAnsi="Verdana"/>
                <w:sz w:val="16"/>
                <w:szCs w:val="16"/>
                <w:lang w:val="en-US"/>
              </w:rPr>
              <w:t>SDB/OBD</w:t>
            </w:r>
            <w:r w:rsidRPr="00A57824">
              <w:rPr>
                <w:rFonts w:ascii="Verdana" w:hAnsi="Verdana"/>
                <w:sz w:val="16"/>
                <w:szCs w:val="16"/>
                <w:lang w:val="en-US"/>
              </w:rPr>
              <w:t xml:space="preserve"> systems must comply with the certification of origin.</w:t>
            </w:r>
          </w:p>
        </w:tc>
      </w:tr>
      <w:tr w:rsidR="008A0760" w:rsidRPr="00743A20" w14:paraId="27CF2929" w14:textId="77777777" w:rsidTr="00A66C6A">
        <w:tc>
          <w:tcPr>
            <w:tcW w:w="4788" w:type="dxa"/>
            <w:shd w:val="clear" w:color="auto" w:fill="auto"/>
          </w:tcPr>
          <w:p w14:paraId="0B4636D8"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A.5.</w:t>
            </w:r>
            <w:r w:rsidRPr="00A57824">
              <w:rPr>
                <w:rFonts w:ascii="Verdana" w:hAnsi="Verdana"/>
                <w:sz w:val="16"/>
                <w:szCs w:val="16"/>
                <w:lang w:val="es-ES_tradnl"/>
              </w:rPr>
              <w:t xml:space="preserve"> El sistema SDB/OBD deberá incluir una luz indicadora de mal funcionamiento y deberá almacenar códigos específicos de diagnóstico de fallas (Diagnóstico de Código de Falla–DCF o DTC, por sus siglas en inglés).</w:t>
            </w:r>
          </w:p>
        </w:tc>
        <w:tc>
          <w:tcPr>
            <w:tcW w:w="4788" w:type="dxa"/>
            <w:shd w:val="clear" w:color="auto" w:fill="auto"/>
          </w:tcPr>
          <w:p w14:paraId="1FB2C228"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TO 5.</w:t>
            </w:r>
            <w:r w:rsidRPr="00A57824">
              <w:rPr>
                <w:lang w:val="en-US"/>
              </w:rPr>
              <w:t xml:space="preserve"> </w:t>
            </w:r>
            <w:r w:rsidRPr="00A57824">
              <w:rPr>
                <w:rFonts w:ascii="Verdana" w:hAnsi="Verdana"/>
                <w:sz w:val="16"/>
                <w:szCs w:val="16"/>
                <w:lang w:val="en-US"/>
              </w:rPr>
              <w:t xml:space="preserve">The </w:t>
            </w:r>
            <w:r w:rsidR="002D78B5">
              <w:rPr>
                <w:rFonts w:ascii="Verdana" w:hAnsi="Verdana"/>
                <w:sz w:val="16"/>
                <w:szCs w:val="16"/>
                <w:lang w:val="en-US"/>
              </w:rPr>
              <w:t>SDB/OBD</w:t>
            </w:r>
            <w:r w:rsidRPr="00A57824">
              <w:rPr>
                <w:rFonts w:ascii="Verdana" w:hAnsi="Verdana"/>
                <w:sz w:val="16"/>
                <w:szCs w:val="16"/>
                <w:lang w:val="en-US"/>
              </w:rPr>
              <w:t xml:space="preserve"> system must include a malfunction indicator light and must store specific fault diagnosis codes (Fault Code Diagnostics - </w:t>
            </w:r>
            <w:r w:rsidR="002D78B5">
              <w:rPr>
                <w:rFonts w:ascii="Verdana" w:hAnsi="Verdana"/>
                <w:sz w:val="16"/>
                <w:szCs w:val="16"/>
                <w:lang w:val="en-US"/>
              </w:rPr>
              <w:t>FCD</w:t>
            </w:r>
            <w:r w:rsidRPr="00A57824">
              <w:rPr>
                <w:rFonts w:ascii="Verdana" w:hAnsi="Verdana"/>
                <w:sz w:val="16"/>
                <w:szCs w:val="16"/>
                <w:lang w:val="en-US"/>
              </w:rPr>
              <w:t>).</w:t>
            </w:r>
          </w:p>
        </w:tc>
      </w:tr>
      <w:tr w:rsidR="008A0760" w:rsidRPr="00743A20" w14:paraId="57ECBFEF" w14:textId="77777777" w:rsidTr="00A66C6A">
        <w:tc>
          <w:tcPr>
            <w:tcW w:w="4788" w:type="dxa"/>
            <w:shd w:val="clear" w:color="auto" w:fill="auto"/>
          </w:tcPr>
          <w:p w14:paraId="516ADF50"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A.6.</w:t>
            </w:r>
            <w:r w:rsidRPr="00A57824">
              <w:rPr>
                <w:rFonts w:ascii="Verdana" w:hAnsi="Verdana"/>
                <w:sz w:val="16"/>
                <w:szCs w:val="16"/>
                <w:lang w:val="es-ES_tradnl"/>
              </w:rPr>
              <w:t xml:space="preserve"> Conexión con la unidad de control del vehículo (UCEV o ECU, por sus siglas en inglés). Se utilizará un escáner de SDB/OBD para registrar los parámetros del motor. Este escáner podrá utilizar el bus de la red de área de controlador (CAN, por las siglas en inglés de Controller Area Network), del vehículo, para acceder a los datos UCEV/ECU transmitidos a la CAN con protocolos estándar.</w:t>
            </w:r>
          </w:p>
        </w:tc>
        <w:tc>
          <w:tcPr>
            <w:tcW w:w="4788" w:type="dxa"/>
            <w:shd w:val="clear" w:color="auto" w:fill="auto"/>
          </w:tcPr>
          <w:p w14:paraId="0C05DC9A"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A.6.</w:t>
            </w:r>
            <w:r w:rsidRPr="00A57824">
              <w:rPr>
                <w:lang w:val="en-US"/>
              </w:rPr>
              <w:t xml:space="preserve"> </w:t>
            </w:r>
            <w:r w:rsidRPr="00A57824">
              <w:rPr>
                <w:rFonts w:ascii="Verdana" w:hAnsi="Verdana"/>
                <w:sz w:val="16"/>
                <w:szCs w:val="16"/>
                <w:lang w:val="en-US"/>
              </w:rPr>
              <w:t>Connection with the vehicle control unit (UCEV or ECU, for its acronym in English).</w:t>
            </w:r>
            <w:r w:rsidRPr="00A57824">
              <w:rPr>
                <w:lang w:val="en-US"/>
              </w:rPr>
              <w:t xml:space="preserve"> </w:t>
            </w:r>
            <w:r w:rsidRPr="00A57824">
              <w:rPr>
                <w:rFonts w:ascii="Verdana" w:hAnsi="Verdana"/>
                <w:sz w:val="16"/>
                <w:szCs w:val="16"/>
                <w:lang w:val="en-US"/>
              </w:rPr>
              <w:t xml:space="preserve">An </w:t>
            </w:r>
            <w:r w:rsidR="002D78B5">
              <w:rPr>
                <w:rFonts w:ascii="Verdana" w:hAnsi="Verdana"/>
                <w:sz w:val="16"/>
                <w:szCs w:val="16"/>
                <w:lang w:val="en-US"/>
              </w:rPr>
              <w:t>SDB/OBD</w:t>
            </w:r>
            <w:r w:rsidRPr="00A57824">
              <w:rPr>
                <w:rFonts w:ascii="Verdana" w:hAnsi="Verdana"/>
                <w:sz w:val="16"/>
                <w:szCs w:val="16"/>
                <w:lang w:val="en-US"/>
              </w:rPr>
              <w:t xml:space="preserve"> scanner will be used to record the motor parameters.</w:t>
            </w:r>
            <w:r w:rsidRPr="00A57824">
              <w:rPr>
                <w:lang w:val="en-US"/>
              </w:rPr>
              <w:t xml:space="preserve"> </w:t>
            </w:r>
            <w:r w:rsidRPr="00A57824">
              <w:rPr>
                <w:rFonts w:ascii="Verdana" w:hAnsi="Verdana"/>
                <w:sz w:val="16"/>
                <w:szCs w:val="16"/>
                <w:lang w:val="en-US"/>
              </w:rPr>
              <w:t>This scanner can use the bus from the controller area network (CAN) of the vehicle to access</w:t>
            </w:r>
            <w:r w:rsidRPr="00A57824">
              <w:rPr>
                <w:lang w:val="en-US"/>
              </w:rPr>
              <w:t xml:space="preserve"> </w:t>
            </w:r>
            <w:r w:rsidRPr="00A57824">
              <w:rPr>
                <w:rFonts w:ascii="Verdana" w:hAnsi="Verdana"/>
                <w:sz w:val="16"/>
                <w:szCs w:val="16"/>
                <w:lang w:val="en-US"/>
              </w:rPr>
              <w:t>the UCEV/ECU data transmitted to the CAN with standard protocols.</w:t>
            </w:r>
          </w:p>
        </w:tc>
      </w:tr>
      <w:tr w:rsidR="008A0760" w:rsidRPr="00743A20" w14:paraId="12C56E93" w14:textId="77777777" w:rsidTr="00A66C6A">
        <w:tc>
          <w:tcPr>
            <w:tcW w:w="4788" w:type="dxa"/>
            <w:shd w:val="clear" w:color="auto" w:fill="auto"/>
          </w:tcPr>
          <w:p w14:paraId="308C124F"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A.7.</w:t>
            </w:r>
            <w:r w:rsidRPr="00A57824">
              <w:rPr>
                <w:rFonts w:ascii="Verdana" w:hAnsi="Verdana"/>
                <w:sz w:val="16"/>
                <w:szCs w:val="16"/>
                <w:lang w:val="es-ES_tradnl"/>
              </w:rPr>
              <w:t xml:space="preserve"> Los requisitos de funcionamiento serán aplicados de conformidad con el programa de certificación de emisiones que se presente para dar cumplimiento en el numeral 4 de la presente norma, ya sea por lo establecido por la Agencia de Protección Ambiental de los Estados Unidos de América o por el Parlamento Europeo y la Comisión Económica de las Naciones Unidas de Europa.</w:t>
            </w:r>
          </w:p>
        </w:tc>
        <w:tc>
          <w:tcPr>
            <w:tcW w:w="4788" w:type="dxa"/>
            <w:shd w:val="clear" w:color="auto" w:fill="auto"/>
          </w:tcPr>
          <w:p w14:paraId="08A73C6A"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A.7.</w:t>
            </w:r>
            <w:r w:rsidRPr="00A57824">
              <w:rPr>
                <w:lang w:val="en-US"/>
              </w:rPr>
              <w:t xml:space="preserve"> </w:t>
            </w:r>
            <w:r w:rsidRPr="00A57824">
              <w:rPr>
                <w:rFonts w:ascii="Verdana" w:hAnsi="Verdana"/>
                <w:sz w:val="16"/>
                <w:szCs w:val="16"/>
                <w:lang w:val="en-US"/>
              </w:rPr>
              <w:t xml:space="preserve">The operating requirements </w:t>
            </w:r>
            <w:r w:rsidR="00F75D61">
              <w:rPr>
                <w:rFonts w:ascii="Verdana" w:hAnsi="Verdana"/>
                <w:sz w:val="16"/>
                <w:szCs w:val="16"/>
                <w:lang w:val="en-US"/>
              </w:rPr>
              <w:t>will</w:t>
            </w:r>
            <w:r w:rsidRPr="00A57824">
              <w:rPr>
                <w:rFonts w:ascii="Verdana" w:hAnsi="Verdana"/>
                <w:sz w:val="16"/>
                <w:szCs w:val="16"/>
                <w:lang w:val="en-US"/>
              </w:rPr>
              <w:t xml:space="preserve"> be applied in accordance with the emission certification program submitted to comply with paragraph 4 of this standard, either by the provisions of the Environmental Protection Agency of the United States of America or by the European Parliament and the Economic Commission of the United Nations of Europe.</w:t>
            </w:r>
          </w:p>
        </w:tc>
      </w:tr>
      <w:tr w:rsidR="008A0760" w:rsidRPr="00743A20" w14:paraId="255DA797" w14:textId="77777777" w:rsidTr="00A66C6A">
        <w:tc>
          <w:tcPr>
            <w:tcW w:w="4788" w:type="dxa"/>
            <w:shd w:val="clear" w:color="auto" w:fill="auto"/>
          </w:tcPr>
          <w:p w14:paraId="3B2FBC7E" w14:textId="77777777" w:rsidR="008A0760" w:rsidRPr="00A57824" w:rsidRDefault="008A0760" w:rsidP="00A66C6A">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A.7.1. Requisitos del sistema SDB/OBD bajo el programa europeo UN/CEPE.</w:t>
            </w:r>
          </w:p>
        </w:tc>
        <w:tc>
          <w:tcPr>
            <w:tcW w:w="4788" w:type="dxa"/>
            <w:shd w:val="clear" w:color="auto" w:fill="auto"/>
          </w:tcPr>
          <w:p w14:paraId="315F055E"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A.7.1.</w:t>
            </w:r>
            <w:r w:rsidRPr="00A57824">
              <w:rPr>
                <w:lang w:val="en-US"/>
              </w:rPr>
              <w:t xml:space="preserve"> </w:t>
            </w:r>
            <w:r w:rsidRPr="00A57824">
              <w:rPr>
                <w:rFonts w:ascii="Verdana" w:hAnsi="Verdana"/>
                <w:b/>
                <w:bCs/>
                <w:sz w:val="16"/>
                <w:szCs w:val="16"/>
                <w:lang w:val="en-US"/>
              </w:rPr>
              <w:t xml:space="preserve">Requirements of the </w:t>
            </w:r>
            <w:r w:rsidR="002D78B5">
              <w:rPr>
                <w:rFonts w:ascii="Verdana" w:hAnsi="Verdana"/>
                <w:b/>
                <w:bCs/>
                <w:sz w:val="16"/>
                <w:szCs w:val="16"/>
                <w:lang w:val="en-US"/>
              </w:rPr>
              <w:t>SDB/OBD</w:t>
            </w:r>
            <w:r w:rsidRPr="00A57824">
              <w:rPr>
                <w:rFonts w:ascii="Verdana" w:hAnsi="Verdana"/>
                <w:b/>
                <w:bCs/>
                <w:sz w:val="16"/>
                <w:szCs w:val="16"/>
                <w:lang w:val="en-US"/>
              </w:rPr>
              <w:t xml:space="preserve"> system under the European UN / CEPE program.</w:t>
            </w:r>
          </w:p>
        </w:tc>
      </w:tr>
      <w:tr w:rsidR="008A0760" w:rsidRPr="00743A20" w14:paraId="5E4073CD" w14:textId="77777777" w:rsidTr="00A66C6A">
        <w:tc>
          <w:tcPr>
            <w:tcW w:w="4788" w:type="dxa"/>
            <w:shd w:val="clear" w:color="auto" w:fill="auto"/>
          </w:tcPr>
          <w:p w14:paraId="14F3076D" w14:textId="77777777" w:rsidR="008A0760" w:rsidRPr="00A57824" w:rsidRDefault="008A0760" w:rsidP="00A66C6A">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A.7.1.1.</w:t>
            </w:r>
            <w:r w:rsidRPr="00A57824">
              <w:rPr>
                <w:rFonts w:ascii="Verdana" w:hAnsi="Verdana"/>
                <w:sz w:val="16"/>
                <w:szCs w:val="16"/>
                <w:lang w:val="es-ES_tradnl"/>
              </w:rPr>
              <w:t xml:space="preserve"> Las especificaciones para los límites SDB/OBD</w:t>
            </w:r>
            <w:r w:rsidRPr="00A57824">
              <w:rPr>
                <w:rFonts w:ascii="Verdana" w:hAnsi="Verdana"/>
                <w:b/>
                <w:sz w:val="16"/>
                <w:szCs w:val="16"/>
                <w:lang w:val="es-ES_tradnl"/>
              </w:rPr>
              <w:t xml:space="preserve"> </w:t>
            </w:r>
            <w:r w:rsidRPr="00A57824">
              <w:rPr>
                <w:rFonts w:ascii="Verdana" w:hAnsi="Verdana"/>
                <w:sz w:val="16"/>
                <w:szCs w:val="16"/>
                <w:lang w:val="es-ES_tradnl"/>
              </w:rPr>
              <w:t>de óxidos de nitrógeno (NOx) y partículas (Part), para motores nuevos a diésel y vehículos automotores nuevos que los integren, certificados bajo los estándares establecidos por el Parlamento Europeo o la Comisión Económica Europea para las Naciones Unidas, se establecen en la Tabla A.1.</w:t>
            </w:r>
          </w:p>
        </w:tc>
        <w:tc>
          <w:tcPr>
            <w:tcW w:w="4788" w:type="dxa"/>
            <w:shd w:val="clear" w:color="auto" w:fill="auto"/>
          </w:tcPr>
          <w:p w14:paraId="4A70A395" w14:textId="77777777" w:rsidR="008A0760" w:rsidRPr="00A57824" w:rsidRDefault="008A0760" w:rsidP="00A66C6A">
            <w:pPr>
              <w:spacing w:after="101" w:line="276" w:lineRule="auto"/>
              <w:jc w:val="both"/>
              <w:rPr>
                <w:lang w:val="en-US"/>
              </w:rPr>
            </w:pPr>
            <w:r w:rsidRPr="00A57824">
              <w:rPr>
                <w:rFonts w:ascii="Verdana" w:hAnsi="Verdana"/>
                <w:b/>
                <w:bCs/>
                <w:sz w:val="16"/>
                <w:szCs w:val="16"/>
                <w:lang w:val="en-US"/>
              </w:rPr>
              <w:t>A.7.1.1.</w:t>
            </w:r>
            <w:r w:rsidRPr="00A57824">
              <w:rPr>
                <w:lang w:val="en-US"/>
              </w:rPr>
              <w:t xml:space="preserve"> </w:t>
            </w:r>
            <w:r w:rsidRPr="00A57824">
              <w:rPr>
                <w:rFonts w:ascii="Verdana" w:hAnsi="Verdana"/>
                <w:sz w:val="16"/>
                <w:szCs w:val="16"/>
                <w:lang w:val="en-US"/>
              </w:rPr>
              <w:t xml:space="preserve">Specifications for </w:t>
            </w:r>
            <w:r w:rsidR="002D78B5">
              <w:rPr>
                <w:rFonts w:ascii="Verdana" w:hAnsi="Verdana"/>
                <w:sz w:val="16"/>
                <w:szCs w:val="16"/>
                <w:lang w:val="en-US"/>
              </w:rPr>
              <w:t>SDB/OBD</w:t>
            </w:r>
            <w:r w:rsidRPr="00A57824">
              <w:rPr>
                <w:rFonts w:ascii="Verdana" w:hAnsi="Verdana"/>
                <w:sz w:val="16"/>
                <w:szCs w:val="16"/>
                <w:lang w:val="en-US"/>
              </w:rPr>
              <w:t xml:space="preserve"> limits</w:t>
            </w:r>
            <w:r w:rsidRPr="00A57824">
              <w:rPr>
                <w:lang w:val="en-US"/>
              </w:rPr>
              <w:t xml:space="preserve"> </w:t>
            </w:r>
            <w:r w:rsidRPr="00A57824">
              <w:rPr>
                <w:rFonts w:ascii="Verdana" w:hAnsi="Verdana"/>
                <w:sz w:val="16"/>
                <w:szCs w:val="16"/>
                <w:lang w:val="en-US"/>
              </w:rPr>
              <w:t>of nitrogen oxides (NOx) and particulates (Part), for new diesel engines and new automotive vehicles that integrate them, certified under the standards established by the European Parliament or the European Economic Commission for the United Nations, are set out in the Table A.1.</w:t>
            </w:r>
          </w:p>
        </w:tc>
      </w:tr>
    </w:tbl>
    <w:p w14:paraId="69A77628" w14:textId="77777777" w:rsidR="008A0760" w:rsidRPr="002D78B5" w:rsidRDefault="008A0760" w:rsidP="00DF5012">
      <w:pPr>
        <w:pStyle w:val="Texto"/>
        <w:spacing w:line="240" w:lineRule="exact"/>
        <w:ind w:firstLine="0"/>
        <w:jc w:val="center"/>
        <w:rPr>
          <w:rFonts w:ascii="Verdana" w:hAnsi="Verdana"/>
          <w:b/>
          <w:sz w:val="16"/>
          <w:szCs w:val="16"/>
          <w:lang w:val="en-US"/>
        </w:rPr>
      </w:pPr>
    </w:p>
    <w:p w14:paraId="586CD1F1" w14:textId="77777777" w:rsidR="00DF5012" w:rsidRPr="00BA3592" w:rsidRDefault="00DF5012" w:rsidP="00DF5012">
      <w:pPr>
        <w:pStyle w:val="Texto"/>
        <w:spacing w:line="240" w:lineRule="exact"/>
        <w:ind w:firstLine="0"/>
        <w:jc w:val="center"/>
        <w:rPr>
          <w:rFonts w:ascii="Verdana" w:hAnsi="Verdana"/>
          <w:b/>
          <w:sz w:val="16"/>
          <w:szCs w:val="16"/>
          <w:lang w:val="es-ES_tradnl"/>
        </w:rPr>
      </w:pPr>
      <w:r w:rsidRPr="00BA3592">
        <w:rPr>
          <w:rFonts w:ascii="Verdana" w:hAnsi="Verdana"/>
          <w:b/>
          <w:sz w:val="16"/>
          <w:szCs w:val="16"/>
          <w:lang w:val="es-ES_tradnl"/>
        </w:rPr>
        <w:t>Tabla A.1</w:t>
      </w:r>
    </w:p>
    <w:tbl>
      <w:tblPr>
        <w:tblW w:w="5872" w:type="dxa"/>
        <w:jc w:val="center"/>
        <w:tblCellMar>
          <w:left w:w="72" w:type="dxa"/>
          <w:right w:w="72" w:type="dxa"/>
        </w:tblCellMar>
        <w:tblLook w:val="0000" w:firstRow="0" w:lastRow="0" w:firstColumn="0" w:lastColumn="0" w:noHBand="0" w:noVBand="0"/>
      </w:tblPr>
      <w:tblGrid>
        <w:gridCol w:w="2995"/>
        <w:gridCol w:w="1551"/>
        <w:gridCol w:w="1326"/>
      </w:tblGrid>
      <w:tr w:rsidR="00DF5012" w:rsidRPr="00BA3592" w14:paraId="790B030B" w14:textId="77777777">
        <w:trPr>
          <w:cantSplit/>
          <w:trHeight w:val="20"/>
          <w:jc w:val="center"/>
        </w:trPr>
        <w:tc>
          <w:tcPr>
            <w:tcW w:w="2995" w:type="dxa"/>
            <w:tcBorders>
              <w:top w:val="single" w:sz="6" w:space="0" w:color="auto"/>
              <w:left w:val="single" w:sz="6" w:space="0" w:color="auto"/>
              <w:bottom w:val="single" w:sz="6" w:space="0" w:color="auto"/>
              <w:right w:val="single" w:sz="6" w:space="0" w:color="auto"/>
            </w:tcBorders>
            <w:shd w:val="pct12" w:color="auto" w:fill="auto"/>
            <w:noWrap/>
            <w:vAlign w:val="center"/>
          </w:tcPr>
          <w:p w14:paraId="61BEFC97" w14:textId="77777777" w:rsidR="00DF5012" w:rsidRPr="00BA3592" w:rsidRDefault="00DF5012" w:rsidP="00931F51">
            <w:pPr>
              <w:pStyle w:val="Texto"/>
              <w:spacing w:before="40" w:after="40" w:line="240" w:lineRule="exact"/>
              <w:ind w:firstLine="0"/>
              <w:jc w:val="center"/>
              <w:rPr>
                <w:rFonts w:ascii="Verdana" w:hAnsi="Verdana"/>
                <w:b/>
                <w:sz w:val="16"/>
                <w:szCs w:val="16"/>
                <w:lang w:val="es-ES_tradnl"/>
              </w:rPr>
            </w:pPr>
            <w:r w:rsidRPr="00BA3592">
              <w:rPr>
                <w:rFonts w:ascii="Verdana" w:hAnsi="Verdana"/>
                <w:b/>
                <w:sz w:val="16"/>
                <w:szCs w:val="16"/>
                <w:lang w:val="es-ES_tradnl"/>
              </w:rPr>
              <w:t>Motor</w:t>
            </w:r>
          </w:p>
        </w:tc>
        <w:tc>
          <w:tcPr>
            <w:tcW w:w="1551" w:type="dxa"/>
            <w:tcBorders>
              <w:top w:val="single" w:sz="6" w:space="0" w:color="auto"/>
              <w:left w:val="single" w:sz="6" w:space="0" w:color="auto"/>
              <w:bottom w:val="single" w:sz="6" w:space="0" w:color="auto"/>
              <w:right w:val="single" w:sz="6" w:space="0" w:color="auto"/>
            </w:tcBorders>
            <w:shd w:val="pct12" w:color="auto" w:fill="auto"/>
            <w:vAlign w:val="center"/>
          </w:tcPr>
          <w:p w14:paraId="76ED183A" w14:textId="77777777" w:rsidR="00DF5012" w:rsidRPr="00BA3592" w:rsidRDefault="00DF5012" w:rsidP="00931F51">
            <w:pPr>
              <w:pStyle w:val="Texto"/>
              <w:spacing w:before="40" w:after="40" w:line="240" w:lineRule="exact"/>
              <w:ind w:firstLine="0"/>
              <w:jc w:val="center"/>
              <w:rPr>
                <w:rFonts w:ascii="Verdana" w:hAnsi="Verdana"/>
                <w:b/>
                <w:sz w:val="16"/>
                <w:szCs w:val="16"/>
                <w:lang w:val="es-ES_tradnl"/>
              </w:rPr>
            </w:pPr>
            <w:r w:rsidRPr="00BA3592">
              <w:rPr>
                <w:rFonts w:ascii="Verdana" w:hAnsi="Verdana"/>
                <w:b/>
                <w:sz w:val="16"/>
                <w:szCs w:val="16"/>
                <w:lang w:val="es-ES_tradnl"/>
              </w:rPr>
              <w:t>NOx</w:t>
            </w:r>
            <w:r w:rsidR="00D728B4" w:rsidRPr="00BA3592">
              <w:rPr>
                <w:rFonts w:ascii="Verdana" w:hAnsi="Verdana"/>
                <w:b/>
                <w:sz w:val="16"/>
                <w:szCs w:val="16"/>
                <w:lang w:val="es-ES_tradnl"/>
              </w:rPr>
              <w:t xml:space="preserve"> </w:t>
            </w:r>
            <w:r w:rsidRPr="00BA3592">
              <w:rPr>
                <w:rFonts w:ascii="Verdana" w:hAnsi="Verdana"/>
                <w:b/>
                <w:sz w:val="16"/>
                <w:szCs w:val="16"/>
                <w:lang w:val="es-ES_tradnl"/>
              </w:rPr>
              <w:t xml:space="preserve">mg/kWh </w:t>
            </w:r>
            <w:r w:rsidRPr="00BA3592">
              <w:rPr>
                <w:rFonts w:ascii="Verdana" w:hAnsi="Verdana"/>
                <w:b/>
                <w:sz w:val="16"/>
                <w:szCs w:val="16"/>
                <w:vertAlign w:val="superscript"/>
                <w:lang w:val="es-ES_tradnl"/>
              </w:rPr>
              <w:t>(1)</w:t>
            </w:r>
          </w:p>
        </w:tc>
        <w:tc>
          <w:tcPr>
            <w:tcW w:w="1326" w:type="dxa"/>
            <w:tcBorders>
              <w:top w:val="single" w:sz="6" w:space="0" w:color="auto"/>
              <w:left w:val="single" w:sz="6" w:space="0" w:color="auto"/>
              <w:bottom w:val="single" w:sz="6" w:space="0" w:color="auto"/>
              <w:right w:val="single" w:sz="6" w:space="0" w:color="auto"/>
            </w:tcBorders>
            <w:shd w:val="pct12" w:color="auto" w:fill="auto"/>
            <w:vAlign w:val="center"/>
          </w:tcPr>
          <w:p w14:paraId="00C74E14" w14:textId="77777777" w:rsidR="00DF5012" w:rsidRPr="00BA3592" w:rsidRDefault="00DF5012" w:rsidP="00931F51">
            <w:pPr>
              <w:pStyle w:val="Texto"/>
              <w:spacing w:before="40" w:after="40" w:line="240" w:lineRule="exact"/>
              <w:ind w:firstLine="0"/>
              <w:jc w:val="center"/>
              <w:rPr>
                <w:rFonts w:ascii="Verdana" w:hAnsi="Verdana"/>
                <w:b/>
                <w:sz w:val="16"/>
                <w:szCs w:val="16"/>
                <w:lang w:val="es-ES_tradnl"/>
              </w:rPr>
            </w:pPr>
            <w:r w:rsidRPr="00BA3592">
              <w:rPr>
                <w:rFonts w:ascii="Verdana" w:hAnsi="Verdana"/>
                <w:b/>
                <w:sz w:val="16"/>
                <w:szCs w:val="16"/>
                <w:lang w:val="es-ES_tradnl"/>
              </w:rPr>
              <w:t>Part</w:t>
            </w:r>
            <w:r w:rsidR="00D728B4" w:rsidRPr="00BA3592">
              <w:rPr>
                <w:rFonts w:ascii="Verdana" w:hAnsi="Verdana"/>
                <w:b/>
                <w:sz w:val="16"/>
                <w:szCs w:val="16"/>
                <w:lang w:val="es-ES_tradnl"/>
              </w:rPr>
              <w:t xml:space="preserve"> </w:t>
            </w:r>
            <w:r w:rsidRPr="00BA3592">
              <w:rPr>
                <w:rFonts w:ascii="Verdana" w:hAnsi="Verdana"/>
                <w:b/>
                <w:sz w:val="16"/>
                <w:szCs w:val="16"/>
                <w:lang w:val="es-ES_tradnl"/>
              </w:rPr>
              <w:t>mg/kWh</w:t>
            </w:r>
          </w:p>
        </w:tc>
      </w:tr>
      <w:tr w:rsidR="00DF5012" w:rsidRPr="00BA3592" w14:paraId="0836A6F0" w14:textId="77777777">
        <w:trPr>
          <w:cantSplit/>
          <w:trHeight w:val="20"/>
          <w:jc w:val="center"/>
        </w:trPr>
        <w:tc>
          <w:tcPr>
            <w:tcW w:w="2995" w:type="dxa"/>
            <w:tcBorders>
              <w:top w:val="single" w:sz="6" w:space="0" w:color="auto"/>
              <w:left w:val="single" w:sz="6" w:space="0" w:color="auto"/>
              <w:bottom w:val="single" w:sz="6" w:space="0" w:color="auto"/>
              <w:right w:val="single" w:sz="6" w:space="0" w:color="auto"/>
            </w:tcBorders>
            <w:vAlign w:val="center"/>
          </w:tcPr>
          <w:p w14:paraId="3680BC87" w14:textId="77777777" w:rsidR="00DF5012" w:rsidRPr="00BA3592" w:rsidRDefault="00DF5012" w:rsidP="00931F51">
            <w:pPr>
              <w:pStyle w:val="Texto"/>
              <w:spacing w:before="40" w:after="40" w:line="240" w:lineRule="exact"/>
              <w:ind w:firstLine="0"/>
              <w:rPr>
                <w:rFonts w:ascii="Verdana" w:hAnsi="Verdana"/>
                <w:sz w:val="16"/>
                <w:szCs w:val="16"/>
                <w:lang w:val="es-ES_tradnl"/>
              </w:rPr>
            </w:pPr>
            <w:r w:rsidRPr="00BA3592">
              <w:rPr>
                <w:rFonts w:ascii="Verdana" w:hAnsi="Verdana"/>
                <w:sz w:val="16"/>
                <w:szCs w:val="16"/>
                <w:lang w:val="es-ES_tradnl"/>
              </w:rPr>
              <w:t xml:space="preserve">Diésel–Encendido por compresión </w:t>
            </w:r>
          </w:p>
        </w:tc>
        <w:tc>
          <w:tcPr>
            <w:tcW w:w="1551" w:type="dxa"/>
            <w:tcBorders>
              <w:top w:val="single" w:sz="6" w:space="0" w:color="auto"/>
              <w:left w:val="single" w:sz="6" w:space="0" w:color="auto"/>
              <w:bottom w:val="single" w:sz="6" w:space="0" w:color="auto"/>
              <w:right w:val="single" w:sz="6" w:space="0" w:color="auto"/>
            </w:tcBorders>
            <w:vAlign w:val="center"/>
          </w:tcPr>
          <w:p w14:paraId="03CD4BE8" w14:textId="77777777" w:rsidR="00DF5012" w:rsidRPr="00BA3592" w:rsidRDefault="00DF5012" w:rsidP="00931F51">
            <w:pPr>
              <w:pStyle w:val="Texto"/>
              <w:spacing w:before="40" w:after="40" w:line="240" w:lineRule="exact"/>
              <w:ind w:firstLine="0"/>
              <w:jc w:val="center"/>
              <w:rPr>
                <w:rFonts w:ascii="Verdana" w:hAnsi="Verdana"/>
                <w:sz w:val="16"/>
                <w:szCs w:val="16"/>
                <w:lang w:val="es-ES_tradnl"/>
              </w:rPr>
            </w:pPr>
            <w:r w:rsidRPr="00BA3592">
              <w:rPr>
                <w:rFonts w:ascii="Verdana" w:hAnsi="Verdana"/>
                <w:sz w:val="16"/>
                <w:szCs w:val="16"/>
                <w:lang w:val="es-ES_tradnl"/>
              </w:rPr>
              <w:t>1,500</w:t>
            </w:r>
          </w:p>
        </w:tc>
        <w:tc>
          <w:tcPr>
            <w:tcW w:w="1326" w:type="dxa"/>
            <w:tcBorders>
              <w:top w:val="single" w:sz="6" w:space="0" w:color="auto"/>
              <w:left w:val="single" w:sz="6" w:space="0" w:color="auto"/>
              <w:bottom w:val="single" w:sz="6" w:space="0" w:color="auto"/>
              <w:right w:val="single" w:sz="6" w:space="0" w:color="auto"/>
            </w:tcBorders>
            <w:vAlign w:val="center"/>
          </w:tcPr>
          <w:p w14:paraId="75E5B3FB" w14:textId="77777777" w:rsidR="00DF5012" w:rsidRPr="00BA3592" w:rsidRDefault="00DF5012" w:rsidP="00931F51">
            <w:pPr>
              <w:pStyle w:val="Texto"/>
              <w:spacing w:before="40" w:after="40" w:line="240" w:lineRule="exact"/>
              <w:ind w:firstLine="0"/>
              <w:jc w:val="center"/>
              <w:rPr>
                <w:rFonts w:ascii="Verdana" w:hAnsi="Verdana"/>
                <w:sz w:val="16"/>
                <w:szCs w:val="16"/>
                <w:lang w:val="es-ES_tradnl"/>
              </w:rPr>
            </w:pPr>
            <w:r w:rsidRPr="00BA3592">
              <w:rPr>
                <w:rFonts w:ascii="Verdana" w:hAnsi="Verdana"/>
                <w:sz w:val="16"/>
                <w:szCs w:val="16"/>
                <w:lang w:val="es-ES_tradnl"/>
              </w:rPr>
              <w:t>100</w:t>
            </w:r>
          </w:p>
        </w:tc>
      </w:tr>
      <w:tr w:rsidR="008A0760" w:rsidRPr="00BA3592" w14:paraId="2FADDA52" w14:textId="77777777" w:rsidTr="00337D87">
        <w:trPr>
          <w:cantSplit/>
          <w:trHeight w:val="20"/>
          <w:jc w:val="center"/>
        </w:trPr>
        <w:tc>
          <w:tcPr>
            <w:tcW w:w="5872" w:type="dxa"/>
            <w:gridSpan w:val="3"/>
            <w:tcBorders>
              <w:top w:val="single" w:sz="6" w:space="0" w:color="auto"/>
              <w:left w:val="single" w:sz="6" w:space="0" w:color="auto"/>
              <w:bottom w:val="single" w:sz="6" w:space="0" w:color="auto"/>
              <w:right w:val="single" w:sz="6" w:space="0" w:color="auto"/>
            </w:tcBorders>
            <w:vAlign w:val="center"/>
          </w:tcPr>
          <w:p w14:paraId="33AEF751" w14:textId="77777777" w:rsidR="008A0760" w:rsidRPr="00BA3592" w:rsidRDefault="008A0760" w:rsidP="008A0760">
            <w:pPr>
              <w:pStyle w:val="Texto"/>
              <w:spacing w:line="240" w:lineRule="exact"/>
              <w:rPr>
                <w:rFonts w:ascii="Verdana" w:hAnsi="Verdana"/>
                <w:sz w:val="16"/>
                <w:szCs w:val="16"/>
                <w:lang w:val="es-ES_tradnl"/>
              </w:rPr>
            </w:pPr>
            <w:r w:rsidRPr="00BA3592">
              <w:rPr>
                <w:rFonts w:ascii="Verdana" w:hAnsi="Verdana"/>
                <w:sz w:val="16"/>
                <w:szCs w:val="16"/>
                <w:lang w:val="es-ES_tradnl"/>
              </w:rPr>
              <w:t>Nota:</w:t>
            </w:r>
          </w:p>
          <w:p w14:paraId="5A52A5C2" w14:textId="77777777" w:rsidR="008A0760" w:rsidRPr="00BA3592" w:rsidRDefault="008A0760" w:rsidP="008A0760">
            <w:pPr>
              <w:pStyle w:val="ROMANOS"/>
              <w:spacing w:line="240" w:lineRule="exact"/>
              <w:rPr>
                <w:rFonts w:ascii="Verdana" w:hAnsi="Verdana"/>
                <w:sz w:val="16"/>
                <w:szCs w:val="16"/>
                <w:lang w:val="es-ES_tradnl"/>
              </w:rPr>
            </w:pPr>
            <w:r w:rsidRPr="00BA3592">
              <w:rPr>
                <w:rFonts w:ascii="Verdana" w:hAnsi="Verdana"/>
                <w:sz w:val="16"/>
                <w:szCs w:val="16"/>
                <w:lang w:val="es-ES_tradnl"/>
              </w:rPr>
              <w:t>1.</w:t>
            </w:r>
            <w:r w:rsidRPr="00BA3592">
              <w:rPr>
                <w:rFonts w:ascii="Verdana" w:hAnsi="Verdana"/>
                <w:sz w:val="16"/>
                <w:szCs w:val="16"/>
                <w:lang w:val="es-ES_tradnl"/>
              </w:rPr>
              <w:tab/>
              <w:t>mg/kWh = miligramos por kilowatt hora.</w:t>
            </w:r>
          </w:p>
        </w:tc>
      </w:tr>
    </w:tbl>
    <w:p w14:paraId="3B9D4345" w14:textId="77777777" w:rsidR="008A0760" w:rsidRDefault="008A0760" w:rsidP="00DF5012">
      <w:pPr>
        <w:pStyle w:val="Texto"/>
        <w:spacing w:line="230" w:lineRule="exact"/>
        <w:rPr>
          <w:rFonts w:ascii="Verdana" w:hAnsi="Verdana"/>
          <w:b/>
          <w:sz w:val="16"/>
          <w:szCs w:val="16"/>
          <w:lang w:val="es-ES_tradnl"/>
        </w:rPr>
      </w:pPr>
    </w:p>
    <w:p w14:paraId="1B2A92D9" w14:textId="77777777" w:rsidR="008A0760" w:rsidRPr="008A0760" w:rsidRDefault="008A0760" w:rsidP="008A0760">
      <w:pPr>
        <w:spacing w:after="101" w:line="240" w:lineRule="atLeast"/>
        <w:jc w:val="center"/>
        <w:rPr>
          <w:lang w:val="en-US" w:eastAsia="en-US"/>
        </w:rPr>
      </w:pPr>
      <w:r w:rsidRPr="008A0760">
        <w:rPr>
          <w:rFonts w:ascii="Verdana" w:hAnsi="Verdana"/>
          <w:b/>
          <w:bCs/>
          <w:sz w:val="16"/>
          <w:szCs w:val="16"/>
          <w:lang w:val="en-US" w:eastAsia="en-US"/>
        </w:rPr>
        <w:t>Table A.1</w:t>
      </w:r>
      <w:r w:rsidRPr="008A0760">
        <w:rPr>
          <w:lang w:val="en-US" w:eastAsia="en-US"/>
        </w:rPr>
        <w:t xml:space="preserve"> </w:t>
      </w:r>
    </w:p>
    <w:tbl>
      <w:tblPr>
        <w:tblW w:w="5872" w:type="dxa"/>
        <w:jc w:val="center"/>
        <w:tblCellMar>
          <w:left w:w="0" w:type="dxa"/>
          <w:right w:w="0" w:type="dxa"/>
        </w:tblCellMar>
        <w:tblLook w:val="04A0" w:firstRow="1" w:lastRow="0" w:firstColumn="1" w:lastColumn="0" w:noHBand="0" w:noVBand="1"/>
      </w:tblPr>
      <w:tblGrid>
        <w:gridCol w:w="2995"/>
        <w:gridCol w:w="1551"/>
        <w:gridCol w:w="1326"/>
      </w:tblGrid>
      <w:tr w:rsidR="008A0760" w:rsidRPr="008A0760" w14:paraId="63766EFA" w14:textId="77777777" w:rsidTr="008A0760">
        <w:trPr>
          <w:trHeight w:val="20"/>
          <w:jc w:val="center"/>
        </w:trPr>
        <w:tc>
          <w:tcPr>
            <w:tcW w:w="2995"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B504E12"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Motor</w:t>
            </w:r>
            <w:r w:rsidRPr="008A0760">
              <w:rPr>
                <w:lang w:val="en-US" w:eastAsia="en-US"/>
              </w:rPr>
              <w:t xml:space="preserve"> </w:t>
            </w:r>
          </w:p>
        </w:tc>
        <w:tc>
          <w:tcPr>
            <w:tcW w:w="1551"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62CFEE11"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NOx</w:t>
            </w:r>
            <w:r w:rsidRPr="008A0760">
              <w:rPr>
                <w:lang w:val="en-US" w:eastAsia="en-US"/>
              </w:rPr>
              <w:t xml:space="preserve"> </w:t>
            </w:r>
            <w:r w:rsidRPr="008A0760">
              <w:rPr>
                <w:rFonts w:ascii="Verdana" w:hAnsi="Verdana"/>
                <w:b/>
                <w:bCs/>
                <w:sz w:val="16"/>
                <w:szCs w:val="16"/>
                <w:lang w:val="en-US" w:eastAsia="en-US"/>
              </w:rPr>
              <w:t>mg / kWh</w:t>
            </w:r>
            <w:r w:rsidRPr="008A0760">
              <w:rPr>
                <w:lang w:val="en-US" w:eastAsia="en-US"/>
              </w:rPr>
              <w:t xml:space="preserve"> </w:t>
            </w:r>
            <w:r w:rsidRPr="008A0760">
              <w:rPr>
                <w:rFonts w:ascii="Verdana" w:hAnsi="Verdana"/>
                <w:b/>
                <w:bCs/>
                <w:sz w:val="11"/>
                <w:szCs w:val="11"/>
                <w:vertAlign w:val="superscript"/>
                <w:lang w:val="en-US" w:eastAsia="en-US"/>
              </w:rPr>
              <w:t>(1)</w:t>
            </w:r>
            <w:r w:rsidRPr="008A0760">
              <w:rPr>
                <w:lang w:val="en-US" w:eastAsia="en-US"/>
              </w:rPr>
              <w:t xml:space="preserve"> </w:t>
            </w:r>
          </w:p>
        </w:tc>
        <w:tc>
          <w:tcPr>
            <w:tcW w:w="1326"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5DECE0BC"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Part</w:t>
            </w:r>
            <w:r w:rsidRPr="008A0760">
              <w:rPr>
                <w:lang w:val="en-US" w:eastAsia="en-US"/>
              </w:rPr>
              <w:t xml:space="preserve"> </w:t>
            </w:r>
            <w:r w:rsidRPr="008A0760">
              <w:rPr>
                <w:rFonts w:ascii="Verdana" w:hAnsi="Verdana"/>
                <w:b/>
                <w:bCs/>
                <w:sz w:val="16"/>
                <w:szCs w:val="16"/>
                <w:lang w:val="en-US" w:eastAsia="en-US"/>
              </w:rPr>
              <w:t>mg / kWh</w:t>
            </w:r>
            <w:r w:rsidRPr="008A0760">
              <w:rPr>
                <w:lang w:val="en-US" w:eastAsia="en-US"/>
              </w:rPr>
              <w:t xml:space="preserve"> </w:t>
            </w:r>
          </w:p>
        </w:tc>
      </w:tr>
      <w:tr w:rsidR="008A0760" w:rsidRPr="008A0760" w14:paraId="23190BD1" w14:textId="77777777" w:rsidTr="008A0760">
        <w:trPr>
          <w:trHeight w:val="20"/>
          <w:jc w:val="center"/>
        </w:trPr>
        <w:tc>
          <w:tcPr>
            <w:tcW w:w="299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18C4F20" w14:textId="77777777" w:rsidR="008A0760" w:rsidRPr="008A0760" w:rsidRDefault="008A0760" w:rsidP="008A0760">
            <w:pPr>
              <w:spacing w:before="40" w:after="40" w:line="240" w:lineRule="atLeast"/>
              <w:jc w:val="both"/>
              <w:rPr>
                <w:lang w:val="en-US" w:eastAsia="en-US"/>
              </w:rPr>
            </w:pPr>
            <w:r w:rsidRPr="008A0760">
              <w:rPr>
                <w:rFonts w:ascii="Verdana" w:hAnsi="Verdana"/>
                <w:sz w:val="16"/>
                <w:szCs w:val="16"/>
                <w:lang w:val="en-US" w:eastAsia="en-US"/>
              </w:rPr>
              <w:t>Diesel-Compression ignition</w:t>
            </w:r>
            <w:r w:rsidRPr="008A0760">
              <w:rPr>
                <w:lang w:val="en-US" w:eastAsia="en-US"/>
              </w:rPr>
              <w:t xml:space="preserve"> </w:t>
            </w:r>
          </w:p>
        </w:tc>
        <w:tc>
          <w:tcPr>
            <w:tcW w:w="1551"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EC46475"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1,500</w:t>
            </w:r>
            <w:r w:rsidRPr="008A0760">
              <w:rPr>
                <w:lang w:val="en-US" w:eastAsia="en-US"/>
              </w:rPr>
              <w:t xml:space="preserve"> </w:t>
            </w:r>
          </w:p>
        </w:tc>
        <w:tc>
          <w:tcPr>
            <w:tcW w:w="132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F4E8A36"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100</w:t>
            </w:r>
            <w:r w:rsidRPr="008A0760">
              <w:rPr>
                <w:lang w:val="en-US" w:eastAsia="en-US"/>
              </w:rPr>
              <w:t xml:space="preserve"> </w:t>
            </w:r>
          </w:p>
        </w:tc>
      </w:tr>
      <w:tr w:rsidR="008A0760" w:rsidRPr="00743A20" w14:paraId="51E51034" w14:textId="77777777" w:rsidTr="008A0760">
        <w:trPr>
          <w:trHeight w:val="20"/>
          <w:jc w:val="center"/>
        </w:trPr>
        <w:tc>
          <w:tcPr>
            <w:tcW w:w="5872"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E70E5F" w14:textId="77777777" w:rsidR="008A0760" w:rsidRPr="008A0760" w:rsidRDefault="008A0760" w:rsidP="008A0760">
            <w:pPr>
              <w:spacing w:after="101" w:line="240" w:lineRule="atLeast"/>
              <w:ind w:firstLine="288"/>
              <w:jc w:val="both"/>
              <w:rPr>
                <w:lang w:val="en-US" w:eastAsia="en-US"/>
              </w:rPr>
            </w:pPr>
            <w:r w:rsidRPr="008A0760">
              <w:rPr>
                <w:rFonts w:ascii="Verdana" w:hAnsi="Verdana"/>
                <w:sz w:val="16"/>
                <w:szCs w:val="16"/>
                <w:lang w:val="en-US" w:eastAsia="en-US"/>
              </w:rPr>
              <w:lastRenderedPageBreak/>
              <w:t>Note:</w:t>
            </w:r>
            <w:r w:rsidRPr="008A0760">
              <w:rPr>
                <w:lang w:val="en-US" w:eastAsia="en-US"/>
              </w:rPr>
              <w:t xml:space="preserve"> </w:t>
            </w:r>
          </w:p>
          <w:p w14:paraId="451F03E4" w14:textId="77777777" w:rsidR="008A0760" w:rsidRPr="008A0760" w:rsidRDefault="008A0760" w:rsidP="008A0760">
            <w:pPr>
              <w:spacing w:after="101" w:line="240" w:lineRule="atLeast"/>
              <w:ind w:left="288" w:hanging="432"/>
              <w:jc w:val="both"/>
              <w:rPr>
                <w:lang w:val="en-US" w:eastAsia="en-US"/>
              </w:rPr>
            </w:pPr>
            <w:r w:rsidRPr="008A0760">
              <w:rPr>
                <w:rFonts w:ascii="Verdana" w:hAnsi="Verdana"/>
                <w:sz w:val="16"/>
                <w:szCs w:val="16"/>
                <w:lang w:val="en-US" w:eastAsia="en-US"/>
              </w:rPr>
              <w:t>1.</w:t>
            </w:r>
            <w:r w:rsidRPr="008A0760">
              <w:rPr>
                <w:lang w:val="en-US" w:eastAsia="en-US"/>
              </w:rPr>
              <w:t xml:space="preserve"> </w:t>
            </w:r>
            <w:r w:rsidRPr="008A0760">
              <w:rPr>
                <w:rFonts w:ascii="Verdana" w:hAnsi="Verdana"/>
                <w:sz w:val="16"/>
                <w:szCs w:val="16"/>
                <w:lang w:val="en-US" w:eastAsia="en-US"/>
              </w:rPr>
              <w:t>              mg / kWh = milligrams per kilowatt hour.</w:t>
            </w:r>
            <w:r w:rsidRPr="008A0760">
              <w:rPr>
                <w:lang w:val="en-US" w:eastAsia="en-US"/>
              </w:rPr>
              <w:t xml:space="preserve"> </w:t>
            </w:r>
          </w:p>
        </w:tc>
      </w:tr>
    </w:tbl>
    <w:p w14:paraId="5BAB7494" w14:textId="77777777" w:rsidR="008A0760" w:rsidRPr="008A0760" w:rsidRDefault="008A0760" w:rsidP="00DF5012">
      <w:pPr>
        <w:pStyle w:val="Texto"/>
        <w:spacing w:line="230" w:lineRule="exact"/>
        <w:rPr>
          <w:rFonts w:ascii="Verdana" w:hAnsi="Verdana"/>
          <w:b/>
          <w:sz w:val="16"/>
          <w:szCs w:val="16"/>
          <w:lang w:val="en-US"/>
        </w:rPr>
      </w:pPr>
    </w:p>
    <w:tbl>
      <w:tblPr>
        <w:tblW w:w="0" w:type="auto"/>
        <w:tblLook w:val="04A0" w:firstRow="1" w:lastRow="0" w:firstColumn="1" w:lastColumn="0" w:noHBand="0" w:noVBand="1"/>
      </w:tblPr>
      <w:tblGrid>
        <w:gridCol w:w="4683"/>
        <w:gridCol w:w="4677"/>
      </w:tblGrid>
      <w:tr w:rsidR="008A0760" w:rsidRPr="00743A20" w14:paraId="0740FADA" w14:textId="77777777" w:rsidTr="00F75D61">
        <w:tc>
          <w:tcPr>
            <w:tcW w:w="4788" w:type="dxa"/>
            <w:shd w:val="clear" w:color="auto" w:fill="auto"/>
          </w:tcPr>
          <w:p w14:paraId="5BA43BDD"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b/>
                <w:sz w:val="16"/>
                <w:szCs w:val="16"/>
                <w:lang w:val="es-ES_tradnl"/>
              </w:rPr>
              <w:t>A.7.1.2.</w:t>
            </w:r>
            <w:r w:rsidRPr="00A57824">
              <w:rPr>
                <w:rFonts w:ascii="Verdana" w:hAnsi="Verdana"/>
                <w:sz w:val="16"/>
                <w:szCs w:val="16"/>
                <w:lang w:val="es-ES_tradnl"/>
              </w:rPr>
              <w:t xml:space="preserve"> Las especificaciones para los límites SDB/OBD de monóxido de carbono (CO), hidrocarburos no metano (HCNM), óxidos de nitrógeno (NOx) y partículas (Part), para motores nuevos a diésel y vehículos automotores nuevos que los incorporen, que se hayan sometido a una prueba de dinamómetro de chasis, obteniendo certificación bajo los estándares establecidos por el Parlamento Europeo o la Comisión Económica Europea para las Naciones Unidas, se establecen en la Tabla A.2.</w:t>
            </w:r>
          </w:p>
        </w:tc>
        <w:tc>
          <w:tcPr>
            <w:tcW w:w="4788" w:type="dxa"/>
            <w:shd w:val="clear" w:color="auto" w:fill="auto"/>
          </w:tcPr>
          <w:p w14:paraId="46996EEB" w14:textId="77777777" w:rsidR="008A0760" w:rsidRPr="00A57824" w:rsidRDefault="008A0760" w:rsidP="00A57824">
            <w:pPr>
              <w:pStyle w:val="Texto"/>
              <w:spacing w:line="230" w:lineRule="exact"/>
              <w:ind w:firstLine="0"/>
              <w:rPr>
                <w:rFonts w:ascii="Verdana" w:hAnsi="Verdana"/>
                <w:sz w:val="16"/>
                <w:szCs w:val="16"/>
                <w:lang w:val="en-US"/>
              </w:rPr>
            </w:pPr>
            <w:r w:rsidRPr="00F75D61">
              <w:rPr>
                <w:rFonts w:ascii="Verdana" w:hAnsi="Verdana"/>
                <w:b/>
                <w:sz w:val="16"/>
                <w:szCs w:val="16"/>
                <w:lang w:val="en-US"/>
              </w:rPr>
              <w:t>A.7.1.2.</w:t>
            </w:r>
            <w:r w:rsidRPr="00A57824">
              <w:rPr>
                <w:rFonts w:ascii="Verdana" w:hAnsi="Verdana"/>
                <w:sz w:val="16"/>
                <w:szCs w:val="16"/>
                <w:lang w:val="en-US"/>
              </w:rPr>
              <w:t xml:space="preserve"> The specifications for the </w:t>
            </w:r>
            <w:r w:rsidR="002D78B5">
              <w:rPr>
                <w:rFonts w:ascii="Verdana" w:hAnsi="Verdana"/>
                <w:sz w:val="16"/>
                <w:szCs w:val="16"/>
                <w:lang w:val="en-US"/>
              </w:rPr>
              <w:t>SDB/OBD</w:t>
            </w:r>
            <w:r w:rsidRPr="00A57824">
              <w:rPr>
                <w:rFonts w:ascii="Verdana" w:hAnsi="Verdana"/>
                <w:sz w:val="16"/>
                <w:szCs w:val="16"/>
                <w:lang w:val="en-US"/>
              </w:rPr>
              <w:t xml:space="preserve"> limits for carbon monoxide (CO), non-methane hydrocarbons (HCNM), nitrogen oxides </w:t>
            </w:r>
            <w:r w:rsidR="00475F08">
              <w:rPr>
                <w:rFonts w:ascii="Verdana" w:hAnsi="Verdana"/>
                <w:sz w:val="16"/>
                <w:szCs w:val="16"/>
                <w:lang w:val="en-US"/>
              </w:rPr>
              <w:t>(NOx)</w:t>
            </w:r>
            <w:r w:rsidRPr="00A57824">
              <w:rPr>
                <w:rFonts w:ascii="Verdana" w:hAnsi="Verdana"/>
                <w:sz w:val="16"/>
                <w:szCs w:val="16"/>
                <w:lang w:val="en-US"/>
              </w:rPr>
              <w:t xml:space="preserve"> and particulates </w:t>
            </w:r>
            <w:r w:rsidR="00F75D61">
              <w:rPr>
                <w:rFonts w:ascii="Verdana" w:hAnsi="Verdana"/>
                <w:sz w:val="16"/>
                <w:szCs w:val="16"/>
                <w:lang w:val="en-US"/>
              </w:rPr>
              <w:t>(Part)</w:t>
            </w:r>
            <w:r w:rsidRPr="00A57824">
              <w:rPr>
                <w:rFonts w:ascii="Verdana" w:hAnsi="Verdana"/>
                <w:sz w:val="16"/>
                <w:szCs w:val="16"/>
                <w:lang w:val="en-US"/>
              </w:rPr>
              <w:t>, for new diesel engines and new automotive vehicles incorporating them, which are have undergone a chassis dynamometer test, obtaining certification under the standards established by the European Parliament or the European Economic Commission for the United Nations, are set out in Table A.2.</w:t>
            </w:r>
          </w:p>
        </w:tc>
      </w:tr>
    </w:tbl>
    <w:p w14:paraId="62E429A0" w14:textId="77777777" w:rsidR="008A0760" w:rsidRPr="008A0760" w:rsidRDefault="008A0760" w:rsidP="00DF5012">
      <w:pPr>
        <w:pStyle w:val="Texto"/>
        <w:spacing w:line="230" w:lineRule="exact"/>
        <w:rPr>
          <w:rFonts w:ascii="Verdana" w:hAnsi="Verdana"/>
          <w:sz w:val="16"/>
          <w:szCs w:val="16"/>
          <w:lang w:val="en-US"/>
        </w:rPr>
      </w:pPr>
    </w:p>
    <w:p w14:paraId="661DD450" w14:textId="77777777" w:rsidR="00F75D61" w:rsidRPr="00F75D61" w:rsidRDefault="00F75D61" w:rsidP="00DF5012">
      <w:pPr>
        <w:pStyle w:val="Texto"/>
        <w:spacing w:line="230" w:lineRule="exact"/>
        <w:ind w:firstLine="0"/>
        <w:jc w:val="center"/>
        <w:rPr>
          <w:rFonts w:ascii="Verdana" w:hAnsi="Verdana"/>
          <w:b/>
          <w:sz w:val="16"/>
          <w:szCs w:val="16"/>
          <w:lang w:val="en-US"/>
        </w:rPr>
      </w:pPr>
    </w:p>
    <w:p w14:paraId="2166DE33" w14:textId="77777777" w:rsidR="00F75D61" w:rsidRPr="00F75D61" w:rsidRDefault="00F75D61" w:rsidP="00DF5012">
      <w:pPr>
        <w:pStyle w:val="Texto"/>
        <w:spacing w:line="230" w:lineRule="exact"/>
        <w:ind w:firstLine="0"/>
        <w:jc w:val="center"/>
        <w:rPr>
          <w:rFonts w:ascii="Verdana" w:hAnsi="Verdana"/>
          <w:b/>
          <w:sz w:val="16"/>
          <w:szCs w:val="16"/>
          <w:lang w:val="en-US"/>
        </w:rPr>
      </w:pPr>
    </w:p>
    <w:p w14:paraId="02671BE7" w14:textId="77777777" w:rsidR="00DF5012" w:rsidRPr="00BA3592" w:rsidRDefault="00DF5012" w:rsidP="00DF5012">
      <w:pPr>
        <w:pStyle w:val="Texto"/>
        <w:spacing w:line="230" w:lineRule="exact"/>
        <w:ind w:firstLine="0"/>
        <w:jc w:val="center"/>
        <w:rPr>
          <w:rFonts w:ascii="Verdana" w:hAnsi="Verdana"/>
          <w:b/>
          <w:sz w:val="16"/>
          <w:szCs w:val="16"/>
          <w:lang w:val="es-ES_tradnl"/>
        </w:rPr>
      </w:pPr>
      <w:r w:rsidRPr="00BA3592">
        <w:rPr>
          <w:rFonts w:ascii="Verdana" w:hAnsi="Verdana"/>
          <w:b/>
          <w:sz w:val="16"/>
          <w:szCs w:val="16"/>
          <w:lang w:val="es-ES_tradnl"/>
        </w:rPr>
        <w:t>Tabla A.2</w:t>
      </w:r>
    </w:p>
    <w:tbl>
      <w:tblPr>
        <w:tblW w:w="6288" w:type="dxa"/>
        <w:jc w:val="center"/>
        <w:tblCellMar>
          <w:left w:w="72" w:type="dxa"/>
          <w:right w:w="72" w:type="dxa"/>
        </w:tblCellMar>
        <w:tblLook w:val="0000" w:firstRow="0" w:lastRow="0" w:firstColumn="0" w:lastColumn="0" w:noHBand="0" w:noVBand="0"/>
      </w:tblPr>
      <w:tblGrid>
        <w:gridCol w:w="3020"/>
        <w:gridCol w:w="817"/>
        <w:gridCol w:w="817"/>
        <w:gridCol w:w="817"/>
        <w:gridCol w:w="817"/>
      </w:tblGrid>
      <w:tr w:rsidR="00DF5012" w:rsidRPr="00BA3592" w14:paraId="22A35239" w14:textId="77777777" w:rsidTr="008A0760">
        <w:trPr>
          <w:cantSplit/>
          <w:trHeight w:val="20"/>
          <w:jc w:val="center"/>
        </w:trPr>
        <w:tc>
          <w:tcPr>
            <w:tcW w:w="3020" w:type="dxa"/>
            <w:tcBorders>
              <w:top w:val="single" w:sz="6" w:space="0" w:color="auto"/>
              <w:left w:val="single" w:sz="6" w:space="0" w:color="auto"/>
              <w:bottom w:val="single" w:sz="6" w:space="0" w:color="auto"/>
              <w:right w:val="single" w:sz="6" w:space="0" w:color="auto"/>
            </w:tcBorders>
            <w:shd w:val="pct12" w:color="auto" w:fill="auto"/>
            <w:noWrap/>
            <w:vAlign w:val="center"/>
          </w:tcPr>
          <w:p w14:paraId="48A62A6F" w14:textId="77777777" w:rsidR="00DF5012" w:rsidRPr="00BA3592" w:rsidRDefault="00DF5012" w:rsidP="00931F51">
            <w:pPr>
              <w:pStyle w:val="Texto"/>
              <w:spacing w:before="40" w:after="40" w:line="230" w:lineRule="exact"/>
              <w:ind w:firstLine="0"/>
              <w:jc w:val="center"/>
              <w:rPr>
                <w:rFonts w:ascii="Verdana" w:hAnsi="Verdana"/>
                <w:b/>
                <w:sz w:val="16"/>
                <w:szCs w:val="16"/>
                <w:lang w:val="es-ES_tradnl"/>
              </w:rPr>
            </w:pPr>
            <w:r w:rsidRPr="00BA3592">
              <w:rPr>
                <w:rFonts w:ascii="Verdana" w:hAnsi="Verdana"/>
                <w:b/>
                <w:sz w:val="16"/>
                <w:szCs w:val="16"/>
              </w:rPr>
              <w:t>Motor</w:t>
            </w:r>
          </w:p>
        </w:tc>
        <w:tc>
          <w:tcPr>
            <w:tcW w:w="817" w:type="dxa"/>
            <w:tcBorders>
              <w:top w:val="single" w:sz="6" w:space="0" w:color="auto"/>
              <w:left w:val="single" w:sz="6" w:space="0" w:color="auto"/>
              <w:bottom w:val="single" w:sz="6" w:space="0" w:color="auto"/>
              <w:right w:val="single" w:sz="6" w:space="0" w:color="auto"/>
            </w:tcBorders>
            <w:shd w:val="pct12" w:color="auto" w:fill="auto"/>
            <w:vAlign w:val="center"/>
          </w:tcPr>
          <w:p w14:paraId="29B6C30A" w14:textId="77777777" w:rsidR="00DF5012" w:rsidRPr="00BA3592" w:rsidRDefault="00DF5012" w:rsidP="00931F51">
            <w:pPr>
              <w:pStyle w:val="Texto"/>
              <w:spacing w:before="40" w:after="40" w:line="230" w:lineRule="exact"/>
              <w:ind w:firstLine="0"/>
              <w:jc w:val="center"/>
              <w:rPr>
                <w:rFonts w:ascii="Verdana" w:hAnsi="Verdana"/>
                <w:b/>
                <w:sz w:val="16"/>
                <w:szCs w:val="16"/>
              </w:rPr>
            </w:pPr>
            <w:r w:rsidRPr="00BA3592">
              <w:rPr>
                <w:rFonts w:ascii="Verdana" w:hAnsi="Verdana"/>
                <w:b/>
                <w:sz w:val="16"/>
                <w:szCs w:val="16"/>
              </w:rPr>
              <w:t>CO</w:t>
            </w:r>
            <w:r w:rsidR="00D728B4" w:rsidRPr="00BA3592">
              <w:rPr>
                <w:rFonts w:ascii="Verdana" w:hAnsi="Verdana"/>
                <w:b/>
                <w:sz w:val="16"/>
                <w:szCs w:val="16"/>
              </w:rPr>
              <w:t xml:space="preserve"> </w:t>
            </w:r>
            <w:r w:rsidRPr="00BA3592">
              <w:rPr>
                <w:rFonts w:ascii="Verdana" w:hAnsi="Verdana"/>
                <w:b/>
                <w:sz w:val="16"/>
                <w:szCs w:val="16"/>
              </w:rPr>
              <w:t xml:space="preserve">(g/km) </w:t>
            </w:r>
            <w:r w:rsidRPr="00BA3592">
              <w:rPr>
                <w:rFonts w:ascii="Verdana" w:hAnsi="Verdana"/>
                <w:b/>
                <w:sz w:val="16"/>
                <w:szCs w:val="16"/>
                <w:vertAlign w:val="superscript"/>
              </w:rPr>
              <w:t>(1)</w:t>
            </w:r>
          </w:p>
        </w:tc>
        <w:tc>
          <w:tcPr>
            <w:tcW w:w="817" w:type="dxa"/>
            <w:tcBorders>
              <w:top w:val="single" w:sz="6" w:space="0" w:color="auto"/>
              <w:left w:val="single" w:sz="6" w:space="0" w:color="auto"/>
              <w:bottom w:val="single" w:sz="6" w:space="0" w:color="auto"/>
              <w:right w:val="single" w:sz="6" w:space="0" w:color="auto"/>
            </w:tcBorders>
            <w:shd w:val="pct12" w:color="auto" w:fill="auto"/>
            <w:vAlign w:val="center"/>
          </w:tcPr>
          <w:p w14:paraId="63651186" w14:textId="77777777" w:rsidR="00DF5012" w:rsidRPr="00BA3592" w:rsidRDefault="00DF5012" w:rsidP="00931F51">
            <w:pPr>
              <w:pStyle w:val="Texto"/>
              <w:spacing w:before="40" w:after="40" w:line="230" w:lineRule="exact"/>
              <w:ind w:firstLine="0"/>
              <w:jc w:val="center"/>
              <w:rPr>
                <w:rFonts w:ascii="Verdana" w:hAnsi="Verdana"/>
                <w:b/>
                <w:sz w:val="16"/>
                <w:szCs w:val="16"/>
              </w:rPr>
            </w:pPr>
            <w:r w:rsidRPr="00BA3592">
              <w:rPr>
                <w:rFonts w:ascii="Verdana" w:hAnsi="Verdana"/>
                <w:b/>
                <w:sz w:val="16"/>
                <w:szCs w:val="16"/>
              </w:rPr>
              <w:t>HCNM</w:t>
            </w:r>
            <w:r w:rsidR="00D728B4" w:rsidRPr="00BA3592">
              <w:rPr>
                <w:rFonts w:ascii="Verdana" w:hAnsi="Verdana"/>
                <w:b/>
                <w:sz w:val="16"/>
                <w:szCs w:val="16"/>
              </w:rPr>
              <w:t xml:space="preserve"> </w:t>
            </w:r>
            <w:r w:rsidRPr="00BA3592">
              <w:rPr>
                <w:rFonts w:ascii="Verdana" w:hAnsi="Verdana"/>
                <w:b/>
                <w:sz w:val="16"/>
                <w:szCs w:val="16"/>
              </w:rPr>
              <w:t>(g/km)</w:t>
            </w:r>
          </w:p>
        </w:tc>
        <w:tc>
          <w:tcPr>
            <w:tcW w:w="817" w:type="dxa"/>
            <w:tcBorders>
              <w:top w:val="single" w:sz="6" w:space="0" w:color="auto"/>
              <w:left w:val="single" w:sz="6" w:space="0" w:color="auto"/>
              <w:bottom w:val="single" w:sz="6" w:space="0" w:color="auto"/>
              <w:right w:val="single" w:sz="6" w:space="0" w:color="auto"/>
            </w:tcBorders>
            <w:shd w:val="pct12" w:color="auto" w:fill="auto"/>
            <w:vAlign w:val="center"/>
          </w:tcPr>
          <w:p w14:paraId="375E390B" w14:textId="77777777" w:rsidR="00DF5012" w:rsidRPr="00BA3592" w:rsidRDefault="00DF5012" w:rsidP="00931F51">
            <w:pPr>
              <w:pStyle w:val="Texto"/>
              <w:spacing w:before="40" w:after="40" w:line="230" w:lineRule="exact"/>
              <w:ind w:firstLine="0"/>
              <w:jc w:val="center"/>
              <w:rPr>
                <w:rFonts w:ascii="Verdana" w:hAnsi="Verdana"/>
                <w:b/>
                <w:sz w:val="16"/>
                <w:szCs w:val="16"/>
              </w:rPr>
            </w:pPr>
            <w:r w:rsidRPr="00BA3592">
              <w:rPr>
                <w:rFonts w:ascii="Verdana" w:hAnsi="Verdana"/>
                <w:b/>
                <w:sz w:val="16"/>
                <w:szCs w:val="16"/>
              </w:rPr>
              <w:t>NOx</w:t>
            </w:r>
            <w:r w:rsidR="00D728B4" w:rsidRPr="00BA3592">
              <w:rPr>
                <w:rFonts w:ascii="Verdana" w:hAnsi="Verdana"/>
                <w:b/>
                <w:sz w:val="16"/>
                <w:szCs w:val="16"/>
              </w:rPr>
              <w:t xml:space="preserve"> </w:t>
            </w:r>
            <w:r w:rsidRPr="00BA3592">
              <w:rPr>
                <w:rFonts w:ascii="Verdana" w:hAnsi="Verdana"/>
                <w:b/>
                <w:sz w:val="16"/>
                <w:szCs w:val="16"/>
              </w:rPr>
              <w:t>(g/km)</w:t>
            </w:r>
          </w:p>
        </w:tc>
        <w:tc>
          <w:tcPr>
            <w:tcW w:w="817" w:type="dxa"/>
            <w:tcBorders>
              <w:top w:val="single" w:sz="6" w:space="0" w:color="auto"/>
              <w:left w:val="single" w:sz="6" w:space="0" w:color="auto"/>
              <w:bottom w:val="single" w:sz="6" w:space="0" w:color="auto"/>
              <w:right w:val="single" w:sz="6" w:space="0" w:color="auto"/>
            </w:tcBorders>
            <w:shd w:val="pct12" w:color="auto" w:fill="auto"/>
            <w:vAlign w:val="center"/>
          </w:tcPr>
          <w:p w14:paraId="34BF1C09" w14:textId="77777777" w:rsidR="00DF5012" w:rsidRPr="00BA3592" w:rsidRDefault="00DF5012" w:rsidP="00931F51">
            <w:pPr>
              <w:pStyle w:val="Texto"/>
              <w:spacing w:before="40" w:after="40" w:line="230" w:lineRule="exact"/>
              <w:ind w:firstLine="0"/>
              <w:jc w:val="center"/>
              <w:rPr>
                <w:rFonts w:ascii="Verdana" w:hAnsi="Verdana"/>
                <w:b/>
                <w:sz w:val="16"/>
                <w:szCs w:val="16"/>
              </w:rPr>
            </w:pPr>
            <w:r w:rsidRPr="00BA3592">
              <w:rPr>
                <w:rFonts w:ascii="Verdana" w:hAnsi="Verdana"/>
                <w:b/>
                <w:sz w:val="16"/>
                <w:szCs w:val="16"/>
              </w:rPr>
              <w:t>Part</w:t>
            </w:r>
            <w:r w:rsidR="00D728B4" w:rsidRPr="00BA3592">
              <w:rPr>
                <w:rFonts w:ascii="Verdana" w:hAnsi="Verdana"/>
                <w:b/>
                <w:sz w:val="16"/>
                <w:szCs w:val="16"/>
              </w:rPr>
              <w:t xml:space="preserve"> </w:t>
            </w:r>
            <w:r w:rsidRPr="00BA3592">
              <w:rPr>
                <w:rFonts w:ascii="Verdana" w:hAnsi="Verdana"/>
                <w:b/>
                <w:sz w:val="16"/>
                <w:szCs w:val="16"/>
              </w:rPr>
              <w:t>(g/km)</w:t>
            </w:r>
          </w:p>
        </w:tc>
      </w:tr>
      <w:tr w:rsidR="00DF5012" w:rsidRPr="00BA3592" w14:paraId="55F5479D" w14:textId="77777777" w:rsidTr="008A0760">
        <w:trPr>
          <w:cantSplit/>
          <w:trHeight w:val="20"/>
          <w:jc w:val="center"/>
        </w:trPr>
        <w:tc>
          <w:tcPr>
            <w:tcW w:w="3020" w:type="dxa"/>
            <w:tcBorders>
              <w:top w:val="single" w:sz="6" w:space="0" w:color="auto"/>
              <w:left w:val="single" w:sz="6" w:space="0" w:color="auto"/>
              <w:bottom w:val="single" w:sz="6" w:space="0" w:color="auto"/>
              <w:right w:val="single" w:sz="6" w:space="0" w:color="auto"/>
            </w:tcBorders>
            <w:vAlign w:val="center"/>
          </w:tcPr>
          <w:p w14:paraId="6E961D16" w14:textId="77777777" w:rsidR="00DF5012" w:rsidRPr="00BA3592" w:rsidRDefault="00DF5012" w:rsidP="00931F51">
            <w:pPr>
              <w:pStyle w:val="Texto"/>
              <w:spacing w:before="40" w:after="40" w:line="230" w:lineRule="exact"/>
              <w:ind w:firstLine="0"/>
              <w:rPr>
                <w:rFonts w:ascii="Verdana" w:hAnsi="Verdana"/>
                <w:sz w:val="16"/>
                <w:szCs w:val="16"/>
                <w:lang w:val="es-ES_tradnl"/>
              </w:rPr>
            </w:pPr>
            <w:r w:rsidRPr="00BA3592">
              <w:rPr>
                <w:rFonts w:ascii="Verdana" w:hAnsi="Verdana"/>
                <w:sz w:val="16"/>
                <w:szCs w:val="16"/>
                <w:lang w:val="es-ES_tradnl"/>
              </w:rPr>
              <w:t>Diésel–Encendido por compresión</w:t>
            </w:r>
          </w:p>
        </w:tc>
        <w:tc>
          <w:tcPr>
            <w:tcW w:w="817" w:type="dxa"/>
            <w:tcBorders>
              <w:top w:val="single" w:sz="6" w:space="0" w:color="auto"/>
              <w:left w:val="single" w:sz="6" w:space="0" w:color="auto"/>
              <w:bottom w:val="single" w:sz="6" w:space="0" w:color="auto"/>
              <w:right w:val="single" w:sz="6" w:space="0" w:color="auto"/>
            </w:tcBorders>
            <w:vAlign w:val="center"/>
          </w:tcPr>
          <w:p w14:paraId="0FE6C0AB" w14:textId="77777777" w:rsidR="00DF5012" w:rsidRPr="00BA3592" w:rsidRDefault="00DF5012" w:rsidP="00931F51">
            <w:pPr>
              <w:pStyle w:val="Texto"/>
              <w:spacing w:before="40" w:after="40" w:line="230" w:lineRule="exact"/>
              <w:ind w:firstLine="0"/>
              <w:jc w:val="center"/>
              <w:rPr>
                <w:rFonts w:ascii="Verdana" w:hAnsi="Verdana"/>
                <w:sz w:val="16"/>
                <w:szCs w:val="16"/>
              </w:rPr>
            </w:pPr>
            <w:r w:rsidRPr="00BA3592">
              <w:rPr>
                <w:rFonts w:ascii="Verdana" w:hAnsi="Verdana"/>
                <w:sz w:val="16"/>
                <w:szCs w:val="16"/>
              </w:rPr>
              <w:t>2.5</w:t>
            </w:r>
          </w:p>
        </w:tc>
        <w:tc>
          <w:tcPr>
            <w:tcW w:w="817" w:type="dxa"/>
            <w:tcBorders>
              <w:top w:val="single" w:sz="6" w:space="0" w:color="auto"/>
              <w:left w:val="single" w:sz="6" w:space="0" w:color="auto"/>
              <w:bottom w:val="single" w:sz="6" w:space="0" w:color="auto"/>
              <w:right w:val="single" w:sz="6" w:space="0" w:color="auto"/>
            </w:tcBorders>
            <w:vAlign w:val="center"/>
          </w:tcPr>
          <w:p w14:paraId="227A1459" w14:textId="77777777" w:rsidR="00DF5012" w:rsidRPr="00BA3592" w:rsidRDefault="00DF5012" w:rsidP="00931F51">
            <w:pPr>
              <w:pStyle w:val="Texto"/>
              <w:spacing w:before="40" w:after="40" w:line="230" w:lineRule="exact"/>
              <w:ind w:firstLine="0"/>
              <w:jc w:val="center"/>
              <w:rPr>
                <w:rFonts w:ascii="Verdana" w:hAnsi="Verdana"/>
                <w:sz w:val="16"/>
                <w:szCs w:val="16"/>
              </w:rPr>
            </w:pPr>
            <w:r w:rsidRPr="00BA3592">
              <w:rPr>
                <w:rFonts w:ascii="Verdana" w:hAnsi="Verdana"/>
                <w:sz w:val="16"/>
                <w:szCs w:val="16"/>
              </w:rPr>
              <w:t>0.35</w:t>
            </w:r>
          </w:p>
        </w:tc>
        <w:tc>
          <w:tcPr>
            <w:tcW w:w="817" w:type="dxa"/>
            <w:tcBorders>
              <w:top w:val="single" w:sz="6" w:space="0" w:color="auto"/>
              <w:left w:val="single" w:sz="6" w:space="0" w:color="auto"/>
              <w:bottom w:val="single" w:sz="6" w:space="0" w:color="auto"/>
              <w:right w:val="single" w:sz="6" w:space="0" w:color="auto"/>
            </w:tcBorders>
            <w:vAlign w:val="center"/>
          </w:tcPr>
          <w:p w14:paraId="406B64F6" w14:textId="77777777" w:rsidR="00DF5012" w:rsidRPr="00BA3592" w:rsidRDefault="00DF5012" w:rsidP="00931F51">
            <w:pPr>
              <w:pStyle w:val="Texto"/>
              <w:spacing w:before="40" w:after="40" w:line="230" w:lineRule="exact"/>
              <w:ind w:firstLine="0"/>
              <w:jc w:val="center"/>
              <w:rPr>
                <w:rFonts w:ascii="Verdana" w:hAnsi="Verdana"/>
                <w:sz w:val="16"/>
                <w:szCs w:val="16"/>
              </w:rPr>
            </w:pPr>
            <w:r w:rsidRPr="00BA3592">
              <w:rPr>
                <w:rFonts w:ascii="Verdana" w:hAnsi="Verdana"/>
                <w:sz w:val="16"/>
                <w:szCs w:val="16"/>
              </w:rPr>
              <w:t>0.280</w:t>
            </w:r>
          </w:p>
        </w:tc>
        <w:tc>
          <w:tcPr>
            <w:tcW w:w="817" w:type="dxa"/>
            <w:tcBorders>
              <w:top w:val="single" w:sz="6" w:space="0" w:color="auto"/>
              <w:left w:val="single" w:sz="6" w:space="0" w:color="auto"/>
              <w:bottom w:val="single" w:sz="6" w:space="0" w:color="auto"/>
              <w:right w:val="single" w:sz="6" w:space="0" w:color="auto"/>
            </w:tcBorders>
            <w:vAlign w:val="center"/>
          </w:tcPr>
          <w:p w14:paraId="730D07E8" w14:textId="77777777" w:rsidR="00DF5012" w:rsidRPr="00BA3592" w:rsidRDefault="00DF5012" w:rsidP="00931F51">
            <w:pPr>
              <w:pStyle w:val="Texto"/>
              <w:spacing w:before="40" w:after="40" w:line="230" w:lineRule="exact"/>
              <w:ind w:firstLine="0"/>
              <w:jc w:val="center"/>
              <w:rPr>
                <w:rFonts w:ascii="Verdana" w:hAnsi="Verdana"/>
                <w:sz w:val="16"/>
                <w:szCs w:val="16"/>
              </w:rPr>
            </w:pPr>
            <w:r w:rsidRPr="00BA3592">
              <w:rPr>
                <w:rFonts w:ascii="Verdana" w:hAnsi="Verdana"/>
                <w:sz w:val="16"/>
                <w:szCs w:val="16"/>
              </w:rPr>
              <w:t>0.03</w:t>
            </w:r>
          </w:p>
        </w:tc>
      </w:tr>
      <w:tr w:rsidR="008A0760" w:rsidRPr="00BA3592" w14:paraId="7F849782" w14:textId="77777777" w:rsidTr="008A0760">
        <w:trPr>
          <w:cantSplit/>
          <w:trHeight w:val="20"/>
          <w:jc w:val="center"/>
        </w:trPr>
        <w:tc>
          <w:tcPr>
            <w:tcW w:w="6288" w:type="dxa"/>
            <w:gridSpan w:val="5"/>
            <w:tcBorders>
              <w:top w:val="single" w:sz="6" w:space="0" w:color="auto"/>
              <w:left w:val="single" w:sz="6" w:space="0" w:color="auto"/>
              <w:bottom w:val="single" w:sz="6" w:space="0" w:color="auto"/>
              <w:right w:val="single" w:sz="6" w:space="0" w:color="auto"/>
            </w:tcBorders>
            <w:vAlign w:val="center"/>
          </w:tcPr>
          <w:p w14:paraId="3DC94773" w14:textId="77777777" w:rsidR="008A0760" w:rsidRPr="00BA3592" w:rsidRDefault="008A0760" w:rsidP="008A0760">
            <w:pPr>
              <w:pStyle w:val="Texto"/>
              <w:spacing w:line="230" w:lineRule="exact"/>
              <w:rPr>
                <w:rFonts w:ascii="Verdana" w:hAnsi="Verdana"/>
                <w:sz w:val="16"/>
                <w:szCs w:val="16"/>
                <w:lang w:val="es-ES_tradnl"/>
              </w:rPr>
            </w:pPr>
            <w:r w:rsidRPr="00BA3592">
              <w:rPr>
                <w:rFonts w:ascii="Verdana" w:hAnsi="Verdana"/>
                <w:sz w:val="16"/>
                <w:szCs w:val="16"/>
                <w:lang w:val="es-ES_tradnl"/>
              </w:rPr>
              <w:t>Nota:</w:t>
            </w:r>
          </w:p>
          <w:p w14:paraId="6DC6D274" w14:textId="77777777" w:rsidR="008A0760" w:rsidRPr="008A0760" w:rsidRDefault="008A0760" w:rsidP="008A0760">
            <w:pPr>
              <w:pStyle w:val="Texto"/>
              <w:spacing w:line="230" w:lineRule="exact"/>
              <w:rPr>
                <w:rFonts w:ascii="Verdana" w:hAnsi="Verdana"/>
                <w:sz w:val="16"/>
                <w:szCs w:val="16"/>
                <w:lang w:val="es-ES_tradnl"/>
              </w:rPr>
            </w:pPr>
            <w:r w:rsidRPr="00BA3592">
              <w:rPr>
                <w:rFonts w:ascii="Verdana" w:hAnsi="Verdana"/>
                <w:sz w:val="16"/>
                <w:szCs w:val="16"/>
                <w:lang w:val="es-ES_tradnl"/>
              </w:rPr>
              <w:t>1.</w:t>
            </w:r>
            <w:r w:rsidRPr="00BA3592">
              <w:rPr>
                <w:rFonts w:ascii="Verdana" w:hAnsi="Verdana"/>
                <w:sz w:val="16"/>
                <w:szCs w:val="16"/>
                <w:lang w:val="es-ES_tradnl"/>
              </w:rPr>
              <w:tab/>
              <w:t>g/km = gramos por kilómetro.</w:t>
            </w:r>
          </w:p>
        </w:tc>
      </w:tr>
    </w:tbl>
    <w:p w14:paraId="1CB561AC" w14:textId="77777777" w:rsidR="008A0760" w:rsidRDefault="008A0760" w:rsidP="00DF5012">
      <w:pPr>
        <w:pStyle w:val="Texto"/>
        <w:spacing w:line="230" w:lineRule="exact"/>
        <w:rPr>
          <w:rFonts w:ascii="Verdana" w:hAnsi="Verdana"/>
          <w:b/>
          <w:sz w:val="16"/>
          <w:szCs w:val="16"/>
          <w:lang w:val="es-ES_tradnl"/>
        </w:rPr>
      </w:pPr>
    </w:p>
    <w:p w14:paraId="7570B84E" w14:textId="77777777" w:rsidR="008A0760" w:rsidRPr="008A0760" w:rsidRDefault="008A0760" w:rsidP="008A0760">
      <w:pPr>
        <w:spacing w:after="101" w:line="230" w:lineRule="atLeast"/>
        <w:jc w:val="center"/>
        <w:rPr>
          <w:lang w:val="en-US" w:eastAsia="en-US"/>
        </w:rPr>
      </w:pPr>
      <w:r w:rsidRPr="008A0760">
        <w:rPr>
          <w:rFonts w:ascii="Verdana" w:hAnsi="Verdana"/>
          <w:b/>
          <w:bCs/>
          <w:sz w:val="16"/>
          <w:szCs w:val="16"/>
          <w:lang w:val="en-US" w:eastAsia="en-US"/>
        </w:rPr>
        <w:t>Table A.2</w:t>
      </w:r>
      <w:r w:rsidRPr="008A0760">
        <w:rPr>
          <w:lang w:val="en-US" w:eastAsia="en-US"/>
        </w:rPr>
        <w:t xml:space="preserve"> </w:t>
      </w:r>
    </w:p>
    <w:tbl>
      <w:tblPr>
        <w:tblW w:w="6288" w:type="dxa"/>
        <w:jc w:val="center"/>
        <w:tblCellMar>
          <w:left w:w="0" w:type="dxa"/>
          <w:right w:w="0" w:type="dxa"/>
        </w:tblCellMar>
        <w:tblLook w:val="04A0" w:firstRow="1" w:lastRow="0" w:firstColumn="1" w:lastColumn="0" w:noHBand="0" w:noVBand="1"/>
      </w:tblPr>
      <w:tblGrid>
        <w:gridCol w:w="3020"/>
        <w:gridCol w:w="817"/>
        <w:gridCol w:w="817"/>
        <w:gridCol w:w="817"/>
        <w:gridCol w:w="817"/>
      </w:tblGrid>
      <w:tr w:rsidR="008A0760" w:rsidRPr="008A0760" w14:paraId="2A8FB40F" w14:textId="77777777" w:rsidTr="008A0760">
        <w:trPr>
          <w:trHeight w:val="20"/>
          <w:jc w:val="center"/>
        </w:trPr>
        <w:tc>
          <w:tcPr>
            <w:tcW w:w="302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005B8AB7" w14:textId="77777777" w:rsidR="008A0760" w:rsidRPr="008A0760" w:rsidRDefault="008A0760" w:rsidP="008A0760">
            <w:pPr>
              <w:spacing w:before="40" w:after="40" w:line="230" w:lineRule="atLeast"/>
              <w:jc w:val="center"/>
              <w:rPr>
                <w:lang w:val="en-US" w:eastAsia="en-US"/>
              </w:rPr>
            </w:pPr>
            <w:r w:rsidRPr="008A0760">
              <w:rPr>
                <w:rFonts w:ascii="Verdana" w:hAnsi="Verdana"/>
                <w:b/>
                <w:bCs/>
                <w:sz w:val="16"/>
                <w:szCs w:val="16"/>
                <w:lang w:val="en-US" w:eastAsia="en-US"/>
              </w:rPr>
              <w:t>Motor</w:t>
            </w:r>
            <w:r w:rsidRPr="008A0760">
              <w:rPr>
                <w:lang w:val="en-US" w:eastAsia="en-US"/>
              </w:rPr>
              <w:t xml:space="preserve"> </w:t>
            </w:r>
          </w:p>
        </w:tc>
        <w:tc>
          <w:tcPr>
            <w:tcW w:w="817"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52E5440E" w14:textId="77777777" w:rsidR="008A0760" w:rsidRPr="008A0760" w:rsidRDefault="008A0760" w:rsidP="008A0760">
            <w:pPr>
              <w:spacing w:before="40" w:after="40" w:line="230" w:lineRule="atLeast"/>
              <w:jc w:val="center"/>
              <w:rPr>
                <w:lang w:val="en-US" w:eastAsia="en-US"/>
              </w:rPr>
            </w:pPr>
            <w:r w:rsidRPr="008A0760">
              <w:rPr>
                <w:rFonts w:ascii="Verdana" w:hAnsi="Verdana"/>
                <w:b/>
                <w:bCs/>
                <w:sz w:val="16"/>
                <w:szCs w:val="16"/>
                <w:lang w:val="en-US" w:eastAsia="en-US"/>
              </w:rPr>
              <w:t>CO (g/km)</w:t>
            </w:r>
            <w:r w:rsidRPr="008A0760">
              <w:rPr>
                <w:lang w:val="en-US" w:eastAsia="en-US"/>
              </w:rPr>
              <w:t xml:space="preserve"> </w:t>
            </w:r>
            <w:r w:rsidRPr="008A0760">
              <w:rPr>
                <w:rFonts w:ascii="Verdana" w:hAnsi="Verdana"/>
                <w:b/>
                <w:bCs/>
                <w:sz w:val="11"/>
                <w:szCs w:val="11"/>
                <w:vertAlign w:val="superscript"/>
                <w:lang w:val="en-US" w:eastAsia="en-US"/>
              </w:rPr>
              <w:t>(1)</w:t>
            </w:r>
            <w:r w:rsidRPr="008A0760">
              <w:rPr>
                <w:lang w:val="en-US" w:eastAsia="en-US"/>
              </w:rPr>
              <w:t xml:space="preserve"> </w:t>
            </w:r>
          </w:p>
        </w:tc>
        <w:tc>
          <w:tcPr>
            <w:tcW w:w="817"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070A20E" w14:textId="77777777" w:rsidR="008A0760" w:rsidRPr="008A0760" w:rsidRDefault="008A0760" w:rsidP="008A0760">
            <w:pPr>
              <w:spacing w:before="40" w:after="40" w:line="230" w:lineRule="atLeast"/>
              <w:jc w:val="center"/>
              <w:rPr>
                <w:lang w:val="en-US" w:eastAsia="en-US"/>
              </w:rPr>
            </w:pPr>
            <w:r w:rsidRPr="008A0760">
              <w:rPr>
                <w:rFonts w:ascii="Verdana" w:hAnsi="Verdana"/>
                <w:b/>
                <w:bCs/>
                <w:sz w:val="16"/>
                <w:szCs w:val="16"/>
                <w:lang w:val="en-US" w:eastAsia="en-US"/>
              </w:rPr>
              <w:t>HCNM (g/km)</w:t>
            </w:r>
            <w:r w:rsidRPr="008A0760">
              <w:rPr>
                <w:lang w:val="en-US" w:eastAsia="en-US"/>
              </w:rPr>
              <w:t xml:space="preserve"> </w:t>
            </w:r>
          </w:p>
        </w:tc>
        <w:tc>
          <w:tcPr>
            <w:tcW w:w="817"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3C05DA90" w14:textId="77777777" w:rsidR="008A0760" w:rsidRPr="008A0760" w:rsidRDefault="008A0760" w:rsidP="008A0760">
            <w:pPr>
              <w:spacing w:before="40" w:after="40" w:line="230" w:lineRule="atLeast"/>
              <w:jc w:val="center"/>
              <w:rPr>
                <w:lang w:val="en-US" w:eastAsia="en-US"/>
              </w:rPr>
            </w:pPr>
            <w:r w:rsidRPr="008A0760">
              <w:rPr>
                <w:rFonts w:ascii="Verdana" w:hAnsi="Verdana"/>
                <w:b/>
                <w:bCs/>
                <w:sz w:val="16"/>
                <w:szCs w:val="16"/>
                <w:lang w:val="en-US" w:eastAsia="en-US"/>
              </w:rPr>
              <w:t>NOx</w:t>
            </w:r>
            <w:r w:rsidRPr="008A0760">
              <w:rPr>
                <w:lang w:val="en-US" w:eastAsia="en-US"/>
              </w:rPr>
              <w:t xml:space="preserve"> </w:t>
            </w:r>
            <w:r w:rsidRPr="008A0760">
              <w:rPr>
                <w:rFonts w:ascii="Verdana" w:hAnsi="Verdana"/>
                <w:b/>
                <w:bCs/>
                <w:sz w:val="16"/>
                <w:szCs w:val="16"/>
                <w:lang w:val="en-US" w:eastAsia="en-US"/>
              </w:rPr>
              <w:t>(g/km)</w:t>
            </w:r>
            <w:r w:rsidRPr="008A0760">
              <w:rPr>
                <w:lang w:val="en-US" w:eastAsia="en-US"/>
              </w:rPr>
              <w:t xml:space="preserve"> </w:t>
            </w:r>
          </w:p>
        </w:tc>
        <w:tc>
          <w:tcPr>
            <w:tcW w:w="817"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79E9A3B" w14:textId="77777777" w:rsidR="008A0760" w:rsidRPr="008A0760" w:rsidRDefault="008A0760" w:rsidP="008A0760">
            <w:pPr>
              <w:spacing w:before="40" w:after="40" w:line="230" w:lineRule="atLeast"/>
              <w:jc w:val="center"/>
              <w:rPr>
                <w:lang w:val="en-US" w:eastAsia="en-US"/>
              </w:rPr>
            </w:pPr>
            <w:r w:rsidRPr="008A0760">
              <w:rPr>
                <w:rFonts w:ascii="Verdana" w:hAnsi="Verdana"/>
                <w:b/>
                <w:bCs/>
                <w:sz w:val="16"/>
                <w:szCs w:val="16"/>
                <w:lang w:val="en-US" w:eastAsia="en-US"/>
              </w:rPr>
              <w:t>Part</w:t>
            </w:r>
            <w:r w:rsidRPr="008A0760">
              <w:rPr>
                <w:lang w:val="en-US" w:eastAsia="en-US"/>
              </w:rPr>
              <w:t xml:space="preserve"> </w:t>
            </w:r>
            <w:r w:rsidRPr="008A0760">
              <w:rPr>
                <w:rFonts w:ascii="Verdana" w:hAnsi="Verdana"/>
                <w:b/>
                <w:bCs/>
                <w:sz w:val="16"/>
                <w:szCs w:val="16"/>
                <w:lang w:val="en-US" w:eastAsia="en-US"/>
              </w:rPr>
              <w:t>(g/km)</w:t>
            </w:r>
            <w:r w:rsidRPr="008A0760">
              <w:rPr>
                <w:lang w:val="en-US" w:eastAsia="en-US"/>
              </w:rPr>
              <w:t xml:space="preserve"> </w:t>
            </w:r>
          </w:p>
        </w:tc>
      </w:tr>
      <w:tr w:rsidR="008A0760" w:rsidRPr="008A0760" w14:paraId="5608FCAE" w14:textId="77777777" w:rsidTr="008A0760">
        <w:trPr>
          <w:trHeight w:val="20"/>
          <w:jc w:val="center"/>
        </w:trPr>
        <w:tc>
          <w:tcPr>
            <w:tcW w:w="302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FB6921" w14:textId="77777777" w:rsidR="008A0760" w:rsidRPr="008A0760" w:rsidRDefault="008A0760" w:rsidP="008A0760">
            <w:pPr>
              <w:spacing w:before="40" w:after="40" w:line="230" w:lineRule="atLeast"/>
              <w:jc w:val="both"/>
              <w:rPr>
                <w:lang w:val="en-US" w:eastAsia="en-US"/>
              </w:rPr>
            </w:pPr>
            <w:r w:rsidRPr="008A0760">
              <w:rPr>
                <w:rFonts w:ascii="Verdana" w:hAnsi="Verdana"/>
                <w:sz w:val="16"/>
                <w:szCs w:val="16"/>
                <w:lang w:val="en-US" w:eastAsia="en-US"/>
              </w:rPr>
              <w:t>Diesel-Compression ignition</w:t>
            </w:r>
            <w:r w:rsidRPr="008A0760">
              <w:rPr>
                <w:lang w:val="en-US" w:eastAsia="en-US"/>
              </w:rPr>
              <w:t xml:space="preserve"> </w:t>
            </w:r>
          </w:p>
        </w:tc>
        <w:tc>
          <w:tcPr>
            <w:tcW w:w="8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8FD1457" w14:textId="77777777" w:rsidR="008A0760" w:rsidRPr="008A0760" w:rsidRDefault="008A0760" w:rsidP="008A0760">
            <w:pPr>
              <w:spacing w:before="40" w:after="40" w:line="230" w:lineRule="atLeast"/>
              <w:jc w:val="center"/>
              <w:rPr>
                <w:lang w:val="en-US" w:eastAsia="en-US"/>
              </w:rPr>
            </w:pPr>
            <w:r w:rsidRPr="008A0760">
              <w:rPr>
                <w:rFonts w:ascii="Verdana" w:hAnsi="Verdana"/>
                <w:sz w:val="16"/>
                <w:szCs w:val="16"/>
                <w:lang w:val="en-US" w:eastAsia="en-US"/>
              </w:rPr>
              <w:t>2.5</w:t>
            </w:r>
            <w:r w:rsidRPr="008A0760">
              <w:rPr>
                <w:lang w:val="en-US" w:eastAsia="en-US"/>
              </w:rPr>
              <w:t xml:space="preserve"> </w:t>
            </w:r>
          </w:p>
        </w:tc>
        <w:tc>
          <w:tcPr>
            <w:tcW w:w="8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024964" w14:textId="77777777" w:rsidR="008A0760" w:rsidRPr="008A0760" w:rsidRDefault="008A0760" w:rsidP="008A0760">
            <w:pPr>
              <w:spacing w:before="40" w:after="40" w:line="230" w:lineRule="atLeast"/>
              <w:jc w:val="center"/>
              <w:rPr>
                <w:lang w:val="en-US" w:eastAsia="en-US"/>
              </w:rPr>
            </w:pPr>
            <w:r w:rsidRPr="008A0760">
              <w:rPr>
                <w:rFonts w:ascii="Verdana" w:hAnsi="Verdana"/>
                <w:sz w:val="16"/>
                <w:szCs w:val="16"/>
                <w:lang w:val="en-US" w:eastAsia="en-US"/>
              </w:rPr>
              <w:t>0.35</w:t>
            </w:r>
            <w:r w:rsidRPr="008A0760">
              <w:rPr>
                <w:lang w:val="en-US" w:eastAsia="en-US"/>
              </w:rPr>
              <w:t xml:space="preserve"> </w:t>
            </w:r>
          </w:p>
        </w:tc>
        <w:tc>
          <w:tcPr>
            <w:tcW w:w="8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2C63781" w14:textId="77777777" w:rsidR="008A0760" w:rsidRPr="008A0760" w:rsidRDefault="008A0760" w:rsidP="008A0760">
            <w:pPr>
              <w:spacing w:before="40" w:after="40" w:line="230" w:lineRule="atLeast"/>
              <w:jc w:val="center"/>
              <w:rPr>
                <w:lang w:val="en-US" w:eastAsia="en-US"/>
              </w:rPr>
            </w:pPr>
            <w:r w:rsidRPr="008A0760">
              <w:rPr>
                <w:rFonts w:ascii="Verdana" w:hAnsi="Verdana"/>
                <w:sz w:val="16"/>
                <w:szCs w:val="16"/>
                <w:lang w:val="en-US" w:eastAsia="en-US"/>
              </w:rPr>
              <w:t>0.280</w:t>
            </w:r>
            <w:r w:rsidRPr="008A0760">
              <w:rPr>
                <w:lang w:val="en-US" w:eastAsia="en-US"/>
              </w:rPr>
              <w:t xml:space="preserve"> </w:t>
            </w:r>
          </w:p>
        </w:tc>
        <w:tc>
          <w:tcPr>
            <w:tcW w:w="81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94C0FDA" w14:textId="77777777" w:rsidR="008A0760" w:rsidRPr="008A0760" w:rsidRDefault="008A0760" w:rsidP="008A0760">
            <w:pPr>
              <w:spacing w:before="40" w:after="40" w:line="230" w:lineRule="atLeast"/>
              <w:jc w:val="center"/>
              <w:rPr>
                <w:lang w:val="en-US" w:eastAsia="en-US"/>
              </w:rPr>
            </w:pPr>
            <w:r w:rsidRPr="008A0760">
              <w:rPr>
                <w:rFonts w:ascii="Verdana" w:hAnsi="Verdana"/>
                <w:sz w:val="16"/>
                <w:szCs w:val="16"/>
                <w:lang w:val="en-US" w:eastAsia="en-US"/>
              </w:rPr>
              <w:t>0.03</w:t>
            </w:r>
            <w:r w:rsidRPr="008A0760">
              <w:rPr>
                <w:lang w:val="en-US" w:eastAsia="en-US"/>
              </w:rPr>
              <w:t xml:space="preserve"> </w:t>
            </w:r>
          </w:p>
        </w:tc>
      </w:tr>
      <w:tr w:rsidR="008A0760" w:rsidRPr="00743A20" w14:paraId="2E078859" w14:textId="77777777" w:rsidTr="008A0760">
        <w:trPr>
          <w:trHeight w:val="20"/>
          <w:jc w:val="center"/>
        </w:trPr>
        <w:tc>
          <w:tcPr>
            <w:tcW w:w="6288"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D27AED" w14:textId="77777777" w:rsidR="008A0760" w:rsidRPr="008A0760" w:rsidRDefault="008A0760" w:rsidP="008A0760">
            <w:pPr>
              <w:spacing w:after="101" w:line="230" w:lineRule="atLeast"/>
              <w:ind w:firstLine="288"/>
              <w:jc w:val="both"/>
              <w:rPr>
                <w:lang w:val="en-US" w:eastAsia="en-US"/>
              </w:rPr>
            </w:pPr>
            <w:r w:rsidRPr="008A0760">
              <w:rPr>
                <w:rFonts w:ascii="Verdana" w:hAnsi="Verdana"/>
                <w:sz w:val="16"/>
                <w:szCs w:val="16"/>
                <w:lang w:val="en-US" w:eastAsia="en-US"/>
              </w:rPr>
              <w:t>Note:</w:t>
            </w:r>
            <w:r w:rsidRPr="008A0760">
              <w:rPr>
                <w:lang w:val="en-US" w:eastAsia="en-US"/>
              </w:rPr>
              <w:t xml:space="preserve"> </w:t>
            </w:r>
          </w:p>
          <w:p w14:paraId="72C29629" w14:textId="77777777" w:rsidR="008A0760" w:rsidRPr="008A0760" w:rsidRDefault="008A0760" w:rsidP="008A0760">
            <w:pPr>
              <w:spacing w:after="101" w:line="230" w:lineRule="atLeast"/>
              <w:ind w:firstLine="288"/>
              <w:jc w:val="both"/>
              <w:rPr>
                <w:lang w:val="en-US" w:eastAsia="en-US"/>
              </w:rPr>
            </w:pPr>
            <w:r w:rsidRPr="008A0760">
              <w:rPr>
                <w:rFonts w:ascii="Verdana" w:hAnsi="Verdana"/>
                <w:sz w:val="16"/>
                <w:szCs w:val="16"/>
                <w:lang w:val="en-US" w:eastAsia="en-US"/>
              </w:rPr>
              <w:t>1.</w:t>
            </w:r>
            <w:r w:rsidRPr="008A0760">
              <w:rPr>
                <w:lang w:val="en-US" w:eastAsia="en-US"/>
              </w:rPr>
              <w:t xml:space="preserve"> </w:t>
            </w:r>
            <w:r w:rsidRPr="008A0760">
              <w:rPr>
                <w:rFonts w:ascii="Verdana" w:hAnsi="Verdana"/>
                <w:sz w:val="16"/>
                <w:szCs w:val="16"/>
                <w:lang w:val="en-US" w:eastAsia="en-US"/>
              </w:rPr>
              <w:t>              g / km = grams per kilometer.</w:t>
            </w:r>
            <w:r w:rsidRPr="008A0760">
              <w:rPr>
                <w:lang w:val="en-US" w:eastAsia="en-US"/>
              </w:rPr>
              <w:t xml:space="preserve"> </w:t>
            </w:r>
          </w:p>
        </w:tc>
      </w:tr>
    </w:tbl>
    <w:p w14:paraId="72069612" w14:textId="77777777" w:rsidR="008A0760" w:rsidRPr="008A0760" w:rsidRDefault="008A0760" w:rsidP="008A0760">
      <w:pPr>
        <w:spacing w:after="101" w:line="230" w:lineRule="atLeast"/>
        <w:ind w:firstLine="288"/>
        <w:jc w:val="both"/>
        <w:rPr>
          <w:lang w:val="en-US" w:eastAsia="en-US"/>
        </w:rPr>
      </w:pPr>
      <w:r w:rsidRPr="008A0760">
        <w:rPr>
          <w:rFonts w:ascii="Verdana" w:hAnsi="Verdana"/>
          <w:b/>
          <w:bCs/>
          <w:sz w:val="16"/>
          <w:szCs w:val="16"/>
          <w:lang w:val="en-US" w:eastAsia="en-US"/>
        </w:rPr>
        <w:t> </w:t>
      </w:r>
    </w:p>
    <w:p w14:paraId="01B82548" w14:textId="77777777" w:rsidR="008A0760" w:rsidRPr="008A0760" w:rsidRDefault="008A0760" w:rsidP="00DF5012">
      <w:pPr>
        <w:pStyle w:val="Texto"/>
        <w:spacing w:line="230" w:lineRule="exact"/>
        <w:rPr>
          <w:rFonts w:ascii="Verdana" w:hAnsi="Verdana"/>
          <w:b/>
          <w:sz w:val="16"/>
          <w:szCs w:val="16"/>
          <w:lang w:val="en-US"/>
        </w:rPr>
      </w:pPr>
    </w:p>
    <w:tbl>
      <w:tblPr>
        <w:tblW w:w="0" w:type="auto"/>
        <w:tblLook w:val="04A0" w:firstRow="1" w:lastRow="0" w:firstColumn="1" w:lastColumn="0" w:noHBand="0" w:noVBand="1"/>
      </w:tblPr>
      <w:tblGrid>
        <w:gridCol w:w="4672"/>
        <w:gridCol w:w="4688"/>
      </w:tblGrid>
      <w:tr w:rsidR="008A0760" w:rsidRPr="00A57824" w14:paraId="3D659B13" w14:textId="77777777" w:rsidTr="00F75D61">
        <w:tc>
          <w:tcPr>
            <w:tcW w:w="4788" w:type="dxa"/>
            <w:shd w:val="clear" w:color="auto" w:fill="auto"/>
          </w:tcPr>
          <w:p w14:paraId="107AEEA3"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b/>
                <w:sz w:val="16"/>
                <w:szCs w:val="16"/>
                <w:lang w:val="es-ES_tradnl"/>
              </w:rPr>
              <w:t>A.7.1.3.</w:t>
            </w:r>
            <w:r w:rsidRPr="00A57824">
              <w:rPr>
                <w:rFonts w:ascii="Verdana" w:hAnsi="Verdana"/>
                <w:sz w:val="16"/>
                <w:szCs w:val="16"/>
                <w:lang w:val="es-ES_tradnl"/>
              </w:rPr>
              <w:t xml:space="preserve"> Requisitos de Monitoreo.</w:t>
            </w:r>
          </w:p>
        </w:tc>
        <w:tc>
          <w:tcPr>
            <w:tcW w:w="4788" w:type="dxa"/>
            <w:shd w:val="clear" w:color="auto" w:fill="auto"/>
          </w:tcPr>
          <w:p w14:paraId="57218E86"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A.7.1.3.</w:t>
            </w:r>
            <w:r w:rsidRPr="00F75D61">
              <w:rPr>
                <w:lang w:val="en-US"/>
              </w:rPr>
              <w:t xml:space="preserve"> </w:t>
            </w:r>
            <w:r w:rsidRPr="00F75D61">
              <w:rPr>
                <w:rFonts w:ascii="Verdana" w:hAnsi="Verdana"/>
                <w:sz w:val="16"/>
                <w:szCs w:val="16"/>
                <w:lang w:val="en-US"/>
              </w:rPr>
              <w:t>Monitoring Requirements</w:t>
            </w:r>
            <w:r w:rsidRPr="00F75D61">
              <w:rPr>
                <w:lang w:val="en-US"/>
              </w:rPr>
              <w:t xml:space="preserve"> </w:t>
            </w:r>
          </w:p>
        </w:tc>
      </w:tr>
      <w:tr w:rsidR="008A0760" w:rsidRPr="00743A20" w14:paraId="2F0A0762" w14:textId="77777777" w:rsidTr="00F75D61">
        <w:tc>
          <w:tcPr>
            <w:tcW w:w="4788" w:type="dxa"/>
            <w:shd w:val="clear" w:color="auto" w:fill="auto"/>
          </w:tcPr>
          <w:p w14:paraId="7DFAED0F"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sz w:val="16"/>
                <w:szCs w:val="16"/>
                <w:lang w:val="es-ES_tradnl"/>
              </w:rPr>
              <w:t>En esta sección se presenta la lista de sistemas o componentes que deben ser monitoreados por el sistema SDB/OBD de acuerdo a su funcionalidad, desempeño, falla total y límites SDB/OBD de óxidos de nitrógeno (NOx) y partículas (Part), de conformidad con lo establecido por el Parlamento Europeo y la Comisión Económica de las Naciones Unidas para Europa.</w:t>
            </w:r>
          </w:p>
        </w:tc>
        <w:tc>
          <w:tcPr>
            <w:tcW w:w="4788" w:type="dxa"/>
            <w:shd w:val="clear" w:color="auto" w:fill="auto"/>
          </w:tcPr>
          <w:p w14:paraId="1E654B64" w14:textId="77777777" w:rsidR="008A0760" w:rsidRPr="00F75D61" w:rsidRDefault="008A0760" w:rsidP="00A57824">
            <w:pPr>
              <w:spacing w:after="101" w:line="230" w:lineRule="atLeast"/>
              <w:jc w:val="both"/>
              <w:rPr>
                <w:lang w:val="en-US"/>
              </w:rPr>
            </w:pPr>
            <w:r w:rsidRPr="00F75D61">
              <w:rPr>
                <w:rFonts w:ascii="Verdana" w:hAnsi="Verdana"/>
                <w:sz w:val="16"/>
                <w:szCs w:val="16"/>
                <w:lang w:val="en-US"/>
              </w:rPr>
              <w:t xml:space="preserve">This section presents the list of systems or components that should be monitored by the </w:t>
            </w:r>
            <w:r w:rsidR="002D78B5" w:rsidRPr="00F75D61">
              <w:rPr>
                <w:rFonts w:ascii="Verdana" w:hAnsi="Verdana"/>
                <w:sz w:val="16"/>
                <w:szCs w:val="16"/>
                <w:lang w:val="en-US"/>
              </w:rPr>
              <w:t>SDB/OBD</w:t>
            </w:r>
            <w:r w:rsidRPr="00F75D61">
              <w:rPr>
                <w:rFonts w:ascii="Verdana" w:hAnsi="Verdana"/>
                <w:sz w:val="16"/>
                <w:szCs w:val="16"/>
                <w:lang w:val="en-US"/>
              </w:rPr>
              <w:t xml:space="preserve"> system</w:t>
            </w:r>
            <w:r w:rsidRPr="00F75D61">
              <w:rPr>
                <w:lang w:val="en-US"/>
              </w:rPr>
              <w:t xml:space="preserve"> </w:t>
            </w:r>
            <w:r w:rsidRPr="00F75D61">
              <w:rPr>
                <w:rFonts w:ascii="Verdana" w:hAnsi="Verdana"/>
                <w:sz w:val="16"/>
                <w:szCs w:val="16"/>
                <w:lang w:val="en-US"/>
              </w:rPr>
              <w:t>according to</w:t>
            </w:r>
            <w:r w:rsidRPr="00F75D61">
              <w:rPr>
                <w:lang w:val="en-US"/>
              </w:rPr>
              <w:t xml:space="preserve"> </w:t>
            </w:r>
            <w:r w:rsidRPr="00F75D61">
              <w:rPr>
                <w:rFonts w:ascii="Verdana" w:hAnsi="Verdana"/>
                <w:sz w:val="16"/>
                <w:szCs w:val="16"/>
                <w:lang w:val="en-US"/>
              </w:rPr>
              <w:t xml:space="preserve">their functionality, performance, total failure and </w:t>
            </w:r>
            <w:r w:rsidR="002D78B5" w:rsidRPr="00F75D61">
              <w:rPr>
                <w:rFonts w:ascii="Verdana" w:hAnsi="Verdana"/>
                <w:sz w:val="16"/>
                <w:szCs w:val="16"/>
                <w:lang w:val="en-US"/>
              </w:rPr>
              <w:t>SDB/OBD</w:t>
            </w:r>
            <w:r w:rsidRPr="00F75D61">
              <w:rPr>
                <w:rFonts w:ascii="Verdana" w:hAnsi="Verdana"/>
                <w:sz w:val="16"/>
                <w:szCs w:val="16"/>
                <w:lang w:val="en-US"/>
              </w:rPr>
              <w:t xml:space="preserve"> limits of nitrogen oxides </w:t>
            </w:r>
            <w:r w:rsidR="00475F08" w:rsidRPr="00F75D61">
              <w:rPr>
                <w:rFonts w:ascii="Verdana" w:hAnsi="Verdana"/>
                <w:sz w:val="16"/>
                <w:szCs w:val="16"/>
                <w:lang w:val="en-US"/>
              </w:rPr>
              <w:t>(NOx)</w:t>
            </w:r>
            <w:r w:rsidRPr="00F75D61">
              <w:rPr>
                <w:rFonts w:ascii="Verdana" w:hAnsi="Verdana"/>
                <w:sz w:val="16"/>
                <w:szCs w:val="16"/>
                <w:lang w:val="en-US"/>
              </w:rPr>
              <w:t xml:space="preserve"> and particles </w:t>
            </w:r>
            <w:r w:rsidR="00F75D61">
              <w:rPr>
                <w:rFonts w:ascii="Verdana" w:hAnsi="Verdana"/>
                <w:sz w:val="16"/>
                <w:szCs w:val="16"/>
                <w:lang w:val="en-US"/>
              </w:rPr>
              <w:t>(Part)</w:t>
            </w:r>
            <w:r w:rsidRPr="00F75D61">
              <w:rPr>
                <w:rFonts w:ascii="Verdana" w:hAnsi="Verdana"/>
                <w:sz w:val="16"/>
                <w:szCs w:val="16"/>
                <w:lang w:val="en-US"/>
              </w:rPr>
              <w:t>, of in accordance with the provisions of the European Parliament and the United Nations Economic Commission for Europe.</w:t>
            </w:r>
            <w:r w:rsidRPr="00F75D61">
              <w:rPr>
                <w:lang w:val="en-US"/>
              </w:rPr>
              <w:t xml:space="preserve"> </w:t>
            </w:r>
          </w:p>
        </w:tc>
      </w:tr>
      <w:tr w:rsidR="008A0760" w:rsidRPr="00743A20" w14:paraId="39809822" w14:textId="77777777" w:rsidTr="00F75D61">
        <w:tc>
          <w:tcPr>
            <w:tcW w:w="4788" w:type="dxa"/>
            <w:shd w:val="clear" w:color="auto" w:fill="auto"/>
          </w:tcPr>
          <w:p w14:paraId="2EC9FC17"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b/>
                <w:sz w:val="16"/>
                <w:szCs w:val="16"/>
                <w:lang w:val="es-ES_tradnl"/>
              </w:rPr>
              <w:lastRenderedPageBreak/>
              <w:t>A.7.1.3.1.</w:t>
            </w:r>
            <w:r w:rsidRPr="00A57824">
              <w:rPr>
                <w:rFonts w:ascii="Verdana" w:hAnsi="Verdana"/>
                <w:sz w:val="16"/>
                <w:szCs w:val="16"/>
                <w:lang w:val="es-ES_tradnl"/>
              </w:rPr>
              <w:t xml:space="preserve"> Monitoreo de componentes eléctricos o electrónicos.</w:t>
            </w:r>
          </w:p>
        </w:tc>
        <w:tc>
          <w:tcPr>
            <w:tcW w:w="4788" w:type="dxa"/>
            <w:shd w:val="clear" w:color="auto" w:fill="auto"/>
          </w:tcPr>
          <w:p w14:paraId="15D8CEC2"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A.7.1.3.1.</w:t>
            </w:r>
            <w:r w:rsidRPr="00F75D61">
              <w:rPr>
                <w:lang w:val="en-US"/>
              </w:rPr>
              <w:t xml:space="preserve"> </w:t>
            </w:r>
            <w:r w:rsidRPr="00F75D61">
              <w:rPr>
                <w:rFonts w:ascii="Verdana" w:hAnsi="Verdana"/>
                <w:sz w:val="16"/>
                <w:szCs w:val="16"/>
                <w:lang w:val="en-US"/>
              </w:rPr>
              <w:t>Monitoring of electrical or electronic components.</w:t>
            </w:r>
            <w:r w:rsidRPr="00F75D61">
              <w:rPr>
                <w:lang w:val="en-US"/>
              </w:rPr>
              <w:t xml:space="preserve"> </w:t>
            </w:r>
          </w:p>
        </w:tc>
      </w:tr>
      <w:tr w:rsidR="008A0760" w:rsidRPr="00743A20" w14:paraId="416EED06" w14:textId="77777777" w:rsidTr="00F75D61">
        <w:tc>
          <w:tcPr>
            <w:tcW w:w="4788" w:type="dxa"/>
            <w:shd w:val="clear" w:color="auto" w:fill="auto"/>
          </w:tcPr>
          <w:p w14:paraId="155917E9"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sz w:val="16"/>
                <w:szCs w:val="16"/>
                <w:lang w:val="es-ES_tradnl"/>
              </w:rPr>
              <w:t>Esto incluye a los componentes eléctricos y electrónicos usados para el monitoreo y el control de las emisiones provenientes del escape, tales como: sensores de presión, temperatura, gases de escape y de oxígeno, detonación y golpeteo, combustible y solución acuosa de urea, elementos calefactores o quemadores en el escape, bujías de encendido y calefactores de múltiple admisión. En el caso de componentes de señales de sensores que pertenecen al sistema del motor, el sistema SDB/OBD deberá detectar, como mínimo, fallas eléctricas y donde sea posible, fallas de racionalidad (señales de sensor inapropiadamente altas o bajas). El sistema SDB/OBD debe monitorear la capacidad del sistema para mantener el control donde exista un sistema de vigilancia de retroalimentación de acuerdo a su diseño.</w:t>
            </w:r>
          </w:p>
        </w:tc>
        <w:tc>
          <w:tcPr>
            <w:tcW w:w="4788" w:type="dxa"/>
            <w:shd w:val="clear" w:color="auto" w:fill="auto"/>
          </w:tcPr>
          <w:p w14:paraId="15F70B08" w14:textId="77777777" w:rsidR="008A0760" w:rsidRPr="00F75D61" w:rsidRDefault="008A0760" w:rsidP="00A57824">
            <w:pPr>
              <w:spacing w:after="101" w:line="230" w:lineRule="atLeast"/>
              <w:jc w:val="both"/>
              <w:rPr>
                <w:lang w:val="en-US"/>
              </w:rPr>
            </w:pPr>
            <w:r w:rsidRPr="00F75D61">
              <w:rPr>
                <w:rFonts w:ascii="Verdana" w:hAnsi="Verdana"/>
                <w:sz w:val="16"/>
                <w:szCs w:val="16"/>
                <w:lang w:val="en-US"/>
              </w:rPr>
              <w:t>This includes the electrical and electronic components used for the monitoring and control of emissions from the exhaust, such as: pressure sensors, temperature, exhaust and oxygen, detonation and knocking, fuel and aqueous solution of urea, elements heaters or burners in the exhaust, spark plugs and multiple intake heaters.</w:t>
            </w:r>
            <w:r w:rsidRPr="00F75D61">
              <w:rPr>
                <w:lang w:val="en-US"/>
              </w:rPr>
              <w:t xml:space="preserve"> </w:t>
            </w:r>
            <w:r w:rsidRPr="00F75D61">
              <w:rPr>
                <w:rFonts w:ascii="Verdana" w:hAnsi="Verdana"/>
                <w:sz w:val="16"/>
                <w:szCs w:val="16"/>
                <w:lang w:val="en-US"/>
              </w:rPr>
              <w:t xml:space="preserve">In the case of sensor signal components belonging to the motor system, the </w:t>
            </w:r>
            <w:r w:rsidR="002D78B5" w:rsidRPr="00F75D61">
              <w:rPr>
                <w:rFonts w:ascii="Verdana" w:hAnsi="Verdana"/>
                <w:sz w:val="16"/>
                <w:szCs w:val="16"/>
                <w:lang w:val="en-US"/>
              </w:rPr>
              <w:t>SDB/OBD</w:t>
            </w:r>
            <w:r w:rsidRPr="00F75D61">
              <w:rPr>
                <w:rFonts w:ascii="Verdana" w:hAnsi="Verdana"/>
                <w:sz w:val="16"/>
                <w:szCs w:val="16"/>
                <w:lang w:val="en-US"/>
              </w:rPr>
              <w:t xml:space="preserve"> system shall detect, as a minimum, electrical faults and where possible, rationality faults (inappropriately high or low sensor signals).</w:t>
            </w:r>
            <w:r w:rsidRPr="00F75D61">
              <w:rPr>
                <w:lang w:val="en-US"/>
              </w:rPr>
              <w:t xml:space="preserve"> </w:t>
            </w: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system's ability to maintain control where there is a feedback monitoring system</w:t>
            </w:r>
            <w:r w:rsidRPr="00F75D61">
              <w:rPr>
                <w:lang w:val="en-US"/>
              </w:rPr>
              <w:t xml:space="preserve"> </w:t>
            </w:r>
            <w:r w:rsidRPr="00F75D61">
              <w:rPr>
                <w:rFonts w:ascii="Verdana" w:hAnsi="Verdana"/>
                <w:sz w:val="16"/>
                <w:szCs w:val="16"/>
                <w:lang w:val="en-US"/>
              </w:rPr>
              <w:t>according to</w:t>
            </w:r>
            <w:r w:rsidRPr="00F75D61">
              <w:rPr>
                <w:lang w:val="en-US"/>
              </w:rPr>
              <w:t xml:space="preserve"> </w:t>
            </w:r>
            <w:r w:rsidRPr="00F75D61">
              <w:rPr>
                <w:rFonts w:ascii="Verdana" w:hAnsi="Verdana"/>
                <w:sz w:val="16"/>
                <w:szCs w:val="16"/>
                <w:lang w:val="en-US"/>
              </w:rPr>
              <w:t>its design.</w:t>
            </w:r>
            <w:r w:rsidRPr="00F75D61">
              <w:rPr>
                <w:lang w:val="en-US"/>
              </w:rPr>
              <w:t xml:space="preserve"> </w:t>
            </w:r>
          </w:p>
        </w:tc>
      </w:tr>
      <w:tr w:rsidR="008A0760" w:rsidRPr="00743A20" w14:paraId="38BA3B32" w14:textId="77777777" w:rsidTr="00F75D61">
        <w:tc>
          <w:tcPr>
            <w:tcW w:w="4788" w:type="dxa"/>
            <w:shd w:val="clear" w:color="auto" w:fill="auto"/>
          </w:tcPr>
          <w:p w14:paraId="5787E515"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b/>
                <w:sz w:val="16"/>
                <w:szCs w:val="16"/>
                <w:lang w:val="es-ES_tradnl"/>
              </w:rPr>
              <w:t>A.7.1.3.2.</w:t>
            </w:r>
            <w:r w:rsidRPr="00A57824">
              <w:rPr>
                <w:rFonts w:ascii="Verdana" w:hAnsi="Verdana"/>
                <w:sz w:val="16"/>
                <w:szCs w:val="16"/>
                <w:lang w:val="es-ES_tradnl"/>
              </w:rPr>
              <w:t xml:space="preserve"> Monitoreo del Sistema de Filtrado de Partículas (SFP o DPF, por sus siglas en inglés).</w:t>
            </w:r>
          </w:p>
        </w:tc>
        <w:tc>
          <w:tcPr>
            <w:tcW w:w="4788" w:type="dxa"/>
            <w:shd w:val="clear" w:color="auto" w:fill="auto"/>
          </w:tcPr>
          <w:p w14:paraId="136C31AB"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A.7.1.3.2.</w:t>
            </w:r>
            <w:r w:rsidRPr="00F75D61">
              <w:rPr>
                <w:lang w:val="en-US"/>
              </w:rPr>
              <w:t xml:space="preserve"> </w:t>
            </w:r>
            <w:r w:rsidRPr="00F75D61">
              <w:rPr>
                <w:rFonts w:ascii="Verdana" w:hAnsi="Verdana"/>
                <w:sz w:val="16"/>
                <w:szCs w:val="16"/>
                <w:lang w:val="en-US"/>
              </w:rPr>
              <w:t>Monitoring of the particle filtration system (SFP or DPF, for its acronym in English).</w:t>
            </w:r>
            <w:r w:rsidRPr="00F75D61">
              <w:rPr>
                <w:lang w:val="en-US"/>
              </w:rPr>
              <w:t xml:space="preserve"> </w:t>
            </w:r>
          </w:p>
        </w:tc>
      </w:tr>
      <w:tr w:rsidR="008A0760" w:rsidRPr="00743A20" w14:paraId="78359E91" w14:textId="77777777" w:rsidTr="00F75D61">
        <w:tc>
          <w:tcPr>
            <w:tcW w:w="4788" w:type="dxa"/>
            <w:shd w:val="clear" w:color="auto" w:fill="auto"/>
          </w:tcPr>
          <w:p w14:paraId="5B7DD158"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sz w:val="16"/>
                <w:szCs w:val="16"/>
                <w:lang w:val="es-ES_tradnl"/>
              </w:rPr>
              <w:t>El sistema SDB/OBD debe:</w:t>
            </w:r>
          </w:p>
        </w:tc>
        <w:tc>
          <w:tcPr>
            <w:tcW w:w="4788" w:type="dxa"/>
            <w:shd w:val="clear" w:color="auto" w:fill="auto"/>
          </w:tcPr>
          <w:p w14:paraId="04D4F131" w14:textId="77777777" w:rsidR="008A0760" w:rsidRPr="00F75D61" w:rsidRDefault="008A0760" w:rsidP="00A57824">
            <w:pPr>
              <w:spacing w:after="101" w:line="230"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w:t>
            </w:r>
            <w:r w:rsidRPr="00F75D61">
              <w:rPr>
                <w:lang w:val="en-US"/>
              </w:rPr>
              <w:t xml:space="preserve"> </w:t>
            </w:r>
          </w:p>
        </w:tc>
      </w:tr>
      <w:tr w:rsidR="008A0760" w:rsidRPr="00743A20" w14:paraId="79C5BDC2" w14:textId="77777777" w:rsidTr="00F75D61">
        <w:tc>
          <w:tcPr>
            <w:tcW w:w="4788" w:type="dxa"/>
            <w:shd w:val="clear" w:color="auto" w:fill="auto"/>
          </w:tcPr>
          <w:p w14:paraId="3C11229A" w14:textId="77777777" w:rsidR="008A0760" w:rsidRPr="00A57824" w:rsidRDefault="008A0760" w:rsidP="00A57824">
            <w:pPr>
              <w:pStyle w:val="ROMANOS"/>
              <w:spacing w:line="230" w:lineRule="exact"/>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Monitorear la presencia de substrato en el SFP/DPF y por falla total;</w:t>
            </w:r>
          </w:p>
        </w:tc>
        <w:tc>
          <w:tcPr>
            <w:tcW w:w="4788" w:type="dxa"/>
            <w:shd w:val="clear" w:color="auto" w:fill="auto"/>
          </w:tcPr>
          <w:p w14:paraId="78694695" w14:textId="77777777" w:rsidR="008A0760" w:rsidRPr="00F75D61" w:rsidRDefault="00F75D61" w:rsidP="00A57824">
            <w:pPr>
              <w:spacing w:after="101" w:line="230" w:lineRule="atLeast"/>
              <w:jc w:val="both"/>
              <w:rPr>
                <w:lang w:val="en-US"/>
              </w:rPr>
            </w:pPr>
            <w:r>
              <w:rPr>
                <w:rFonts w:ascii="Verdana" w:hAnsi="Verdana"/>
                <w:b/>
                <w:bCs/>
                <w:sz w:val="16"/>
                <w:szCs w:val="16"/>
                <w:lang w:val="en-US"/>
              </w:rPr>
              <w:t>a</w:t>
            </w:r>
            <w:r w:rsidR="008A0760" w:rsidRPr="00F75D61">
              <w:rPr>
                <w:rFonts w:ascii="Verdana" w:hAnsi="Verdana"/>
                <w:b/>
                <w:bCs/>
                <w:sz w:val="16"/>
                <w:szCs w:val="16"/>
                <w:lang w:val="en-US"/>
              </w:rPr>
              <w:t>.</w:t>
            </w:r>
            <w:r w:rsidR="008A0760" w:rsidRPr="00F75D61">
              <w:rPr>
                <w:lang w:val="en-US"/>
              </w:rPr>
              <w:t xml:space="preserve"> </w:t>
            </w:r>
            <w:r w:rsidR="008A0760" w:rsidRPr="00F75D61">
              <w:rPr>
                <w:rFonts w:ascii="Verdana" w:hAnsi="Verdana"/>
                <w:sz w:val="16"/>
                <w:szCs w:val="16"/>
                <w:lang w:val="en-US"/>
              </w:rPr>
              <w:t>              Monitor the presence of substrate in the SFP/DPF and for total failure;</w:t>
            </w:r>
            <w:r w:rsidR="008A0760" w:rsidRPr="00F75D61">
              <w:rPr>
                <w:lang w:val="en-US"/>
              </w:rPr>
              <w:t xml:space="preserve"> </w:t>
            </w:r>
          </w:p>
        </w:tc>
      </w:tr>
      <w:tr w:rsidR="008A0760" w:rsidRPr="00743A20" w14:paraId="724C068A" w14:textId="77777777" w:rsidTr="00F75D61">
        <w:tc>
          <w:tcPr>
            <w:tcW w:w="4788" w:type="dxa"/>
            <w:shd w:val="clear" w:color="auto" w:fill="auto"/>
          </w:tcPr>
          <w:p w14:paraId="320DB097" w14:textId="77777777" w:rsidR="008A0760" w:rsidRPr="00A57824" w:rsidRDefault="008A0760" w:rsidP="00A57824">
            <w:pPr>
              <w:pStyle w:val="ROMANOS"/>
              <w:spacing w:line="230" w:lineRule="exact"/>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Monitorear el desempeño por acumulación y por falla total, y</w:t>
            </w:r>
          </w:p>
        </w:tc>
        <w:tc>
          <w:tcPr>
            <w:tcW w:w="4788" w:type="dxa"/>
            <w:shd w:val="clear" w:color="auto" w:fill="auto"/>
          </w:tcPr>
          <w:p w14:paraId="523C6719"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b.</w:t>
            </w:r>
            <w:r w:rsidRPr="00F75D61">
              <w:rPr>
                <w:lang w:val="en-US"/>
              </w:rPr>
              <w:t xml:space="preserve"> </w:t>
            </w:r>
            <w:r w:rsidRPr="00F75D61">
              <w:rPr>
                <w:rFonts w:ascii="Verdana" w:hAnsi="Verdana"/>
                <w:sz w:val="16"/>
                <w:szCs w:val="16"/>
                <w:lang w:val="en-US"/>
              </w:rPr>
              <w:t>              Monitor performance by accumulation and by total failure, and</w:t>
            </w:r>
            <w:r w:rsidRPr="00F75D61">
              <w:rPr>
                <w:lang w:val="en-US"/>
              </w:rPr>
              <w:t xml:space="preserve"> </w:t>
            </w:r>
          </w:p>
        </w:tc>
      </w:tr>
      <w:tr w:rsidR="008A0760" w:rsidRPr="00743A20" w14:paraId="33AF862E" w14:textId="77777777" w:rsidTr="00F75D61">
        <w:tc>
          <w:tcPr>
            <w:tcW w:w="4788" w:type="dxa"/>
            <w:shd w:val="clear" w:color="auto" w:fill="auto"/>
          </w:tcPr>
          <w:p w14:paraId="69A3E1E1" w14:textId="77777777" w:rsidR="008A0760" w:rsidRPr="00A57824" w:rsidRDefault="008A0760" w:rsidP="00A57824">
            <w:pPr>
              <w:pStyle w:val="ROMANOS"/>
              <w:spacing w:line="230" w:lineRule="exact"/>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sz w:val="16"/>
                <w:szCs w:val="16"/>
                <w:lang w:val="es-ES_tradnl"/>
              </w:rPr>
              <w:tab/>
              <w:t>Monitorear la eficiencia de filtrado del SFP/DPF: monitorear los procesos de filtrado y de regeneración continua; la eficiencia de filtrado será monitoreada de acuerdo a las emisiones de Part, de conformidad con los límites SDB/OBD establecidos en la Tabla A.1. o en la Tabla A.2., en caso de que la certificación sea vía dinamómetro de chasis.</w:t>
            </w:r>
          </w:p>
        </w:tc>
        <w:tc>
          <w:tcPr>
            <w:tcW w:w="4788" w:type="dxa"/>
            <w:shd w:val="clear" w:color="auto" w:fill="auto"/>
          </w:tcPr>
          <w:p w14:paraId="4F1D576B"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c.</w:t>
            </w:r>
            <w:r w:rsidRPr="00F75D61">
              <w:rPr>
                <w:lang w:val="en-US"/>
              </w:rPr>
              <w:t xml:space="preserve"> </w:t>
            </w:r>
            <w:r w:rsidRPr="00F75D61">
              <w:rPr>
                <w:rFonts w:ascii="Verdana" w:hAnsi="Verdana"/>
                <w:sz w:val="16"/>
                <w:szCs w:val="16"/>
                <w:lang w:val="en-US"/>
              </w:rPr>
              <w:t xml:space="preserve">              Monitor the filtering efficiency of the </w:t>
            </w:r>
            <w:r w:rsidR="00F75D61">
              <w:rPr>
                <w:rFonts w:ascii="Verdana" w:hAnsi="Verdana"/>
                <w:sz w:val="16"/>
                <w:szCs w:val="16"/>
                <w:lang w:val="en-US"/>
              </w:rPr>
              <w:t>SFP/DPF</w:t>
            </w:r>
            <w:r w:rsidRPr="00F75D61">
              <w:rPr>
                <w:rFonts w:ascii="Verdana" w:hAnsi="Verdana"/>
                <w:sz w:val="16"/>
                <w:szCs w:val="16"/>
                <w:lang w:val="en-US"/>
              </w:rPr>
              <w:t>: monitor the filtering and continuous regeneration processes;</w:t>
            </w:r>
            <w:r w:rsidRPr="00F75D61">
              <w:rPr>
                <w:lang w:val="en-US"/>
              </w:rPr>
              <w:t xml:space="preserve"> </w:t>
            </w:r>
            <w:r w:rsidRPr="00F75D61">
              <w:rPr>
                <w:rFonts w:ascii="Verdana" w:hAnsi="Verdana"/>
                <w:sz w:val="16"/>
                <w:szCs w:val="16"/>
                <w:lang w:val="en-US"/>
              </w:rPr>
              <w:t>the filtering efficiency will be monitored</w:t>
            </w:r>
            <w:r w:rsidRPr="00F75D61">
              <w:rPr>
                <w:lang w:val="en-US"/>
              </w:rPr>
              <w:t xml:space="preserve"> </w:t>
            </w:r>
            <w:r w:rsidRPr="00F75D61">
              <w:rPr>
                <w:rFonts w:ascii="Verdana" w:hAnsi="Verdana"/>
                <w:sz w:val="16"/>
                <w:szCs w:val="16"/>
                <w:lang w:val="en-US"/>
              </w:rPr>
              <w:t>according to</w:t>
            </w:r>
            <w:r w:rsidRPr="00F75D61">
              <w:rPr>
                <w:lang w:val="en-US"/>
              </w:rPr>
              <w:t xml:space="preserve"> </w:t>
            </w:r>
            <w:r w:rsidRPr="00F75D61">
              <w:rPr>
                <w:rFonts w:ascii="Verdana" w:hAnsi="Verdana"/>
                <w:sz w:val="16"/>
                <w:szCs w:val="16"/>
                <w:lang w:val="en-US"/>
              </w:rPr>
              <w:t>the</w:t>
            </w:r>
            <w:r w:rsidRPr="00F75D61">
              <w:rPr>
                <w:lang w:val="en-US"/>
              </w:rPr>
              <w:t xml:space="preserve"> </w:t>
            </w:r>
            <w:r w:rsidRPr="00F75D61">
              <w:rPr>
                <w:rFonts w:ascii="Verdana" w:hAnsi="Verdana"/>
                <w:sz w:val="16"/>
                <w:szCs w:val="16"/>
                <w:lang w:val="en-US"/>
              </w:rPr>
              <w:t>Part</w:t>
            </w:r>
            <w:r w:rsidRPr="00F75D61">
              <w:rPr>
                <w:lang w:val="en-US"/>
              </w:rPr>
              <w:t xml:space="preserve"> </w:t>
            </w:r>
            <w:r w:rsidRPr="00F75D61">
              <w:rPr>
                <w:rFonts w:ascii="Verdana" w:hAnsi="Verdana"/>
                <w:sz w:val="16"/>
                <w:szCs w:val="16"/>
                <w:lang w:val="en-US"/>
              </w:rPr>
              <w:t xml:space="preserve">emissions, in accordance with the </w:t>
            </w:r>
            <w:r w:rsidR="002D78B5" w:rsidRPr="00F75D61">
              <w:rPr>
                <w:rFonts w:ascii="Verdana" w:hAnsi="Verdana"/>
                <w:sz w:val="16"/>
                <w:szCs w:val="16"/>
                <w:lang w:val="en-US"/>
              </w:rPr>
              <w:t>SDB/OBD</w:t>
            </w:r>
            <w:r w:rsidRPr="00F75D61">
              <w:rPr>
                <w:rFonts w:ascii="Verdana" w:hAnsi="Verdana"/>
                <w:sz w:val="16"/>
                <w:szCs w:val="16"/>
                <w:lang w:val="en-US"/>
              </w:rPr>
              <w:t xml:space="preserve"> limits established in Table A.1.</w:t>
            </w:r>
            <w:r w:rsidRPr="00F75D61">
              <w:rPr>
                <w:lang w:val="en-US"/>
              </w:rPr>
              <w:t xml:space="preserve"> </w:t>
            </w:r>
            <w:r w:rsidRPr="00F75D61">
              <w:rPr>
                <w:rFonts w:ascii="Verdana" w:hAnsi="Verdana"/>
                <w:sz w:val="16"/>
                <w:szCs w:val="16"/>
                <w:lang w:val="en-US"/>
              </w:rPr>
              <w:t>or in Table A.2., in case the certification is via a chassis dynamometer.</w:t>
            </w:r>
            <w:r w:rsidRPr="00F75D61">
              <w:rPr>
                <w:lang w:val="en-US"/>
              </w:rPr>
              <w:t xml:space="preserve"> </w:t>
            </w:r>
          </w:p>
        </w:tc>
      </w:tr>
      <w:tr w:rsidR="008A0760" w:rsidRPr="00743A20" w14:paraId="0C824739" w14:textId="77777777" w:rsidTr="00F75D61">
        <w:tc>
          <w:tcPr>
            <w:tcW w:w="4788" w:type="dxa"/>
            <w:shd w:val="clear" w:color="auto" w:fill="auto"/>
          </w:tcPr>
          <w:p w14:paraId="6FBB522C"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b/>
                <w:sz w:val="16"/>
                <w:szCs w:val="16"/>
                <w:lang w:val="es-ES_tradnl"/>
              </w:rPr>
              <w:t>A.7.1.3.3.</w:t>
            </w:r>
            <w:r w:rsidRPr="00A57824">
              <w:rPr>
                <w:rFonts w:ascii="Verdana" w:hAnsi="Verdana"/>
                <w:sz w:val="16"/>
                <w:szCs w:val="16"/>
                <w:lang w:val="es-ES_tradnl"/>
              </w:rPr>
              <w:t xml:space="preserve"> Monitoreo del Sistema de Reducción Catalítica Selectiva (SRCS o SCR, por sus siglas en inglés).</w:t>
            </w:r>
          </w:p>
        </w:tc>
        <w:tc>
          <w:tcPr>
            <w:tcW w:w="4788" w:type="dxa"/>
            <w:shd w:val="clear" w:color="auto" w:fill="auto"/>
          </w:tcPr>
          <w:p w14:paraId="004C5C6C"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A.7.1.3.3.</w:t>
            </w:r>
            <w:r w:rsidRPr="00F75D61">
              <w:rPr>
                <w:lang w:val="en-US"/>
              </w:rPr>
              <w:t xml:space="preserve"> </w:t>
            </w:r>
            <w:r w:rsidRPr="00F75D61">
              <w:rPr>
                <w:rFonts w:ascii="Verdana" w:hAnsi="Verdana"/>
                <w:sz w:val="16"/>
                <w:szCs w:val="16"/>
                <w:lang w:val="en-US"/>
              </w:rPr>
              <w:t>Monitoring of the Selective Catalytic Reduction System (SRCS or SCR, for its acronym in English).</w:t>
            </w:r>
            <w:r w:rsidRPr="00F75D61">
              <w:rPr>
                <w:lang w:val="en-US"/>
              </w:rPr>
              <w:t xml:space="preserve"> </w:t>
            </w:r>
          </w:p>
        </w:tc>
      </w:tr>
      <w:tr w:rsidR="008A0760" w:rsidRPr="00743A20" w14:paraId="02912C1D" w14:textId="77777777" w:rsidTr="00F75D61">
        <w:tc>
          <w:tcPr>
            <w:tcW w:w="4788" w:type="dxa"/>
            <w:shd w:val="clear" w:color="auto" w:fill="auto"/>
          </w:tcPr>
          <w:p w14:paraId="7CF2FAB8"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sz w:val="16"/>
                <w:szCs w:val="16"/>
                <w:lang w:val="es-ES_tradnl"/>
              </w:rPr>
              <w:t>El sistema SDB/OBD debe monitorear el desempeño de:</w:t>
            </w:r>
          </w:p>
        </w:tc>
        <w:tc>
          <w:tcPr>
            <w:tcW w:w="4788" w:type="dxa"/>
            <w:shd w:val="clear" w:color="auto" w:fill="auto"/>
          </w:tcPr>
          <w:p w14:paraId="10896916" w14:textId="77777777" w:rsidR="008A0760" w:rsidRPr="00F75D61" w:rsidRDefault="008A0760" w:rsidP="00A57824">
            <w:pPr>
              <w:spacing w:after="101" w:line="230"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performance of:</w:t>
            </w:r>
            <w:r w:rsidRPr="00F75D61">
              <w:rPr>
                <w:lang w:val="en-US"/>
              </w:rPr>
              <w:t xml:space="preserve"> </w:t>
            </w:r>
          </w:p>
        </w:tc>
      </w:tr>
      <w:tr w:rsidR="008A0760" w:rsidRPr="00743A20" w14:paraId="46D0BDA1" w14:textId="77777777" w:rsidTr="00F75D61">
        <w:tc>
          <w:tcPr>
            <w:tcW w:w="4788" w:type="dxa"/>
            <w:shd w:val="clear" w:color="auto" w:fill="auto"/>
          </w:tcPr>
          <w:p w14:paraId="16561414" w14:textId="77777777" w:rsidR="008A0760" w:rsidRPr="00A57824" w:rsidRDefault="008A0760" w:rsidP="00A57824">
            <w:pPr>
              <w:pStyle w:val="ROMANOS"/>
              <w:spacing w:line="230" w:lineRule="exact"/>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El sistema de inyección de solución acuosa de urea en cuanto a su capacidad para regular la cantidad requerida;</w:t>
            </w:r>
          </w:p>
        </w:tc>
        <w:tc>
          <w:tcPr>
            <w:tcW w:w="4788" w:type="dxa"/>
            <w:shd w:val="clear" w:color="auto" w:fill="auto"/>
          </w:tcPr>
          <w:p w14:paraId="7F4CF7F0" w14:textId="77777777" w:rsidR="008A0760" w:rsidRPr="00F75D61" w:rsidRDefault="00F75D61" w:rsidP="00A57824">
            <w:pPr>
              <w:spacing w:after="101" w:line="230" w:lineRule="atLeast"/>
              <w:jc w:val="both"/>
              <w:rPr>
                <w:lang w:val="en-US"/>
              </w:rPr>
            </w:pPr>
            <w:r>
              <w:rPr>
                <w:rFonts w:ascii="Verdana" w:hAnsi="Verdana"/>
                <w:b/>
                <w:bCs/>
                <w:sz w:val="16"/>
                <w:szCs w:val="16"/>
                <w:lang w:val="en-US"/>
              </w:rPr>
              <w:t>a</w:t>
            </w:r>
            <w:r w:rsidR="008A0760" w:rsidRPr="00F75D61">
              <w:rPr>
                <w:rFonts w:ascii="Verdana" w:hAnsi="Verdana"/>
                <w:b/>
                <w:bCs/>
                <w:sz w:val="16"/>
                <w:szCs w:val="16"/>
                <w:lang w:val="en-US"/>
              </w:rPr>
              <w:t>.</w:t>
            </w:r>
            <w:r w:rsidR="008A0760" w:rsidRPr="00F75D61">
              <w:rPr>
                <w:lang w:val="en-US"/>
              </w:rPr>
              <w:t xml:space="preserve"> </w:t>
            </w:r>
            <w:r w:rsidR="008A0760" w:rsidRPr="00F75D61">
              <w:rPr>
                <w:rFonts w:ascii="Verdana" w:hAnsi="Verdana"/>
                <w:sz w:val="16"/>
                <w:szCs w:val="16"/>
                <w:lang w:val="en-US"/>
              </w:rPr>
              <w:t>              The injection system of aqueous urea solution in terms of its capacity to regulate the amount required;</w:t>
            </w:r>
            <w:r w:rsidR="008A0760" w:rsidRPr="00F75D61">
              <w:rPr>
                <w:lang w:val="en-US"/>
              </w:rPr>
              <w:t xml:space="preserve"> </w:t>
            </w:r>
          </w:p>
        </w:tc>
      </w:tr>
      <w:tr w:rsidR="008A0760" w:rsidRPr="00743A20" w14:paraId="59083FDC" w14:textId="77777777" w:rsidTr="00F75D61">
        <w:tc>
          <w:tcPr>
            <w:tcW w:w="4788" w:type="dxa"/>
            <w:shd w:val="clear" w:color="auto" w:fill="auto"/>
          </w:tcPr>
          <w:p w14:paraId="5107A4AD" w14:textId="77777777" w:rsidR="008A0760" w:rsidRPr="00A57824" w:rsidRDefault="008A0760" w:rsidP="00A57824">
            <w:pPr>
              <w:pStyle w:val="ROMANOS"/>
              <w:spacing w:line="230" w:lineRule="exact"/>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La disponibilidad en el vehículo de la solución acuosa de urea y su tasa de uso;</w:t>
            </w:r>
          </w:p>
        </w:tc>
        <w:tc>
          <w:tcPr>
            <w:tcW w:w="4788" w:type="dxa"/>
            <w:shd w:val="clear" w:color="auto" w:fill="auto"/>
          </w:tcPr>
          <w:p w14:paraId="2D455CDC"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b.</w:t>
            </w:r>
            <w:r w:rsidRPr="00F75D61">
              <w:rPr>
                <w:lang w:val="en-US"/>
              </w:rPr>
              <w:t xml:space="preserve"> </w:t>
            </w:r>
            <w:r w:rsidRPr="00F75D61">
              <w:rPr>
                <w:rFonts w:ascii="Verdana" w:hAnsi="Verdana"/>
                <w:sz w:val="16"/>
                <w:szCs w:val="16"/>
                <w:lang w:val="en-US"/>
              </w:rPr>
              <w:t>              The availability in the vehicle of the aqueous urea solution and its rate of use;</w:t>
            </w:r>
            <w:r w:rsidRPr="00F75D61">
              <w:rPr>
                <w:lang w:val="en-US"/>
              </w:rPr>
              <w:t xml:space="preserve"> </w:t>
            </w:r>
          </w:p>
        </w:tc>
      </w:tr>
      <w:tr w:rsidR="008A0760" w:rsidRPr="00743A20" w14:paraId="6BA88E15" w14:textId="77777777" w:rsidTr="00F75D61">
        <w:tc>
          <w:tcPr>
            <w:tcW w:w="4788" w:type="dxa"/>
            <w:shd w:val="clear" w:color="auto" w:fill="auto"/>
          </w:tcPr>
          <w:p w14:paraId="2C86AFE4" w14:textId="77777777" w:rsidR="008A0760" w:rsidRPr="00A57824" w:rsidRDefault="008A0760" w:rsidP="00A57824">
            <w:pPr>
              <w:pStyle w:val="ROMANOS"/>
              <w:spacing w:line="230" w:lineRule="exact"/>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sz w:val="16"/>
                <w:szCs w:val="16"/>
                <w:lang w:val="es-ES_tradnl"/>
              </w:rPr>
              <w:tab/>
              <w:t>La calidad de la Solución acuosa de urea, y</w:t>
            </w:r>
          </w:p>
        </w:tc>
        <w:tc>
          <w:tcPr>
            <w:tcW w:w="4788" w:type="dxa"/>
            <w:shd w:val="clear" w:color="auto" w:fill="auto"/>
          </w:tcPr>
          <w:p w14:paraId="461696EB"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c.</w:t>
            </w:r>
            <w:r w:rsidRPr="00F75D61">
              <w:rPr>
                <w:lang w:val="en-US"/>
              </w:rPr>
              <w:t xml:space="preserve"> </w:t>
            </w:r>
            <w:r w:rsidRPr="00F75D61">
              <w:rPr>
                <w:rFonts w:ascii="Verdana" w:hAnsi="Verdana"/>
                <w:sz w:val="16"/>
                <w:szCs w:val="16"/>
                <w:lang w:val="en-US"/>
              </w:rPr>
              <w:t>              The quality of the aqueous solution of urea, and</w:t>
            </w:r>
            <w:r w:rsidRPr="00F75D61">
              <w:rPr>
                <w:lang w:val="en-US"/>
              </w:rPr>
              <w:t xml:space="preserve"> </w:t>
            </w:r>
          </w:p>
        </w:tc>
      </w:tr>
      <w:tr w:rsidR="008A0760" w:rsidRPr="00743A20" w14:paraId="0066647D" w14:textId="77777777" w:rsidTr="00F75D61">
        <w:tc>
          <w:tcPr>
            <w:tcW w:w="4788" w:type="dxa"/>
            <w:shd w:val="clear" w:color="auto" w:fill="auto"/>
          </w:tcPr>
          <w:p w14:paraId="3C5FBE3B" w14:textId="77777777" w:rsidR="008A0760" w:rsidRPr="00A57824" w:rsidRDefault="008A0760" w:rsidP="00A57824">
            <w:pPr>
              <w:pStyle w:val="ROMANOS"/>
              <w:spacing w:line="230" w:lineRule="exact"/>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sz w:val="16"/>
                <w:szCs w:val="16"/>
                <w:lang w:val="es-ES_tradnl"/>
              </w:rPr>
              <w:tab/>
              <w:t xml:space="preserve">La eficiencia de la conversión de NOx en el SRCS/SCR, el cual monitorea los límites establecidos en </w:t>
            </w:r>
            <w:r w:rsidRPr="00A57824">
              <w:rPr>
                <w:rFonts w:ascii="Verdana" w:hAnsi="Verdana"/>
                <w:sz w:val="16"/>
                <w:szCs w:val="16"/>
                <w:lang w:val="es-ES_tradnl"/>
              </w:rPr>
              <w:lastRenderedPageBreak/>
              <w:t>la Tabla A.1. o en la Tabla A.2., en caso de que la certificación sea vía dinamómetro de chasis.</w:t>
            </w:r>
          </w:p>
        </w:tc>
        <w:tc>
          <w:tcPr>
            <w:tcW w:w="4788" w:type="dxa"/>
            <w:shd w:val="clear" w:color="auto" w:fill="auto"/>
          </w:tcPr>
          <w:p w14:paraId="4011A7FD"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lastRenderedPageBreak/>
              <w:t>d.</w:t>
            </w:r>
            <w:r w:rsidRPr="00F75D61">
              <w:rPr>
                <w:lang w:val="en-US"/>
              </w:rPr>
              <w:t xml:space="preserve"> </w:t>
            </w:r>
            <w:r w:rsidRPr="00F75D61">
              <w:rPr>
                <w:rFonts w:ascii="Verdana" w:hAnsi="Verdana"/>
                <w:sz w:val="16"/>
                <w:szCs w:val="16"/>
                <w:lang w:val="en-US"/>
              </w:rPr>
              <w:t>              The efficiency of the</w:t>
            </w:r>
            <w:r w:rsidRPr="00F75D61">
              <w:rPr>
                <w:lang w:val="en-US"/>
              </w:rPr>
              <w:t xml:space="preserve"> </w:t>
            </w:r>
            <w:r w:rsidRPr="00F75D61">
              <w:rPr>
                <w:rFonts w:ascii="Verdana" w:hAnsi="Verdana"/>
                <w:sz w:val="16"/>
                <w:szCs w:val="16"/>
                <w:lang w:val="en-US"/>
              </w:rPr>
              <w:t>NOx</w:t>
            </w:r>
            <w:r w:rsidRPr="00F75D61">
              <w:rPr>
                <w:lang w:val="en-US"/>
              </w:rPr>
              <w:t xml:space="preserve"> </w:t>
            </w:r>
            <w:r w:rsidRPr="00F75D61">
              <w:rPr>
                <w:rFonts w:ascii="Verdana" w:hAnsi="Verdana"/>
                <w:sz w:val="16"/>
                <w:szCs w:val="16"/>
                <w:lang w:val="en-US"/>
              </w:rPr>
              <w:t>conversion</w:t>
            </w:r>
            <w:r w:rsidRPr="00F75D61">
              <w:rPr>
                <w:lang w:val="en-US"/>
              </w:rPr>
              <w:t xml:space="preserve"> </w:t>
            </w:r>
            <w:r w:rsidRPr="00F75D61">
              <w:rPr>
                <w:rFonts w:ascii="Verdana" w:hAnsi="Verdana"/>
                <w:sz w:val="16"/>
                <w:szCs w:val="16"/>
                <w:lang w:val="en-US"/>
              </w:rPr>
              <w:t xml:space="preserve">in the </w:t>
            </w:r>
            <w:r w:rsidR="00F75D61">
              <w:rPr>
                <w:rFonts w:ascii="Verdana" w:hAnsi="Verdana"/>
                <w:sz w:val="16"/>
                <w:szCs w:val="16"/>
                <w:lang w:val="en-US"/>
              </w:rPr>
              <w:t>SRCS/SCR</w:t>
            </w:r>
            <w:r w:rsidRPr="00F75D61">
              <w:rPr>
                <w:rFonts w:ascii="Verdana" w:hAnsi="Verdana"/>
                <w:sz w:val="16"/>
                <w:szCs w:val="16"/>
                <w:lang w:val="en-US"/>
              </w:rPr>
              <w:t xml:space="preserve">, which monitors the limits established in </w:t>
            </w:r>
            <w:r w:rsidRPr="00F75D61">
              <w:rPr>
                <w:rFonts w:ascii="Verdana" w:hAnsi="Verdana"/>
                <w:sz w:val="16"/>
                <w:szCs w:val="16"/>
                <w:lang w:val="en-US"/>
              </w:rPr>
              <w:lastRenderedPageBreak/>
              <w:t>Table A.1.</w:t>
            </w:r>
            <w:r w:rsidRPr="00F75D61">
              <w:rPr>
                <w:lang w:val="en-US"/>
              </w:rPr>
              <w:t xml:space="preserve"> </w:t>
            </w:r>
            <w:r w:rsidRPr="00F75D61">
              <w:rPr>
                <w:rFonts w:ascii="Verdana" w:hAnsi="Verdana"/>
                <w:sz w:val="16"/>
                <w:szCs w:val="16"/>
                <w:lang w:val="en-US"/>
              </w:rPr>
              <w:t>or in Table A.2., in case the certification is via a chassis dynamometer.</w:t>
            </w:r>
            <w:r w:rsidRPr="00F75D61">
              <w:rPr>
                <w:lang w:val="en-US"/>
              </w:rPr>
              <w:t xml:space="preserve"> </w:t>
            </w:r>
          </w:p>
        </w:tc>
      </w:tr>
      <w:tr w:rsidR="008A0760" w:rsidRPr="00743A20" w14:paraId="631C87F5" w14:textId="77777777" w:rsidTr="00F75D61">
        <w:tc>
          <w:tcPr>
            <w:tcW w:w="4788" w:type="dxa"/>
            <w:shd w:val="clear" w:color="auto" w:fill="auto"/>
          </w:tcPr>
          <w:p w14:paraId="7329BF23"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b/>
                <w:sz w:val="16"/>
                <w:szCs w:val="16"/>
                <w:lang w:val="es-ES_tradnl"/>
              </w:rPr>
              <w:lastRenderedPageBreak/>
              <w:t>A.7.1.3.4.</w:t>
            </w:r>
            <w:r w:rsidRPr="00A57824">
              <w:rPr>
                <w:rFonts w:ascii="Verdana" w:hAnsi="Verdana"/>
                <w:sz w:val="16"/>
                <w:szCs w:val="16"/>
                <w:lang w:val="es-ES_tradnl"/>
              </w:rPr>
              <w:t xml:space="preserve"> Monitoreo de la Trampa/Adsorción de NOx (TAN o Lean NOx Trap-LNT, por sus siglas en inglés).</w:t>
            </w:r>
          </w:p>
        </w:tc>
        <w:tc>
          <w:tcPr>
            <w:tcW w:w="4788" w:type="dxa"/>
            <w:shd w:val="clear" w:color="auto" w:fill="auto"/>
          </w:tcPr>
          <w:p w14:paraId="2396969B"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A.7.1.3.4.</w:t>
            </w:r>
            <w:r w:rsidRPr="00F75D61">
              <w:rPr>
                <w:lang w:val="en-US"/>
              </w:rPr>
              <w:t xml:space="preserve"> </w:t>
            </w:r>
            <w:r w:rsidRPr="00F75D61">
              <w:rPr>
                <w:rFonts w:ascii="Verdana" w:hAnsi="Verdana"/>
                <w:sz w:val="16"/>
                <w:szCs w:val="16"/>
                <w:lang w:val="en-US"/>
              </w:rPr>
              <w:t>Trap Monitoring/NOx</w:t>
            </w:r>
            <w:r w:rsidRPr="00F75D61">
              <w:rPr>
                <w:lang w:val="en-US"/>
              </w:rPr>
              <w:t xml:space="preserve"> </w:t>
            </w:r>
            <w:r w:rsidRPr="00F75D61">
              <w:rPr>
                <w:rFonts w:ascii="Verdana" w:hAnsi="Verdana"/>
                <w:sz w:val="16"/>
                <w:szCs w:val="16"/>
                <w:lang w:val="en-US"/>
              </w:rPr>
              <w:t>Adsorption</w:t>
            </w:r>
            <w:r w:rsidRPr="00F75D61">
              <w:rPr>
                <w:lang w:val="en-US"/>
              </w:rPr>
              <w:t xml:space="preserve"> </w:t>
            </w:r>
            <w:r w:rsidRPr="00F75D61">
              <w:rPr>
                <w:rFonts w:ascii="Verdana" w:hAnsi="Verdana"/>
                <w:sz w:val="16"/>
                <w:szCs w:val="16"/>
                <w:lang w:val="en-US"/>
              </w:rPr>
              <w:t>(TAN or Lean</w:t>
            </w:r>
            <w:r w:rsidRPr="00F75D61">
              <w:rPr>
                <w:lang w:val="en-US"/>
              </w:rPr>
              <w:t xml:space="preserve"> </w:t>
            </w:r>
            <w:r w:rsidRPr="00F75D61">
              <w:rPr>
                <w:rFonts w:ascii="Verdana" w:hAnsi="Verdana"/>
                <w:sz w:val="16"/>
                <w:szCs w:val="16"/>
                <w:lang w:val="en-US"/>
              </w:rPr>
              <w:t>NOx</w:t>
            </w:r>
            <w:r w:rsidRPr="00F75D61">
              <w:rPr>
                <w:lang w:val="en-US"/>
              </w:rPr>
              <w:t xml:space="preserve"> </w:t>
            </w:r>
            <w:r w:rsidRPr="00F75D61">
              <w:rPr>
                <w:rFonts w:ascii="Verdana" w:hAnsi="Verdana"/>
                <w:sz w:val="16"/>
                <w:szCs w:val="16"/>
                <w:lang w:val="en-US"/>
              </w:rPr>
              <w:t>Trap</w:t>
            </w:r>
            <w:r w:rsidRPr="00F75D61">
              <w:rPr>
                <w:lang w:val="en-US"/>
              </w:rPr>
              <w:t xml:space="preserve"> </w:t>
            </w:r>
            <w:r w:rsidRPr="00F75D61">
              <w:rPr>
                <w:rFonts w:ascii="Verdana" w:hAnsi="Verdana"/>
                <w:sz w:val="16"/>
                <w:szCs w:val="16"/>
                <w:lang w:val="en-US"/>
              </w:rPr>
              <w:t>-LNT, for its acronym in English).</w:t>
            </w:r>
            <w:r w:rsidRPr="00F75D61">
              <w:rPr>
                <w:lang w:val="en-US"/>
              </w:rPr>
              <w:t xml:space="preserve"> </w:t>
            </w:r>
          </w:p>
        </w:tc>
      </w:tr>
      <w:tr w:rsidR="008A0760" w:rsidRPr="00743A20" w14:paraId="14B12AC5" w14:textId="77777777" w:rsidTr="00F75D61">
        <w:tc>
          <w:tcPr>
            <w:tcW w:w="4788" w:type="dxa"/>
            <w:shd w:val="clear" w:color="auto" w:fill="auto"/>
          </w:tcPr>
          <w:p w14:paraId="58989F10"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sz w:val="16"/>
                <w:szCs w:val="16"/>
                <w:lang w:val="es-ES_tradnl"/>
              </w:rPr>
              <w:t>El sistema SDB/OBD debe monitorear el desempeño de la capacidad de la TAN/LNT para adsorber/almacenar y convertir NOx.</w:t>
            </w:r>
          </w:p>
        </w:tc>
        <w:tc>
          <w:tcPr>
            <w:tcW w:w="4788" w:type="dxa"/>
            <w:shd w:val="clear" w:color="auto" w:fill="auto"/>
          </w:tcPr>
          <w:p w14:paraId="721B1994" w14:textId="77777777" w:rsidR="008A0760" w:rsidRPr="00F75D61" w:rsidRDefault="008A0760" w:rsidP="00A57824">
            <w:pPr>
              <w:spacing w:after="101" w:line="230"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performance of the TAN/LNT capacity to adsorb/store and convert</w:t>
            </w:r>
            <w:r w:rsidRPr="00F75D61">
              <w:rPr>
                <w:lang w:val="en-US"/>
              </w:rPr>
              <w:t xml:space="preserve"> </w:t>
            </w:r>
            <w:r w:rsidRPr="00F75D61">
              <w:rPr>
                <w:rFonts w:ascii="Verdana" w:hAnsi="Verdana"/>
                <w:sz w:val="16"/>
                <w:szCs w:val="16"/>
                <w:lang w:val="en-US"/>
              </w:rPr>
              <w:t>NOx.</w:t>
            </w:r>
            <w:r w:rsidRPr="00F75D61">
              <w:rPr>
                <w:lang w:val="en-US"/>
              </w:rPr>
              <w:t xml:space="preserve"> </w:t>
            </w:r>
          </w:p>
        </w:tc>
      </w:tr>
      <w:tr w:rsidR="008A0760" w:rsidRPr="00743A20" w14:paraId="63141919" w14:textId="77777777" w:rsidTr="00F75D61">
        <w:tc>
          <w:tcPr>
            <w:tcW w:w="4788" w:type="dxa"/>
            <w:shd w:val="clear" w:color="auto" w:fill="auto"/>
          </w:tcPr>
          <w:p w14:paraId="6BC27F89" w14:textId="77777777" w:rsidR="008A0760" w:rsidRPr="00A57824" w:rsidRDefault="008A0760" w:rsidP="00A57824">
            <w:pPr>
              <w:pStyle w:val="Texto"/>
              <w:spacing w:line="230" w:lineRule="exact"/>
              <w:ind w:firstLine="0"/>
              <w:rPr>
                <w:rFonts w:ascii="Verdana" w:hAnsi="Verdana"/>
                <w:sz w:val="16"/>
                <w:szCs w:val="16"/>
                <w:lang w:val="es-ES_tradnl"/>
              </w:rPr>
            </w:pPr>
            <w:r w:rsidRPr="00A57824">
              <w:rPr>
                <w:rFonts w:ascii="Verdana" w:hAnsi="Verdana"/>
                <w:b/>
                <w:sz w:val="16"/>
                <w:szCs w:val="16"/>
                <w:lang w:val="es-ES_tradnl"/>
              </w:rPr>
              <w:t>A.7.1.3.5.</w:t>
            </w:r>
            <w:r w:rsidRPr="00A57824">
              <w:rPr>
                <w:rFonts w:ascii="Verdana" w:hAnsi="Verdana"/>
                <w:sz w:val="16"/>
                <w:szCs w:val="16"/>
                <w:lang w:val="es-ES_tradnl"/>
              </w:rPr>
              <w:t xml:space="preserve"> Monitoreo de Catalizadores de Oxidación (incluye Catalizadores de Oxidación Diésel, SCOD o Diésel Oxydation Catalysts-DOC).</w:t>
            </w:r>
          </w:p>
        </w:tc>
        <w:tc>
          <w:tcPr>
            <w:tcW w:w="4788" w:type="dxa"/>
            <w:shd w:val="clear" w:color="auto" w:fill="auto"/>
          </w:tcPr>
          <w:p w14:paraId="1FA39EE9" w14:textId="77777777" w:rsidR="008A0760" w:rsidRPr="00F75D61" w:rsidRDefault="008A0760" w:rsidP="00A57824">
            <w:pPr>
              <w:spacing w:after="101" w:line="230" w:lineRule="atLeast"/>
              <w:jc w:val="both"/>
              <w:rPr>
                <w:lang w:val="en-US"/>
              </w:rPr>
            </w:pPr>
            <w:r w:rsidRPr="00F75D61">
              <w:rPr>
                <w:rFonts w:ascii="Verdana" w:hAnsi="Verdana"/>
                <w:b/>
                <w:bCs/>
                <w:sz w:val="16"/>
                <w:szCs w:val="16"/>
                <w:lang w:val="en-US"/>
              </w:rPr>
              <w:t>A.7.1.3.5.</w:t>
            </w:r>
            <w:r w:rsidRPr="00F75D61">
              <w:rPr>
                <w:lang w:val="en-US"/>
              </w:rPr>
              <w:t xml:space="preserve"> </w:t>
            </w:r>
            <w:r w:rsidRPr="00F75D61">
              <w:rPr>
                <w:rFonts w:ascii="Verdana" w:hAnsi="Verdana"/>
                <w:sz w:val="16"/>
                <w:szCs w:val="16"/>
                <w:lang w:val="en-US"/>
              </w:rPr>
              <w:t>Oxidation Catalyst Monitoring (includes Diesel Oxidation Catalyst, SCOD or Diesel</w:t>
            </w:r>
            <w:r w:rsidRPr="00F75D61">
              <w:rPr>
                <w:lang w:val="en-US"/>
              </w:rPr>
              <w:t xml:space="preserve"> </w:t>
            </w:r>
            <w:r w:rsidRPr="00F75D61">
              <w:rPr>
                <w:rFonts w:ascii="Verdana" w:hAnsi="Verdana"/>
                <w:sz w:val="16"/>
                <w:szCs w:val="16"/>
                <w:lang w:val="en-US"/>
              </w:rPr>
              <w:t>Ox</w:t>
            </w:r>
            <w:r w:rsidR="00F75D61">
              <w:rPr>
                <w:rFonts w:ascii="Verdana" w:hAnsi="Verdana"/>
                <w:sz w:val="16"/>
                <w:szCs w:val="16"/>
                <w:lang w:val="en-US"/>
              </w:rPr>
              <w:t>i</w:t>
            </w:r>
            <w:r w:rsidRPr="00F75D61">
              <w:rPr>
                <w:rFonts w:ascii="Verdana" w:hAnsi="Verdana"/>
                <w:sz w:val="16"/>
                <w:szCs w:val="16"/>
                <w:lang w:val="en-US"/>
              </w:rPr>
              <w:t>dation</w:t>
            </w:r>
            <w:r w:rsidRPr="00F75D61">
              <w:rPr>
                <w:lang w:val="en-US"/>
              </w:rPr>
              <w:t xml:space="preserve"> </w:t>
            </w:r>
            <w:r w:rsidRPr="00F75D61">
              <w:rPr>
                <w:rFonts w:ascii="Verdana" w:hAnsi="Verdana"/>
                <w:sz w:val="16"/>
                <w:szCs w:val="16"/>
                <w:lang w:val="en-US"/>
              </w:rPr>
              <w:t>Catalysts-DOC).</w:t>
            </w:r>
            <w:r w:rsidRPr="00F75D61">
              <w:rPr>
                <w:lang w:val="en-US"/>
              </w:rPr>
              <w:t xml:space="preserve"> </w:t>
            </w:r>
          </w:p>
        </w:tc>
      </w:tr>
      <w:tr w:rsidR="008A0760" w:rsidRPr="00A57824" w14:paraId="5DCE40FB" w14:textId="77777777" w:rsidTr="00F75D61">
        <w:tc>
          <w:tcPr>
            <w:tcW w:w="4788" w:type="dxa"/>
            <w:shd w:val="clear" w:color="auto" w:fill="auto"/>
          </w:tcPr>
          <w:p w14:paraId="1513C6BA" w14:textId="77777777" w:rsidR="008A0760" w:rsidRPr="00A57824" w:rsidRDefault="008A0760" w:rsidP="00A57824">
            <w:pPr>
              <w:pStyle w:val="Texto"/>
              <w:spacing w:line="231" w:lineRule="exact"/>
              <w:ind w:firstLine="0"/>
              <w:rPr>
                <w:rFonts w:ascii="Verdana" w:hAnsi="Verdana"/>
                <w:sz w:val="16"/>
                <w:szCs w:val="16"/>
                <w:lang w:val="es-ES_tradnl"/>
              </w:rPr>
            </w:pPr>
            <w:r w:rsidRPr="00A57824">
              <w:rPr>
                <w:rFonts w:ascii="Verdana" w:hAnsi="Verdana"/>
                <w:sz w:val="16"/>
                <w:szCs w:val="16"/>
                <w:lang w:val="es-ES_tradnl"/>
              </w:rPr>
              <w:t>Este monitoreo aplica para los catalizadores de oxidación que están separados de los otros sistemas de post-tratamiento; es decir, aquellos catalizadores que están ubicados dentro de un sistema de post-tratamiento serán cubiertos por el respectivo numeral de este apéndice. Por ejemplo, si el catalizador de oxidación forma parte del sistema de filtrado de partículas, el monitoreo del catalizador de oxidación podrá regirse bajo las condiciones del monitoreo del sistema de filtrado de partículas. El sistema SDB/OBD debe monitorear por falla funcional:</w:t>
            </w:r>
          </w:p>
        </w:tc>
        <w:tc>
          <w:tcPr>
            <w:tcW w:w="4788" w:type="dxa"/>
            <w:shd w:val="clear" w:color="auto" w:fill="auto"/>
          </w:tcPr>
          <w:p w14:paraId="32BB7D9A" w14:textId="77777777" w:rsidR="008A0760" w:rsidRPr="00F75D61" w:rsidRDefault="008A0760" w:rsidP="00A57824">
            <w:pPr>
              <w:spacing w:after="101" w:line="231" w:lineRule="atLeast"/>
              <w:jc w:val="both"/>
              <w:rPr>
                <w:lang w:val="en-US"/>
              </w:rPr>
            </w:pPr>
            <w:r w:rsidRPr="00F75D61">
              <w:rPr>
                <w:rFonts w:ascii="Verdana" w:hAnsi="Verdana"/>
                <w:sz w:val="16"/>
                <w:szCs w:val="16"/>
                <w:lang w:val="en-US"/>
              </w:rPr>
              <w:t>This monitoring applies to the oxidation catalysts that are separated from the other post-treatment systems;</w:t>
            </w:r>
            <w:r w:rsidRPr="00F75D61">
              <w:rPr>
                <w:lang w:val="en-US"/>
              </w:rPr>
              <w:t xml:space="preserve"> </w:t>
            </w:r>
            <w:r w:rsidRPr="00F75D61">
              <w:rPr>
                <w:rFonts w:ascii="Verdana" w:hAnsi="Verdana"/>
                <w:sz w:val="16"/>
                <w:szCs w:val="16"/>
                <w:lang w:val="en-US"/>
              </w:rPr>
              <w:t>that is, those catalysts that are located within a post-treatment system will be covered by the respective numeral of this appendix.</w:t>
            </w:r>
            <w:r w:rsidRPr="00F75D61">
              <w:rPr>
                <w:lang w:val="en-US"/>
              </w:rPr>
              <w:t xml:space="preserve"> </w:t>
            </w:r>
            <w:r w:rsidRPr="00F75D61">
              <w:rPr>
                <w:rFonts w:ascii="Verdana" w:hAnsi="Verdana"/>
                <w:sz w:val="16"/>
                <w:szCs w:val="16"/>
                <w:lang w:val="en-US"/>
              </w:rPr>
              <w:t>For example, if the oxidation catalyst is part of the particulate filtering system, monitoring of the oxidation catalyst may be governed by the monitoring conditions of the particulate filtering system.</w:t>
            </w:r>
            <w:r w:rsidRPr="00F75D61">
              <w:rPr>
                <w:lang w:val="en-US"/>
              </w:rPr>
              <w:t xml:space="preserve"> </w:t>
            </w: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for functional failure:</w:t>
            </w:r>
            <w:r w:rsidRPr="00F75D61">
              <w:rPr>
                <w:lang w:val="en-US"/>
              </w:rPr>
              <w:t xml:space="preserve"> </w:t>
            </w:r>
          </w:p>
        </w:tc>
      </w:tr>
      <w:tr w:rsidR="008A0760" w:rsidRPr="00743A20" w14:paraId="12EDCA86" w14:textId="77777777" w:rsidTr="00F75D61">
        <w:tc>
          <w:tcPr>
            <w:tcW w:w="4788" w:type="dxa"/>
            <w:shd w:val="clear" w:color="auto" w:fill="auto"/>
          </w:tcPr>
          <w:p w14:paraId="4C9FB453"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La eficiencia de la conversión de hidrocarburos totales (HC) antes de otros sistemas de post-tratamiento, y</w:t>
            </w:r>
          </w:p>
        </w:tc>
        <w:tc>
          <w:tcPr>
            <w:tcW w:w="4788" w:type="dxa"/>
            <w:shd w:val="clear" w:color="auto" w:fill="auto"/>
          </w:tcPr>
          <w:p w14:paraId="25D5B782" w14:textId="77777777" w:rsidR="008A0760" w:rsidRPr="00F75D61" w:rsidRDefault="00F75D61" w:rsidP="00A57824">
            <w:pPr>
              <w:spacing w:after="101" w:line="231" w:lineRule="atLeast"/>
              <w:jc w:val="both"/>
              <w:rPr>
                <w:lang w:val="en-US"/>
              </w:rPr>
            </w:pPr>
            <w:r>
              <w:rPr>
                <w:rFonts w:ascii="Verdana" w:hAnsi="Verdana"/>
                <w:b/>
                <w:bCs/>
                <w:sz w:val="16"/>
                <w:szCs w:val="16"/>
                <w:lang w:val="en-US"/>
              </w:rPr>
              <w:t>a</w:t>
            </w:r>
            <w:r w:rsidR="008A0760" w:rsidRPr="00F75D61">
              <w:rPr>
                <w:rFonts w:ascii="Verdana" w:hAnsi="Verdana"/>
                <w:b/>
                <w:bCs/>
                <w:sz w:val="16"/>
                <w:szCs w:val="16"/>
                <w:lang w:val="en-US"/>
              </w:rPr>
              <w:t>.</w:t>
            </w:r>
            <w:r w:rsidR="008A0760" w:rsidRPr="00F75D61">
              <w:rPr>
                <w:lang w:val="en-US"/>
              </w:rPr>
              <w:t xml:space="preserve"> </w:t>
            </w:r>
            <w:r w:rsidR="008A0760" w:rsidRPr="00F75D61">
              <w:rPr>
                <w:rFonts w:ascii="Verdana" w:hAnsi="Verdana"/>
                <w:sz w:val="16"/>
                <w:szCs w:val="16"/>
                <w:lang w:val="en-US"/>
              </w:rPr>
              <w:t>              The efficiency of the conversion of total hydrocarbons (HC) before other post-treatment systems, and</w:t>
            </w:r>
            <w:r w:rsidR="008A0760" w:rsidRPr="00F75D61">
              <w:rPr>
                <w:lang w:val="en-US"/>
              </w:rPr>
              <w:t xml:space="preserve"> </w:t>
            </w:r>
          </w:p>
        </w:tc>
      </w:tr>
      <w:tr w:rsidR="008A0760" w:rsidRPr="00743A20" w14:paraId="555364ED" w14:textId="77777777" w:rsidTr="00F75D61">
        <w:tc>
          <w:tcPr>
            <w:tcW w:w="4788" w:type="dxa"/>
            <w:shd w:val="clear" w:color="auto" w:fill="auto"/>
          </w:tcPr>
          <w:p w14:paraId="477F376B"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La eficiencia de la conversión de hidrocarburos totales (HC) después de otros sistemas de post-tratamiento.</w:t>
            </w:r>
          </w:p>
        </w:tc>
        <w:tc>
          <w:tcPr>
            <w:tcW w:w="4788" w:type="dxa"/>
            <w:shd w:val="clear" w:color="auto" w:fill="auto"/>
          </w:tcPr>
          <w:p w14:paraId="767DDB4F"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b.</w:t>
            </w:r>
            <w:r w:rsidRPr="00F75D61">
              <w:rPr>
                <w:lang w:val="en-US"/>
              </w:rPr>
              <w:t xml:space="preserve"> </w:t>
            </w:r>
            <w:r w:rsidRPr="00F75D61">
              <w:rPr>
                <w:rFonts w:ascii="Verdana" w:hAnsi="Verdana"/>
                <w:sz w:val="16"/>
                <w:szCs w:val="16"/>
                <w:lang w:val="en-US"/>
              </w:rPr>
              <w:t>              The efficiency of the conversion of total hydrocarbons (HC) after other post-treatment systems.</w:t>
            </w:r>
            <w:r w:rsidRPr="00F75D61">
              <w:rPr>
                <w:lang w:val="en-US"/>
              </w:rPr>
              <w:t xml:space="preserve"> </w:t>
            </w:r>
          </w:p>
        </w:tc>
      </w:tr>
      <w:tr w:rsidR="008A0760" w:rsidRPr="00743A20" w14:paraId="2B7C7269" w14:textId="77777777" w:rsidTr="00F75D61">
        <w:tc>
          <w:tcPr>
            <w:tcW w:w="4788" w:type="dxa"/>
            <w:shd w:val="clear" w:color="auto" w:fill="auto"/>
          </w:tcPr>
          <w:p w14:paraId="7B53C26B" w14:textId="77777777" w:rsidR="008A0760" w:rsidRPr="00A57824" w:rsidRDefault="008A0760" w:rsidP="00A57824">
            <w:pPr>
              <w:pStyle w:val="Texto"/>
              <w:spacing w:line="231" w:lineRule="exact"/>
              <w:ind w:firstLine="0"/>
              <w:rPr>
                <w:rFonts w:ascii="Verdana" w:hAnsi="Verdana"/>
                <w:b/>
                <w:sz w:val="16"/>
                <w:szCs w:val="16"/>
                <w:lang w:val="es-ES_tradnl"/>
              </w:rPr>
            </w:pPr>
            <w:r w:rsidRPr="00A57824">
              <w:rPr>
                <w:rFonts w:ascii="Verdana" w:hAnsi="Verdana"/>
                <w:b/>
                <w:sz w:val="16"/>
                <w:szCs w:val="16"/>
                <w:lang w:val="es-ES_tradnl"/>
              </w:rPr>
              <w:t>A.7.1.3.6.</w:t>
            </w:r>
            <w:r w:rsidRPr="00A57824">
              <w:rPr>
                <w:rFonts w:ascii="Verdana" w:hAnsi="Verdana"/>
                <w:sz w:val="16"/>
                <w:szCs w:val="16"/>
                <w:lang w:val="es-ES_tradnl"/>
              </w:rPr>
              <w:t xml:space="preserve"> Monitoreo del Sistema de Recirculación de Gases (SRG o EGR, por sus siglas en inglés).</w:t>
            </w:r>
          </w:p>
        </w:tc>
        <w:tc>
          <w:tcPr>
            <w:tcW w:w="4788" w:type="dxa"/>
            <w:shd w:val="clear" w:color="auto" w:fill="auto"/>
          </w:tcPr>
          <w:p w14:paraId="57567968"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A.7.1.3.6.</w:t>
            </w:r>
            <w:r w:rsidRPr="00F75D61">
              <w:rPr>
                <w:lang w:val="en-US"/>
              </w:rPr>
              <w:t xml:space="preserve"> </w:t>
            </w:r>
            <w:r w:rsidRPr="00F75D61">
              <w:rPr>
                <w:rFonts w:ascii="Verdana" w:hAnsi="Verdana"/>
                <w:sz w:val="16"/>
                <w:szCs w:val="16"/>
                <w:lang w:val="en-US"/>
              </w:rPr>
              <w:t>Monitoring of the Gas Recirculation System (SRG or EGR, for its acronym in English).</w:t>
            </w:r>
            <w:r w:rsidRPr="00F75D61">
              <w:rPr>
                <w:lang w:val="en-US"/>
              </w:rPr>
              <w:t xml:space="preserve"> </w:t>
            </w:r>
          </w:p>
        </w:tc>
      </w:tr>
      <w:tr w:rsidR="008A0760" w:rsidRPr="00743A20" w14:paraId="201E1004" w14:textId="77777777" w:rsidTr="00F75D61">
        <w:tc>
          <w:tcPr>
            <w:tcW w:w="4788" w:type="dxa"/>
            <w:shd w:val="clear" w:color="auto" w:fill="auto"/>
          </w:tcPr>
          <w:p w14:paraId="603DE1A3" w14:textId="77777777" w:rsidR="008A0760" w:rsidRPr="00A57824" w:rsidRDefault="008A0760" w:rsidP="00A57824">
            <w:pPr>
              <w:pStyle w:val="Texto"/>
              <w:spacing w:line="231" w:lineRule="exact"/>
              <w:ind w:firstLine="0"/>
              <w:rPr>
                <w:rFonts w:ascii="Verdana" w:hAnsi="Verdana"/>
                <w:sz w:val="16"/>
                <w:szCs w:val="16"/>
                <w:lang w:val="es-ES_tradnl"/>
              </w:rPr>
            </w:pPr>
            <w:r w:rsidRPr="00A57824">
              <w:rPr>
                <w:rFonts w:ascii="Verdana" w:hAnsi="Verdana"/>
                <w:sz w:val="16"/>
                <w:szCs w:val="16"/>
                <w:lang w:val="es-ES_tradnl"/>
              </w:rPr>
              <w:t>El sistema SDB/OBD debe monitorear la operación adecuada del SRG/EGR en motores equipados con este tipo de sistemas, de acuerdo a lo siguiente:</w:t>
            </w:r>
          </w:p>
        </w:tc>
        <w:tc>
          <w:tcPr>
            <w:tcW w:w="4788" w:type="dxa"/>
            <w:shd w:val="clear" w:color="auto" w:fill="auto"/>
          </w:tcPr>
          <w:p w14:paraId="41060C99" w14:textId="77777777" w:rsidR="008A0760" w:rsidRPr="00F75D61" w:rsidRDefault="008A0760" w:rsidP="00A57824">
            <w:pPr>
              <w:spacing w:after="101" w:line="231"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proper operation of the SRG/EGR in engines equipped with this type of system,</w:t>
            </w:r>
            <w:r w:rsidRPr="00F75D61">
              <w:rPr>
                <w:lang w:val="en-US"/>
              </w:rPr>
              <w:t xml:space="preserve"> </w:t>
            </w:r>
            <w:r w:rsidRPr="00F75D61">
              <w:rPr>
                <w:rFonts w:ascii="Verdana" w:hAnsi="Verdana"/>
                <w:sz w:val="16"/>
                <w:szCs w:val="16"/>
                <w:lang w:val="en-US"/>
              </w:rPr>
              <w:t>according to</w:t>
            </w:r>
            <w:r w:rsidRPr="00F75D61">
              <w:rPr>
                <w:lang w:val="en-US"/>
              </w:rPr>
              <w:t xml:space="preserve"> </w:t>
            </w:r>
            <w:r w:rsidRPr="00F75D61">
              <w:rPr>
                <w:rFonts w:ascii="Verdana" w:hAnsi="Verdana"/>
                <w:sz w:val="16"/>
                <w:szCs w:val="16"/>
                <w:lang w:val="en-US"/>
              </w:rPr>
              <w:t>the following:</w:t>
            </w:r>
            <w:r w:rsidRPr="00F75D61">
              <w:rPr>
                <w:lang w:val="en-US"/>
              </w:rPr>
              <w:t xml:space="preserve"> </w:t>
            </w:r>
          </w:p>
        </w:tc>
      </w:tr>
      <w:tr w:rsidR="008A0760" w:rsidRPr="00743A20" w14:paraId="6E3F2831" w14:textId="77777777" w:rsidTr="00F75D61">
        <w:tc>
          <w:tcPr>
            <w:tcW w:w="4788" w:type="dxa"/>
            <w:shd w:val="clear" w:color="auto" w:fill="auto"/>
          </w:tcPr>
          <w:p w14:paraId="3C593967"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Flujo del SRG/EGR alto o bajo, o la capacidad del sistema de mantener el flujo requerido, detectando condiciones de muy bajo flujo y muy alto flujo. Este monitoreo incluye los tres tipos: monitoreo por desempeño, monitoreo con respecto a límites SDB/OBD de NOx</w:t>
            </w:r>
            <w:r w:rsidRPr="00A57824">
              <w:rPr>
                <w:rFonts w:ascii="Verdana" w:hAnsi="Verdana"/>
                <w:position w:val="-3"/>
                <w:sz w:val="16"/>
                <w:szCs w:val="16"/>
                <w:lang w:val="es-ES_tradnl"/>
              </w:rPr>
              <w:t>,</w:t>
            </w:r>
            <w:r w:rsidRPr="00A57824">
              <w:rPr>
                <w:rFonts w:ascii="Verdana" w:hAnsi="Verdana"/>
                <w:sz w:val="16"/>
                <w:szCs w:val="16"/>
                <w:lang w:val="es-ES_tradnl"/>
              </w:rPr>
              <w:t xml:space="preserve"> y Partículas (Part), establecidos en la Tabla A.1 o en la Tabla A.2, en caso de que la certificación sea vía dinamómetro de chasis, así como monitoreo por falla total;</w:t>
            </w:r>
          </w:p>
        </w:tc>
        <w:tc>
          <w:tcPr>
            <w:tcW w:w="4788" w:type="dxa"/>
            <w:shd w:val="clear" w:color="auto" w:fill="auto"/>
          </w:tcPr>
          <w:p w14:paraId="45FBF6FD" w14:textId="77777777" w:rsidR="008A0760" w:rsidRPr="00F75D61" w:rsidRDefault="00F75D61" w:rsidP="00A57824">
            <w:pPr>
              <w:spacing w:after="101" w:line="231" w:lineRule="atLeast"/>
              <w:jc w:val="both"/>
              <w:rPr>
                <w:lang w:val="en-US"/>
              </w:rPr>
            </w:pPr>
            <w:r>
              <w:rPr>
                <w:rFonts w:ascii="Verdana" w:hAnsi="Verdana"/>
                <w:b/>
                <w:bCs/>
                <w:sz w:val="16"/>
                <w:szCs w:val="16"/>
                <w:lang w:val="en-US"/>
              </w:rPr>
              <w:t>a</w:t>
            </w:r>
            <w:r w:rsidR="008A0760" w:rsidRPr="00F75D61">
              <w:rPr>
                <w:rFonts w:ascii="Verdana" w:hAnsi="Verdana"/>
                <w:b/>
                <w:bCs/>
                <w:sz w:val="16"/>
                <w:szCs w:val="16"/>
                <w:lang w:val="en-US"/>
              </w:rPr>
              <w:t>.</w:t>
            </w:r>
            <w:r w:rsidR="008A0760" w:rsidRPr="00F75D61">
              <w:rPr>
                <w:lang w:val="en-US"/>
              </w:rPr>
              <w:t xml:space="preserve"> </w:t>
            </w:r>
            <w:r w:rsidR="008A0760" w:rsidRPr="00F75D61">
              <w:rPr>
                <w:rFonts w:ascii="Verdana" w:hAnsi="Verdana"/>
                <w:sz w:val="16"/>
                <w:szCs w:val="16"/>
                <w:lang w:val="en-US"/>
              </w:rPr>
              <w:t xml:space="preserve">              High or low </w:t>
            </w:r>
            <w:r>
              <w:rPr>
                <w:rFonts w:ascii="Verdana" w:hAnsi="Verdana"/>
                <w:sz w:val="16"/>
                <w:szCs w:val="16"/>
                <w:lang w:val="en-US"/>
              </w:rPr>
              <w:t>SRG/EGR</w:t>
            </w:r>
            <w:r w:rsidR="008A0760" w:rsidRPr="00F75D61">
              <w:rPr>
                <w:rFonts w:ascii="Verdana" w:hAnsi="Verdana"/>
                <w:sz w:val="16"/>
                <w:szCs w:val="16"/>
                <w:lang w:val="en-US"/>
              </w:rPr>
              <w:t xml:space="preserve"> flow, or the ability of the system to maintain the required flow, detecting conditions of very low flow and very high flow.</w:t>
            </w:r>
            <w:r w:rsidR="008A0760" w:rsidRPr="00F75D61">
              <w:rPr>
                <w:lang w:val="en-US"/>
              </w:rPr>
              <w:t xml:space="preserve"> </w:t>
            </w:r>
            <w:r w:rsidR="008A0760" w:rsidRPr="00F75D61">
              <w:rPr>
                <w:rFonts w:ascii="Verdana" w:hAnsi="Verdana"/>
                <w:sz w:val="16"/>
                <w:szCs w:val="16"/>
                <w:lang w:val="en-US"/>
              </w:rPr>
              <w:t xml:space="preserve">This monitoring includes the three types: monitoring for performance, monitoring with respect to </w:t>
            </w:r>
            <w:r w:rsidR="002D78B5" w:rsidRPr="00F75D61">
              <w:rPr>
                <w:rFonts w:ascii="Verdana" w:hAnsi="Verdana"/>
                <w:sz w:val="16"/>
                <w:szCs w:val="16"/>
                <w:lang w:val="en-US"/>
              </w:rPr>
              <w:t>SDB/OBD</w:t>
            </w:r>
            <w:r w:rsidR="008A0760" w:rsidRPr="00F75D61">
              <w:rPr>
                <w:rFonts w:ascii="Verdana" w:hAnsi="Verdana"/>
                <w:sz w:val="16"/>
                <w:szCs w:val="16"/>
                <w:lang w:val="en-US"/>
              </w:rPr>
              <w:t xml:space="preserve"> limits for</w:t>
            </w:r>
            <w:r w:rsidR="008A0760" w:rsidRPr="00F75D61">
              <w:rPr>
                <w:lang w:val="en-US"/>
              </w:rPr>
              <w:t xml:space="preserve"> </w:t>
            </w:r>
            <w:r w:rsidR="008A0760" w:rsidRPr="00F75D61">
              <w:rPr>
                <w:rFonts w:ascii="Verdana" w:hAnsi="Verdana"/>
                <w:sz w:val="16"/>
                <w:szCs w:val="16"/>
                <w:lang w:val="en-US"/>
              </w:rPr>
              <w:t>NOx</w:t>
            </w:r>
            <w:r w:rsidR="008A0760" w:rsidRPr="00F75D61">
              <w:rPr>
                <w:rFonts w:ascii="Verdana" w:hAnsi="Verdana"/>
                <w:position w:val="-3"/>
                <w:sz w:val="16"/>
                <w:szCs w:val="16"/>
                <w:lang w:val="en-US"/>
              </w:rPr>
              <w:t>,</w:t>
            </w:r>
            <w:r w:rsidR="008A0760" w:rsidRPr="00F75D61">
              <w:rPr>
                <w:lang w:val="en-US"/>
              </w:rPr>
              <w:t xml:space="preserve"> </w:t>
            </w:r>
            <w:r w:rsidR="008A0760" w:rsidRPr="00F75D61">
              <w:rPr>
                <w:rFonts w:ascii="Verdana" w:hAnsi="Verdana"/>
                <w:sz w:val="16"/>
                <w:szCs w:val="16"/>
                <w:lang w:val="en-US"/>
              </w:rPr>
              <w:t xml:space="preserve">and Particles </w:t>
            </w:r>
            <w:r>
              <w:rPr>
                <w:rFonts w:ascii="Verdana" w:hAnsi="Verdana"/>
                <w:sz w:val="16"/>
                <w:szCs w:val="16"/>
                <w:lang w:val="en-US"/>
              </w:rPr>
              <w:t>(Part)</w:t>
            </w:r>
            <w:r w:rsidR="008A0760" w:rsidRPr="00F75D61">
              <w:rPr>
                <w:rFonts w:ascii="Verdana" w:hAnsi="Verdana"/>
                <w:sz w:val="16"/>
                <w:szCs w:val="16"/>
                <w:lang w:val="en-US"/>
              </w:rPr>
              <w:t>, established in Table A.1 or Table A.2, in case the certification is via chassis dynamometer, as well as monitoring by total failure;</w:t>
            </w:r>
            <w:r w:rsidR="008A0760" w:rsidRPr="00F75D61">
              <w:rPr>
                <w:lang w:val="en-US"/>
              </w:rPr>
              <w:t xml:space="preserve"> </w:t>
            </w:r>
          </w:p>
        </w:tc>
      </w:tr>
      <w:tr w:rsidR="008A0760" w:rsidRPr="00743A20" w14:paraId="3CA9D5CA" w14:textId="77777777" w:rsidTr="00F75D61">
        <w:tc>
          <w:tcPr>
            <w:tcW w:w="4788" w:type="dxa"/>
            <w:shd w:val="clear" w:color="auto" w:fill="auto"/>
          </w:tcPr>
          <w:p w14:paraId="07F5C94E"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Desempeño de la velocidad de respuesta del actuador del SRG/EGR, refiriéndose a la capacidad del sistema de alcanzar el flujo requerido dentro de un tiempo definido por el fabricante;</w:t>
            </w:r>
          </w:p>
        </w:tc>
        <w:tc>
          <w:tcPr>
            <w:tcW w:w="4788" w:type="dxa"/>
            <w:shd w:val="clear" w:color="auto" w:fill="auto"/>
          </w:tcPr>
          <w:p w14:paraId="7B385F38"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b.</w:t>
            </w:r>
            <w:r w:rsidRPr="00F75D61">
              <w:rPr>
                <w:lang w:val="en-US"/>
              </w:rPr>
              <w:t xml:space="preserve"> </w:t>
            </w:r>
            <w:r w:rsidRPr="00F75D61">
              <w:rPr>
                <w:rFonts w:ascii="Verdana" w:hAnsi="Verdana"/>
                <w:sz w:val="16"/>
                <w:szCs w:val="16"/>
                <w:lang w:val="en-US"/>
              </w:rPr>
              <w:t>              Performance of the response speed of the SRG/EGR actuator, referring to the capacity of the system to reach the required flow within a time defined by the manufacturer;</w:t>
            </w:r>
            <w:r w:rsidRPr="00F75D61">
              <w:rPr>
                <w:lang w:val="en-US"/>
              </w:rPr>
              <w:t xml:space="preserve"> </w:t>
            </w:r>
          </w:p>
        </w:tc>
      </w:tr>
      <w:tr w:rsidR="008A0760" w:rsidRPr="00743A20" w14:paraId="79AEB50F" w14:textId="77777777" w:rsidTr="00F75D61">
        <w:tc>
          <w:tcPr>
            <w:tcW w:w="4788" w:type="dxa"/>
            <w:shd w:val="clear" w:color="auto" w:fill="auto"/>
          </w:tcPr>
          <w:p w14:paraId="5A7B7654"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lastRenderedPageBreak/>
              <w:t>c.</w:t>
            </w:r>
            <w:r w:rsidRPr="00A57824">
              <w:rPr>
                <w:rFonts w:ascii="Verdana" w:hAnsi="Verdana"/>
                <w:sz w:val="16"/>
                <w:szCs w:val="16"/>
                <w:lang w:val="es-ES_tradnl"/>
              </w:rPr>
              <w:tab/>
              <w:t>Desempeño y falla total del desempeño del enfriador del SRG/EGR, refiriéndose a la capacidad del sistema para alcanzar el enfriamiento especificado por el fabricante, y</w:t>
            </w:r>
          </w:p>
        </w:tc>
        <w:tc>
          <w:tcPr>
            <w:tcW w:w="4788" w:type="dxa"/>
            <w:shd w:val="clear" w:color="auto" w:fill="auto"/>
          </w:tcPr>
          <w:p w14:paraId="4D776D73"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c.</w:t>
            </w:r>
            <w:r w:rsidRPr="00F75D61">
              <w:rPr>
                <w:lang w:val="en-US"/>
              </w:rPr>
              <w:t xml:space="preserve"> </w:t>
            </w:r>
            <w:r w:rsidRPr="00F75D61">
              <w:rPr>
                <w:rFonts w:ascii="Verdana" w:hAnsi="Verdana"/>
                <w:sz w:val="16"/>
                <w:szCs w:val="16"/>
                <w:lang w:val="en-US"/>
              </w:rPr>
              <w:t>              Performance and total performance failure of the SRG/EGR cooler, referring to the</w:t>
            </w:r>
            <w:r w:rsidRPr="00F75D61">
              <w:rPr>
                <w:lang w:val="en-US"/>
              </w:rPr>
              <w:t xml:space="preserve"> </w:t>
            </w:r>
            <w:r w:rsidRPr="00F75D61">
              <w:rPr>
                <w:rFonts w:ascii="Verdana" w:hAnsi="Verdana"/>
                <w:sz w:val="16"/>
                <w:szCs w:val="16"/>
                <w:lang w:val="en-US"/>
              </w:rPr>
              <w:t>system's</w:t>
            </w:r>
            <w:r w:rsidRPr="00F75D61">
              <w:rPr>
                <w:lang w:val="en-US"/>
              </w:rPr>
              <w:t xml:space="preserve"> </w:t>
            </w:r>
            <w:r w:rsidRPr="00F75D61">
              <w:rPr>
                <w:rFonts w:ascii="Verdana" w:hAnsi="Verdana"/>
                <w:sz w:val="16"/>
                <w:szCs w:val="16"/>
                <w:lang w:val="en-US"/>
              </w:rPr>
              <w:t>ability</w:t>
            </w:r>
            <w:r w:rsidRPr="00F75D61">
              <w:rPr>
                <w:lang w:val="en-US"/>
              </w:rPr>
              <w:t xml:space="preserve"> </w:t>
            </w:r>
            <w:r w:rsidRPr="00F75D61">
              <w:rPr>
                <w:rFonts w:ascii="Verdana" w:hAnsi="Verdana"/>
                <w:sz w:val="16"/>
                <w:szCs w:val="16"/>
                <w:lang w:val="en-US"/>
              </w:rPr>
              <w:t>to achieve the cooling specified by the manufacturer, and</w:t>
            </w:r>
            <w:r w:rsidRPr="00F75D61">
              <w:rPr>
                <w:lang w:val="en-US"/>
              </w:rPr>
              <w:t xml:space="preserve"> </w:t>
            </w:r>
          </w:p>
        </w:tc>
      </w:tr>
      <w:tr w:rsidR="008A0760" w:rsidRPr="00743A20" w14:paraId="1EDF0620" w14:textId="77777777" w:rsidTr="00F75D61">
        <w:tc>
          <w:tcPr>
            <w:tcW w:w="4788" w:type="dxa"/>
            <w:shd w:val="clear" w:color="auto" w:fill="auto"/>
          </w:tcPr>
          <w:p w14:paraId="3E64E9F3"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sz w:val="16"/>
                <w:szCs w:val="16"/>
                <w:lang w:val="es-ES_tradnl"/>
              </w:rPr>
              <w:tab/>
              <w:t>En caso de que, al producirse una falla total de la capacidad del sistema de refrigeración del SRG/EGR para alcanzar el funcionamiento de refrigeración especificado por el fabricante y el sistema de monitoreo no detecte alguna falla (porque el aumento resultante de las emisiones no alcance los límites de SDB/OBD para cualquier contaminante), el sistema SDB/OBD detectará un mal funcionamiento cuando el sistema no tenga ninguna cantidad detectable de refrigerante del SRG/EGR.</w:t>
            </w:r>
          </w:p>
        </w:tc>
        <w:tc>
          <w:tcPr>
            <w:tcW w:w="4788" w:type="dxa"/>
            <w:shd w:val="clear" w:color="auto" w:fill="auto"/>
          </w:tcPr>
          <w:p w14:paraId="406FDF87"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d.</w:t>
            </w:r>
            <w:r w:rsidRPr="00F75D61">
              <w:rPr>
                <w:lang w:val="en-US"/>
              </w:rPr>
              <w:t xml:space="preserve"> </w:t>
            </w:r>
            <w:r w:rsidRPr="00F75D61">
              <w:rPr>
                <w:rFonts w:ascii="Verdana" w:hAnsi="Verdana"/>
                <w:sz w:val="16"/>
                <w:szCs w:val="16"/>
                <w:lang w:val="en-US"/>
              </w:rPr>
              <w:t xml:space="preserve">              Should there be a total failure of the cooling system capacity of the </w:t>
            </w:r>
            <w:r w:rsidR="00F75D61">
              <w:rPr>
                <w:rFonts w:ascii="Verdana" w:hAnsi="Verdana"/>
                <w:sz w:val="16"/>
                <w:szCs w:val="16"/>
                <w:lang w:val="en-US"/>
              </w:rPr>
              <w:t>SRG/EGR</w:t>
            </w:r>
            <w:r w:rsidRPr="00F75D61">
              <w:rPr>
                <w:rFonts w:ascii="Verdana" w:hAnsi="Verdana"/>
                <w:sz w:val="16"/>
                <w:szCs w:val="16"/>
                <w:lang w:val="en-US"/>
              </w:rPr>
              <w:t xml:space="preserve"> to achieve the cooling operation specified by the manufacturer and the monitoring system, no failure is detected (because the resulting increase in emissions does not reach </w:t>
            </w:r>
            <w:r w:rsidR="002D78B5" w:rsidRPr="00F75D61">
              <w:rPr>
                <w:rFonts w:ascii="Verdana" w:hAnsi="Verdana"/>
                <w:sz w:val="16"/>
                <w:szCs w:val="16"/>
                <w:lang w:val="en-US"/>
              </w:rPr>
              <w:t>SDB/OBD</w:t>
            </w:r>
            <w:r w:rsidRPr="00F75D61">
              <w:rPr>
                <w:rFonts w:ascii="Verdana" w:hAnsi="Verdana"/>
                <w:sz w:val="16"/>
                <w:szCs w:val="16"/>
                <w:lang w:val="en-US"/>
              </w:rPr>
              <w:t xml:space="preserve"> limits for any contaminant), the </w:t>
            </w:r>
            <w:r w:rsidR="002D78B5" w:rsidRPr="00F75D61">
              <w:rPr>
                <w:rFonts w:ascii="Verdana" w:hAnsi="Verdana"/>
                <w:sz w:val="16"/>
                <w:szCs w:val="16"/>
                <w:lang w:val="en-US"/>
              </w:rPr>
              <w:t>SDB/OBD</w:t>
            </w:r>
            <w:r w:rsidRPr="00F75D61">
              <w:rPr>
                <w:rFonts w:ascii="Verdana" w:hAnsi="Verdana"/>
                <w:sz w:val="16"/>
                <w:szCs w:val="16"/>
                <w:lang w:val="en-US"/>
              </w:rPr>
              <w:t xml:space="preserve"> system will detect a malfunction when the system does not have any detectable amount of </w:t>
            </w:r>
            <w:r w:rsidR="00F75D61">
              <w:rPr>
                <w:rFonts w:ascii="Verdana" w:hAnsi="Verdana"/>
                <w:sz w:val="16"/>
                <w:szCs w:val="16"/>
                <w:lang w:val="en-US"/>
              </w:rPr>
              <w:t>SRG/EGR</w:t>
            </w:r>
            <w:r w:rsidRPr="00F75D61">
              <w:rPr>
                <w:rFonts w:ascii="Verdana" w:hAnsi="Verdana"/>
                <w:sz w:val="16"/>
                <w:szCs w:val="16"/>
                <w:lang w:val="en-US"/>
              </w:rPr>
              <w:t xml:space="preserve"> refrigerant.</w:t>
            </w:r>
            <w:r w:rsidRPr="00F75D61">
              <w:rPr>
                <w:lang w:val="en-US"/>
              </w:rPr>
              <w:t xml:space="preserve"> </w:t>
            </w:r>
          </w:p>
        </w:tc>
      </w:tr>
      <w:tr w:rsidR="008A0760" w:rsidRPr="00743A20" w14:paraId="74D102F5" w14:textId="77777777" w:rsidTr="00F75D61">
        <w:tc>
          <w:tcPr>
            <w:tcW w:w="4788" w:type="dxa"/>
            <w:shd w:val="clear" w:color="auto" w:fill="auto"/>
          </w:tcPr>
          <w:p w14:paraId="6CFAC96C" w14:textId="77777777" w:rsidR="008A0760" w:rsidRPr="00A57824" w:rsidRDefault="008A0760" w:rsidP="00A57824">
            <w:pPr>
              <w:pStyle w:val="Texto"/>
              <w:spacing w:line="231" w:lineRule="exact"/>
              <w:ind w:firstLine="0"/>
              <w:rPr>
                <w:rFonts w:ascii="Verdana" w:hAnsi="Verdana"/>
                <w:sz w:val="16"/>
                <w:szCs w:val="16"/>
                <w:lang w:val="es-ES_tradnl"/>
              </w:rPr>
            </w:pPr>
            <w:r w:rsidRPr="00A57824">
              <w:rPr>
                <w:rFonts w:ascii="Verdana" w:hAnsi="Verdana"/>
                <w:b/>
                <w:sz w:val="16"/>
                <w:szCs w:val="16"/>
                <w:lang w:val="es-ES_tradnl"/>
              </w:rPr>
              <w:t>A.7.1.3.7.</w:t>
            </w:r>
            <w:r w:rsidRPr="00A57824">
              <w:rPr>
                <w:rFonts w:ascii="Verdana" w:hAnsi="Verdana"/>
                <w:sz w:val="16"/>
                <w:szCs w:val="16"/>
                <w:lang w:val="es-ES_tradnl"/>
              </w:rPr>
              <w:t xml:space="preserve"> Monitoreo del Sistema de Inyección de Combustible.</w:t>
            </w:r>
          </w:p>
        </w:tc>
        <w:tc>
          <w:tcPr>
            <w:tcW w:w="4788" w:type="dxa"/>
            <w:shd w:val="clear" w:color="auto" w:fill="auto"/>
          </w:tcPr>
          <w:p w14:paraId="6C0E1F3B"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A.7.1.3.7.</w:t>
            </w:r>
            <w:r w:rsidRPr="00F75D61">
              <w:rPr>
                <w:lang w:val="en-US"/>
              </w:rPr>
              <w:t xml:space="preserve"> </w:t>
            </w:r>
            <w:r w:rsidRPr="00F75D61">
              <w:rPr>
                <w:rFonts w:ascii="Verdana" w:hAnsi="Verdana"/>
                <w:sz w:val="16"/>
                <w:szCs w:val="16"/>
                <w:lang w:val="en-US"/>
              </w:rPr>
              <w:t>Monitoring of the Fuel Injection System.</w:t>
            </w:r>
            <w:r w:rsidRPr="00F75D61">
              <w:rPr>
                <w:lang w:val="en-US"/>
              </w:rPr>
              <w:t xml:space="preserve"> </w:t>
            </w:r>
          </w:p>
        </w:tc>
      </w:tr>
      <w:tr w:rsidR="008A0760" w:rsidRPr="00743A20" w14:paraId="6F816278" w14:textId="77777777" w:rsidTr="00F75D61">
        <w:tc>
          <w:tcPr>
            <w:tcW w:w="4788" w:type="dxa"/>
            <w:shd w:val="clear" w:color="auto" w:fill="auto"/>
          </w:tcPr>
          <w:p w14:paraId="116B59D5" w14:textId="77777777" w:rsidR="008A0760" w:rsidRPr="00A57824" w:rsidRDefault="008A0760" w:rsidP="00A57824">
            <w:pPr>
              <w:pStyle w:val="Texto"/>
              <w:spacing w:line="231" w:lineRule="exact"/>
              <w:ind w:firstLine="0"/>
              <w:rPr>
                <w:rFonts w:ascii="Verdana" w:hAnsi="Verdana"/>
                <w:sz w:val="16"/>
                <w:szCs w:val="16"/>
                <w:lang w:val="es-ES_tradnl"/>
              </w:rPr>
            </w:pPr>
            <w:r w:rsidRPr="00A57824">
              <w:rPr>
                <w:rFonts w:ascii="Verdana" w:hAnsi="Verdana"/>
                <w:sz w:val="16"/>
                <w:szCs w:val="16"/>
                <w:lang w:val="es-ES_tradnl"/>
              </w:rPr>
              <w:t>El sistema SDB/OBD debe monitorear el desempeño de los siguientes elementos del sistema de combustible:</w:t>
            </w:r>
          </w:p>
        </w:tc>
        <w:tc>
          <w:tcPr>
            <w:tcW w:w="4788" w:type="dxa"/>
            <w:shd w:val="clear" w:color="auto" w:fill="auto"/>
          </w:tcPr>
          <w:p w14:paraId="5E61F859" w14:textId="77777777" w:rsidR="008A0760" w:rsidRPr="00F75D61" w:rsidRDefault="008A0760" w:rsidP="00A57824">
            <w:pPr>
              <w:spacing w:after="101" w:line="231"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performance of the following elements of the fuel system:</w:t>
            </w:r>
            <w:r w:rsidRPr="00F75D61">
              <w:rPr>
                <w:lang w:val="en-US"/>
              </w:rPr>
              <w:t xml:space="preserve"> </w:t>
            </w:r>
          </w:p>
        </w:tc>
      </w:tr>
      <w:tr w:rsidR="008A0760" w:rsidRPr="00743A20" w14:paraId="15FEDB81" w14:textId="77777777" w:rsidTr="00F75D61">
        <w:tc>
          <w:tcPr>
            <w:tcW w:w="4788" w:type="dxa"/>
            <w:shd w:val="clear" w:color="auto" w:fill="auto"/>
          </w:tcPr>
          <w:p w14:paraId="51AB8443"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La presión del sistema y la capacidad del sistema para alcanzar la presión deseada en control en lazo cerrado, y</w:t>
            </w:r>
          </w:p>
        </w:tc>
        <w:tc>
          <w:tcPr>
            <w:tcW w:w="4788" w:type="dxa"/>
            <w:shd w:val="clear" w:color="auto" w:fill="auto"/>
          </w:tcPr>
          <w:p w14:paraId="3BFDE31E" w14:textId="77777777" w:rsidR="008A0760" w:rsidRPr="00F75D61" w:rsidRDefault="00F75D61" w:rsidP="00A57824">
            <w:pPr>
              <w:spacing w:after="101" w:line="231" w:lineRule="atLeast"/>
              <w:jc w:val="both"/>
              <w:rPr>
                <w:lang w:val="en-US"/>
              </w:rPr>
            </w:pPr>
            <w:r>
              <w:rPr>
                <w:rFonts w:ascii="Verdana" w:hAnsi="Verdana"/>
                <w:b/>
                <w:bCs/>
                <w:sz w:val="16"/>
                <w:szCs w:val="16"/>
                <w:lang w:val="en-US"/>
              </w:rPr>
              <w:t>a</w:t>
            </w:r>
            <w:r w:rsidR="008A0760" w:rsidRPr="00F75D61">
              <w:rPr>
                <w:rFonts w:ascii="Verdana" w:hAnsi="Verdana"/>
                <w:b/>
                <w:bCs/>
                <w:sz w:val="16"/>
                <w:szCs w:val="16"/>
                <w:lang w:val="en-US"/>
              </w:rPr>
              <w:t>.</w:t>
            </w:r>
            <w:r w:rsidR="008A0760" w:rsidRPr="00F75D61">
              <w:rPr>
                <w:lang w:val="en-US"/>
              </w:rPr>
              <w:t xml:space="preserve"> </w:t>
            </w:r>
            <w:r w:rsidR="008A0760" w:rsidRPr="00F75D61">
              <w:rPr>
                <w:rFonts w:ascii="Verdana" w:hAnsi="Verdana"/>
                <w:sz w:val="16"/>
                <w:szCs w:val="16"/>
                <w:lang w:val="en-US"/>
              </w:rPr>
              <w:t>              The pressure of the system and the ability of the system to achieve the desired pressure in closed-loop control, and</w:t>
            </w:r>
            <w:r w:rsidR="008A0760" w:rsidRPr="00F75D61">
              <w:rPr>
                <w:lang w:val="en-US"/>
              </w:rPr>
              <w:t xml:space="preserve"> </w:t>
            </w:r>
          </w:p>
        </w:tc>
      </w:tr>
      <w:tr w:rsidR="008A0760" w:rsidRPr="00743A20" w14:paraId="71072246" w14:textId="77777777" w:rsidTr="00F75D61">
        <w:tc>
          <w:tcPr>
            <w:tcW w:w="4788" w:type="dxa"/>
            <w:shd w:val="clear" w:color="auto" w:fill="auto"/>
          </w:tcPr>
          <w:p w14:paraId="6D37A307"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El temporizado de inyección y la capacidad para alcanzar el tiempo de inyección deseado.</w:t>
            </w:r>
          </w:p>
        </w:tc>
        <w:tc>
          <w:tcPr>
            <w:tcW w:w="4788" w:type="dxa"/>
            <w:shd w:val="clear" w:color="auto" w:fill="auto"/>
          </w:tcPr>
          <w:p w14:paraId="0A76221B"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b.</w:t>
            </w:r>
            <w:r w:rsidRPr="00F75D61">
              <w:rPr>
                <w:lang w:val="en-US"/>
              </w:rPr>
              <w:t xml:space="preserve"> </w:t>
            </w:r>
            <w:r w:rsidRPr="00F75D61">
              <w:rPr>
                <w:rFonts w:ascii="Verdana" w:hAnsi="Verdana"/>
                <w:sz w:val="16"/>
                <w:szCs w:val="16"/>
                <w:lang w:val="en-US"/>
              </w:rPr>
              <w:t>              The timing of injection and the ability to achieve the desired injection time.</w:t>
            </w:r>
            <w:r w:rsidRPr="00F75D61">
              <w:rPr>
                <w:lang w:val="en-US"/>
              </w:rPr>
              <w:t xml:space="preserve"> </w:t>
            </w:r>
          </w:p>
        </w:tc>
      </w:tr>
      <w:tr w:rsidR="008A0760" w:rsidRPr="00743A20" w14:paraId="66081A19" w14:textId="77777777" w:rsidTr="00F75D61">
        <w:tc>
          <w:tcPr>
            <w:tcW w:w="4788" w:type="dxa"/>
            <w:shd w:val="clear" w:color="auto" w:fill="auto"/>
          </w:tcPr>
          <w:p w14:paraId="39BAC7AC" w14:textId="77777777" w:rsidR="008A0760" w:rsidRPr="00A57824" w:rsidRDefault="008A0760" w:rsidP="00A57824">
            <w:pPr>
              <w:pStyle w:val="Texto"/>
              <w:spacing w:line="231" w:lineRule="exact"/>
              <w:ind w:firstLine="0"/>
              <w:rPr>
                <w:rFonts w:ascii="Verdana" w:hAnsi="Verdana"/>
                <w:sz w:val="16"/>
                <w:szCs w:val="16"/>
                <w:lang w:val="es-ES_tradnl"/>
              </w:rPr>
            </w:pPr>
            <w:r w:rsidRPr="00A57824">
              <w:rPr>
                <w:rFonts w:ascii="Verdana" w:hAnsi="Verdana"/>
                <w:b/>
                <w:sz w:val="16"/>
                <w:szCs w:val="16"/>
                <w:lang w:val="es-ES_tradnl"/>
              </w:rPr>
              <w:t>A.7.1.3.8.</w:t>
            </w:r>
            <w:r w:rsidRPr="00A57824">
              <w:rPr>
                <w:rFonts w:ascii="Verdana" w:hAnsi="Verdana"/>
                <w:sz w:val="16"/>
                <w:szCs w:val="16"/>
                <w:lang w:val="es-ES_tradnl"/>
              </w:rPr>
              <w:t xml:space="preserve"> Monitoreo del manejo de la sobrealimentación de Aire/turbo-compresor.</w:t>
            </w:r>
          </w:p>
        </w:tc>
        <w:tc>
          <w:tcPr>
            <w:tcW w:w="4788" w:type="dxa"/>
            <w:shd w:val="clear" w:color="auto" w:fill="auto"/>
          </w:tcPr>
          <w:p w14:paraId="4D8AEF38"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A.7.1.3.8.</w:t>
            </w:r>
            <w:r w:rsidRPr="00F75D61">
              <w:rPr>
                <w:lang w:val="en-US"/>
              </w:rPr>
              <w:t xml:space="preserve"> </w:t>
            </w:r>
            <w:r w:rsidRPr="00F75D61">
              <w:rPr>
                <w:rFonts w:ascii="Verdana" w:hAnsi="Verdana"/>
                <w:sz w:val="16"/>
                <w:szCs w:val="16"/>
                <w:lang w:val="en-US"/>
              </w:rPr>
              <w:t>Monitoring of the air</w:t>
            </w:r>
            <w:r w:rsidRPr="00F75D61">
              <w:rPr>
                <w:lang w:val="en-US"/>
              </w:rPr>
              <w:t xml:space="preserve"> </w:t>
            </w:r>
            <w:r w:rsidRPr="00F75D61">
              <w:rPr>
                <w:rFonts w:ascii="Verdana" w:hAnsi="Verdana"/>
                <w:sz w:val="16"/>
                <w:szCs w:val="16"/>
                <w:lang w:val="en-US"/>
              </w:rPr>
              <w:t>turbocharger</w:t>
            </w:r>
            <w:r w:rsidRPr="00F75D61">
              <w:rPr>
                <w:lang w:val="en-US"/>
              </w:rPr>
              <w:t xml:space="preserve"> </w:t>
            </w:r>
            <w:r w:rsidRPr="00F75D61">
              <w:rPr>
                <w:rFonts w:ascii="Verdana" w:hAnsi="Verdana"/>
                <w:sz w:val="16"/>
                <w:szCs w:val="16"/>
                <w:lang w:val="en-US"/>
              </w:rPr>
              <w:t>/</w:t>
            </w:r>
            <w:r w:rsidRPr="00F75D61">
              <w:rPr>
                <w:lang w:val="en-US"/>
              </w:rPr>
              <w:t xml:space="preserve"> </w:t>
            </w:r>
            <w:r w:rsidRPr="00F75D61">
              <w:rPr>
                <w:rFonts w:ascii="Verdana" w:hAnsi="Verdana"/>
                <w:sz w:val="16"/>
                <w:szCs w:val="16"/>
                <w:lang w:val="en-US"/>
              </w:rPr>
              <w:t>turbocharger</w:t>
            </w:r>
            <w:r w:rsidRPr="00F75D61">
              <w:rPr>
                <w:lang w:val="en-US"/>
              </w:rPr>
              <w:t xml:space="preserve"> </w:t>
            </w:r>
            <w:r w:rsidRPr="00F75D61">
              <w:rPr>
                <w:rFonts w:ascii="Verdana" w:hAnsi="Verdana"/>
                <w:sz w:val="16"/>
                <w:szCs w:val="16"/>
                <w:lang w:val="en-US"/>
              </w:rPr>
              <w:t>handling.</w:t>
            </w:r>
            <w:r w:rsidRPr="00F75D61">
              <w:rPr>
                <w:lang w:val="en-US"/>
              </w:rPr>
              <w:t xml:space="preserve"> </w:t>
            </w:r>
          </w:p>
        </w:tc>
      </w:tr>
      <w:tr w:rsidR="008A0760" w:rsidRPr="00743A20" w14:paraId="07F891A7" w14:textId="77777777" w:rsidTr="00F75D61">
        <w:tc>
          <w:tcPr>
            <w:tcW w:w="4788" w:type="dxa"/>
            <w:shd w:val="clear" w:color="auto" w:fill="auto"/>
          </w:tcPr>
          <w:p w14:paraId="5FDE1A5B" w14:textId="77777777" w:rsidR="008A0760" w:rsidRPr="00A57824" w:rsidRDefault="008A0760" w:rsidP="00A57824">
            <w:pPr>
              <w:pStyle w:val="Texto"/>
              <w:spacing w:line="231" w:lineRule="exact"/>
              <w:ind w:firstLine="0"/>
              <w:rPr>
                <w:rFonts w:ascii="Verdana" w:hAnsi="Verdana"/>
                <w:sz w:val="16"/>
                <w:szCs w:val="16"/>
                <w:lang w:val="es-ES_tradnl"/>
              </w:rPr>
            </w:pPr>
            <w:r w:rsidRPr="00A57824">
              <w:rPr>
                <w:rFonts w:ascii="Verdana" w:hAnsi="Verdana"/>
                <w:sz w:val="16"/>
                <w:szCs w:val="16"/>
                <w:lang w:val="es-ES_tradnl"/>
              </w:rPr>
              <w:t>El sistema SDB/OBD debe monitorear el desempeño de los siguientes elementos del sistema de manejo de sobrealimentación de aire/turbo-compresor:</w:t>
            </w:r>
          </w:p>
        </w:tc>
        <w:tc>
          <w:tcPr>
            <w:tcW w:w="4788" w:type="dxa"/>
            <w:shd w:val="clear" w:color="auto" w:fill="auto"/>
          </w:tcPr>
          <w:p w14:paraId="66A5F6C3" w14:textId="77777777" w:rsidR="008A0760" w:rsidRPr="00F75D61" w:rsidRDefault="008A0760" w:rsidP="00A57824">
            <w:pPr>
              <w:spacing w:after="101" w:line="231"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performance of the following elements of the air</w:t>
            </w:r>
            <w:r w:rsidRPr="00F75D61">
              <w:rPr>
                <w:lang w:val="en-US"/>
              </w:rPr>
              <w:t xml:space="preserve"> </w:t>
            </w:r>
            <w:r w:rsidRPr="00F75D61">
              <w:rPr>
                <w:rFonts w:ascii="Verdana" w:hAnsi="Verdana"/>
                <w:sz w:val="16"/>
                <w:szCs w:val="16"/>
                <w:lang w:val="en-US"/>
              </w:rPr>
              <w:t>turbocharger</w:t>
            </w:r>
            <w:r w:rsidRPr="00F75D61">
              <w:rPr>
                <w:lang w:val="en-US"/>
              </w:rPr>
              <w:t xml:space="preserve"> </w:t>
            </w:r>
            <w:r w:rsidRPr="00F75D61">
              <w:rPr>
                <w:rFonts w:ascii="Verdana" w:hAnsi="Verdana"/>
                <w:sz w:val="16"/>
                <w:szCs w:val="16"/>
                <w:lang w:val="en-US"/>
              </w:rPr>
              <w:t>/</w:t>
            </w:r>
            <w:r w:rsidRPr="00F75D61">
              <w:rPr>
                <w:lang w:val="en-US"/>
              </w:rPr>
              <w:t xml:space="preserve"> </w:t>
            </w:r>
            <w:r w:rsidRPr="00F75D61">
              <w:rPr>
                <w:rFonts w:ascii="Verdana" w:hAnsi="Verdana"/>
                <w:sz w:val="16"/>
                <w:szCs w:val="16"/>
                <w:lang w:val="en-US"/>
              </w:rPr>
              <w:t>turbocharger</w:t>
            </w:r>
            <w:r w:rsidRPr="00F75D61">
              <w:rPr>
                <w:lang w:val="en-US"/>
              </w:rPr>
              <w:t xml:space="preserve"> </w:t>
            </w:r>
            <w:r w:rsidRPr="00F75D61">
              <w:rPr>
                <w:rFonts w:ascii="Verdana" w:hAnsi="Verdana"/>
                <w:sz w:val="16"/>
                <w:szCs w:val="16"/>
                <w:lang w:val="en-US"/>
              </w:rPr>
              <w:t>handling system:</w:t>
            </w:r>
            <w:r w:rsidRPr="00F75D61">
              <w:rPr>
                <w:lang w:val="en-US"/>
              </w:rPr>
              <w:t xml:space="preserve"> </w:t>
            </w:r>
          </w:p>
        </w:tc>
      </w:tr>
      <w:tr w:rsidR="008A0760" w:rsidRPr="00743A20" w14:paraId="48A33837" w14:textId="77777777" w:rsidTr="00F75D61">
        <w:tc>
          <w:tcPr>
            <w:tcW w:w="4788" w:type="dxa"/>
            <w:shd w:val="clear" w:color="auto" w:fill="auto"/>
          </w:tcPr>
          <w:p w14:paraId="65F85BFA"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b/>
                <w:sz w:val="16"/>
                <w:szCs w:val="16"/>
                <w:lang w:val="es-ES_tradnl"/>
              </w:rPr>
              <w:tab/>
            </w:r>
            <w:r w:rsidRPr="00A57824">
              <w:rPr>
                <w:rFonts w:ascii="Verdana" w:hAnsi="Verdana"/>
                <w:sz w:val="16"/>
                <w:szCs w:val="16"/>
                <w:lang w:val="es-ES_tradnl"/>
              </w:rPr>
              <w:t>La capacidad de mantener el incremento en la presión de aire de sobrealimentación deseada y las condiciones a muy baja y muy alta presión, además de monitorear su efecto con respecto a los límites de emisión del SDB/OBD, establecidos en la Tabla A.1 o en la Tabla A.2, en caso de que la certificación sea vía dinamómetro de chasis;</w:t>
            </w:r>
          </w:p>
        </w:tc>
        <w:tc>
          <w:tcPr>
            <w:tcW w:w="4788" w:type="dxa"/>
            <w:shd w:val="clear" w:color="auto" w:fill="auto"/>
          </w:tcPr>
          <w:p w14:paraId="03ED7B63" w14:textId="77777777" w:rsidR="008A0760" w:rsidRPr="00F75D61" w:rsidRDefault="00F75D61" w:rsidP="00A57824">
            <w:pPr>
              <w:spacing w:after="101" w:line="231" w:lineRule="atLeast"/>
              <w:jc w:val="both"/>
              <w:rPr>
                <w:lang w:val="en-US"/>
              </w:rPr>
            </w:pPr>
            <w:r>
              <w:rPr>
                <w:rFonts w:ascii="Verdana" w:hAnsi="Verdana"/>
                <w:b/>
                <w:bCs/>
                <w:sz w:val="16"/>
                <w:szCs w:val="16"/>
                <w:lang w:val="en-US"/>
              </w:rPr>
              <w:t>a</w:t>
            </w:r>
            <w:r w:rsidR="008A0760" w:rsidRPr="00F75D61">
              <w:rPr>
                <w:rFonts w:ascii="Verdana" w:hAnsi="Verdana"/>
                <w:b/>
                <w:bCs/>
                <w:sz w:val="16"/>
                <w:szCs w:val="16"/>
                <w:lang w:val="en-US"/>
              </w:rPr>
              <w:t>.</w:t>
            </w:r>
            <w:r w:rsidR="008A0760" w:rsidRPr="00F75D61">
              <w:rPr>
                <w:lang w:val="en-US"/>
              </w:rPr>
              <w:t xml:space="preserve"> </w:t>
            </w:r>
            <w:r w:rsidR="008A0760" w:rsidRPr="00F75D61">
              <w:rPr>
                <w:rFonts w:ascii="Verdana" w:hAnsi="Verdana"/>
                <w:b/>
                <w:bCs/>
                <w:sz w:val="16"/>
                <w:szCs w:val="16"/>
                <w:lang w:val="en-US"/>
              </w:rPr>
              <w:t xml:space="preserve">              </w:t>
            </w:r>
            <w:r w:rsidR="008A0760" w:rsidRPr="00F75D61">
              <w:rPr>
                <w:rFonts w:ascii="Verdana" w:hAnsi="Verdana"/>
                <w:sz w:val="16"/>
                <w:szCs w:val="16"/>
                <w:lang w:val="en-US"/>
              </w:rPr>
              <w:t xml:space="preserve">The ability to maintain the increase in the desired supercharging air pressure and the conditions at very low and very high pressure, in addition to monitoring its effect with respect to the emission limits of the </w:t>
            </w:r>
            <w:r w:rsidR="002D78B5" w:rsidRPr="00F75D61">
              <w:rPr>
                <w:rFonts w:ascii="Verdana" w:hAnsi="Verdana"/>
                <w:sz w:val="16"/>
                <w:szCs w:val="16"/>
                <w:lang w:val="en-US"/>
              </w:rPr>
              <w:t>SDB/OBD</w:t>
            </w:r>
            <w:r w:rsidR="008A0760" w:rsidRPr="00F75D61">
              <w:rPr>
                <w:rFonts w:ascii="Verdana" w:hAnsi="Verdana"/>
                <w:sz w:val="16"/>
                <w:szCs w:val="16"/>
                <w:lang w:val="en-US"/>
              </w:rPr>
              <w:t>, established in Table A.1 or in Table A.2, in case the certification is via a chassis dynamometer;</w:t>
            </w:r>
            <w:r w:rsidR="008A0760" w:rsidRPr="00F75D61">
              <w:rPr>
                <w:lang w:val="en-US"/>
              </w:rPr>
              <w:t xml:space="preserve"> </w:t>
            </w:r>
          </w:p>
        </w:tc>
      </w:tr>
      <w:tr w:rsidR="008A0760" w:rsidRPr="00743A20" w14:paraId="0CB3AD34" w14:textId="77777777" w:rsidTr="00F75D61">
        <w:tc>
          <w:tcPr>
            <w:tcW w:w="4788" w:type="dxa"/>
            <w:shd w:val="clear" w:color="auto" w:fill="auto"/>
          </w:tcPr>
          <w:p w14:paraId="38B0791D"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b/>
                <w:sz w:val="16"/>
                <w:szCs w:val="16"/>
                <w:lang w:val="es-ES_tradnl"/>
              </w:rPr>
              <w:tab/>
            </w:r>
            <w:r w:rsidRPr="00A57824">
              <w:rPr>
                <w:rFonts w:ascii="Verdana" w:hAnsi="Verdana"/>
                <w:sz w:val="16"/>
                <w:szCs w:val="16"/>
                <w:lang w:val="es-ES_tradnl"/>
              </w:rPr>
              <w:t>El tiempo de respuesta mínimo para alcanzar una geometría determinada del turbo-compresor de geometría variable, en comparación con el tiempo de respuesta especificado por el fabricante;</w:t>
            </w:r>
          </w:p>
        </w:tc>
        <w:tc>
          <w:tcPr>
            <w:tcW w:w="4788" w:type="dxa"/>
            <w:shd w:val="clear" w:color="auto" w:fill="auto"/>
          </w:tcPr>
          <w:p w14:paraId="65230CEC"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b.</w:t>
            </w:r>
            <w:r w:rsidRPr="00F75D61">
              <w:rPr>
                <w:lang w:val="en-US"/>
              </w:rPr>
              <w:t xml:space="preserve"> </w:t>
            </w:r>
            <w:r w:rsidRPr="00F75D61">
              <w:rPr>
                <w:rFonts w:ascii="Verdana" w:hAnsi="Verdana"/>
                <w:b/>
                <w:bCs/>
                <w:sz w:val="16"/>
                <w:szCs w:val="16"/>
                <w:lang w:val="en-US"/>
              </w:rPr>
              <w:t xml:space="preserve">              </w:t>
            </w:r>
            <w:r w:rsidRPr="00F75D61">
              <w:rPr>
                <w:rFonts w:ascii="Verdana" w:hAnsi="Verdana"/>
                <w:sz w:val="16"/>
                <w:szCs w:val="16"/>
                <w:lang w:val="en-US"/>
              </w:rPr>
              <w:t>The minimum response time to reach a certain geometry</w:t>
            </w:r>
            <w:r w:rsidRPr="00F75D61">
              <w:rPr>
                <w:lang w:val="en-US"/>
              </w:rPr>
              <w:t xml:space="preserve"> </w:t>
            </w:r>
            <w:r w:rsidRPr="00F75D61">
              <w:rPr>
                <w:rFonts w:ascii="Verdana" w:hAnsi="Verdana"/>
                <w:sz w:val="16"/>
                <w:szCs w:val="16"/>
                <w:lang w:val="en-US"/>
              </w:rPr>
              <w:t>of the variable geometry</w:t>
            </w:r>
            <w:r w:rsidRPr="00F75D61">
              <w:rPr>
                <w:lang w:val="en-US"/>
              </w:rPr>
              <w:t xml:space="preserve"> </w:t>
            </w:r>
            <w:r w:rsidRPr="00F75D61">
              <w:rPr>
                <w:rFonts w:ascii="Verdana" w:hAnsi="Verdana"/>
                <w:sz w:val="16"/>
                <w:szCs w:val="16"/>
                <w:lang w:val="en-US"/>
              </w:rPr>
              <w:t>turbo compressor, compared to the response time specified by the manufacturer;</w:t>
            </w:r>
            <w:r w:rsidRPr="00F75D61">
              <w:rPr>
                <w:lang w:val="en-US"/>
              </w:rPr>
              <w:t xml:space="preserve"> </w:t>
            </w:r>
          </w:p>
        </w:tc>
      </w:tr>
      <w:tr w:rsidR="008A0760" w:rsidRPr="00743A20" w14:paraId="4F161AD1" w14:textId="77777777" w:rsidTr="00F75D61">
        <w:tc>
          <w:tcPr>
            <w:tcW w:w="4788" w:type="dxa"/>
            <w:shd w:val="clear" w:color="auto" w:fill="auto"/>
          </w:tcPr>
          <w:p w14:paraId="640853D8"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b/>
                <w:sz w:val="16"/>
                <w:szCs w:val="16"/>
                <w:lang w:val="es-ES_tradnl"/>
              </w:rPr>
              <w:tab/>
            </w:r>
            <w:r w:rsidRPr="00A57824">
              <w:rPr>
                <w:rFonts w:ascii="Verdana" w:hAnsi="Verdana"/>
                <w:sz w:val="16"/>
                <w:szCs w:val="16"/>
                <w:lang w:val="es-ES_tradnl"/>
              </w:rPr>
              <w:t>La eficiencia del sistema de enfriamiento del turbo-compresor y monitorear la falla total;</w:t>
            </w:r>
          </w:p>
        </w:tc>
        <w:tc>
          <w:tcPr>
            <w:tcW w:w="4788" w:type="dxa"/>
            <w:shd w:val="clear" w:color="auto" w:fill="auto"/>
          </w:tcPr>
          <w:p w14:paraId="2E8568E6"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t>c.</w:t>
            </w:r>
            <w:r w:rsidRPr="00F75D61">
              <w:rPr>
                <w:lang w:val="en-US"/>
              </w:rPr>
              <w:t xml:space="preserve"> </w:t>
            </w:r>
            <w:r w:rsidRPr="00F75D61">
              <w:rPr>
                <w:rFonts w:ascii="Verdana" w:hAnsi="Verdana"/>
                <w:b/>
                <w:bCs/>
                <w:sz w:val="16"/>
                <w:szCs w:val="16"/>
                <w:lang w:val="en-US"/>
              </w:rPr>
              <w:t xml:space="preserve">              </w:t>
            </w:r>
            <w:r w:rsidRPr="00F75D61">
              <w:rPr>
                <w:rFonts w:ascii="Verdana" w:hAnsi="Verdana"/>
                <w:sz w:val="16"/>
                <w:szCs w:val="16"/>
                <w:lang w:val="en-US"/>
              </w:rPr>
              <w:t>The efficiency of the cooling system of the</w:t>
            </w:r>
            <w:r w:rsidRPr="00F75D61">
              <w:rPr>
                <w:lang w:val="en-US"/>
              </w:rPr>
              <w:t xml:space="preserve"> </w:t>
            </w:r>
            <w:r w:rsidRPr="00F75D61">
              <w:rPr>
                <w:rFonts w:ascii="Verdana" w:hAnsi="Verdana"/>
                <w:sz w:val="16"/>
                <w:szCs w:val="16"/>
                <w:lang w:val="en-US"/>
              </w:rPr>
              <w:t>turbo-compressor</w:t>
            </w:r>
            <w:r w:rsidRPr="00F75D61">
              <w:rPr>
                <w:lang w:val="en-US"/>
              </w:rPr>
              <w:t xml:space="preserve"> </w:t>
            </w:r>
            <w:r w:rsidRPr="00F75D61">
              <w:rPr>
                <w:rFonts w:ascii="Verdana" w:hAnsi="Verdana"/>
                <w:sz w:val="16"/>
                <w:szCs w:val="16"/>
                <w:lang w:val="en-US"/>
              </w:rPr>
              <w:t>and monitor the total failure;</w:t>
            </w:r>
            <w:r w:rsidRPr="00F75D61">
              <w:rPr>
                <w:lang w:val="en-US"/>
              </w:rPr>
              <w:t xml:space="preserve"> </w:t>
            </w:r>
          </w:p>
        </w:tc>
      </w:tr>
      <w:tr w:rsidR="008A0760" w:rsidRPr="00743A20" w14:paraId="0E5B966E" w14:textId="77777777" w:rsidTr="00F75D61">
        <w:tc>
          <w:tcPr>
            <w:tcW w:w="4788" w:type="dxa"/>
            <w:shd w:val="clear" w:color="auto" w:fill="auto"/>
          </w:tcPr>
          <w:p w14:paraId="1E0FA6E9" w14:textId="77777777" w:rsidR="008A0760" w:rsidRPr="00A57824" w:rsidRDefault="008A0760" w:rsidP="00A57824">
            <w:pPr>
              <w:pStyle w:val="ROMANOS"/>
              <w:spacing w:line="231" w:lineRule="exact"/>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b/>
                <w:sz w:val="16"/>
                <w:szCs w:val="16"/>
                <w:lang w:val="es-ES_tradnl"/>
              </w:rPr>
              <w:tab/>
            </w:r>
            <w:r w:rsidRPr="00A57824">
              <w:rPr>
                <w:rFonts w:ascii="Verdana" w:hAnsi="Verdana"/>
                <w:sz w:val="16"/>
                <w:szCs w:val="16"/>
                <w:lang w:val="es-ES_tradnl"/>
              </w:rPr>
              <w:t xml:space="preserve">En caso de que las emisiones no superen los límites SDB/OBD, aun cuando se haya producido una falla total de la capacidad del sistema de sobrealimentación para mantener la presión de sobrealimentación necesaria y el control de la presión </w:t>
            </w:r>
            <w:r w:rsidRPr="00A57824">
              <w:rPr>
                <w:rFonts w:ascii="Verdana" w:hAnsi="Verdana"/>
                <w:sz w:val="16"/>
                <w:szCs w:val="16"/>
                <w:lang w:val="es-ES_tradnl"/>
              </w:rPr>
              <w:lastRenderedPageBreak/>
              <w:t>de sobrealimentación se lleve a cabo mediante un sistema de bucle cerrado; en este caso el sistema SDB/OBD deberá detectar un mal funcionamiento cuando el sistema no pueda aumentar la presión para alcanzar la presión de sobrealimentación necesaria, y</w:t>
            </w:r>
          </w:p>
        </w:tc>
        <w:tc>
          <w:tcPr>
            <w:tcW w:w="4788" w:type="dxa"/>
            <w:shd w:val="clear" w:color="auto" w:fill="auto"/>
          </w:tcPr>
          <w:p w14:paraId="5982EA19" w14:textId="77777777" w:rsidR="008A0760" w:rsidRPr="00F75D61" w:rsidRDefault="008A0760" w:rsidP="00A57824">
            <w:pPr>
              <w:spacing w:after="101" w:line="231" w:lineRule="atLeast"/>
              <w:jc w:val="both"/>
              <w:rPr>
                <w:lang w:val="en-US"/>
              </w:rPr>
            </w:pPr>
            <w:r w:rsidRPr="00F75D61">
              <w:rPr>
                <w:rFonts w:ascii="Verdana" w:hAnsi="Verdana"/>
                <w:b/>
                <w:bCs/>
                <w:sz w:val="16"/>
                <w:szCs w:val="16"/>
                <w:lang w:val="en-US"/>
              </w:rPr>
              <w:lastRenderedPageBreak/>
              <w:t>d.</w:t>
            </w:r>
            <w:r w:rsidRPr="00F75D61">
              <w:rPr>
                <w:lang w:val="en-US"/>
              </w:rPr>
              <w:t xml:space="preserve"> </w:t>
            </w:r>
            <w:r w:rsidRPr="00F75D61">
              <w:rPr>
                <w:rFonts w:ascii="Verdana" w:hAnsi="Verdana"/>
                <w:b/>
                <w:bCs/>
                <w:sz w:val="16"/>
                <w:szCs w:val="16"/>
                <w:lang w:val="en-US"/>
              </w:rPr>
              <w:t xml:space="preserve">              </w:t>
            </w:r>
            <w:r w:rsidR="00F75D61">
              <w:rPr>
                <w:rFonts w:ascii="Verdana" w:hAnsi="Verdana"/>
                <w:sz w:val="16"/>
                <w:szCs w:val="16"/>
                <w:lang w:val="en-US"/>
              </w:rPr>
              <w:t>When</w:t>
            </w:r>
            <w:r w:rsidRPr="00F75D61">
              <w:rPr>
                <w:rFonts w:ascii="Verdana" w:hAnsi="Verdana"/>
                <w:sz w:val="16"/>
                <w:szCs w:val="16"/>
                <w:lang w:val="en-US"/>
              </w:rPr>
              <w:t xml:space="preserve"> the emissions do not exceed the </w:t>
            </w:r>
            <w:r w:rsidR="002D78B5" w:rsidRPr="00F75D61">
              <w:rPr>
                <w:rFonts w:ascii="Verdana" w:hAnsi="Verdana"/>
                <w:sz w:val="16"/>
                <w:szCs w:val="16"/>
                <w:lang w:val="en-US"/>
              </w:rPr>
              <w:t>SDB/OBD</w:t>
            </w:r>
            <w:r w:rsidRPr="00F75D61">
              <w:rPr>
                <w:rFonts w:ascii="Verdana" w:hAnsi="Verdana"/>
                <w:sz w:val="16"/>
                <w:szCs w:val="16"/>
                <w:lang w:val="en-US"/>
              </w:rPr>
              <w:t xml:space="preserve"> limits, even if there has been a total failure of the supercharging system capacity to maintain the necessary boost pressure and the boost pressure control is carried out by a closed loop system;</w:t>
            </w:r>
            <w:r w:rsidRPr="00F75D61">
              <w:rPr>
                <w:lang w:val="en-US"/>
              </w:rPr>
              <w:t xml:space="preserve"> </w:t>
            </w:r>
            <w:r w:rsidRPr="00F75D61">
              <w:rPr>
                <w:rFonts w:ascii="Verdana" w:hAnsi="Verdana"/>
                <w:sz w:val="16"/>
                <w:szCs w:val="16"/>
                <w:lang w:val="en-US"/>
              </w:rPr>
              <w:t xml:space="preserve">in this </w:t>
            </w:r>
            <w:r w:rsidRPr="00F75D61">
              <w:rPr>
                <w:rFonts w:ascii="Verdana" w:hAnsi="Verdana"/>
                <w:sz w:val="16"/>
                <w:szCs w:val="16"/>
                <w:lang w:val="en-US"/>
              </w:rPr>
              <w:lastRenderedPageBreak/>
              <w:t xml:space="preserve">case the </w:t>
            </w:r>
            <w:r w:rsidR="002D78B5" w:rsidRPr="00F75D61">
              <w:rPr>
                <w:rFonts w:ascii="Verdana" w:hAnsi="Verdana"/>
                <w:sz w:val="16"/>
                <w:szCs w:val="16"/>
                <w:lang w:val="en-US"/>
              </w:rPr>
              <w:t>SDB/OBD</w:t>
            </w:r>
            <w:r w:rsidRPr="00F75D61">
              <w:rPr>
                <w:rFonts w:ascii="Verdana" w:hAnsi="Verdana"/>
                <w:sz w:val="16"/>
                <w:szCs w:val="16"/>
                <w:lang w:val="en-US"/>
              </w:rPr>
              <w:t xml:space="preserve"> system should detect a malfunction when the system cannot increase the pressure to reach the necessary boost pressure, and</w:t>
            </w:r>
            <w:r w:rsidRPr="00F75D61">
              <w:rPr>
                <w:lang w:val="en-US"/>
              </w:rPr>
              <w:t xml:space="preserve"> </w:t>
            </w:r>
          </w:p>
        </w:tc>
      </w:tr>
      <w:tr w:rsidR="008A0760" w:rsidRPr="00743A20" w14:paraId="29A0D60C" w14:textId="77777777" w:rsidTr="00F75D61">
        <w:tc>
          <w:tcPr>
            <w:tcW w:w="4788" w:type="dxa"/>
            <w:shd w:val="clear" w:color="auto" w:fill="auto"/>
          </w:tcPr>
          <w:p w14:paraId="6AA6A92A" w14:textId="77777777" w:rsidR="008A0760" w:rsidRPr="00A57824" w:rsidRDefault="008A0760" w:rsidP="00A57824">
            <w:pPr>
              <w:pStyle w:val="ROMANOS"/>
              <w:spacing w:line="222" w:lineRule="exact"/>
              <w:ind w:left="0" w:firstLine="0"/>
              <w:rPr>
                <w:rFonts w:ascii="Verdana" w:hAnsi="Verdana"/>
                <w:sz w:val="16"/>
                <w:szCs w:val="16"/>
                <w:lang w:val="es-ES_tradnl"/>
              </w:rPr>
            </w:pPr>
            <w:r w:rsidRPr="00A57824">
              <w:rPr>
                <w:rFonts w:ascii="Verdana" w:hAnsi="Verdana"/>
                <w:b/>
                <w:sz w:val="16"/>
                <w:szCs w:val="16"/>
                <w:lang w:val="es-ES_tradnl"/>
              </w:rPr>
              <w:lastRenderedPageBreak/>
              <w:t>e.</w:t>
            </w:r>
            <w:r w:rsidRPr="00A57824">
              <w:rPr>
                <w:rFonts w:ascii="Verdana" w:hAnsi="Verdana"/>
                <w:sz w:val="16"/>
                <w:szCs w:val="16"/>
                <w:lang w:val="es-ES_tradnl"/>
              </w:rPr>
              <w:tab/>
              <w:t>En caso de que las emisiones no superen los límites SDB/OBD aun cuando se haya producido una falla total de la capacidad del sistema de sobrealimentación para mantener la presión de sobrealimentación necesaria y el control de la presión de sobrealimentación se lleve a cabo mediante un sistema de bucle abierto, el sistema SDB/OBD deberá detectar un mal funcionamiento, cuando el sistema no tenga una cantidad detectable de presión de sobrealimentación en el momento en que ésta se espera.</w:t>
            </w:r>
          </w:p>
        </w:tc>
        <w:tc>
          <w:tcPr>
            <w:tcW w:w="4788" w:type="dxa"/>
            <w:shd w:val="clear" w:color="auto" w:fill="auto"/>
          </w:tcPr>
          <w:p w14:paraId="16B49ABC" w14:textId="77777777" w:rsidR="008A0760" w:rsidRPr="00F75D61" w:rsidRDefault="00F75D61" w:rsidP="00A57824">
            <w:pPr>
              <w:spacing w:after="101" w:line="222" w:lineRule="atLeast"/>
              <w:jc w:val="both"/>
              <w:rPr>
                <w:lang w:val="en-US"/>
              </w:rPr>
            </w:pPr>
            <w:r>
              <w:rPr>
                <w:rFonts w:ascii="Verdana" w:hAnsi="Verdana"/>
                <w:b/>
                <w:bCs/>
                <w:sz w:val="16"/>
                <w:szCs w:val="16"/>
                <w:lang w:val="en-US"/>
              </w:rPr>
              <w:t>e</w:t>
            </w:r>
            <w:r w:rsidR="008A0760" w:rsidRPr="00F75D61">
              <w:rPr>
                <w:rFonts w:ascii="Verdana" w:hAnsi="Verdana"/>
                <w:b/>
                <w:bCs/>
                <w:sz w:val="16"/>
                <w:szCs w:val="16"/>
                <w:lang w:val="en-US"/>
              </w:rPr>
              <w:t>.</w:t>
            </w:r>
            <w:r w:rsidR="008A0760" w:rsidRPr="00F75D61">
              <w:rPr>
                <w:lang w:val="en-US"/>
              </w:rPr>
              <w:t xml:space="preserve"> </w:t>
            </w:r>
            <w:r w:rsidR="008A0760" w:rsidRPr="00F75D61">
              <w:rPr>
                <w:rFonts w:ascii="Verdana" w:hAnsi="Verdana"/>
                <w:sz w:val="16"/>
                <w:szCs w:val="16"/>
                <w:lang w:val="en-US"/>
              </w:rPr>
              <w:t xml:space="preserve">              </w:t>
            </w:r>
            <w:r>
              <w:rPr>
                <w:rFonts w:ascii="Verdana" w:hAnsi="Verdana"/>
                <w:sz w:val="16"/>
                <w:szCs w:val="16"/>
                <w:lang w:val="en-US"/>
              </w:rPr>
              <w:t>When</w:t>
            </w:r>
            <w:r w:rsidR="008A0760" w:rsidRPr="00F75D61">
              <w:rPr>
                <w:rFonts w:ascii="Verdana" w:hAnsi="Verdana"/>
                <w:sz w:val="16"/>
                <w:szCs w:val="16"/>
                <w:lang w:val="en-US"/>
              </w:rPr>
              <w:t xml:space="preserve"> the emissions do not exceed the </w:t>
            </w:r>
            <w:r w:rsidR="002D78B5" w:rsidRPr="00F75D61">
              <w:rPr>
                <w:rFonts w:ascii="Verdana" w:hAnsi="Verdana"/>
                <w:sz w:val="16"/>
                <w:szCs w:val="16"/>
                <w:lang w:val="en-US"/>
              </w:rPr>
              <w:t>SDB/OBD</w:t>
            </w:r>
            <w:r w:rsidR="008A0760" w:rsidRPr="00F75D61">
              <w:rPr>
                <w:rFonts w:ascii="Verdana" w:hAnsi="Verdana"/>
                <w:sz w:val="16"/>
                <w:szCs w:val="16"/>
                <w:lang w:val="en-US"/>
              </w:rPr>
              <w:t xml:space="preserve"> limits even if there has been a total failure of the supercharging system capacity to maintain the necessary boost pressure and the control of the boost pressure is carried out by a system </w:t>
            </w:r>
            <w:r>
              <w:rPr>
                <w:rFonts w:ascii="Verdana" w:hAnsi="Verdana"/>
                <w:sz w:val="16"/>
                <w:szCs w:val="16"/>
                <w:lang w:val="en-US"/>
              </w:rPr>
              <w:t xml:space="preserve">through </w:t>
            </w:r>
            <w:r w:rsidR="008A0760" w:rsidRPr="00F75D61">
              <w:rPr>
                <w:rFonts w:ascii="Verdana" w:hAnsi="Verdana"/>
                <w:sz w:val="16"/>
                <w:szCs w:val="16"/>
                <w:lang w:val="en-US"/>
              </w:rPr>
              <w:t xml:space="preserve">an open loop, the </w:t>
            </w:r>
            <w:r w:rsidR="002D78B5" w:rsidRPr="00F75D61">
              <w:rPr>
                <w:rFonts w:ascii="Verdana" w:hAnsi="Verdana"/>
                <w:sz w:val="16"/>
                <w:szCs w:val="16"/>
                <w:lang w:val="en-US"/>
              </w:rPr>
              <w:t>SDB/OBD</w:t>
            </w:r>
            <w:r w:rsidR="008A0760" w:rsidRPr="00F75D61">
              <w:rPr>
                <w:rFonts w:ascii="Verdana" w:hAnsi="Verdana"/>
                <w:sz w:val="16"/>
                <w:szCs w:val="16"/>
                <w:lang w:val="en-US"/>
              </w:rPr>
              <w:t xml:space="preserve"> system should detect a malfunction, when the system does not have a detectable amount of boost pressure at the moment it is expected.</w:t>
            </w:r>
            <w:r w:rsidR="008A0760" w:rsidRPr="00F75D61">
              <w:rPr>
                <w:lang w:val="en-US"/>
              </w:rPr>
              <w:t xml:space="preserve"> </w:t>
            </w:r>
          </w:p>
        </w:tc>
      </w:tr>
      <w:tr w:rsidR="008A0760" w:rsidRPr="00743A20" w14:paraId="3463E007" w14:textId="77777777" w:rsidTr="00F75D61">
        <w:tc>
          <w:tcPr>
            <w:tcW w:w="4788" w:type="dxa"/>
            <w:shd w:val="clear" w:color="auto" w:fill="auto"/>
          </w:tcPr>
          <w:p w14:paraId="1A40433C" w14:textId="77777777" w:rsidR="008A0760" w:rsidRPr="00A57824" w:rsidRDefault="008A0760" w:rsidP="00A57824">
            <w:pPr>
              <w:pStyle w:val="Texto"/>
              <w:spacing w:line="222" w:lineRule="exact"/>
              <w:ind w:firstLine="0"/>
              <w:rPr>
                <w:rFonts w:ascii="Verdana" w:hAnsi="Verdana"/>
                <w:sz w:val="16"/>
                <w:szCs w:val="16"/>
                <w:lang w:val="es-ES_tradnl"/>
              </w:rPr>
            </w:pPr>
            <w:r w:rsidRPr="00A57824">
              <w:rPr>
                <w:rFonts w:ascii="Verdana" w:hAnsi="Verdana"/>
                <w:b/>
                <w:sz w:val="16"/>
                <w:szCs w:val="16"/>
                <w:lang w:val="es-ES_tradnl"/>
              </w:rPr>
              <w:t>A.7.1.3.9.</w:t>
            </w:r>
            <w:r w:rsidRPr="00A57824">
              <w:rPr>
                <w:rFonts w:ascii="Verdana" w:hAnsi="Verdana"/>
                <w:sz w:val="16"/>
                <w:szCs w:val="16"/>
                <w:lang w:val="es-ES_tradnl"/>
              </w:rPr>
              <w:t xml:space="preserve"> Monitoreo del sistema de Temporización Variable de Válvulas (TVV o VVT, por sus siglas en idioma inglés).</w:t>
            </w:r>
          </w:p>
        </w:tc>
        <w:tc>
          <w:tcPr>
            <w:tcW w:w="4788" w:type="dxa"/>
            <w:shd w:val="clear" w:color="auto" w:fill="auto"/>
          </w:tcPr>
          <w:p w14:paraId="2E60031B" w14:textId="77777777" w:rsidR="008A0760" w:rsidRPr="00F75D61" w:rsidRDefault="008A0760" w:rsidP="00A57824">
            <w:pPr>
              <w:spacing w:after="101" w:line="222" w:lineRule="atLeast"/>
              <w:jc w:val="both"/>
              <w:rPr>
                <w:lang w:val="en-US"/>
              </w:rPr>
            </w:pPr>
            <w:r w:rsidRPr="00F75D61">
              <w:rPr>
                <w:rFonts w:ascii="Verdana" w:hAnsi="Verdana"/>
                <w:b/>
                <w:bCs/>
                <w:sz w:val="16"/>
                <w:szCs w:val="16"/>
                <w:lang w:val="en-US"/>
              </w:rPr>
              <w:t>A.7.1.3.9.</w:t>
            </w:r>
            <w:r w:rsidRPr="00F75D61">
              <w:rPr>
                <w:lang w:val="en-US"/>
              </w:rPr>
              <w:t xml:space="preserve"> </w:t>
            </w:r>
            <w:r w:rsidRPr="00F75D61">
              <w:rPr>
                <w:rFonts w:ascii="Verdana" w:hAnsi="Verdana"/>
                <w:sz w:val="16"/>
                <w:szCs w:val="16"/>
                <w:lang w:val="en-US"/>
              </w:rPr>
              <w:t>Monitoring of the variable valve timing system (TVV or VVT, for its acronym in English language).</w:t>
            </w:r>
            <w:r w:rsidRPr="00F75D61">
              <w:rPr>
                <w:lang w:val="en-US"/>
              </w:rPr>
              <w:t xml:space="preserve"> </w:t>
            </w:r>
          </w:p>
        </w:tc>
      </w:tr>
      <w:tr w:rsidR="008A0760" w:rsidRPr="00743A20" w14:paraId="12752D77" w14:textId="77777777" w:rsidTr="00F75D61">
        <w:tc>
          <w:tcPr>
            <w:tcW w:w="4788" w:type="dxa"/>
            <w:shd w:val="clear" w:color="auto" w:fill="auto"/>
          </w:tcPr>
          <w:p w14:paraId="76962F60" w14:textId="77777777" w:rsidR="008A0760" w:rsidRPr="00A57824" w:rsidRDefault="008A0760" w:rsidP="00A57824">
            <w:pPr>
              <w:pStyle w:val="Texto"/>
              <w:spacing w:line="222" w:lineRule="exact"/>
              <w:ind w:firstLine="0"/>
              <w:rPr>
                <w:rFonts w:ascii="Verdana" w:hAnsi="Verdana"/>
                <w:sz w:val="16"/>
                <w:szCs w:val="16"/>
                <w:lang w:val="es-ES_tradnl"/>
              </w:rPr>
            </w:pPr>
            <w:r w:rsidRPr="00A57824">
              <w:rPr>
                <w:rFonts w:ascii="Verdana" w:hAnsi="Verdana"/>
                <w:sz w:val="16"/>
                <w:szCs w:val="16"/>
                <w:lang w:val="es-ES_tradnl"/>
              </w:rPr>
              <w:t>El sistema SDB/OBD debe monitorear el desempeño de los siguientes elementos del sistema TVV/VVT:</w:t>
            </w:r>
          </w:p>
        </w:tc>
        <w:tc>
          <w:tcPr>
            <w:tcW w:w="4788" w:type="dxa"/>
            <w:shd w:val="clear" w:color="auto" w:fill="auto"/>
          </w:tcPr>
          <w:p w14:paraId="7AA476F9" w14:textId="77777777" w:rsidR="008A0760" w:rsidRPr="00F75D61" w:rsidRDefault="008A0760" w:rsidP="00A57824">
            <w:pPr>
              <w:spacing w:after="101" w:line="222"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performance of the following elements of the </w:t>
            </w:r>
            <w:r w:rsidR="00BE1219">
              <w:rPr>
                <w:rFonts w:ascii="Verdana" w:hAnsi="Verdana"/>
                <w:sz w:val="16"/>
                <w:szCs w:val="16"/>
                <w:lang w:val="en-US"/>
              </w:rPr>
              <w:t>TVV/VVT</w:t>
            </w:r>
            <w:r w:rsidRPr="00F75D61">
              <w:rPr>
                <w:rFonts w:ascii="Verdana" w:hAnsi="Verdana"/>
                <w:sz w:val="16"/>
                <w:szCs w:val="16"/>
                <w:lang w:val="en-US"/>
              </w:rPr>
              <w:t xml:space="preserve"> system:</w:t>
            </w:r>
            <w:r w:rsidRPr="00F75D61">
              <w:rPr>
                <w:lang w:val="en-US"/>
              </w:rPr>
              <w:t xml:space="preserve"> </w:t>
            </w:r>
          </w:p>
        </w:tc>
      </w:tr>
      <w:tr w:rsidR="008A0760" w:rsidRPr="00743A20" w14:paraId="59B7938C" w14:textId="77777777" w:rsidTr="00F75D61">
        <w:tc>
          <w:tcPr>
            <w:tcW w:w="4788" w:type="dxa"/>
            <w:shd w:val="clear" w:color="auto" w:fill="auto"/>
          </w:tcPr>
          <w:p w14:paraId="345DDD36" w14:textId="77777777" w:rsidR="008A0760" w:rsidRPr="00A57824" w:rsidRDefault="008A0760" w:rsidP="00A57824">
            <w:pPr>
              <w:pStyle w:val="ROMANOS"/>
              <w:spacing w:line="222" w:lineRule="exact"/>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Las desviaciones del sistema al responder a un comando de temporización, y</w:t>
            </w:r>
          </w:p>
        </w:tc>
        <w:tc>
          <w:tcPr>
            <w:tcW w:w="4788" w:type="dxa"/>
            <w:shd w:val="clear" w:color="auto" w:fill="auto"/>
          </w:tcPr>
          <w:p w14:paraId="0FFC3630" w14:textId="77777777" w:rsidR="008A0760" w:rsidRPr="00F75D61" w:rsidRDefault="00F75D61" w:rsidP="00A57824">
            <w:pPr>
              <w:spacing w:after="101" w:line="222" w:lineRule="atLeast"/>
              <w:jc w:val="both"/>
              <w:rPr>
                <w:lang w:val="en-US"/>
              </w:rPr>
            </w:pPr>
            <w:r>
              <w:rPr>
                <w:rFonts w:ascii="Verdana" w:hAnsi="Verdana"/>
                <w:b/>
                <w:bCs/>
                <w:sz w:val="16"/>
                <w:szCs w:val="16"/>
                <w:lang w:val="en-US"/>
              </w:rPr>
              <w:t>a</w:t>
            </w:r>
            <w:r w:rsidR="008A0760" w:rsidRPr="00F75D61">
              <w:rPr>
                <w:rFonts w:ascii="Verdana" w:hAnsi="Verdana"/>
                <w:b/>
                <w:bCs/>
                <w:sz w:val="16"/>
                <w:szCs w:val="16"/>
                <w:lang w:val="en-US"/>
              </w:rPr>
              <w:t>.</w:t>
            </w:r>
            <w:r w:rsidR="008A0760" w:rsidRPr="00F75D61">
              <w:rPr>
                <w:lang w:val="en-US"/>
              </w:rPr>
              <w:t xml:space="preserve"> </w:t>
            </w:r>
            <w:r w:rsidR="008A0760" w:rsidRPr="00F75D61">
              <w:rPr>
                <w:rFonts w:ascii="Verdana" w:hAnsi="Verdana"/>
                <w:sz w:val="16"/>
                <w:szCs w:val="16"/>
                <w:lang w:val="en-US"/>
              </w:rPr>
              <w:t>              Deviations from the system when responding to a timing command, and</w:t>
            </w:r>
            <w:r w:rsidR="008A0760" w:rsidRPr="00F75D61">
              <w:rPr>
                <w:lang w:val="en-US"/>
              </w:rPr>
              <w:t xml:space="preserve"> </w:t>
            </w:r>
          </w:p>
        </w:tc>
      </w:tr>
      <w:tr w:rsidR="008A0760" w:rsidRPr="00743A20" w14:paraId="30152743" w14:textId="77777777" w:rsidTr="00F75D61">
        <w:tc>
          <w:tcPr>
            <w:tcW w:w="4788" w:type="dxa"/>
            <w:shd w:val="clear" w:color="auto" w:fill="auto"/>
          </w:tcPr>
          <w:p w14:paraId="72A43FF7" w14:textId="77777777" w:rsidR="008A0760" w:rsidRPr="00A57824" w:rsidRDefault="008A0760" w:rsidP="00A57824">
            <w:pPr>
              <w:pStyle w:val="ROMANOS"/>
              <w:spacing w:line="222" w:lineRule="exact"/>
              <w:ind w:left="0" w:firstLine="0"/>
              <w:rPr>
                <w:rFonts w:ascii="Verdana" w:hAnsi="Verdana"/>
                <w:b/>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La capacidad para responder a un comando en un tiempo determinado por el fabricante.</w:t>
            </w:r>
          </w:p>
        </w:tc>
        <w:tc>
          <w:tcPr>
            <w:tcW w:w="4788" w:type="dxa"/>
            <w:shd w:val="clear" w:color="auto" w:fill="auto"/>
          </w:tcPr>
          <w:p w14:paraId="2236EC54" w14:textId="77777777" w:rsidR="008A0760" w:rsidRPr="00F75D61" w:rsidRDefault="008A0760" w:rsidP="00A57824">
            <w:pPr>
              <w:spacing w:after="101" w:line="222" w:lineRule="atLeast"/>
              <w:jc w:val="both"/>
              <w:rPr>
                <w:lang w:val="en-US"/>
              </w:rPr>
            </w:pPr>
            <w:r w:rsidRPr="00F75D61">
              <w:rPr>
                <w:rFonts w:ascii="Verdana" w:hAnsi="Verdana"/>
                <w:b/>
                <w:bCs/>
                <w:sz w:val="16"/>
                <w:szCs w:val="16"/>
                <w:lang w:val="en-US"/>
              </w:rPr>
              <w:t>b.</w:t>
            </w:r>
            <w:r w:rsidRPr="00F75D61">
              <w:rPr>
                <w:lang w:val="en-US"/>
              </w:rPr>
              <w:t xml:space="preserve"> </w:t>
            </w:r>
            <w:r w:rsidRPr="00F75D61">
              <w:rPr>
                <w:rFonts w:ascii="Verdana" w:hAnsi="Verdana"/>
                <w:sz w:val="16"/>
                <w:szCs w:val="16"/>
                <w:lang w:val="en-US"/>
              </w:rPr>
              <w:t>              The ability to respond to a command at a time determined by the manufacturer.</w:t>
            </w:r>
            <w:r w:rsidRPr="00F75D61">
              <w:rPr>
                <w:lang w:val="en-US"/>
              </w:rPr>
              <w:t xml:space="preserve"> </w:t>
            </w:r>
          </w:p>
        </w:tc>
      </w:tr>
      <w:tr w:rsidR="008A0760" w:rsidRPr="00743A20" w14:paraId="43F9E397" w14:textId="77777777" w:rsidTr="00F75D61">
        <w:tc>
          <w:tcPr>
            <w:tcW w:w="4788" w:type="dxa"/>
            <w:shd w:val="clear" w:color="auto" w:fill="auto"/>
          </w:tcPr>
          <w:p w14:paraId="368FF987" w14:textId="77777777" w:rsidR="008A0760" w:rsidRPr="00A57824" w:rsidRDefault="008A0760" w:rsidP="00A57824">
            <w:pPr>
              <w:pStyle w:val="Texto"/>
              <w:spacing w:line="222" w:lineRule="exact"/>
              <w:ind w:firstLine="0"/>
              <w:rPr>
                <w:rFonts w:ascii="Verdana" w:hAnsi="Verdana"/>
                <w:sz w:val="16"/>
                <w:szCs w:val="16"/>
                <w:lang w:val="es-ES_tradnl"/>
              </w:rPr>
            </w:pPr>
            <w:r w:rsidRPr="00A57824">
              <w:rPr>
                <w:rFonts w:ascii="Verdana" w:hAnsi="Verdana"/>
                <w:b/>
                <w:sz w:val="16"/>
                <w:szCs w:val="16"/>
                <w:lang w:val="es-ES_tradnl"/>
              </w:rPr>
              <w:t xml:space="preserve">A.7.1.3.10. </w:t>
            </w:r>
            <w:r w:rsidRPr="00A57824">
              <w:rPr>
                <w:rFonts w:ascii="Verdana" w:hAnsi="Verdana"/>
                <w:sz w:val="16"/>
                <w:szCs w:val="16"/>
                <w:lang w:val="es-ES_tradnl"/>
              </w:rPr>
              <w:t>Monitoreo del sistema de enfriamiento del motor.</w:t>
            </w:r>
          </w:p>
        </w:tc>
        <w:tc>
          <w:tcPr>
            <w:tcW w:w="4788" w:type="dxa"/>
            <w:shd w:val="clear" w:color="auto" w:fill="auto"/>
          </w:tcPr>
          <w:p w14:paraId="4C646EC2" w14:textId="77777777" w:rsidR="008A0760" w:rsidRPr="00F75D61" w:rsidRDefault="008A0760" w:rsidP="00A57824">
            <w:pPr>
              <w:spacing w:after="101" w:line="222" w:lineRule="atLeast"/>
              <w:jc w:val="both"/>
              <w:rPr>
                <w:lang w:val="en-US"/>
              </w:rPr>
            </w:pPr>
            <w:r w:rsidRPr="00F75D61">
              <w:rPr>
                <w:rFonts w:ascii="Verdana" w:hAnsi="Verdana"/>
                <w:b/>
                <w:bCs/>
                <w:sz w:val="16"/>
                <w:szCs w:val="16"/>
                <w:lang w:val="en-US"/>
              </w:rPr>
              <w:t>A.7.1.3.10.</w:t>
            </w:r>
            <w:r w:rsidRPr="00F75D61">
              <w:rPr>
                <w:lang w:val="en-US"/>
              </w:rPr>
              <w:t xml:space="preserve"> </w:t>
            </w:r>
            <w:r w:rsidRPr="00F75D61">
              <w:rPr>
                <w:rFonts w:ascii="Verdana" w:hAnsi="Verdana"/>
                <w:sz w:val="16"/>
                <w:szCs w:val="16"/>
                <w:lang w:val="en-US"/>
              </w:rPr>
              <w:t>Monitoring of the engine cooling system.</w:t>
            </w:r>
            <w:r w:rsidRPr="00F75D61">
              <w:rPr>
                <w:lang w:val="en-US"/>
              </w:rPr>
              <w:t xml:space="preserve"> </w:t>
            </w:r>
          </w:p>
        </w:tc>
      </w:tr>
      <w:tr w:rsidR="008A0760" w:rsidRPr="00743A20" w14:paraId="6FB242A0" w14:textId="77777777" w:rsidTr="00F75D61">
        <w:tc>
          <w:tcPr>
            <w:tcW w:w="4788" w:type="dxa"/>
            <w:shd w:val="clear" w:color="auto" w:fill="auto"/>
          </w:tcPr>
          <w:p w14:paraId="649CECE6" w14:textId="77777777" w:rsidR="008A0760" w:rsidRPr="00A57824" w:rsidRDefault="008A0760" w:rsidP="00A57824">
            <w:pPr>
              <w:pStyle w:val="Texto"/>
              <w:spacing w:line="222" w:lineRule="exact"/>
              <w:ind w:firstLine="0"/>
              <w:rPr>
                <w:rFonts w:ascii="Verdana" w:hAnsi="Verdana"/>
                <w:sz w:val="16"/>
                <w:szCs w:val="16"/>
                <w:lang w:val="es-ES_tradnl"/>
              </w:rPr>
            </w:pPr>
            <w:r w:rsidRPr="00A57824">
              <w:rPr>
                <w:rFonts w:ascii="Verdana" w:hAnsi="Verdana"/>
                <w:sz w:val="16"/>
                <w:szCs w:val="16"/>
                <w:lang w:val="es-ES_tradnl"/>
              </w:rPr>
              <w:t>El sistema SDB/OBD debe monitorear el funcionamiento del sensor de temperatura del sistema de enfriamiento del motor con respecto a una falla total. El monitoreo de la temperatura de enfriamiento o del sensor no es requerido cuando no es usado para efectos de control por retroalimentación o lazo cerrado de otros sistemas de control de emisiones.</w:t>
            </w:r>
          </w:p>
        </w:tc>
        <w:tc>
          <w:tcPr>
            <w:tcW w:w="4788" w:type="dxa"/>
            <w:shd w:val="clear" w:color="auto" w:fill="auto"/>
          </w:tcPr>
          <w:p w14:paraId="7339139C" w14:textId="77777777" w:rsidR="008A0760" w:rsidRPr="00F75D61" w:rsidRDefault="008A0760" w:rsidP="00A57824">
            <w:pPr>
              <w:spacing w:after="101" w:line="222"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operation of the temperature sensor of the engine cooling system with respect to a total failure.</w:t>
            </w:r>
            <w:r w:rsidRPr="00F75D61">
              <w:rPr>
                <w:lang w:val="en-US"/>
              </w:rPr>
              <w:t xml:space="preserve"> </w:t>
            </w:r>
            <w:r w:rsidRPr="00F75D61">
              <w:rPr>
                <w:rFonts w:ascii="Verdana" w:hAnsi="Verdana"/>
                <w:sz w:val="16"/>
                <w:szCs w:val="16"/>
                <w:lang w:val="en-US"/>
              </w:rPr>
              <w:t>Cooling or sensor temperature monitoring is not required when it is not used for feedback control or closed loop control of other emission control systems.</w:t>
            </w:r>
            <w:r w:rsidRPr="00F75D61">
              <w:rPr>
                <w:lang w:val="en-US"/>
              </w:rPr>
              <w:t xml:space="preserve"> </w:t>
            </w:r>
          </w:p>
        </w:tc>
      </w:tr>
      <w:tr w:rsidR="008A0760" w:rsidRPr="00743A20" w14:paraId="11DAFE8C" w14:textId="77777777" w:rsidTr="00F75D61">
        <w:tc>
          <w:tcPr>
            <w:tcW w:w="4788" w:type="dxa"/>
            <w:shd w:val="clear" w:color="auto" w:fill="auto"/>
          </w:tcPr>
          <w:p w14:paraId="24B2F72D" w14:textId="77777777" w:rsidR="008A0760" w:rsidRPr="00A57824" w:rsidRDefault="008A0760" w:rsidP="00A57824">
            <w:pPr>
              <w:pStyle w:val="Texto"/>
              <w:spacing w:line="222" w:lineRule="exact"/>
              <w:ind w:firstLine="0"/>
              <w:rPr>
                <w:rFonts w:ascii="Verdana" w:hAnsi="Verdana"/>
                <w:sz w:val="16"/>
                <w:szCs w:val="16"/>
                <w:lang w:val="es-ES_tradnl"/>
              </w:rPr>
            </w:pPr>
            <w:r w:rsidRPr="00A57824">
              <w:rPr>
                <w:rFonts w:ascii="Verdana" w:hAnsi="Verdana"/>
                <w:b/>
                <w:sz w:val="16"/>
                <w:szCs w:val="16"/>
                <w:lang w:val="es-ES_tradnl"/>
              </w:rPr>
              <w:t>A.7.1.3.11.</w:t>
            </w:r>
            <w:r w:rsidRPr="00A57824">
              <w:rPr>
                <w:rFonts w:ascii="Verdana" w:hAnsi="Verdana"/>
                <w:sz w:val="16"/>
                <w:szCs w:val="16"/>
                <w:lang w:val="es-ES_tradnl"/>
              </w:rPr>
              <w:t xml:space="preserve"> Monitoreo de sensores de gases del escape.</w:t>
            </w:r>
          </w:p>
        </w:tc>
        <w:tc>
          <w:tcPr>
            <w:tcW w:w="4788" w:type="dxa"/>
            <w:shd w:val="clear" w:color="auto" w:fill="auto"/>
          </w:tcPr>
          <w:p w14:paraId="00C1475A" w14:textId="77777777" w:rsidR="008A0760" w:rsidRPr="00F75D61" w:rsidRDefault="008A0760" w:rsidP="00A57824">
            <w:pPr>
              <w:spacing w:after="101" w:line="222" w:lineRule="atLeast"/>
              <w:jc w:val="both"/>
              <w:rPr>
                <w:lang w:val="en-US"/>
              </w:rPr>
            </w:pPr>
            <w:r w:rsidRPr="00F75D61">
              <w:rPr>
                <w:rFonts w:ascii="Verdana" w:hAnsi="Verdana"/>
                <w:b/>
                <w:bCs/>
                <w:sz w:val="16"/>
                <w:szCs w:val="16"/>
                <w:lang w:val="en-US"/>
              </w:rPr>
              <w:t>A.7.1.3.11.</w:t>
            </w:r>
            <w:r w:rsidRPr="00F75D61">
              <w:rPr>
                <w:lang w:val="en-US"/>
              </w:rPr>
              <w:t xml:space="preserve"> </w:t>
            </w:r>
            <w:r w:rsidRPr="00F75D61">
              <w:rPr>
                <w:rFonts w:ascii="Verdana" w:hAnsi="Verdana"/>
                <w:sz w:val="16"/>
                <w:szCs w:val="16"/>
                <w:lang w:val="en-US"/>
              </w:rPr>
              <w:t>Monitoring of exhaust gas sensors.</w:t>
            </w:r>
            <w:r w:rsidRPr="00F75D61">
              <w:rPr>
                <w:lang w:val="en-US"/>
              </w:rPr>
              <w:t xml:space="preserve"> </w:t>
            </w:r>
          </w:p>
        </w:tc>
      </w:tr>
      <w:tr w:rsidR="008A0760" w:rsidRPr="00743A20" w14:paraId="6F15D8BB" w14:textId="77777777" w:rsidTr="00F75D61">
        <w:tc>
          <w:tcPr>
            <w:tcW w:w="4788" w:type="dxa"/>
            <w:shd w:val="clear" w:color="auto" w:fill="auto"/>
          </w:tcPr>
          <w:p w14:paraId="1963F2D7" w14:textId="77777777" w:rsidR="008A0760" w:rsidRPr="00A57824" w:rsidRDefault="008A0760" w:rsidP="00A57824">
            <w:pPr>
              <w:pStyle w:val="Texto"/>
              <w:spacing w:line="222" w:lineRule="exact"/>
              <w:ind w:firstLine="0"/>
              <w:rPr>
                <w:rFonts w:ascii="Verdana" w:hAnsi="Verdana"/>
                <w:sz w:val="16"/>
                <w:szCs w:val="16"/>
                <w:lang w:val="es-ES_tradnl"/>
              </w:rPr>
            </w:pPr>
            <w:r w:rsidRPr="00A57824">
              <w:rPr>
                <w:rFonts w:ascii="Verdana" w:hAnsi="Verdana"/>
                <w:sz w:val="16"/>
                <w:szCs w:val="16"/>
                <w:lang w:val="es-ES_tradnl"/>
              </w:rPr>
              <w:t>El sistema SDB/OBD debe monitorear la operación adecuada de los elementos eléctricos de los sensores de gases del escape.</w:t>
            </w:r>
          </w:p>
        </w:tc>
        <w:tc>
          <w:tcPr>
            <w:tcW w:w="4788" w:type="dxa"/>
            <w:shd w:val="clear" w:color="auto" w:fill="auto"/>
          </w:tcPr>
          <w:p w14:paraId="2A67E701" w14:textId="77777777" w:rsidR="008A0760" w:rsidRPr="00F75D61" w:rsidRDefault="008A0760" w:rsidP="00A57824">
            <w:pPr>
              <w:spacing w:after="101" w:line="222"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proper operation of the electrical elements of the exhaust gas sensors.</w:t>
            </w:r>
            <w:r w:rsidRPr="00F75D61">
              <w:rPr>
                <w:lang w:val="en-US"/>
              </w:rPr>
              <w:t xml:space="preserve"> </w:t>
            </w:r>
          </w:p>
        </w:tc>
      </w:tr>
      <w:tr w:rsidR="008A0760" w:rsidRPr="00743A20" w14:paraId="003DA993" w14:textId="77777777" w:rsidTr="00F75D61">
        <w:tc>
          <w:tcPr>
            <w:tcW w:w="4788" w:type="dxa"/>
            <w:shd w:val="clear" w:color="auto" w:fill="auto"/>
          </w:tcPr>
          <w:p w14:paraId="34286B71" w14:textId="77777777" w:rsidR="008A0760" w:rsidRPr="00A57824" w:rsidRDefault="008A0760" w:rsidP="00A57824">
            <w:pPr>
              <w:pStyle w:val="Texto"/>
              <w:spacing w:line="222" w:lineRule="exact"/>
              <w:ind w:firstLine="0"/>
              <w:rPr>
                <w:rFonts w:ascii="Verdana" w:hAnsi="Verdana"/>
                <w:sz w:val="16"/>
                <w:szCs w:val="16"/>
                <w:lang w:val="es-ES_tradnl"/>
              </w:rPr>
            </w:pPr>
            <w:r w:rsidRPr="00A57824">
              <w:rPr>
                <w:rFonts w:ascii="Verdana" w:hAnsi="Verdana"/>
                <w:b/>
                <w:sz w:val="16"/>
                <w:szCs w:val="16"/>
                <w:lang w:val="es-ES_tradnl"/>
              </w:rPr>
              <w:t>A.7.1.3.12.</w:t>
            </w:r>
            <w:r w:rsidRPr="00A57824">
              <w:rPr>
                <w:rFonts w:ascii="Verdana" w:hAnsi="Verdana"/>
                <w:sz w:val="16"/>
                <w:szCs w:val="16"/>
                <w:lang w:val="es-ES_tradnl"/>
              </w:rPr>
              <w:t xml:space="preserve"> Monitoreo del sistema de control de velocidad en ralentí o vacío.</w:t>
            </w:r>
          </w:p>
        </w:tc>
        <w:tc>
          <w:tcPr>
            <w:tcW w:w="4788" w:type="dxa"/>
            <w:shd w:val="clear" w:color="auto" w:fill="auto"/>
          </w:tcPr>
          <w:p w14:paraId="0DAEA6B2" w14:textId="77777777" w:rsidR="008A0760" w:rsidRPr="00F75D61" w:rsidRDefault="008A0760" w:rsidP="00A57824">
            <w:pPr>
              <w:spacing w:after="101" w:line="222" w:lineRule="atLeast"/>
              <w:jc w:val="both"/>
              <w:rPr>
                <w:lang w:val="en-US"/>
              </w:rPr>
            </w:pPr>
            <w:r w:rsidRPr="00F75D61">
              <w:rPr>
                <w:rFonts w:ascii="Verdana" w:hAnsi="Verdana"/>
                <w:b/>
                <w:bCs/>
                <w:sz w:val="16"/>
                <w:szCs w:val="16"/>
                <w:lang w:val="en-US"/>
              </w:rPr>
              <w:t>A.7.1.3.12.</w:t>
            </w:r>
            <w:r w:rsidRPr="00F75D61">
              <w:rPr>
                <w:lang w:val="en-US"/>
              </w:rPr>
              <w:t xml:space="preserve"> </w:t>
            </w:r>
            <w:r w:rsidRPr="00F75D61">
              <w:rPr>
                <w:rFonts w:ascii="Verdana" w:hAnsi="Verdana"/>
                <w:sz w:val="16"/>
                <w:szCs w:val="16"/>
                <w:lang w:val="en-US"/>
              </w:rPr>
              <w:t>Monitoring of the idle or vacuum speed control system.</w:t>
            </w:r>
            <w:r w:rsidRPr="00F75D61">
              <w:rPr>
                <w:lang w:val="en-US"/>
              </w:rPr>
              <w:t xml:space="preserve"> </w:t>
            </w:r>
          </w:p>
        </w:tc>
      </w:tr>
      <w:tr w:rsidR="008A0760" w:rsidRPr="00743A20" w14:paraId="75EAB451" w14:textId="77777777" w:rsidTr="00F75D61">
        <w:tc>
          <w:tcPr>
            <w:tcW w:w="4788" w:type="dxa"/>
            <w:shd w:val="clear" w:color="auto" w:fill="auto"/>
          </w:tcPr>
          <w:p w14:paraId="589F14A3" w14:textId="77777777" w:rsidR="008A0760" w:rsidRPr="00A57824" w:rsidRDefault="008A0760" w:rsidP="00A57824">
            <w:pPr>
              <w:pStyle w:val="Texto"/>
              <w:spacing w:line="222" w:lineRule="exact"/>
              <w:ind w:firstLine="0"/>
              <w:rPr>
                <w:rFonts w:ascii="Verdana" w:hAnsi="Verdana"/>
                <w:sz w:val="16"/>
                <w:szCs w:val="16"/>
                <w:lang w:val="es-ES_tradnl"/>
              </w:rPr>
            </w:pPr>
            <w:r w:rsidRPr="00A57824">
              <w:rPr>
                <w:rFonts w:ascii="Verdana" w:hAnsi="Verdana"/>
                <w:sz w:val="16"/>
                <w:szCs w:val="16"/>
                <w:lang w:val="es-ES_tradnl"/>
              </w:rPr>
              <w:t>El sistema SDB/OBD debe monitorear el desempeño de los elementos eléctricos que controlan la velocidad en ralentí o vacío en motores que estén así equipados.</w:t>
            </w:r>
          </w:p>
        </w:tc>
        <w:tc>
          <w:tcPr>
            <w:tcW w:w="4788" w:type="dxa"/>
            <w:shd w:val="clear" w:color="auto" w:fill="auto"/>
          </w:tcPr>
          <w:p w14:paraId="69E79FCF" w14:textId="77777777" w:rsidR="008A0760" w:rsidRPr="00F75D61" w:rsidRDefault="008A0760" w:rsidP="00A57824">
            <w:pPr>
              <w:spacing w:after="101" w:line="222" w:lineRule="atLeast"/>
              <w:jc w:val="both"/>
              <w:rPr>
                <w:lang w:val="en-US"/>
              </w:rPr>
            </w:pPr>
            <w:r w:rsidRPr="00F75D61">
              <w:rPr>
                <w:rFonts w:ascii="Verdana" w:hAnsi="Verdana"/>
                <w:sz w:val="16"/>
                <w:szCs w:val="16"/>
                <w:lang w:val="en-US"/>
              </w:rPr>
              <w:t xml:space="preserve">The </w:t>
            </w:r>
            <w:r w:rsidR="002D78B5" w:rsidRPr="00F75D61">
              <w:rPr>
                <w:rFonts w:ascii="Verdana" w:hAnsi="Verdana"/>
                <w:sz w:val="16"/>
                <w:szCs w:val="16"/>
                <w:lang w:val="en-US"/>
              </w:rPr>
              <w:t>SDB/OBD</w:t>
            </w:r>
            <w:r w:rsidRPr="00F75D61">
              <w:rPr>
                <w:rFonts w:ascii="Verdana" w:hAnsi="Verdana"/>
                <w:sz w:val="16"/>
                <w:szCs w:val="16"/>
                <w:lang w:val="en-US"/>
              </w:rPr>
              <w:t xml:space="preserve"> system must monitor the performance of the electrical elements that control idle speed or vacuum in engines that are so equipped.</w:t>
            </w:r>
            <w:r w:rsidRPr="00F75D61">
              <w:rPr>
                <w:lang w:val="en-US"/>
              </w:rPr>
              <w:t xml:space="preserve"> </w:t>
            </w:r>
          </w:p>
        </w:tc>
      </w:tr>
      <w:tr w:rsidR="008A0760" w:rsidRPr="00743A20" w14:paraId="1D5A6704" w14:textId="77777777" w:rsidTr="00F75D61">
        <w:tc>
          <w:tcPr>
            <w:tcW w:w="4788" w:type="dxa"/>
            <w:shd w:val="clear" w:color="auto" w:fill="auto"/>
          </w:tcPr>
          <w:p w14:paraId="48148BC0" w14:textId="77777777" w:rsidR="008A0760" w:rsidRPr="00A57824" w:rsidRDefault="008A0760" w:rsidP="00A57824">
            <w:pPr>
              <w:pStyle w:val="Texto"/>
              <w:spacing w:line="222" w:lineRule="exact"/>
              <w:ind w:firstLine="0"/>
              <w:rPr>
                <w:rFonts w:ascii="Verdana" w:hAnsi="Verdana"/>
                <w:b/>
                <w:sz w:val="16"/>
                <w:szCs w:val="16"/>
                <w:lang w:val="es-ES_tradnl"/>
              </w:rPr>
            </w:pPr>
            <w:r w:rsidRPr="00A57824">
              <w:rPr>
                <w:rFonts w:ascii="Verdana" w:hAnsi="Verdana"/>
                <w:b/>
                <w:sz w:val="16"/>
                <w:szCs w:val="16"/>
                <w:lang w:val="es-ES_tradnl"/>
              </w:rPr>
              <w:t>A.7.2. Requisitos del SDB/OBD bajo el programa estadounidense EPA.</w:t>
            </w:r>
          </w:p>
        </w:tc>
        <w:tc>
          <w:tcPr>
            <w:tcW w:w="4788" w:type="dxa"/>
            <w:shd w:val="clear" w:color="auto" w:fill="auto"/>
          </w:tcPr>
          <w:p w14:paraId="57421632" w14:textId="77777777" w:rsidR="008A0760" w:rsidRPr="00F75D61" w:rsidRDefault="008A0760" w:rsidP="00A57824">
            <w:pPr>
              <w:spacing w:after="101" w:line="222" w:lineRule="atLeast"/>
              <w:jc w:val="both"/>
              <w:rPr>
                <w:lang w:val="en-US"/>
              </w:rPr>
            </w:pPr>
            <w:r w:rsidRPr="00F75D61">
              <w:rPr>
                <w:rFonts w:ascii="Verdana" w:hAnsi="Verdana"/>
                <w:b/>
                <w:bCs/>
                <w:sz w:val="16"/>
                <w:szCs w:val="16"/>
                <w:lang w:val="en-US"/>
              </w:rPr>
              <w:t>A.7.2.</w:t>
            </w:r>
            <w:r w:rsidRPr="00F75D61">
              <w:rPr>
                <w:lang w:val="en-US"/>
              </w:rPr>
              <w:t xml:space="preserve"> </w:t>
            </w:r>
            <w:r w:rsidR="002D78B5" w:rsidRPr="00F75D61">
              <w:rPr>
                <w:rFonts w:ascii="Verdana" w:hAnsi="Verdana"/>
                <w:b/>
                <w:bCs/>
                <w:sz w:val="16"/>
                <w:szCs w:val="16"/>
                <w:lang w:val="en-US"/>
              </w:rPr>
              <w:t>SDB/OBD</w:t>
            </w:r>
            <w:r w:rsidRPr="00F75D61">
              <w:rPr>
                <w:rFonts w:ascii="Verdana" w:hAnsi="Verdana"/>
                <w:b/>
                <w:bCs/>
                <w:sz w:val="16"/>
                <w:szCs w:val="16"/>
                <w:lang w:val="en-US"/>
              </w:rPr>
              <w:t xml:space="preserve"> requirements under the US EPA program.</w:t>
            </w:r>
            <w:r w:rsidRPr="00F75D61">
              <w:rPr>
                <w:lang w:val="en-US"/>
              </w:rPr>
              <w:t xml:space="preserve"> </w:t>
            </w:r>
          </w:p>
        </w:tc>
      </w:tr>
      <w:tr w:rsidR="008A0760" w:rsidRPr="00743A20" w14:paraId="579FCFA6" w14:textId="77777777" w:rsidTr="00F75D61">
        <w:tc>
          <w:tcPr>
            <w:tcW w:w="4788" w:type="dxa"/>
            <w:shd w:val="clear" w:color="auto" w:fill="auto"/>
          </w:tcPr>
          <w:p w14:paraId="302EB8AE" w14:textId="77777777" w:rsidR="008A0760" w:rsidRPr="00A57824" w:rsidRDefault="008A0760" w:rsidP="00A57824">
            <w:pPr>
              <w:pStyle w:val="Texto"/>
              <w:spacing w:line="222" w:lineRule="exact"/>
              <w:ind w:firstLine="0"/>
              <w:rPr>
                <w:rFonts w:ascii="Verdana" w:hAnsi="Verdana"/>
                <w:sz w:val="16"/>
                <w:szCs w:val="16"/>
                <w:lang w:val="es-ES_tradnl"/>
              </w:rPr>
            </w:pPr>
            <w:r w:rsidRPr="00A57824">
              <w:rPr>
                <w:rFonts w:ascii="Verdana" w:hAnsi="Verdana"/>
                <w:b/>
                <w:sz w:val="16"/>
                <w:szCs w:val="16"/>
                <w:lang w:val="es-ES_tradnl"/>
              </w:rPr>
              <w:lastRenderedPageBreak/>
              <w:t xml:space="preserve">A.7.2.1. </w:t>
            </w:r>
            <w:r w:rsidRPr="00A57824">
              <w:rPr>
                <w:rFonts w:ascii="Verdana" w:hAnsi="Verdana"/>
                <w:sz w:val="16"/>
                <w:szCs w:val="16"/>
                <w:lang w:val="es-ES_tradnl"/>
              </w:rPr>
              <w:t>Las especificaciones de los límites SDB/OBD de hidrocarburos no metano (HCNM), monóxido de carbono (CO), óxidos de nitrógeno (NOx) y partículas (Part), para motores nuevos a diésel y vehículos automotores nuevos que los integren, con peso bruto vehicular mayor a 6,350 kilogramos (o su equivalente de 14,000 libras), certificados por la Agencia de Protección Ambiental de los Estados Unidos de América, se establecen en la Tabla A.3.</w:t>
            </w:r>
          </w:p>
        </w:tc>
        <w:tc>
          <w:tcPr>
            <w:tcW w:w="4788" w:type="dxa"/>
            <w:shd w:val="clear" w:color="auto" w:fill="auto"/>
          </w:tcPr>
          <w:p w14:paraId="0B6FB5D8" w14:textId="77777777" w:rsidR="008A0760" w:rsidRPr="00F75D61" w:rsidRDefault="008A0760" w:rsidP="00A57824">
            <w:pPr>
              <w:spacing w:after="101" w:line="222" w:lineRule="atLeast"/>
              <w:jc w:val="both"/>
              <w:rPr>
                <w:lang w:val="en-US"/>
              </w:rPr>
            </w:pPr>
            <w:r w:rsidRPr="00F75D61">
              <w:rPr>
                <w:rFonts w:ascii="Verdana" w:hAnsi="Verdana"/>
                <w:b/>
                <w:bCs/>
                <w:sz w:val="16"/>
                <w:szCs w:val="16"/>
                <w:lang w:val="en-US"/>
              </w:rPr>
              <w:t>A.7.2.1.</w:t>
            </w:r>
            <w:r w:rsidRPr="00F75D61">
              <w:rPr>
                <w:lang w:val="en-US"/>
              </w:rPr>
              <w:t xml:space="preserve"> </w:t>
            </w:r>
            <w:r w:rsidRPr="00F75D61">
              <w:rPr>
                <w:rFonts w:ascii="Verdana" w:hAnsi="Verdana"/>
                <w:sz w:val="16"/>
                <w:szCs w:val="16"/>
                <w:lang w:val="en-US"/>
              </w:rPr>
              <w:t xml:space="preserve">The specifications of the </w:t>
            </w:r>
            <w:r w:rsidR="002D78B5" w:rsidRPr="00F75D61">
              <w:rPr>
                <w:rFonts w:ascii="Verdana" w:hAnsi="Verdana"/>
                <w:sz w:val="16"/>
                <w:szCs w:val="16"/>
                <w:lang w:val="en-US"/>
              </w:rPr>
              <w:t>SDB/OBD</w:t>
            </w:r>
            <w:r w:rsidRPr="00F75D61">
              <w:rPr>
                <w:rFonts w:ascii="Verdana" w:hAnsi="Verdana"/>
                <w:sz w:val="16"/>
                <w:szCs w:val="16"/>
                <w:lang w:val="en-US"/>
              </w:rPr>
              <w:t xml:space="preserve"> limits for non-methane hydrocarbons (HCNM), carbon monoxide (CO), nitrogen oxides </w:t>
            </w:r>
            <w:r w:rsidR="00475F08" w:rsidRPr="00F75D61">
              <w:rPr>
                <w:rFonts w:ascii="Verdana" w:hAnsi="Verdana"/>
                <w:sz w:val="16"/>
                <w:szCs w:val="16"/>
                <w:lang w:val="en-US"/>
              </w:rPr>
              <w:t>(NOx)</w:t>
            </w:r>
            <w:r w:rsidRPr="00F75D61">
              <w:rPr>
                <w:rFonts w:ascii="Verdana" w:hAnsi="Verdana"/>
                <w:sz w:val="16"/>
                <w:szCs w:val="16"/>
                <w:lang w:val="en-US"/>
              </w:rPr>
              <w:t xml:space="preserve"> and particulates </w:t>
            </w:r>
            <w:r w:rsidR="00F75D61">
              <w:rPr>
                <w:rFonts w:ascii="Verdana" w:hAnsi="Verdana"/>
                <w:sz w:val="16"/>
                <w:szCs w:val="16"/>
                <w:lang w:val="en-US"/>
              </w:rPr>
              <w:t>(Part)</w:t>
            </w:r>
            <w:r w:rsidRPr="00F75D61">
              <w:rPr>
                <w:rFonts w:ascii="Verdana" w:hAnsi="Verdana"/>
                <w:sz w:val="16"/>
                <w:szCs w:val="16"/>
                <w:lang w:val="en-US"/>
              </w:rPr>
              <w:t>, for new diesel engines and new automotive vehicles that integrate them, with weight Vehicular gross greater than 6,350 kilograms (or its equivalent of 14,000 pounds), certified by the Environmental Protection Agency of the United States of America, are set forth in Table A.3.</w:t>
            </w:r>
            <w:r w:rsidRPr="00F75D61">
              <w:rPr>
                <w:lang w:val="en-US"/>
              </w:rPr>
              <w:t xml:space="preserve"> </w:t>
            </w:r>
          </w:p>
        </w:tc>
      </w:tr>
    </w:tbl>
    <w:p w14:paraId="28EDE547" w14:textId="77777777" w:rsidR="00DF5012" w:rsidRPr="00BA3592" w:rsidRDefault="00DF5012" w:rsidP="00DF5012">
      <w:pPr>
        <w:pStyle w:val="Texto"/>
        <w:spacing w:line="222" w:lineRule="exact"/>
        <w:ind w:firstLine="0"/>
        <w:jc w:val="center"/>
        <w:rPr>
          <w:rFonts w:ascii="Verdana" w:hAnsi="Verdana"/>
          <w:b/>
          <w:sz w:val="16"/>
          <w:szCs w:val="16"/>
          <w:lang w:val="es-ES_tradnl"/>
        </w:rPr>
      </w:pPr>
      <w:r w:rsidRPr="00BA3592">
        <w:rPr>
          <w:rFonts w:ascii="Verdana" w:hAnsi="Verdana"/>
          <w:b/>
          <w:sz w:val="16"/>
          <w:szCs w:val="16"/>
          <w:lang w:val="es-ES_tradnl"/>
        </w:rPr>
        <w:t>Tabla A.3</w:t>
      </w:r>
    </w:p>
    <w:tbl>
      <w:tblPr>
        <w:tblW w:w="7187" w:type="dxa"/>
        <w:jc w:val="center"/>
        <w:tblCellMar>
          <w:left w:w="72" w:type="dxa"/>
          <w:right w:w="72" w:type="dxa"/>
        </w:tblCellMar>
        <w:tblLook w:val="0000" w:firstRow="0" w:lastRow="0" w:firstColumn="0" w:lastColumn="0" w:noHBand="0" w:noVBand="0"/>
      </w:tblPr>
      <w:tblGrid>
        <w:gridCol w:w="3790"/>
        <w:gridCol w:w="915"/>
        <w:gridCol w:w="687"/>
        <w:gridCol w:w="579"/>
        <w:gridCol w:w="1216"/>
      </w:tblGrid>
      <w:tr w:rsidR="00DF5012" w:rsidRPr="00BA3592" w14:paraId="307370A4" w14:textId="77777777">
        <w:trPr>
          <w:cantSplit/>
          <w:trHeight w:val="20"/>
          <w:jc w:val="center"/>
        </w:trPr>
        <w:tc>
          <w:tcPr>
            <w:tcW w:w="3790" w:type="dxa"/>
            <w:tcBorders>
              <w:top w:val="single" w:sz="6" w:space="0" w:color="auto"/>
              <w:left w:val="single" w:sz="6" w:space="0" w:color="auto"/>
              <w:bottom w:val="single" w:sz="6" w:space="0" w:color="auto"/>
              <w:right w:val="single" w:sz="6" w:space="0" w:color="auto"/>
            </w:tcBorders>
            <w:shd w:val="pct12" w:color="auto" w:fill="auto"/>
            <w:noWrap/>
            <w:vAlign w:val="center"/>
          </w:tcPr>
          <w:p w14:paraId="4981A3B1"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Monitor</w:t>
            </w:r>
          </w:p>
        </w:tc>
        <w:tc>
          <w:tcPr>
            <w:tcW w:w="915" w:type="dxa"/>
            <w:tcBorders>
              <w:top w:val="single" w:sz="6" w:space="0" w:color="auto"/>
              <w:left w:val="single" w:sz="6" w:space="0" w:color="auto"/>
              <w:bottom w:val="single" w:sz="6" w:space="0" w:color="auto"/>
              <w:right w:val="single" w:sz="6" w:space="0" w:color="auto"/>
            </w:tcBorders>
            <w:shd w:val="pct12" w:color="auto" w:fill="auto"/>
            <w:vAlign w:val="center"/>
          </w:tcPr>
          <w:p w14:paraId="0D71A169"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HCNM</w:t>
            </w:r>
            <w:r w:rsidRPr="00BA3592">
              <w:rPr>
                <w:rFonts w:ascii="Verdana" w:hAnsi="Verdana"/>
                <w:b/>
                <w:sz w:val="16"/>
                <w:szCs w:val="16"/>
                <w:vertAlign w:val="superscript"/>
                <w:lang w:val="es-ES_tradnl"/>
              </w:rPr>
              <w:t>(1)</w:t>
            </w:r>
          </w:p>
        </w:tc>
        <w:tc>
          <w:tcPr>
            <w:tcW w:w="687" w:type="dxa"/>
            <w:tcBorders>
              <w:top w:val="single" w:sz="6" w:space="0" w:color="auto"/>
              <w:left w:val="single" w:sz="6" w:space="0" w:color="auto"/>
              <w:bottom w:val="single" w:sz="6" w:space="0" w:color="auto"/>
              <w:right w:val="single" w:sz="6" w:space="0" w:color="auto"/>
            </w:tcBorders>
            <w:shd w:val="pct12" w:color="auto" w:fill="auto"/>
            <w:vAlign w:val="center"/>
          </w:tcPr>
          <w:p w14:paraId="5B49E008"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CO</w:t>
            </w:r>
          </w:p>
        </w:tc>
        <w:tc>
          <w:tcPr>
            <w:tcW w:w="579" w:type="dxa"/>
            <w:tcBorders>
              <w:top w:val="single" w:sz="6" w:space="0" w:color="auto"/>
              <w:left w:val="single" w:sz="6" w:space="0" w:color="auto"/>
              <w:bottom w:val="single" w:sz="6" w:space="0" w:color="auto"/>
              <w:right w:val="single" w:sz="6" w:space="0" w:color="auto"/>
            </w:tcBorders>
            <w:shd w:val="pct12" w:color="auto" w:fill="auto"/>
            <w:vAlign w:val="center"/>
          </w:tcPr>
          <w:p w14:paraId="3C247729"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NOx</w:t>
            </w:r>
          </w:p>
        </w:tc>
        <w:tc>
          <w:tcPr>
            <w:tcW w:w="1216" w:type="dxa"/>
            <w:tcBorders>
              <w:top w:val="single" w:sz="6" w:space="0" w:color="auto"/>
              <w:left w:val="single" w:sz="6" w:space="0" w:color="auto"/>
              <w:bottom w:val="single" w:sz="6" w:space="0" w:color="auto"/>
              <w:right w:val="single" w:sz="6" w:space="0" w:color="auto"/>
            </w:tcBorders>
            <w:shd w:val="pct12" w:color="auto" w:fill="auto"/>
            <w:vAlign w:val="center"/>
          </w:tcPr>
          <w:p w14:paraId="5DFC3B15"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Part (masa)</w:t>
            </w:r>
          </w:p>
        </w:tc>
      </w:tr>
      <w:tr w:rsidR="00DF5012" w:rsidRPr="00BA3592" w14:paraId="268C2D73" w14:textId="77777777">
        <w:trPr>
          <w:cantSplit/>
          <w:trHeight w:val="20"/>
          <w:jc w:val="center"/>
        </w:trPr>
        <w:tc>
          <w:tcPr>
            <w:tcW w:w="3790" w:type="dxa"/>
            <w:tcBorders>
              <w:top w:val="single" w:sz="6" w:space="0" w:color="auto"/>
              <w:left w:val="single" w:sz="6" w:space="0" w:color="auto"/>
              <w:bottom w:val="single" w:sz="6" w:space="0" w:color="auto"/>
              <w:right w:val="single" w:sz="6" w:space="0" w:color="auto"/>
            </w:tcBorders>
            <w:vAlign w:val="center"/>
          </w:tcPr>
          <w:p w14:paraId="57B51F84"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Sistema de post-tratamiento de NOx</w:t>
            </w:r>
          </w:p>
        </w:tc>
        <w:tc>
          <w:tcPr>
            <w:tcW w:w="915" w:type="dxa"/>
            <w:tcBorders>
              <w:top w:val="single" w:sz="6" w:space="0" w:color="auto"/>
              <w:left w:val="single" w:sz="6" w:space="0" w:color="auto"/>
              <w:bottom w:val="single" w:sz="6" w:space="0" w:color="auto"/>
              <w:right w:val="single" w:sz="6" w:space="0" w:color="auto"/>
            </w:tcBorders>
            <w:vAlign w:val="center"/>
          </w:tcPr>
          <w:p w14:paraId="5A86DFEC"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687" w:type="dxa"/>
            <w:tcBorders>
              <w:top w:val="single" w:sz="6" w:space="0" w:color="auto"/>
              <w:left w:val="single" w:sz="6" w:space="0" w:color="auto"/>
              <w:bottom w:val="single" w:sz="6" w:space="0" w:color="auto"/>
              <w:right w:val="single" w:sz="6" w:space="0" w:color="auto"/>
            </w:tcBorders>
            <w:vAlign w:val="center"/>
          </w:tcPr>
          <w:p w14:paraId="034939D4"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579" w:type="dxa"/>
            <w:tcBorders>
              <w:top w:val="single" w:sz="6" w:space="0" w:color="auto"/>
              <w:left w:val="single" w:sz="6" w:space="0" w:color="auto"/>
              <w:bottom w:val="single" w:sz="6" w:space="0" w:color="auto"/>
              <w:right w:val="single" w:sz="6" w:space="0" w:color="auto"/>
            </w:tcBorders>
            <w:vAlign w:val="center"/>
          </w:tcPr>
          <w:p w14:paraId="2B3C2C5E"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1216" w:type="dxa"/>
            <w:tcBorders>
              <w:top w:val="single" w:sz="6" w:space="0" w:color="auto"/>
              <w:left w:val="single" w:sz="6" w:space="0" w:color="auto"/>
              <w:bottom w:val="single" w:sz="6" w:space="0" w:color="auto"/>
              <w:right w:val="single" w:sz="6" w:space="0" w:color="auto"/>
            </w:tcBorders>
            <w:vAlign w:val="center"/>
          </w:tcPr>
          <w:p w14:paraId="3E7EEE63"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r>
      <w:tr w:rsidR="00DF5012" w:rsidRPr="00BA3592" w14:paraId="2484A91F" w14:textId="77777777">
        <w:trPr>
          <w:cantSplit/>
          <w:trHeight w:val="20"/>
          <w:jc w:val="center"/>
        </w:trPr>
        <w:tc>
          <w:tcPr>
            <w:tcW w:w="3790" w:type="dxa"/>
            <w:tcBorders>
              <w:top w:val="single" w:sz="6" w:space="0" w:color="auto"/>
              <w:left w:val="single" w:sz="6" w:space="0" w:color="auto"/>
              <w:bottom w:val="single" w:sz="6" w:space="0" w:color="auto"/>
              <w:right w:val="single" w:sz="6" w:space="0" w:color="auto"/>
            </w:tcBorders>
            <w:vAlign w:val="center"/>
          </w:tcPr>
          <w:p w14:paraId="6AB85450"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Sistema de Filtrado de Partículas (SFP/DPF)</w:t>
            </w:r>
          </w:p>
        </w:tc>
        <w:tc>
          <w:tcPr>
            <w:tcW w:w="915" w:type="dxa"/>
            <w:tcBorders>
              <w:top w:val="single" w:sz="6" w:space="0" w:color="auto"/>
              <w:left w:val="single" w:sz="6" w:space="0" w:color="auto"/>
              <w:bottom w:val="single" w:sz="6" w:space="0" w:color="auto"/>
              <w:right w:val="single" w:sz="6" w:space="0" w:color="auto"/>
            </w:tcBorders>
            <w:vAlign w:val="center"/>
          </w:tcPr>
          <w:p w14:paraId="3C878277"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687" w:type="dxa"/>
            <w:tcBorders>
              <w:top w:val="single" w:sz="6" w:space="0" w:color="auto"/>
              <w:left w:val="single" w:sz="6" w:space="0" w:color="auto"/>
              <w:bottom w:val="single" w:sz="6" w:space="0" w:color="auto"/>
              <w:right w:val="single" w:sz="6" w:space="0" w:color="auto"/>
            </w:tcBorders>
            <w:vAlign w:val="center"/>
          </w:tcPr>
          <w:p w14:paraId="35A4DD4F"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579" w:type="dxa"/>
            <w:tcBorders>
              <w:top w:val="single" w:sz="6" w:space="0" w:color="auto"/>
              <w:left w:val="single" w:sz="6" w:space="0" w:color="auto"/>
              <w:bottom w:val="single" w:sz="6" w:space="0" w:color="auto"/>
              <w:right w:val="single" w:sz="6" w:space="0" w:color="auto"/>
            </w:tcBorders>
            <w:vAlign w:val="center"/>
          </w:tcPr>
          <w:p w14:paraId="10CADD85"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1216" w:type="dxa"/>
            <w:tcBorders>
              <w:top w:val="single" w:sz="6" w:space="0" w:color="auto"/>
              <w:left w:val="single" w:sz="6" w:space="0" w:color="auto"/>
              <w:bottom w:val="single" w:sz="6" w:space="0" w:color="auto"/>
              <w:right w:val="single" w:sz="6" w:space="0" w:color="auto"/>
            </w:tcBorders>
            <w:vAlign w:val="center"/>
          </w:tcPr>
          <w:p w14:paraId="51A0E52C"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0.05/+0.04</w:t>
            </w:r>
          </w:p>
        </w:tc>
      </w:tr>
      <w:tr w:rsidR="00DF5012" w:rsidRPr="00BA3592" w14:paraId="1F806BD4" w14:textId="77777777">
        <w:trPr>
          <w:cantSplit/>
          <w:trHeight w:val="20"/>
          <w:jc w:val="center"/>
        </w:trPr>
        <w:tc>
          <w:tcPr>
            <w:tcW w:w="3790" w:type="dxa"/>
            <w:tcBorders>
              <w:top w:val="single" w:sz="6" w:space="0" w:color="auto"/>
              <w:left w:val="single" w:sz="6" w:space="0" w:color="auto"/>
              <w:bottom w:val="single" w:sz="6" w:space="0" w:color="auto"/>
              <w:right w:val="single" w:sz="6" w:space="0" w:color="auto"/>
            </w:tcBorders>
            <w:vAlign w:val="center"/>
          </w:tcPr>
          <w:p w14:paraId="1058BF77"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Sensores de aire/combustible corriente arriba de los sistemas de post-tratamiento</w:t>
            </w:r>
          </w:p>
        </w:tc>
        <w:tc>
          <w:tcPr>
            <w:tcW w:w="915" w:type="dxa"/>
            <w:tcBorders>
              <w:top w:val="single" w:sz="6" w:space="0" w:color="auto"/>
              <w:left w:val="single" w:sz="6" w:space="0" w:color="auto"/>
              <w:bottom w:val="single" w:sz="6" w:space="0" w:color="auto"/>
              <w:right w:val="single" w:sz="6" w:space="0" w:color="auto"/>
            </w:tcBorders>
            <w:vAlign w:val="center"/>
          </w:tcPr>
          <w:p w14:paraId="37B5EA5C"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687" w:type="dxa"/>
            <w:tcBorders>
              <w:top w:val="single" w:sz="6" w:space="0" w:color="auto"/>
              <w:left w:val="single" w:sz="6" w:space="0" w:color="auto"/>
              <w:bottom w:val="single" w:sz="6" w:space="0" w:color="auto"/>
              <w:right w:val="single" w:sz="6" w:space="0" w:color="auto"/>
            </w:tcBorders>
            <w:vAlign w:val="center"/>
          </w:tcPr>
          <w:p w14:paraId="58EC92C1"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579" w:type="dxa"/>
            <w:tcBorders>
              <w:top w:val="single" w:sz="6" w:space="0" w:color="auto"/>
              <w:left w:val="single" w:sz="6" w:space="0" w:color="auto"/>
              <w:bottom w:val="single" w:sz="6" w:space="0" w:color="auto"/>
              <w:right w:val="single" w:sz="6" w:space="0" w:color="auto"/>
            </w:tcBorders>
            <w:vAlign w:val="center"/>
          </w:tcPr>
          <w:p w14:paraId="06C6CCF6"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1216" w:type="dxa"/>
            <w:tcBorders>
              <w:top w:val="single" w:sz="6" w:space="0" w:color="auto"/>
              <w:left w:val="single" w:sz="6" w:space="0" w:color="auto"/>
              <w:bottom w:val="single" w:sz="6" w:space="0" w:color="auto"/>
              <w:right w:val="single" w:sz="6" w:space="0" w:color="auto"/>
            </w:tcBorders>
            <w:vAlign w:val="center"/>
          </w:tcPr>
          <w:p w14:paraId="13B19A7D"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0.03/+0.02</w:t>
            </w:r>
          </w:p>
        </w:tc>
      </w:tr>
      <w:tr w:rsidR="00DF5012" w:rsidRPr="00BA3592" w14:paraId="566658BF" w14:textId="77777777">
        <w:trPr>
          <w:cantSplit/>
          <w:trHeight w:val="20"/>
          <w:jc w:val="center"/>
        </w:trPr>
        <w:tc>
          <w:tcPr>
            <w:tcW w:w="3790" w:type="dxa"/>
            <w:tcBorders>
              <w:top w:val="single" w:sz="6" w:space="0" w:color="auto"/>
              <w:left w:val="single" w:sz="6" w:space="0" w:color="auto"/>
              <w:bottom w:val="single" w:sz="6" w:space="0" w:color="auto"/>
              <w:right w:val="single" w:sz="6" w:space="0" w:color="auto"/>
            </w:tcBorders>
            <w:vAlign w:val="center"/>
          </w:tcPr>
          <w:p w14:paraId="1CB56342"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Sensores de aire/combustible corriente abajo de los sistemas de post-tratamiento</w:t>
            </w:r>
          </w:p>
        </w:tc>
        <w:tc>
          <w:tcPr>
            <w:tcW w:w="915" w:type="dxa"/>
            <w:tcBorders>
              <w:top w:val="single" w:sz="6" w:space="0" w:color="auto"/>
              <w:left w:val="single" w:sz="6" w:space="0" w:color="auto"/>
              <w:bottom w:val="single" w:sz="6" w:space="0" w:color="auto"/>
              <w:right w:val="single" w:sz="6" w:space="0" w:color="auto"/>
            </w:tcBorders>
            <w:vAlign w:val="center"/>
          </w:tcPr>
          <w:p w14:paraId="75AD9A23"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687" w:type="dxa"/>
            <w:tcBorders>
              <w:top w:val="single" w:sz="6" w:space="0" w:color="auto"/>
              <w:left w:val="single" w:sz="6" w:space="0" w:color="auto"/>
              <w:bottom w:val="single" w:sz="6" w:space="0" w:color="auto"/>
              <w:right w:val="single" w:sz="6" w:space="0" w:color="auto"/>
            </w:tcBorders>
            <w:vAlign w:val="center"/>
          </w:tcPr>
          <w:p w14:paraId="1FFF35A4"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579" w:type="dxa"/>
            <w:tcBorders>
              <w:top w:val="single" w:sz="6" w:space="0" w:color="auto"/>
              <w:left w:val="single" w:sz="6" w:space="0" w:color="auto"/>
              <w:bottom w:val="single" w:sz="6" w:space="0" w:color="auto"/>
              <w:right w:val="single" w:sz="6" w:space="0" w:color="auto"/>
            </w:tcBorders>
            <w:vAlign w:val="center"/>
          </w:tcPr>
          <w:p w14:paraId="1CB9910C"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1216" w:type="dxa"/>
            <w:tcBorders>
              <w:top w:val="single" w:sz="6" w:space="0" w:color="auto"/>
              <w:left w:val="single" w:sz="6" w:space="0" w:color="auto"/>
              <w:bottom w:val="single" w:sz="6" w:space="0" w:color="auto"/>
              <w:right w:val="single" w:sz="6" w:space="0" w:color="auto"/>
            </w:tcBorders>
            <w:vAlign w:val="center"/>
          </w:tcPr>
          <w:p w14:paraId="15FE433E"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0.05/+0.04</w:t>
            </w:r>
          </w:p>
        </w:tc>
      </w:tr>
      <w:tr w:rsidR="00DF5012" w:rsidRPr="00BA3592" w14:paraId="73EEDCF7" w14:textId="77777777">
        <w:trPr>
          <w:cantSplit/>
          <w:trHeight w:val="20"/>
          <w:jc w:val="center"/>
        </w:trPr>
        <w:tc>
          <w:tcPr>
            <w:tcW w:w="3790" w:type="dxa"/>
            <w:tcBorders>
              <w:top w:val="single" w:sz="6" w:space="0" w:color="auto"/>
              <w:left w:val="single" w:sz="6" w:space="0" w:color="auto"/>
              <w:bottom w:val="single" w:sz="6" w:space="0" w:color="auto"/>
              <w:right w:val="single" w:sz="6" w:space="0" w:color="auto"/>
            </w:tcBorders>
            <w:vAlign w:val="center"/>
          </w:tcPr>
          <w:p w14:paraId="2F676C35"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Sensores de NOx</w:t>
            </w:r>
          </w:p>
        </w:tc>
        <w:tc>
          <w:tcPr>
            <w:tcW w:w="915" w:type="dxa"/>
            <w:tcBorders>
              <w:top w:val="single" w:sz="6" w:space="0" w:color="auto"/>
              <w:left w:val="single" w:sz="6" w:space="0" w:color="auto"/>
              <w:bottom w:val="single" w:sz="6" w:space="0" w:color="auto"/>
              <w:right w:val="single" w:sz="6" w:space="0" w:color="auto"/>
            </w:tcBorders>
            <w:vAlign w:val="center"/>
          </w:tcPr>
          <w:p w14:paraId="2DAEF869"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687" w:type="dxa"/>
            <w:tcBorders>
              <w:top w:val="single" w:sz="6" w:space="0" w:color="auto"/>
              <w:left w:val="single" w:sz="6" w:space="0" w:color="auto"/>
              <w:bottom w:val="single" w:sz="6" w:space="0" w:color="auto"/>
              <w:right w:val="single" w:sz="6" w:space="0" w:color="auto"/>
            </w:tcBorders>
            <w:vAlign w:val="center"/>
          </w:tcPr>
          <w:p w14:paraId="2C7C8EBD"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579" w:type="dxa"/>
            <w:tcBorders>
              <w:top w:val="single" w:sz="6" w:space="0" w:color="auto"/>
              <w:left w:val="single" w:sz="6" w:space="0" w:color="auto"/>
              <w:bottom w:val="single" w:sz="6" w:space="0" w:color="auto"/>
              <w:right w:val="single" w:sz="6" w:space="0" w:color="auto"/>
            </w:tcBorders>
            <w:vAlign w:val="center"/>
          </w:tcPr>
          <w:p w14:paraId="417CC426"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1216" w:type="dxa"/>
            <w:tcBorders>
              <w:top w:val="single" w:sz="6" w:space="0" w:color="auto"/>
              <w:left w:val="single" w:sz="6" w:space="0" w:color="auto"/>
              <w:bottom w:val="single" w:sz="6" w:space="0" w:color="auto"/>
              <w:right w:val="single" w:sz="6" w:space="0" w:color="auto"/>
            </w:tcBorders>
            <w:vAlign w:val="center"/>
          </w:tcPr>
          <w:p w14:paraId="6A7DB753"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0.05/+0.04</w:t>
            </w:r>
          </w:p>
        </w:tc>
      </w:tr>
      <w:tr w:rsidR="00DF5012" w:rsidRPr="00BA3592" w14:paraId="01E75926" w14:textId="77777777">
        <w:trPr>
          <w:cantSplit/>
          <w:trHeight w:val="20"/>
          <w:jc w:val="center"/>
        </w:trPr>
        <w:tc>
          <w:tcPr>
            <w:tcW w:w="3790" w:type="dxa"/>
            <w:tcBorders>
              <w:top w:val="single" w:sz="6" w:space="0" w:color="auto"/>
              <w:left w:val="single" w:sz="6" w:space="0" w:color="auto"/>
              <w:bottom w:val="single" w:sz="6" w:space="0" w:color="auto"/>
              <w:right w:val="single" w:sz="6" w:space="0" w:color="auto"/>
            </w:tcBorders>
            <w:vAlign w:val="center"/>
          </w:tcPr>
          <w:p w14:paraId="2D9FEC90"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Otros monitores de límites SDB/OBD</w:t>
            </w:r>
          </w:p>
        </w:tc>
        <w:tc>
          <w:tcPr>
            <w:tcW w:w="915" w:type="dxa"/>
            <w:tcBorders>
              <w:top w:val="single" w:sz="6" w:space="0" w:color="auto"/>
              <w:left w:val="single" w:sz="6" w:space="0" w:color="auto"/>
              <w:bottom w:val="single" w:sz="6" w:space="0" w:color="auto"/>
              <w:right w:val="single" w:sz="6" w:space="0" w:color="auto"/>
            </w:tcBorders>
            <w:vAlign w:val="center"/>
          </w:tcPr>
          <w:p w14:paraId="6B431B77"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687" w:type="dxa"/>
            <w:tcBorders>
              <w:top w:val="single" w:sz="6" w:space="0" w:color="auto"/>
              <w:left w:val="single" w:sz="6" w:space="0" w:color="auto"/>
              <w:bottom w:val="single" w:sz="6" w:space="0" w:color="auto"/>
              <w:right w:val="single" w:sz="6" w:space="0" w:color="auto"/>
            </w:tcBorders>
            <w:vAlign w:val="center"/>
          </w:tcPr>
          <w:p w14:paraId="08818531"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579" w:type="dxa"/>
            <w:tcBorders>
              <w:top w:val="single" w:sz="6" w:space="0" w:color="auto"/>
              <w:left w:val="single" w:sz="6" w:space="0" w:color="auto"/>
              <w:bottom w:val="single" w:sz="6" w:space="0" w:color="auto"/>
              <w:right w:val="single" w:sz="6" w:space="0" w:color="auto"/>
            </w:tcBorders>
            <w:vAlign w:val="center"/>
          </w:tcPr>
          <w:p w14:paraId="6BDF5E13"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1216" w:type="dxa"/>
            <w:tcBorders>
              <w:top w:val="single" w:sz="6" w:space="0" w:color="auto"/>
              <w:left w:val="single" w:sz="6" w:space="0" w:color="auto"/>
              <w:bottom w:val="single" w:sz="6" w:space="0" w:color="auto"/>
              <w:right w:val="single" w:sz="6" w:space="0" w:color="auto"/>
            </w:tcBorders>
            <w:vAlign w:val="center"/>
          </w:tcPr>
          <w:p w14:paraId="7328DE5C"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0.03/+0.02</w:t>
            </w:r>
          </w:p>
        </w:tc>
      </w:tr>
      <w:tr w:rsidR="008A0760" w:rsidRPr="00BA3592" w14:paraId="5272361F" w14:textId="77777777" w:rsidTr="00337D87">
        <w:trPr>
          <w:cantSplit/>
          <w:trHeight w:val="20"/>
          <w:jc w:val="center"/>
        </w:trPr>
        <w:tc>
          <w:tcPr>
            <w:tcW w:w="7187" w:type="dxa"/>
            <w:gridSpan w:val="5"/>
            <w:tcBorders>
              <w:top w:val="single" w:sz="6" w:space="0" w:color="auto"/>
              <w:left w:val="single" w:sz="6" w:space="0" w:color="auto"/>
              <w:bottom w:val="single" w:sz="6" w:space="0" w:color="auto"/>
              <w:right w:val="single" w:sz="6" w:space="0" w:color="auto"/>
            </w:tcBorders>
            <w:vAlign w:val="center"/>
          </w:tcPr>
          <w:p w14:paraId="2353C5AC" w14:textId="77777777" w:rsidR="008A0760" w:rsidRPr="00BA3592" w:rsidRDefault="008A0760" w:rsidP="008A0760">
            <w:pPr>
              <w:pStyle w:val="Texto"/>
              <w:spacing w:line="222" w:lineRule="exact"/>
              <w:ind w:left="792" w:firstLine="0"/>
              <w:rPr>
                <w:rFonts w:ascii="Verdana" w:hAnsi="Verdana"/>
                <w:sz w:val="16"/>
                <w:szCs w:val="16"/>
                <w:lang w:val="es-ES_tradnl"/>
              </w:rPr>
            </w:pPr>
            <w:r w:rsidRPr="00BA3592">
              <w:rPr>
                <w:rFonts w:ascii="Verdana" w:hAnsi="Verdana"/>
                <w:sz w:val="16"/>
                <w:szCs w:val="16"/>
                <w:lang w:val="es-ES_tradnl"/>
              </w:rPr>
              <w:t>Nota:</w:t>
            </w:r>
          </w:p>
          <w:p w14:paraId="5FD31A2C" w14:textId="77777777" w:rsidR="008A0760" w:rsidRPr="00BA3592" w:rsidRDefault="008A0760" w:rsidP="008A0760">
            <w:pPr>
              <w:pStyle w:val="Texto"/>
              <w:spacing w:line="222" w:lineRule="exact"/>
              <w:ind w:left="1152" w:right="864" w:hanging="360"/>
              <w:rPr>
                <w:rFonts w:ascii="Verdana" w:hAnsi="Verdana"/>
                <w:sz w:val="16"/>
                <w:szCs w:val="16"/>
                <w:lang w:val="es-ES_tradnl"/>
              </w:rPr>
            </w:pPr>
            <w:r w:rsidRPr="00BA3592">
              <w:rPr>
                <w:rFonts w:ascii="Verdana" w:hAnsi="Verdana"/>
                <w:sz w:val="16"/>
                <w:szCs w:val="16"/>
                <w:lang w:val="es-ES_tradnl"/>
              </w:rPr>
              <w:t>1.</w:t>
            </w:r>
            <w:r w:rsidRPr="00BA3592">
              <w:rPr>
                <w:rFonts w:ascii="Verdana" w:hAnsi="Verdana"/>
                <w:sz w:val="16"/>
                <w:szCs w:val="16"/>
                <w:lang w:val="es-ES_tradnl"/>
              </w:rPr>
              <w:tab/>
              <w:t>2X, es un múltiplo de 2, para las emisiones estándar correspondientes o límite de las emisiones de la familia (LEF, o FEL, por sus siglas en inglés) + 0.3 significa la norma o LEF/FEL más 0,3 g/bhp-h; 0,05/+0,04 significa un nivel absoluto de 0,05 g/bhp-h o un nivel de aditivo de la norma o LEF/FEL más 0.04 g/bhp-h, si este nivel es más alto y 0.03/+0.02 significa un nivel absoluto de 0,03 g/bhp-h o un nivel de aditivo de la norma o LEF/FEL más 0.02 g/bhp-h, si este nivel es más alto.</w:t>
            </w:r>
          </w:p>
          <w:p w14:paraId="409FEDCA" w14:textId="77777777" w:rsidR="008A0760" w:rsidRPr="00BA3592" w:rsidRDefault="008A0760" w:rsidP="00931F51">
            <w:pPr>
              <w:pStyle w:val="Texto"/>
              <w:spacing w:before="40" w:after="40" w:line="222" w:lineRule="exact"/>
              <w:ind w:firstLine="0"/>
              <w:jc w:val="center"/>
              <w:rPr>
                <w:rFonts w:ascii="Verdana" w:hAnsi="Verdana"/>
                <w:sz w:val="16"/>
                <w:szCs w:val="16"/>
                <w:lang w:val="es-ES_tradnl"/>
              </w:rPr>
            </w:pPr>
          </w:p>
        </w:tc>
      </w:tr>
    </w:tbl>
    <w:p w14:paraId="02933801" w14:textId="77777777" w:rsidR="00DF5012" w:rsidRDefault="00DF5012" w:rsidP="008A0760">
      <w:pPr>
        <w:pStyle w:val="Texto"/>
        <w:spacing w:line="220" w:lineRule="exact"/>
        <w:rPr>
          <w:rFonts w:ascii="Verdana" w:hAnsi="Verdana"/>
          <w:sz w:val="16"/>
          <w:szCs w:val="16"/>
          <w:lang w:val="es-ES_tradnl"/>
        </w:rPr>
      </w:pPr>
    </w:p>
    <w:p w14:paraId="64D831B0" w14:textId="77777777" w:rsidR="00BD076C" w:rsidRPr="008A0760" w:rsidRDefault="00BD076C" w:rsidP="00BD076C">
      <w:pPr>
        <w:spacing w:after="101" w:line="222" w:lineRule="atLeast"/>
        <w:jc w:val="center"/>
        <w:rPr>
          <w:lang w:val="en-US" w:eastAsia="en-US"/>
        </w:rPr>
      </w:pPr>
      <w:r w:rsidRPr="008A0760">
        <w:rPr>
          <w:rFonts w:ascii="Verdana" w:hAnsi="Verdana"/>
          <w:b/>
          <w:bCs/>
          <w:sz w:val="16"/>
          <w:szCs w:val="16"/>
          <w:lang w:val="en-US" w:eastAsia="en-US"/>
        </w:rPr>
        <w:t>Table A.3</w:t>
      </w:r>
      <w:r w:rsidRPr="008A0760">
        <w:rPr>
          <w:lang w:val="en-US" w:eastAsia="en-US"/>
        </w:rPr>
        <w:t xml:space="preserve"> </w:t>
      </w:r>
    </w:p>
    <w:tbl>
      <w:tblPr>
        <w:tblW w:w="7187" w:type="dxa"/>
        <w:jc w:val="center"/>
        <w:tblCellMar>
          <w:left w:w="0" w:type="dxa"/>
          <w:right w:w="0" w:type="dxa"/>
        </w:tblCellMar>
        <w:tblLook w:val="04A0" w:firstRow="1" w:lastRow="0" w:firstColumn="1" w:lastColumn="0" w:noHBand="0" w:noVBand="1"/>
      </w:tblPr>
      <w:tblGrid>
        <w:gridCol w:w="3790"/>
        <w:gridCol w:w="915"/>
        <w:gridCol w:w="687"/>
        <w:gridCol w:w="579"/>
        <w:gridCol w:w="1216"/>
      </w:tblGrid>
      <w:tr w:rsidR="00BD076C" w:rsidRPr="008A0760" w14:paraId="62DA5C4A" w14:textId="77777777" w:rsidTr="00496E77">
        <w:trPr>
          <w:trHeight w:val="20"/>
          <w:jc w:val="center"/>
        </w:trPr>
        <w:tc>
          <w:tcPr>
            <w:tcW w:w="379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54F7170A" w14:textId="77777777" w:rsidR="00BD076C" w:rsidRPr="008A0760" w:rsidRDefault="00BD076C" w:rsidP="00496E77">
            <w:pPr>
              <w:spacing w:before="40" w:after="40" w:line="222" w:lineRule="atLeast"/>
              <w:jc w:val="center"/>
              <w:rPr>
                <w:lang w:val="en-US" w:eastAsia="en-US"/>
              </w:rPr>
            </w:pPr>
            <w:r w:rsidRPr="008A0760">
              <w:rPr>
                <w:rFonts w:ascii="Verdana" w:hAnsi="Verdana"/>
                <w:b/>
                <w:bCs/>
                <w:sz w:val="16"/>
                <w:szCs w:val="16"/>
                <w:lang w:val="en-US" w:eastAsia="en-US"/>
              </w:rPr>
              <w:t>Display</w:t>
            </w:r>
            <w:r w:rsidRPr="008A0760">
              <w:rPr>
                <w:lang w:val="en-US" w:eastAsia="en-US"/>
              </w:rPr>
              <w:t xml:space="preserve"> </w:t>
            </w:r>
          </w:p>
        </w:tc>
        <w:tc>
          <w:tcPr>
            <w:tcW w:w="915"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263BACE8" w14:textId="77777777" w:rsidR="00BD076C" w:rsidRPr="008A0760" w:rsidRDefault="00BD076C" w:rsidP="00496E77">
            <w:pPr>
              <w:spacing w:before="40" w:after="40" w:line="222" w:lineRule="atLeast"/>
              <w:jc w:val="center"/>
              <w:rPr>
                <w:lang w:val="en-US" w:eastAsia="en-US"/>
              </w:rPr>
            </w:pPr>
            <w:r w:rsidRPr="008A0760">
              <w:rPr>
                <w:rFonts w:ascii="Verdana" w:hAnsi="Verdana"/>
                <w:b/>
                <w:bCs/>
                <w:sz w:val="16"/>
                <w:szCs w:val="16"/>
                <w:lang w:val="en-US" w:eastAsia="en-US"/>
              </w:rPr>
              <w:t>HCNM</w:t>
            </w:r>
            <w:r w:rsidRPr="008A0760">
              <w:rPr>
                <w:lang w:val="en-US" w:eastAsia="en-US"/>
              </w:rPr>
              <w:t xml:space="preserve"> </w:t>
            </w:r>
            <w:r w:rsidRPr="008A0760">
              <w:rPr>
                <w:rFonts w:ascii="Verdana" w:hAnsi="Verdana"/>
                <w:b/>
                <w:bCs/>
                <w:sz w:val="11"/>
                <w:szCs w:val="11"/>
                <w:vertAlign w:val="superscript"/>
                <w:lang w:val="en-US" w:eastAsia="en-US"/>
              </w:rPr>
              <w:t>(</w:t>
            </w:r>
            <w:r w:rsidRPr="008A0760">
              <w:rPr>
                <w:lang w:val="en-US" w:eastAsia="en-US"/>
              </w:rPr>
              <w:t xml:space="preserve"> </w:t>
            </w:r>
            <w:r w:rsidRPr="008A0760">
              <w:rPr>
                <w:rFonts w:ascii="Verdana" w:hAnsi="Verdana"/>
                <w:b/>
                <w:bCs/>
                <w:sz w:val="11"/>
                <w:szCs w:val="11"/>
                <w:vertAlign w:val="superscript"/>
                <w:lang w:val="en-US" w:eastAsia="en-US"/>
              </w:rPr>
              <w:t>1)</w:t>
            </w:r>
            <w:r w:rsidRPr="008A0760">
              <w:rPr>
                <w:lang w:val="en-US" w:eastAsia="en-US"/>
              </w:rPr>
              <w:t xml:space="preserve"> </w:t>
            </w:r>
          </w:p>
        </w:tc>
        <w:tc>
          <w:tcPr>
            <w:tcW w:w="687"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5A6504B1" w14:textId="77777777" w:rsidR="00BD076C" w:rsidRPr="008A0760" w:rsidRDefault="00BD076C" w:rsidP="00496E77">
            <w:pPr>
              <w:spacing w:before="40" w:after="40" w:line="222" w:lineRule="atLeast"/>
              <w:jc w:val="center"/>
              <w:rPr>
                <w:lang w:val="en-US" w:eastAsia="en-US"/>
              </w:rPr>
            </w:pPr>
            <w:r w:rsidRPr="008A0760">
              <w:rPr>
                <w:rFonts w:ascii="Verdana" w:hAnsi="Verdana"/>
                <w:b/>
                <w:bCs/>
                <w:sz w:val="16"/>
                <w:szCs w:val="16"/>
                <w:lang w:val="en-US" w:eastAsia="en-US"/>
              </w:rPr>
              <w:t>CO</w:t>
            </w:r>
            <w:r w:rsidRPr="008A0760">
              <w:rPr>
                <w:lang w:val="en-US" w:eastAsia="en-US"/>
              </w:rPr>
              <w:t xml:space="preserve"> </w:t>
            </w:r>
          </w:p>
        </w:tc>
        <w:tc>
          <w:tcPr>
            <w:tcW w:w="579"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7071CDEB" w14:textId="77777777" w:rsidR="00BD076C" w:rsidRPr="008A0760" w:rsidRDefault="00BD076C" w:rsidP="00496E77">
            <w:pPr>
              <w:spacing w:before="40" w:after="40" w:line="222" w:lineRule="atLeast"/>
              <w:jc w:val="center"/>
              <w:rPr>
                <w:lang w:val="en-US" w:eastAsia="en-US"/>
              </w:rPr>
            </w:pPr>
            <w:r w:rsidRPr="008A0760">
              <w:rPr>
                <w:rFonts w:ascii="Verdana" w:hAnsi="Verdana"/>
                <w:b/>
                <w:bCs/>
                <w:sz w:val="16"/>
                <w:szCs w:val="16"/>
                <w:lang w:val="en-US" w:eastAsia="en-US"/>
              </w:rPr>
              <w:t>NOx</w:t>
            </w:r>
            <w:r w:rsidRPr="008A0760">
              <w:rPr>
                <w:lang w:val="en-US" w:eastAsia="en-US"/>
              </w:rPr>
              <w:t xml:space="preserve"> </w:t>
            </w:r>
          </w:p>
        </w:tc>
        <w:tc>
          <w:tcPr>
            <w:tcW w:w="1216"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58F5A57C" w14:textId="77777777" w:rsidR="00BD076C" w:rsidRPr="008A0760" w:rsidRDefault="00BD076C" w:rsidP="00496E77">
            <w:pPr>
              <w:spacing w:before="40" w:after="40" w:line="222" w:lineRule="atLeast"/>
              <w:jc w:val="center"/>
              <w:rPr>
                <w:lang w:val="en-US" w:eastAsia="en-US"/>
              </w:rPr>
            </w:pPr>
            <w:r w:rsidRPr="008A0760">
              <w:rPr>
                <w:rFonts w:ascii="Verdana" w:hAnsi="Verdana"/>
                <w:b/>
                <w:bCs/>
                <w:sz w:val="16"/>
                <w:szCs w:val="16"/>
                <w:lang w:val="en-US" w:eastAsia="en-US"/>
              </w:rPr>
              <w:t>Part</w:t>
            </w:r>
            <w:r w:rsidRPr="008A0760">
              <w:rPr>
                <w:lang w:val="en-US" w:eastAsia="en-US"/>
              </w:rPr>
              <w:t xml:space="preserve"> </w:t>
            </w:r>
            <w:r w:rsidRPr="008A0760">
              <w:rPr>
                <w:rFonts w:ascii="Verdana" w:hAnsi="Verdana"/>
                <w:b/>
                <w:bCs/>
                <w:sz w:val="16"/>
                <w:szCs w:val="16"/>
                <w:lang w:val="en-US" w:eastAsia="en-US"/>
              </w:rPr>
              <w:t>(mass)</w:t>
            </w:r>
            <w:r w:rsidRPr="008A0760">
              <w:rPr>
                <w:lang w:val="en-US" w:eastAsia="en-US"/>
              </w:rPr>
              <w:t xml:space="preserve"> </w:t>
            </w:r>
          </w:p>
        </w:tc>
      </w:tr>
      <w:tr w:rsidR="00BD076C" w:rsidRPr="008A0760" w14:paraId="53AF67F6" w14:textId="77777777" w:rsidTr="00496E77">
        <w:trPr>
          <w:trHeight w:val="20"/>
          <w:jc w:val="center"/>
        </w:trPr>
        <w:tc>
          <w:tcPr>
            <w:tcW w:w="37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135F58" w14:textId="77777777" w:rsidR="00BD076C" w:rsidRPr="008A0760" w:rsidRDefault="00BD076C" w:rsidP="00496E77">
            <w:pPr>
              <w:spacing w:before="40" w:after="40" w:line="222" w:lineRule="atLeast"/>
              <w:jc w:val="both"/>
              <w:rPr>
                <w:lang w:val="en-US" w:eastAsia="en-US"/>
              </w:rPr>
            </w:pPr>
            <w:r w:rsidRPr="008A0760">
              <w:rPr>
                <w:rFonts w:ascii="Verdana" w:hAnsi="Verdana"/>
                <w:sz w:val="16"/>
                <w:szCs w:val="16"/>
                <w:lang w:val="en-US" w:eastAsia="en-US"/>
              </w:rPr>
              <w:t>NOx</w:t>
            </w:r>
            <w:r w:rsidRPr="008A0760">
              <w:rPr>
                <w:lang w:val="en-US" w:eastAsia="en-US"/>
              </w:rPr>
              <w:t xml:space="preserve"> </w:t>
            </w:r>
            <w:r w:rsidRPr="008A0760">
              <w:rPr>
                <w:rFonts w:ascii="Verdana" w:hAnsi="Verdana"/>
                <w:sz w:val="16"/>
                <w:szCs w:val="16"/>
                <w:lang w:val="en-US" w:eastAsia="en-US"/>
              </w:rPr>
              <w:t>post-treatment system</w:t>
            </w:r>
            <w:r w:rsidRPr="008A0760">
              <w:rPr>
                <w:lang w:val="en-US" w:eastAsia="en-US"/>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83D9259"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6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D246960"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5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8EB6A42"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12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582C7B"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r>
      <w:tr w:rsidR="00BD076C" w:rsidRPr="008A0760" w14:paraId="78D90C47" w14:textId="77777777" w:rsidTr="00496E77">
        <w:trPr>
          <w:trHeight w:val="20"/>
          <w:jc w:val="center"/>
        </w:trPr>
        <w:tc>
          <w:tcPr>
            <w:tcW w:w="37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B343D2F" w14:textId="77777777" w:rsidR="00BD076C" w:rsidRPr="008A0760" w:rsidRDefault="00BD076C" w:rsidP="00496E77">
            <w:pPr>
              <w:spacing w:before="40" w:after="40" w:line="222" w:lineRule="atLeast"/>
              <w:jc w:val="both"/>
              <w:rPr>
                <w:lang w:val="en-US" w:eastAsia="en-US"/>
              </w:rPr>
            </w:pPr>
            <w:r w:rsidRPr="008A0760">
              <w:rPr>
                <w:rFonts w:ascii="Verdana" w:hAnsi="Verdana"/>
                <w:sz w:val="16"/>
                <w:szCs w:val="16"/>
                <w:lang w:val="en-US" w:eastAsia="en-US"/>
              </w:rPr>
              <w:t>Particle Filtration System (</w:t>
            </w:r>
            <w:r>
              <w:rPr>
                <w:rFonts w:ascii="Verdana" w:hAnsi="Verdana"/>
                <w:sz w:val="16"/>
                <w:szCs w:val="16"/>
                <w:lang w:val="en-US" w:eastAsia="en-US"/>
              </w:rPr>
              <w:t>SFP/DPF</w:t>
            </w:r>
            <w:r w:rsidRPr="008A0760">
              <w:rPr>
                <w:rFonts w:ascii="Verdana" w:hAnsi="Verdana"/>
                <w:sz w:val="16"/>
                <w:szCs w:val="16"/>
                <w:lang w:val="en-US" w:eastAsia="en-US"/>
              </w:rPr>
              <w:t>)</w:t>
            </w:r>
            <w:r w:rsidRPr="008A0760">
              <w:rPr>
                <w:lang w:val="en-US" w:eastAsia="en-US"/>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E1BEE5E"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6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0947220"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5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EB17B5"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12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F94BAD"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0.05 / + 0.04</w:t>
            </w:r>
            <w:r w:rsidRPr="008A0760">
              <w:rPr>
                <w:lang w:val="en-US" w:eastAsia="en-US"/>
              </w:rPr>
              <w:t xml:space="preserve"> </w:t>
            </w:r>
          </w:p>
        </w:tc>
      </w:tr>
      <w:tr w:rsidR="00BD076C" w:rsidRPr="008A0760" w14:paraId="203CBE4E" w14:textId="77777777" w:rsidTr="00496E77">
        <w:trPr>
          <w:trHeight w:val="20"/>
          <w:jc w:val="center"/>
        </w:trPr>
        <w:tc>
          <w:tcPr>
            <w:tcW w:w="37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9B8F74E" w14:textId="77777777" w:rsidR="00BD076C" w:rsidRPr="008A0760" w:rsidRDefault="00BD076C" w:rsidP="00496E77">
            <w:pPr>
              <w:spacing w:before="40" w:after="40" w:line="222" w:lineRule="atLeast"/>
              <w:jc w:val="both"/>
              <w:rPr>
                <w:lang w:val="en-US" w:eastAsia="en-US"/>
              </w:rPr>
            </w:pPr>
            <w:r w:rsidRPr="008A0760">
              <w:rPr>
                <w:rFonts w:ascii="Verdana" w:hAnsi="Verdana"/>
                <w:sz w:val="16"/>
                <w:szCs w:val="16"/>
                <w:lang w:val="en-US" w:eastAsia="en-US"/>
              </w:rPr>
              <w:t>Air / fuel sensors upstream of post-treatment systems</w:t>
            </w:r>
            <w:r w:rsidRPr="008A0760">
              <w:rPr>
                <w:lang w:val="en-US" w:eastAsia="en-US"/>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F43A64"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6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F70B3A5"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5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1A885F3"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12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927A049"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0.03 / + 0.02</w:t>
            </w:r>
            <w:r w:rsidRPr="008A0760">
              <w:rPr>
                <w:lang w:val="en-US" w:eastAsia="en-US"/>
              </w:rPr>
              <w:t xml:space="preserve"> </w:t>
            </w:r>
          </w:p>
        </w:tc>
      </w:tr>
      <w:tr w:rsidR="00BD076C" w:rsidRPr="008A0760" w14:paraId="2E563048" w14:textId="77777777" w:rsidTr="00496E77">
        <w:trPr>
          <w:trHeight w:val="20"/>
          <w:jc w:val="center"/>
        </w:trPr>
        <w:tc>
          <w:tcPr>
            <w:tcW w:w="37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55D6923" w14:textId="77777777" w:rsidR="00BD076C" w:rsidRPr="008A0760" w:rsidRDefault="00BD076C" w:rsidP="00496E77">
            <w:pPr>
              <w:spacing w:before="40" w:after="40" w:line="222" w:lineRule="atLeast"/>
              <w:jc w:val="both"/>
              <w:rPr>
                <w:lang w:val="en-US" w:eastAsia="en-US"/>
              </w:rPr>
            </w:pPr>
            <w:r w:rsidRPr="008A0760">
              <w:rPr>
                <w:rFonts w:ascii="Verdana" w:hAnsi="Verdana"/>
                <w:sz w:val="16"/>
                <w:szCs w:val="16"/>
                <w:lang w:val="en-US" w:eastAsia="en-US"/>
              </w:rPr>
              <w:t>Air / fuel sensors downstream of post-treatment systems</w:t>
            </w:r>
            <w:r w:rsidRPr="008A0760">
              <w:rPr>
                <w:lang w:val="en-US" w:eastAsia="en-US"/>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974365"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6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01782B"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5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6BFAD6"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12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D82CF44"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0.05 / + 0.04</w:t>
            </w:r>
            <w:r w:rsidRPr="008A0760">
              <w:rPr>
                <w:lang w:val="en-US" w:eastAsia="en-US"/>
              </w:rPr>
              <w:t xml:space="preserve"> </w:t>
            </w:r>
          </w:p>
        </w:tc>
      </w:tr>
      <w:tr w:rsidR="00BD076C" w:rsidRPr="008A0760" w14:paraId="681E1F7B" w14:textId="77777777" w:rsidTr="00496E77">
        <w:trPr>
          <w:trHeight w:val="20"/>
          <w:jc w:val="center"/>
        </w:trPr>
        <w:tc>
          <w:tcPr>
            <w:tcW w:w="37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B87060F" w14:textId="77777777" w:rsidR="00BD076C" w:rsidRPr="008A0760" w:rsidRDefault="00BD076C" w:rsidP="00496E77">
            <w:pPr>
              <w:spacing w:before="40" w:after="40" w:line="222" w:lineRule="atLeast"/>
              <w:jc w:val="both"/>
              <w:rPr>
                <w:lang w:val="en-US" w:eastAsia="en-US"/>
              </w:rPr>
            </w:pPr>
            <w:r w:rsidRPr="008A0760">
              <w:rPr>
                <w:rFonts w:ascii="Verdana" w:hAnsi="Verdana"/>
                <w:sz w:val="16"/>
                <w:szCs w:val="16"/>
                <w:lang w:val="en-US" w:eastAsia="en-US"/>
              </w:rPr>
              <w:t>NOx</w:t>
            </w:r>
            <w:r w:rsidRPr="008A0760">
              <w:rPr>
                <w:lang w:val="en-US" w:eastAsia="en-US"/>
              </w:rPr>
              <w:t xml:space="preserve"> </w:t>
            </w:r>
            <w:r w:rsidRPr="008A0760">
              <w:rPr>
                <w:rFonts w:ascii="Verdana" w:hAnsi="Verdana"/>
                <w:sz w:val="16"/>
                <w:szCs w:val="16"/>
                <w:lang w:val="en-US" w:eastAsia="en-US"/>
              </w:rPr>
              <w:t>sensors</w:t>
            </w:r>
            <w:r w:rsidRPr="008A0760">
              <w:rPr>
                <w:lang w:val="en-US" w:eastAsia="en-US"/>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600475D"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6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BE936E"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5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12A91DF"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12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92AC040"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0.05 / + 0.04</w:t>
            </w:r>
            <w:r w:rsidRPr="008A0760">
              <w:rPr>
                <w:lang w:val="en-US" w:eastAsia="en-US"/>
              </w:rPr>
              <w:t xml:space="preserve"> </w:t>
            </w:r>
          </w:p>
        </w:tc>
      </w:tr>
      <w:tr w:rsidR="00BD076C" w:rsidRPr="008A0760" w14:paraId="378F1F32" w14:textId="77777777" w:rsidTr="00496E77">
        <w:trPr>
          <w:trHeight w:val="20"/>
          <w:jc w:val="center"/>
        </w:trPr>
        <w:tc>
          <w:tcPr>
            <w:tcW w:w="3790"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6AA8F6B" w14:textId="77777777" w:rsidR="00BD076C" w:rsidRPr="008A0760" w:rsidRDefault="00BD076C" w:rsidP="00496E77">
            <w:pPr>
              <w:spacing w:before="40" w:after="40" w:line="222" w:lineRule="atLeast"/>
              <w:jc w:val="both"/>
              <w:rPr>
                <w:lang w:val="en-US" w:eastAsia="en-US"/>
              </w:rPr>
            </w:pPr>
            <w:r w:rsidRPr="008A0760">
              <w:rPr>
                <w:rFonts w:ascii="Verdana" w:hAnsi="Verdana"/>
                <w:sz w:val="16"/>
                <w:szCs w:val="16"/>
                <w:lang w:val="en-US" w:eastAsia="en-US"/>
              </w:rPr>
              <w:lastRenderedPageBreak/>
              <w:t xml:space="preserve">Other </w:t>
            </w:r>
            <w:r>
              <w:rPr>
                <w:rFonts w:ascii="Verdana" w:hAnsi="Verdana"/>
                <w:sz w:val="16"/>
                <w:szCs w:val="16"/>
                <w:lang w:val="en-US" w:eastAsia="en-US"/>
              </w:rPr>
              <w:t>SDB/OBD</w:t>
            </w:r>
            <w:r w:rsidRPr="008A0760">
              <w:rPr>
                <w:rFonts w:ascii="Verdana" w:hAnsi="Verdana"/>
                <w:sz w:val="16"/>
                <w:szCs w:val="16"/>
                <w:lang w:val="en-US" w:eastAsia="en-US"/>
              </w:rPr>
              <w:t xml:space="preserve"> limits monitors</w:t>
            </w:r>
            <w:r w:rsidRPr="008A0760">
              <w:rPr>
                <w:lang w:val="en-US" w:eastAsia="en-US"/>
              </w:rPr>
              <w:t xml:space="preserve"> </w:t>
            </w:r>
          </w:p>
        </w:tc>
        <w:tc>
          <w:tcPr>
            <w:tcW w:w="91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84CDEA1"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68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8058965"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57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774EFC4"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1216"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C1EE049"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0.03 / + 0.02</w:t>
            </w:r>
            <w:r w:rsidRPr="008A0760">
              <w:rPr>
                <w:lang w:val="en-US" w:eastAsia="en-US"/>
              </w:rPr>
              <w:t xml:space="preserve"> </w:t>
            </w:r>
          </w:p>
        </w:tc>
      </w:tr>
      <w:tr w:rsidR="00BD076C" w:rsidRPr="00743A20" w14:paraId="54238DD3" w14:textId="77777777" w:rsidTr="00496E77">
        <w:trPr>
          <w:trHeight w:val="20"/>
          <w:jc w:val="center"/>
        </w:trPr>
        <w:tc>
          <w:tcPr>
            <w:tcW w:w="7187"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8AC905E" w14:textId="77777777" w:rsidR="00BD076C" w:rsidRPr="008A0760" w:rsidRDefault="00BD076C" w:rsidP="00496E77">
            <w:pPr>
              <w:spacing w:after="101" w:line="222" w:lineRule="atLeast"/>
              <w:ind w:left="792"/>
              <w:jc w:val="both"/>
              <w:rPr>
                <w:lang w:val="en-US" w:eastAsia="en-US"/>
              </w:rPr>
            </w:pPr>
            <w:r w:rsidRPr="008A0760">
              <w:rPr>
                <w:rFonts w:ascii="Verdana" w:hAnsi="Verdana"/>
                <w:sz w:val="16"/>
                <w:szCs w:val="16"/>
                <w:lang w:val="en-US" w:eastAsia="en-US"/>
              </w:rPr>
              <w:t>Note:</w:t>
            </w:r>
            <w:r w:rsidRPr="008A0760">
              <w:rPr>
                <w:lang w:val="en-US" w:eastAsia="en-US"/>
              </w:rPr>
              <w:t xml:space="preserve"> </w:t>
            </w:r>
          </w:p>
          <w:p w14:paraId="5F2B1966" w14:textId="77777777" w:rsidR="00BD076C" w:rsidRPr="008A0760" w:rsidRDefault="00BD076C" w:rsidP="00496E77">
            <w:pPr>
              <w:spacing w:after="101" w:line="222" w:lineRule="atLeast"/>
              <w:ind w:left="792" w:right="864" w:hanging="360"/>
              <w:jc w:val="both"/>
              <w:rPr>
                <w:lang w:val="en-US" w:eastAsia="en-US"/>
              </w:rPr>
            </w:pPr>
            <w:r w:rsidRPr="008A0760">
              <w:rPr>
                <w:rFonts w:ascii="Verdana" w:hAnsi="Verdana"/>
                <w:sz w:val="16"/>
                <w:szCs w:val="16"/>
                <w:lang w:val="en-US" w:eastAsia="en-US"/>
              </w:rPr>
              <w:t>1.</w:t>
            </w:r>
            <w:r w:rsidRPr="008A0760">
              <w:rPr>
                <w:lang w:val="en-US" w:eastAsia="en-US"/>
              </w:rPr>
              <w:t xml:space="preserve"> </w:t>
            </w:r>
            <w:r w:rsidRPr="008A0760">
              <w:rPr>
                <w:rFonts w:ascii="Verdana" w:hAnsi="Verdana"/>
                <w:sz w:val="16"/>
                <w:szCs w:val="16"/>
                <w:lang w:val="en-US" w:eastAsia="en-US"/>
              </w:rPr>
              <w:t>              2X, is a multiple of 2, for the corresponding standard emissions or limit of family emissions (LEF, or FEL, for its acronym in English) + 0.3 means the standard or LEF/FEL plus 0.3 g /</w:t>
            </w:r>
            <w:r w:rsidRPr="008A0760">
              <w:rPr>
                <w:lang w:val="en-US" w:eastAsia="en-US"/>
              </w:rPr>
              <w:t xml:space="preserve"> </w:t>
            </w:r>
            <w:r w:rsidRPr="008A0760">
              <w:rPr>
                <w:rFonts w:ascii="Verdana" w:hAnsi="Verdana"/>
                <w:sz w:val="16"/>
                <w:szCs w:val="16"/>
                <w:lang w:val="en-US" w:eastAsia="en-US"/>
              </w:rPr>
              <w:t>bhp</w:t>
            </w:r>
            <w:r w:rsidRPr="008A0760">
              <w:rPr>
                <w:lang w:val="en-US" w:eastAsia="en-US"/>
              </w:rPr>
              <w:t xml:space="preserve"> </w:t>
            </w:r>
            <w:r w:rsidRPr="008A0760">
              <w:rPr>
                <w:rFonts w:ascii="Verdana" w:hAnsi="Verdana"/>
                <w:sz w:val="16"/>
                <w:szCs w:val="16"/>
                <w:lang w:val="en-US" w:eastAsia="en-US"/>
              </w:rPr>
              <w:t>- h;</w:t>
            </w:r>
            <w:r w:rsidRPr="008A0760">
              <w:rPr>
                <w:lang w:val="en-US" w:eastAsia="en-US"/>
              </w:rPr>
              <w:t xml:space="preserve"> </w:t>
            </w:r>
            <w:r w:rsidRPr="008A0760">
              <w:rPr>
                <w:rFonts w:ascii="Verdana" w:hAnsi="Verdana"/>
                <w:sz w:val="16"/>
                <w:szCs w:val="16"/>
                <w:lang w:val="en-US" w:eastAsia="en-US"/>
              </w:rPr>
              <w:t>0.05/ + 0.04 means an absolute level of 0.05 g /</w:t>
            </w:r>
            <w:r w:rsidRPr="008A0760">
              <w:rPr>
                <w:lang w:val="en-US" w:eastAsia="en-US"/>
              </w:rPr>
              <w:t xml:space="preserve"> </w:t>
            </w:r>
            <w:r w:rsidRPr="008A0760">
              <w:rPr>
                <w:rFonts w:ascii="Verdana" w:hAnsi="Verdana"/>
                <w:sz w:val="16"/>
                <w:szCs w:val="16"/>
                <w:lang w:val="en-US" w:eastAsia="en-US"/>
              </w:rPr>
              <w:t>bhp</w:t>
            </w:r>
            <w:r w:rsidRPr="008A0760">
              <w:rPr>
                <w:lang w:val="en-US" w:eastAsia="en-US"/>
              </w:rPr>
              <w:t xml:space="preserve"> </w:t>
            </w:r>
            <w:r w:rsidRPr="008A0760">
              <w:rPr>
                <w:rFonts w:ascii="Verdana" w:hAnsi="Verdana"/>
                <w:sz w:val="16"/>
                <w:szCs w:val="16"/>
                <w:lang w:val="en-US" w:eastAsia="en-US"/>
              </w:rPr>
              <w:t>-h or an additive level of the standard or LEF/FEL plus 0.04 g /</w:t>
            </w:r>
            <w:r w:rsidRPr="008A0760">
              <w:rPr>
                <w:lang w:val="en-US" w:eastAsia="en-US"/>
              </w:rPr>
              <w:t xml:space="preserve"> </w:t>
            </w:r>
            <w:r w:rsidRPr="008A0760">
              <w:rPr>
                <w:rFonts w:ascii="Verdana" w:hAnsi="Verdana"/>
                <w:sz w:val="16"/>
                <w:szCs w:val="16"/>
                <w:lang w:val="en-US" w:eastAsia="en-US"/>
              </w:rPr>
              <w:t>bhp</w:t>
            </w:r>
            <w:r w:rsidRPr="008A0760">
              <w:rPr>
                <w:lang w:val="en-US" w:eastAsia="en-US"/>
              </w:rPr>
              <w:t xml:space="preserve"> </w:t>
            </w:r>
            <w:r w:rsidRPr="008A0760">
              <w:rPr>
                <w:rFonts w:ascii="Verdana" w:hAnsi="Verdana"/>
                <w:sz w:val="16"/>
                <w:szCs w:val="16"/>
                <w:lang w:val="en-US" w:eastAsia="en-US"/>
              </w:rPr>
              <w:t>-h, if this level is higher and 0.03/ + 0.02 means an absolute level of 0.03 g/bhp</w:t>
            </w:r>
            <w:r w:rsidRPr="008A0760">
              <w:rPr>
                <w:lang w:val="en-US" w:eastAsia="en-US"/>
              </w:rPr>
              <w:t xml:space="preserve"> </w:t>
            </w:r>
            <w:r w:rsidRPr="008A0760">
              <w:rPr>
                <w:rFonts w:ascii="Verdana" w:hAnsi="Verdana"/>
                <w:sz w:val="16"/>
                <w:szCs w:val="16"/>
                <w:lang w:val="en-US" w:eastAsia="en-US"/>
              </w:rPr>
              <w:t>-h or an additive level of the norm or LEF/FEL plus 0.02 g/bhp</w:t>
            </w:r>
            <w:r w:rsidRPr="008A0760">
              <w:rPr>
                <w:lang w:val="en-US" w:eastAsia="en-US"/>
              </w:rPr>
              <w:t xml:space="preserve"> </w:t>
            </w:r>
            <w:r w:rsidRPr="008A0760">
              <w:rPr>
                <w:rFonts w:ascii="Verdana" w:hAnsi="Verdana"/>
                <w:sz w:val="16"/>
                <w:szCs w:val="16"/>
                <w:lang w:val="en-US" w:eastAsia="en-US"/>
              </w:rPr>
              <w:t>-h, if this level is higher.</w:t>
            </w:r>
            <w:r w:rsidRPr="008A0760">
              <w:rPr>
                <w:lang w:val="en-US" w:eastAsia="en-US"/>
              </w:rPr>
              <w:t xml:space="preserve"> </w:t>
            </w:r>
          </w:p>
          <w:p w14:paraId="137A4130" w14:textId="77777777" w:rsidR="00BD076C" w:rsidRPr="008A0760" w:rsidRDefault="00BD076C" w:rsidP="00496E77">
            <w:pPr>
              <w:spacing w:before="40" w:after="40" w:line="222" w:lineRule="atLeast"/>
              <w:jc w:val="center"/>
              <w:rPr>
                <w:lang w:val="en-US" w:eastAsia="en-US"/>
              </w:rPr>
            </w:pPr>
            <w:r w:rsidRPr="008A0760">
              <w:rPr>
                <w:rFonts w:ascii="Verdana" w:hAnsi="Verdana"/>
                <w:sz w:val="16"/>
                <w:szCs w:val="16"/>
                <w:lang w:val="en-US" w:eastAsia="en-US"/>
              </w:rPr>
              <w:t> </w:t>
            </w:r>
          </w:p>
        </w:tc>
      </w:tr>
    </w:tbl>
    <w:p w14:paraId="7304CB1D" w14:textId="77777777" w:rsidR="00BD076C" w:rsidRPr="008A0760" w:rsidRDefault="00BD076C" w:rsidP="00BD076C">
      <w:pPr>
        <w:spacing w:after="101" w:line="220" w:lineRule="atLeast"/>
        <w:ind w:firstLine="288"/>
        <w:jc w:val="both"/>
        <w:rPr>
          <w:lang w:val="en-US" w:eastAsia="en-US"/>
        </w:rPr>
      </w:pPr>
    </w:p>
    <w:tbl>
      <w:tblPr>
        <w:tblW w:w="0" w:type="auto"/>
        <w:tblLook w:val="04A0" w:firstRow="1" w:lastRow="0" w:firstColumn="1" w:lastColumn="0" w:noHBand="0" w:noVBand="1"/>
      </w:tblPr>
      <w:tblGrid>
        <w:gridCol w:w="4682"/>
        <w:gridCol w:w="4678"/>
      </w:tblGrid>
      <w:tr w:rsidR="008A0760" w:rsidRPr="00743A20" w14:paraId="5ABC4868" w14:textId="77777777" w:rsidTr="00BD076C">
        <w:tc>
          <w:tcPr>
            <w:tcW w:w="4788" w:type="dxa"/>
            <w:shd w:val="clear" w:color="auto" w:fill="auto"/>
          </w:tcPr>
          <w:p w14:paraId="19F11438" w14:textId="77777777" w:rsidR="008A0760" w:rsidRPr="00A57824" w:rsidRDefault="008A0760" w:rsidP="00A57824">
            <w:pPr>
              <w:pStyle w:val="Texto"/>
              <w:spacing w:line="220" w:lineRule="exact"/>
              <w:ind w:firstLine="0"/>
              <w:rPr>
                <w:rFonts w:ascii="Verdana" w:hAnsi="Verdana"/>
                <w:sz w:val="16"/>
                <w:szCs w:val="16"/>
                <w:lang w:val="es-ES_tradnl"/>
              </w:rPr>
            </w:pPr>
            <w:r w:rsidRPr="00A57824">
              <w:rPr>
                <w:rFonts w:ascii="Verdana" w:hAnsi="Verdana"/>
                <w:b/>
                <w:sz w:val="16"/>
                <w:szCs w:val="16"/>
                <w:lang w:val="es-ES_tradnl"/>
              </w:rPr>
              <w:t>A.7.2.2.</w:t>
            </w:r>
            <w:r w:rsidRPr="00A57824">
              <w:rPr>
                <w:rFonts w:ascii="Verdana" w:hAnsi="Verdana"/>
                <w:sz w:val="16"/>
                <w:szCs w:val="16"/>
                <w:lang w:val="es-ES_tradnl"/>
              </w:rPr>
              <w:t xml:space="preserve"> Las especificaciones de los límites SDB/OBD de óxidos de nitrógeno (NOx), hidrocarburos no metano (HCNM), monóxido de carbono (CO) y partículas (Part), para motores nuevos a diésel y vehículos automotores nuevos que los integren, con peso bruto vehicular mayor a 3,857 kilogramos y hasta 6,350 kilogramos, que se hayan certificado mediante una prueba de dinamómetro de chasis, por la Agencia de Protección Ambiental de los Estados Unidos de América, se establecen en la Tabla A.4.</w:t>
            </w:r>
          </w:p>
        </w:tc>
        <w:tc>
          <w:tcPr>
            <w:tcW w:w="4788" w:type="dxa"/>
            <w:shd w:val="clear" w:color="auto" w:fill="auto"/>
          </w:tcPr>
          <w:p w14:paraId="50A16569" w14:textId="77777777" w:rsidR="008A0760" w:rsidRPr="00475F08" w:rsidRDefault="008A0760" w:rsidP="00A57824">
            <w:pPr>
              <w:pStyle w:val="Texto"/>
              <w:spacing w:line="220" w:lineRule="exact"/>
              <w:ind w:firstLine="0"/>
              <w:rPr>
                <w:rFonts w:ascii="Verdana" w:hAnsi="Verdana"/>
                <w:sz w:val="16"/>
                <w:szCs w:val="16"/>
                <w:lang w:val="en-US"/>
              </w:rPr>
            </w:pPr>
            <w:r w:rsidRPr="00A57824">
              <w:rPr>
                <w:rFonts w:ascii="Verdana" w:hAnsi="Verdana"/>
                <w:b/>
                <w:bCs/>
                <w:sz w:val="16"/>
                <w:szCs w:val="16"/>
                <w:lang w:val="en-US" w:eastAsia="en-US"/>
              </w:rPr>
              <w:t>A.7.2.2.</w:t>
            </w:r>
            <w:r w:rsidRPr="00A57824">
              <w:rPr>
                <w:lang w:val="en-US" w:eastAsia="en-US"/>
              </w:rPr>
              <w:t xml:space="preserve"> </w:t>
            </w:r>
            <w:r w:rsidRPr="00A57824">
              <w:rPr>
                <w:rFonts w:ascii="Verdana" w:hAnsi="Verdana"/>
                <w:sz w:val="16"/>
                <w:szCs w:val="16"/>
                <w:lang w:val="en-US" w:eastAsia="en-US"/>
              </w:rPr>
              <w:t xml:space="preserve">The specifications of the </w:t>
            </w:r>
            <w:r w:rsidR="002D78B5">
              <w:rPr>
                <w:rFonts w:ascii="Verdana" w:hAnsi="Verdana"/>
                <w:sz w:val="16"/>
                <w:szCs w:val="16"/>
                <w:lang w:val="en-US" w:eastAsia="en-US"/>
              </w:rPr>
              <w:t>SDB/OBD</w:t>
            </w:r>
            <w:r w:rsidRPr="00A57824">
              <w:rPr>
                <w:rFonts w:ascii="Verdana" w:hAnsi="Verdana"/>
                <w:sz w:val="16"/>
                <w:szCs w:val="16"/>
                <w:lang w:val="en-US" w:eastAsia="en-US"/>
              </w:rPr>
              <w:t xml:space="preserve"> limits for nitrogen oxides </w:t>
            </w:r>
            <w:r w:rsidR="00475F08">
              <w:rPr>
                <w:rFonts w:ascii="Verdana" w:hAnsi="Verdana"/>
                <w:sz w:val="16"/>
                <w:szCs w:val="16"/>
                <w:lang w:val="en-US" w:eastAsia="en-US"/>
              </w:rPr>
              <w:t>(NOx)</w:t>
            </w:r>
            <w:r w:rsidRPr="00A57824">
              <w:rPr>
                <w:rFonts w:ascii="Verdana" w:hAnsi="Verdana"/>
                <w:sz w:val="16"/>
                <w:szCs w:val="16"/>
                <w:lang w:val="en-US" w:eastAsia="en-US"/>
              </w:rPr>
              <w:t xml:space="preserve">, non-methane hydrocarbons (HCNM), carbon monoxide (CO) and particles </w:t>
            </w:r>
            <w:r w:rsidR="00F75D61">
              <w:rPr>
                <w:rFonts w:ascii="Verdana" w:hAnsi="Verdana"/>
                <w:sz w:val="16"/>
                <w:szCs w:val="16"/>
                <w:lang w:val="en-US" w:eastAsia="en-US"/>
              </w:rPr>
              <w:t>(Part)</w:t>
            </w:r>
            <w:r w:rsidRPr="00A57824">
              <w:rPr>
                <w:rFonts w:ascii="Verdana" w:hAnsi="Verdana"/>
                <w:sz w:val="16"/>
                <w:szCs w:val="16"/>
                <w:lang w:val="en-US" w:eastAsia="en-US"/>
              </w:rPr>
              <w:t>, for new diesel engines and new automotive vehicles that integrate them, with weight Vehicular gross greater than 3,857 kilograms and up to 6,350 kilograms, which have been certified by a chassis dynamometer test, by the Environmental Protection Agency of the United States of America, are established in Table A.4.</w:t>
            </w:r>
          </w:p>
        </w:tc>
      </w:tr>
    </w:tbl>
    <w:p w14:paraId="0432A0C4" w14:textId="77777777" w:rsidR="008A0760" w:rsidRPr="008A0760" w:rsidRDefault="008A0760" w:rsidP="00DF5012">
      <w:pPr>
        <w:pStyle w:val="Texto"/>
        <w:spacing w:line="222" w:lineRule="exact"/>
        <w:ind w:firstLine="0"/>
        <w:jc w:val="center"/>
        <w:rPr>
          <w:rFonts w:ascii="Verdana" w:hAnsi="Verdana"/>
          <w:b/>
          <w:sz w:val="16"/>
          <w:szCs w:val="16"/>
          <w:lang w:val="en-US"/>
        </w:rPr>
      </w:pPr>
    </w:p>
    <w:p w14:paraId="254E30A8" w14:textId="77777777" w:rsidR="00DF5012" w:rsidRPr="00BA3592" w:rsidRDefault="00DF5012" w:rsidP="00DF5012">
      <w:pPr>
        <w:pStyle w:val="Texto"/>
        <w:spacing w:line="222" w:lineRule="exact"/>
        <w:ind w:firstLine="0"/>
        <w:jc w:val="center"/>
        <w:rPr>
          <w:rFonts w:ascii="Verdana" w:hAnsi="Verdana"/>
          <w:b/>
          <w:sz w:val="16"/>
          <w:szCs w:val="16"/>
          <w:lang w:val="es-ES_tradnl"/>
        </w:rPr>
      </w:pPr>
      <w:r w:rsidRPr="00BA3592">
        <w:rPr>
          <w:rFonts w:ascii="Verdana" w:hAnsi="Verdana"/>
          <w:b/>
          <w:sz w:val="16"/>
          <w:szCs w:val="16"/>
          <w:lang w:val="es-ES_tradnl"/>
        </w:rPr>
        <w:t>Tabla A.4</w:t>
      </w:r>
    </w:p>
    <w:tbl>
      <w:tblPr>
        <w:tblW w:w="7641" w:type="dxa"/>
        <w:jc w:val="center"/>
        <w:tblCellMar>
          <w:left w:w="72" w:type="dxa"/>
          <w:right w:w="72" w:type="dxa"/>
        </w:tblCellMar>
        <w:tblLook w:val="0000" w:firstRow="0" w:lastRow="0" w:firstColumn="0" w:lastColumn="0" w:noHBand="0" w:noVBand="0"/>
      </w:tblPr>
      <w:tblGrid>
        <w:gridCol w:w="4814"/>
        <w:gridCol w:w="775"/>
        <w:gridCol w:w="748"/>
        <w:gridCol w:w="539"/>
        <w:gridCol w:w="765"/>
      </w:tblGrid>
      <w:tr w:rsidR="00DF5012" w:rsidRPr="00BA3592" w14:paraId="491F80F5" w14:textId="77777777" w:rsidTr="008A0760">
        <w:trPr>
          <w:trHeight w:val="20"/>
          <w:jc w:val="center"/>
        </w:trPr>
        <w:tc>
          <w:tcPr>
            <w:tcW w:w="4814" w:type="dxa"/>
            <w:tcBorders>
              <w:top w:val="single" w:sz="6" w:space="0" w:color="auto"/>
              <w:left w:val="single" w:sz="6" w:space="0" w:color="auto"/>
              <w:bottom w:val="single" w:sz="6" w:space="0" w:color="auto"/>
              <w:right w:val="single" w:sz="6" w:space="0" w:color="auto"/>
            </w:tcBorders>
            <w:shd w:val="pct12" w:color="auto" w:fill="auto"/>
            <w:noWrap/>
            <w:vAlign w:val="center"/>
          </w:tcPr>
          <w:p w14:paraId="43AD7260"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Monitor</w:t>
            </w:r>
          </w:p>
        </w:tc>
        <w:tc>
          <w:tcPr>
            <w:tcW w:w="775" w:type="dxa"/>
            <w:tcBorders>
              <w:top w:val="single" w:sz="6" w:space="0" w:color="auto"/>
              <w:left w:val="single" w:sz="6" w:space="0" w:color="auto"/>
              <w:bottom w:val="single" w:sz="6" w:space="0" w:color="auto"/>
              <w:right w:val="single" w:sz="6" w:space="0" w:color="auto"/>
            </w:tcBorders>
            <w:shd w:val="pct12" w:color="auto" w:fill="auto"/>
            <w:vAlign w:val="center"/>
          </w:tcPr>
          <w:p w14:paraId="7009A271"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NOx</w:t>
            </w:r>
            <w:r w:rsidR="00D728B4" w:rsidRPr="00BA3592">
              <w:rPr>
                <w:rFonts w:ascii="Verdana" w:hAnsi="Verdana"/>
                <w:b/>
                <w:sz w:val="16"/>
                <w:szCs w:val="16"/>
                <w:lang w:val="es-ES_tradnl"/>
              </w:rPr>
              <w:t xml:space="preserve"> </w:t>
            </w:r>
            <w:r w:rsidRPr="00BA3592">
              <w:rPr>
                <w:rFonts w:ascii="Verdana" w:hAnsi="Verdana"/>
                <w:b/>
                <w:sz w:val="16"/>
                <w:szCs w:val="16"/>
                <w:lang w:val="es-ES_tradnl"/>
              </w:rPr>
              <w:t>(g/mi)</w:t>
            </w:r>
          </w:p>
        </w:tc>
        <w:tc>
          <w:tcPr>
            <w:tcW w:w="748" w:type="dxa"/>
            <w:tcBorders>
              <w:top w:val="single" w:sz="6" w:space="0" w:color="auto"/>
              <w:left w:val="single" w:sz="6" w:space="0" w:color="auto"/>
              <w:bottom w:val="single" w:sz="6" w:space="0" w:color="auto"/>
              <w:right w:val="single" w:sz="6" w:space="0" w:color="auto"/>
            </w:tcBorders>
            <w:shd w:val="pct12" w:color="auto" w:fill="auto"/>
            <w:vAlign w:val="center"/>
          </w:tcPr>
          <w:p w14:paraId="3CA9B386"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HCNM</w:t>
            </w:r>
          </w:p>
        </w:tc>
        <w:tc>
          <w:tcPr>
            <w:tcW w:w="539" w:type="dxa"/>
            <w:tcBorders>
              <w:top w:val="single" w:sz="6" w:space="0" w:color="auto"/>
              <w:left w:val="single" w:sz="6" w:space="0" w:color="auto"/>
              <w:bottom w:val="single" w:sz="6" w:space="0" w:color="auto"/>
              <w:right w:val="single" w:sz="6" w:space="0" w:color="auto"/>
            </w:tcBorders>
            <w:shd w:val="pct12" w:color="auto" w:fill="auto"/>
            <w:vAlign w:val="center"/>
          </w:tcPr>
          <w:p w14:paraId="5558F9DD"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CO</w:t>
            </w:r>
          </w:p>
        </w:tc>
        <w:tc>
          <w:tcPr>
            <w:tcW w:w="765" w:type="dxa"/>
            <w:tcBorders>
              <w:top w:val="single" w:sz="6" w:space="0" w:color="auto"/>
              <w:left w:val="single" w:sz="6" w:space="0" w:color="auto"/>
              <w:bottom w:val="single" w:sz="6" w:space="0" w:color="auto"/>
              <w:right w:val="single" w:sz="6" w:space="0" w:color="auto"/>
            </w:tcBorders>
            <w:shd w:val="pct12" w:color="auto" w:fill="auto"/>
            <w:vAlign w:val="center"/>
          </w:tcPr>
          <w:p w14:paraId="5176797D" w14:textId="77777777" w:rsidR="00DF5012" w:rsidRPr="00BA3592" w:rsidRDefault="00DF5012" w:rsidP="00931F51">
            <w:pPr>
              <w:pStyle w:val="Texto"/>
              <w:spacing w:before="40" w:after="40" w:line="222" w:lineRule="exact"/>
              <w:ind w:firstLine="0"/>
              <w:jc w:val="center"/>
              <w:rPr>
                <w:rFonts w:ascii="Verdana" w:hAnsi="Verdana"/>
                <w:b/>
                <w:sz w:val="16"/>
                <w:szCs w:val="16"/>
                <w:lang w:val="es-ES_tradnl"/>
              </w:rPr>
            </w:pPr>
            <w:r w:rsidRPr="00BA3592">
              <w:rPr>
                <w:rFonts w:ascii="Verdana" w:hAnsi="Verdana"/>
                <w:b/>
                <w:sz w:val="16"/>
                <w:szCs w:val="16"/>
                <w:lang w:val="es-ES_tradnl"/>
              </w:rPr>
              <w:t>Part</w:t>
            </w:r>
            <w:r w:rsidR="00D728B4" w:rsidRPr="00BA3592">
              <w:rPr>
                <w:rFonts w:ascii="Verdana" w:hAnsi="Verdana"/>
                <w:b/>
                <w:sz w:val="16"/>
                <w:szCs w:val="16"/>
                <w:lang w:val="es-ES_tradnl"/>
              </w:rPr>
              <w:t xml:space="preserve"> </w:t>
            </w:r>
            <w:r w:rsidRPr="00BA3592">
              <w:rPr>
                <w:rFonts w:ascii="Verdana" w:hAnsi="Verdana"/>
                <w:b/>
                <w:sz w:val="16"/>
                <w:szCs w:val="16"/>
                <w:lang w:val="es-ES_tradnl"/>
              </w:rPr>
              <w:t>(g/mi)</w:t>
            </w:r>
          </w:p>
        </w:tc>
      </w:tr>
      <w:tr w:rsidR="00DF5012" w:rsidRPr="00BA3592" w14:paraId="256E7558" w14:textId="77777777" w:rsidTr="008A0760">
        <w:trPr>
          <w:trHeight w:val="20"/>
          <w:jc w:val="center"/>
        </w:trPr>
        <w:tc>
          <w:tcPr>
            <w:tcW w:w="4814" w:type="dxa"/>
            <w:tcBorders>
              <w:top w:val="single" w:sz="6" w:space="0" w:color="auto"/>
              <w:left w:val="single" w:sz="6" w:space="0" w:color="auto"/>
              <w:bottom w:val="single" w:sz="6" w:space="0" w:color="auto"/>
              <w:right w:val="single" w:sz="6" w:space="0" w:color="auto"/>
            </w:tcBorders>
            <w:vAlign w:val="center"/>
          </w:tcPr>
          <w:p w14:paraId="58A31AF5"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 xml:space="preserve">Sistema catalizador de oxidación (SCOD/DOC) </w:t>
            </w:r>
          </w:p>
        </w:tc>
        <w:tc>
          <w:tcPr>
            <w:tcW w:w="775" w:type="dxa"/>
            <w:tcBorders>
              <w:top w:val="single" w:sz="6" w:space="0" w:color="auto"/>
              <w:left w:val="single" w:sz="6" w:space="0" w:color="auto"/>
              <w:bottom w:val="single" w:sz="6" w:space="0" w:color="auto"/>
              <w:right w:val="single" w:sz="6" w:space="0" w:color="auto"/>
            </w:tcBorders>
            <w:vAlign w:val="center"/>
          </w:tcPr>
          <w:p w14:paraId="044E0EB0"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748" w:type="dxa"/>
            <w:tcBorders>
              <w:top w:val="single" w:sz="6" w:space="0" w:color="auto"/>
              <w:left w:val="single" w:sz="6" w:space="0" w:color="auto"/>
              <w:bottom w:val="single" w:sz="6" w:space="0" w:color="auto"/>
              <w:right w:val="single" w:sz="6" w:space="0" w:color="auto"/>
            </w:tcBorders>
            <w:vAlign w:val="center"/>
          </w:tcPr>
          <w:p w14:paraId="419615B5"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539" w:type="dxa"/>
            <w:tcBorders>
              <w:top w:val="single" w:sz="6" w:space="0" w:color="auto"/>
              <w:left w:val="single" w:sz="6" w:space="0" w:color="auto"/>
              <w:bottom w:val="single" w:sz="6" w:space="0" w:color="auto"/>
              <w:right w:val="single" w:sz="6" w:space="0" w:color="auto"/>
            </w:tcBorders>
            <w:vAlign w:val="center"/>
          </w:tcPr>
          <w:p w14:paraId="35CB9B31"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765" w:type="dxa"/>
            <w:tcBorders>
              <w:top w:val="single" w:sz="6" w:space="0" w:color="auto"/>
              <w:left w:val="single" w:sz="6" w:space="0" w:color="auto"/>
              <w:bottom w:val="single" w:sz="6" w:space="0" w:color="auto"/>
              <w:right w:val="single" w:sz="6" w:space="0" w:color="auto"/>
            </w:tcBorders>
            <w:vAlign w:val="center"/>
          </w:tcPr>
          <w:p w14:paraId="5F0D89DB"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r>
      <w:tr w:rsidR="00DF5012" w:rsidRPr="00BA3592" w14:paraId="77466C66" w14:textId="77777777" w:rsidTr="008A0760">
        <w:trPr>
          <w:trHeight w:val="20"/>
          <w:jc w:val="center"/>
        </w:trPr>
        <w:tc>
          <w:tcPr>
            <w:tcW w:w="4814" w:type="dxa"/>
            <w:tcBorders>
              <w:top w:val="single" w:sz="6" w:space="0" w:color="auto"/>
              <w:left w:val="single" w:sz="6" w:space="0" w:color="auto"/>
              <w:bottom w:val="single" w:sz="6" w:space="0" w:color="auto"/>
              <w:right w:val="single" w:sz="6" w:space="0" w:color="auto"/>
            </w:tcBorders>
            <w:vAlign w:val="center"/>
          </w:tcPr>
          <w:p w14:paraId="19988232"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Sistema Catalizador de Reducción Selectiva (SRCS/SCR)</w:t>
            </w:r>
          </w:p>
        </w:tc>
        <w:tc>
          <w:tcPr>
            <w:tcW w:w="775" w:type="dxa"/>
            <w:tcBorders>
              <w:top w:val="single" w:sz="6" w:space="0" w:color="auto"/>
              <w:left w:val="single" w:sz="6" w:space="0" w:color="auto"/>
              <w:bottom w:val="single" w:sz="6" w:space="0" w:color="auto"/>
              <w:right w:val="single" w:sz="6" w:space="0" w:color="auto"/>
            </w:tcBorders>
            <w:vAlign w:val="center"/>
          </w:tcPr>
          <w:p w14:paraId="0AC767BF"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748" w:type="dxa"/>
            <w:tcBorders>
              <w:top w:val="single" w:sz="6" w:space="0" w:color="auto"/>
              <w:left w:val="single" w:sz="6" w:space="0" w:color="auto"/>
              <w:bottom w:val="single" w:sz="6" w:space="0" w:color="auto"/>
              <w:right w:val="single" w:sz="6" w:space="0" w:color="auto"/>
            </w:tcBorders>
            <w:vAlign w:val="center"/>
          </w:tcPr>
          <w:p w14:paraId="1EE3CAFA"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539" w:type="dxa"/>
            <w:tcBorders>
              <w:top w:val="single" w:sz="6" w:space="0" w:color="auto"/>
              <w:left w:val="single" w:sz="6" w:space="0" w:color="auto"/>
              <w:bottom w:val="single" w:sz="6" w:space="0" w:color="auto"/>
              <w:right w:val="single" w:sz="6" w:space="0" w:color="auto"/>
            </w:tcBorders>
            <w:vAlign w:val="center"/>
          </w:tcPr>
          <w:p w14:paraId="23EEA254"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765" w:type="dxa"/>
            <w:tcBorders>
              <w:top w:val="single" w:sz="6" w:space="0" w:color="auto"/>
              <w:left w:val="single" w:sz="6" w:space="0" w:color="auto"/>
              <w:bottom w:val="single" w:sz="6" w:space="0" w:color="auto"/>
              <w:right w:val="single" w:sz="6" w:space="0" w:color="auto"/>
            </w:tcBorders>
            <w:vAlign w:val="center"/>
          </w:tcPr>
          <w:p w14:paraId="14D62B43"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r>
      <w:tr w:rsidR="00DF5012" w:rsidRPr="00BA3592" w14:paraId="4FCEB785" w14:textId="77777777" w:rsidTr="008A0760">
        <w:trPr>
          <w:trHeight w:val="20"/>
          <w:jc w:val="center"/>
        </w:trPr>
        <w:tc>
          <w:tcPr>
            <w:tcW w:w="4814" w:type="dxa"/>
            <w:tcBorders>
              <w:top w:val="single" w:sz="6" w:space="0" w:color="auto"/>
              <w:left w:val="single" w:sz="6" w:space="0" w:color="auto"/>
              <w:bottom w:val="single" w:sz="6" w:space="0" w:color="auto"/>
              <w:right w:val="single" w:sz="6" w:space="0" w:color="auto"/>
            </w:tcBorders>
            <w:vAlign w:val="center"/>
          </w:tcPr>
          <w:p w14:paraId="63B974B2"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Sistema de Filtrado de Partículas (SFP/DPF)</w:t>
            </w:r>
          </w:p>
        </w:tc>
        <w:tc>
          <w:tcPr>
            <w:tcW w:w="775" w:type="dxa"/>
            <w:tcBorders>
              <w:top w:val="single" w:sz="6" w:space="0" w:color="auto"/>
              <w:left w:val="single" w:sz="6" w:space="0" w:color="auto"/>
              <w:bottom w:val="single" w:sz="6" w:space="0" w:color="auto"/>
              <w:right w:val="single" w:sz="6" w:space="0" w:color="auto"/>
            </w:tcBorders>
            <w:vAlign w:val="center"/>
          </w:tcPr>
          <w:p w14:paraId="5CBEC361"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748" w:type="dxa"/>
            <w:tcBorders>
              <w:top w:val="single" w:sz="6" w:space="0" w:color="auto"/>
              <w:left w:val="single" w:sz="6" w:space="0" w:color="auto"/>
              <w:bottom w:val="single" w:sz="6" w:space="0" w:color="auto"/>
              <w:right w:val="single" w:sz="6" w:space="0" w:color="auto"/>
            </w:tcBorders>
            <w:vAlign w:val="center"/>
          </w:tcPr>
          <w:p w14:paraId="1D5A3D9A"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539" w:type="dxa"/>
            <w:tcBorders>
              <w:top w:val="single" w:sz="6" w:space="0" w:color="auto"/>
              <w:left w:val="single" w:sz="6" w:space="0" w:color="auto"/>
              <w:bottom w:val="single" w:sz="6" w:space="0" w:color="auto"/>
              <w:right w:val="single" w:sz="6" w:space="0" w:color="auto"/>
            </w:tcBorders>
            <w:vAlign w:val="center"/>
          </w:tcPr>
          <w:p w14:paraId="29F9FCDC"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765" w:type="dxa"/>
            <w:tcBorders>
              <w:top w:val="single" w:sz="6" w:space="0" w:color="auto"/>
              <w:left w:val="single" w:sz="6" w:space="0" w:color="auto"/>
              <w:bottom w:val="single" w:sz="6" w:space="0" w:color="auto"/>
              <w:right w:val="single" w:sz="6" w:space="0" w:color="auto"/>
            </w:tcBorders>
            <w:vAlign w:val="center"/>
          </w:tcPr>
          <w:p w14:paraId="76665B6F"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+0.04</w:t>
            </w:r>
          </w:p>
        </w:tc>
      </w:tr>
      <w:tr w:rsidR="00DF5012" w:rsidRPr="00BA3592" w14:paraId="75455DB0" w14:textId="77777777" w:rsidTr="008A0760">
        <w:trPr>
          <w:trHeight w:val="20"/>
          <w:jc w:val="center"/>
        </w:trPr>
        <w:tc>
          <w:tcPr>
            <w:tcW w:w="4814" w:type="dxa"/>
            <w:tcBorders>
              <w:top w:val="single" w:sz="6" w:space="0" w:color="auto"/>
              <w:left w:val="single" w:sz="6" w:space="0" w:color="auto"/>
              <w:bottom w:val="single" w:sz="6" w:space="0" w:color="auto"/>
              <w:right w:val="single" w:sz="6" w:space="0" w:color="auto"/>
            </w:tcBorders>
            <w:vAlign w:val="center"/>
          </w:tcPr>
          <w:p w14:paraId="48634F72"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Sensores de los gases de escape-Sensores de la</w:t>
            </w:r>
            <w:r w:rsidR="00D728B4" w:rsidRPr="00BA3592">
              <w:rPr>
                <w:rFonts w:ascii="Verdana" w:hAnsi="Verdana"/>
                <w:sz w:val="16"/>
                <w:szCs w:val="16"/>
                <w:lang w:val="es-ES_tradnl"/>
              </w:rPr>
              <w:t xml:space="preserve"> </w:t>
            </w:r>
            <w:r w:rsidRPr="00BA3592">
              <w:rPr>
                <w:rFonts w:ascii="Verdana" w:hAnsi="Verdana"/>
                <w:sz w:val="16"/>
                <w:szCs w:val="16"/>
                <w:lang w:val="es-ES_tradnl"/>
              </w:rPr>
              <w:t>relación aire/combustible localizados antes del sistema de post-tratamiento</w:t>
            </w:r>
          </w:p>
        </w:tc>
        <w:tc>
          <w:tcPr>
            <w:tcW w:w="775" w:type="dxa"/>
            <w:tcBorders>
              <w:top w:val="single" w:sz="6" w:space="0" w:color="auto"/>
              <w:left w:val="single" w:sz="6" w:space="0" w:color="auto"/>
              <w:bottom w:val="single" w:sz="6" w:space="0" w:color="auto"/>
              <w:right w:val="single" w:sz="6" w:space="0" w:color="auto"/>
            </w:tcBorders>
            <w:vAlign w:val="center"/>
          </w:tcPr>
          <w:p w14:paraId="24EB91FF"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748" w:type="dxa"/>
            <w:tcBorders>
              <w:top w:val="single" w:sz="6" w:space="0" w:color="auto"/>
              <w:left w:val="single" w:sz="6" w:space="0" w:color="auto"/>
              <w:bottom w:val="single" w:sz="6" w:space="0" w:color="auto"/>
              <w:right w:val="single" w:sz="6" w:space="0" w:color="auto"/>
            </w:tcBorders>
            <w:vAlign w:val="center"/>
          </w:tcPr>
          <w:p w14:paraId="7C4CA558"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539" w:type="dxa"/>
            <w:tcBorders>
              <w:top w:val="single" w:sz="6" w:space="0" w:color="auto"/>
              <w:left w:val="single" w:sz="6" w:space="0" w:color="auto"/>
              <w:bottom w:val="single" w:sz="6" w:space="0" w:color="auto"/>
              <w:right w:val="single" w:sz="6" w:space="0" w:color="auto"/>
            </w:tcBorders>
            <w:vAlign w:val="center"/>
          </w:tcPr>
          <w:p w14:paraId="23702CA3"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765" w:type="dxa"/>
            <w:tcBorders>
              <w:top w:val="single" w:sz="6" w:space="0" w:color="auto"/>
              <w:left w:val="single" w:sz="6" w:space="0" w:color="auto"/>
              <w:bottom w:val="single" w:sz="6" w:space="0" w:color="auto"/>
              <w:right w:val="single" w:sz="6" w:space="0" w:color="auto"/>
            </w:tcBorders>
            <w:vAlign w:val="center"/>
          </w:tcPr>
          <w:p w14:paraId="216D32DF"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+0.02</w:t>
            </w:r>
          </w:p>
        </w:tc>
      </w:tr>
      <w:tr w:rsidR="00DF5012" w:rsidRPr="00BA3592" w14:paraId="1C5AAE32" w14:textId="77777777" w:rsidTr="008A0760">
        <w:trPr>
          <w:trHeight w:val="20"/>
          <w:jc w:val="center"/>
        </w:trPr>
        <w:tc>
          <w:tcPr>
            <w:tcW w:w="4814" w:type="dxa"/>
            <w:tcBorders>
              <w:top w:val="single" w:sz="6" w:space="0" w:color="auto"/>
              <w:left w:val="single" w:sz="6" w:space="0" w:color="auto"/>
              <w:bottom w:val="single" w:sz="6" w:space="0" w:color="auto"/>
              <w:right w:val="single" w:sz="6" w:space="0" w:color="auto"/>
            </w:tcBorders>
            <w:vAlign w:val="center"/>
          </w:tcPr>
          <w:p w14:paraId="0128307D"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Sensores de los gases de escape-Sensores de la</w:t>
            </w:r>
            <w:r w:rsidR="00D728B4" w:rsidRPr="00BA3592">
              <w:rPr>
                <w:rFonts w:ascii="Verdana" w:hAnsi="Verdana"/>
                <w:sz w:val="16"/>
                <w:szCs w:val="16"/>
                <w:lang w:val="es-ES_tradnl"/>
              </w:rPr>
              <w:t xml:space="preserve"> </w:t>
            </w:r>
            <w:r w:rsidRPr="00BA3592">
              <w:rPr>
                <w:rFonts w:ascii="Verdana" w:hAnsi="Verdana"/>
                <w:sz w:val="16"/>
                <w:szCs w:val="16"/>
                <w:lang w:val="es-ES_tradnl"/>
              </w:rPr>
              <w:t>relación aire/combustible localizados después del sistema de post-tratamiento</w:t>
            </w:r>
          </w:p>
        </w:tc>
        <w:tc>
          <w:tcPr>
            <w:tcW w:w="775" w:type="dxa"/>
            <w:tcBorders>
              <w:top w:val="single" w:sz="6" w:space="0" w:color="auto"/>
              <w:left w:val="single" w:sz="6" w:space="0" w:color="auto"/>
              <w:bottom w:val="single" w:sz="6" w:space="0" w:color="auto"/>
              <w:right w:val="single" w:sz="6" w:space="0" w:color="auto"/>
            </w:tcBorders>
            <w:vAlign w:val="center"/>
          </w:tcPr>
          <w:p w14:paraId="7DD8CF26"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748" w:type="dxa"/>
            <w:tcBorders>
              <w:top w:val="single" w:sz="6" w:space="0" w:color="auto"/>
              <w:left w:val="single" w:sz="6" w:space="0" w:color="auto"/>
              <w:bottom w:val="single" w:sz="6" w:space="0" w:color="auto"/>
              <w:right w:val="single" w:sz="6" w:space="0" w:color="auto"/>
            </w:tcBorders>
            <w:vAlign w:val="center"/>
          </w:tcPr>
          <w:p w14:paraId="018FD74D"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539" w:type="dxa"/>
            <w:tcBorders>
              <w:top w:val="single" w:sz="6" w:space="0" w:color="auto"/>
              <w:left w:val="single" w:sz="6" w:space="0" w:color="auto"/>
              <w:bottom w:val="single" w:sz="6" w:space="0" w:color="auto"/>
              <w:right w:val="single" w:sz="6" w:space="0" w:color="auto"/>
            </w:tcBorders>
            <w:vAlign w:val="center"/>
          </w:tcPr>
          <w:p w14:paraId="0643529C"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765" w:type="dxa"/>
            <w:tcBorders>
              <w:top w:val="single" w:sz="6" w:space="0" w:color="auto"/>
              <w:left w:val="single" w:sz="6" w:space="0" w:color="auto"/>
              <w:bottom w:val="single" w:sz="6" w:space="0" w:color="auto"/>
              <w:right w:val="single" w:sz="6" w:space="0" w:color="auto"/>
            </w:tcBorders>
            <w:vAlign w:val="center"/>
          </w:tcPr>
          <w:p w14:paraId="5FC4CF89"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+0.04</w:t>
            </w:r>
          </w:p>
        </w:tc>
      </w:tr>
      <w:tr w:rsidR="00DF5012" w:rsidRPr="00BA3592" w14:paraId="1A201CE9" w14:textId="77777777" w:rsidTr="008A0760">
        <w:trPr>
          <w:trHeight w:val="20"/>
          <w:jc w:val="center"/>
        </w:trPr>
        <w:tc>
          <w:tcPr>
            <w:tcW w:w="4814" w:type="dxa"/>
            <w:tcBorders>
              <w:top w:val="single" w:sz="6" w:space="0" w:color="auto"/>
              <w:left w:val="single" w:sz="6" w:space="0" w:color="auto"/>
              <w:bottom w:val="single" w:sz="6" w:space="0" w:color="auto"/>
              <w:right w:val="single" w:sz="6" w:space="0" w:color="auto"/>
            </w:tcBorders>
            <w:vAlign w:val="center"/>
          </w:tcPr>
          <w:p w14:paraId="5DD96C35"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Sensores de NOx</w:t>
            </w:r>
          </w:p>
        </w:tc>
        <w:tc>
          <w:tcPr>
            <w:tcW w:w="775" w:type="dxa"/>
            <w:tcBorders>
              <w:top w:val="single" w:sz="6" w:space="0" w:color="auto"/>
              <w:left w:val="single" w:sz="6" w:space="0" w:color="auto"/>
              <w:bottom w:val="single" w:sz="6" w:space="0" w:color="auto"/>
              <w:right w:val="single" w:sz="6" w:space="0" w:color="auto"/>
            </w:tcBorders>
            <w:vAlign w:val="center"/>
          </w:tcPr>
          <w:p w14:paraId="7919285C"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748" w:type="dxa"/>
            <w:tcBorders>
              <w:top w:val="single" w:sz="6" w:space="0" w:color="auto"/>
              <w:left w:val="single" w:sz="6" w:space="0" w:color="auto"/>
              <w:bottom w:val="single" w:sz="6" w:space="0" w:color="auto"/>
              <w:right w:val="single" w:sz="6" w:space="0" w:color="auto"/>
            </w:tcBorders>
            <w:vAlign w:val="center"/>
          </w:tcPr>
          <w:p w14:paraId="552E3BF8"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539" w:type="dxa"/>
            <w:tcBorders>
              <w:top w:val="single" w:sz="6" w:space="0" w:color="auto"/>
              <w:left w:val="single" w:sz="6" w:space="0" w:color="auto"/>
              <w:bottom w:val="single" w:sz="6" w:space="0" w:color="auto"/>
              <w:right w:val="single" w:sz="6" w:space="0" w:color="auto"/>
            </w:tcBorders>
            <w:vAlign w:val="center"/>
          </w:tcPr>
          <w:p w14:paraId="69BF7E52"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w:t>
            </w:r>
          </w:p>
        </w:tc>
        <w:tc>
          <w:tcPr>
            <w:tcW w:w="765" w:type="dxa"/>
            <w:tcBorders>
              <w:top w:val="single" w:sz="6" w:space="0" w:color="auto"/>
              <w:left w:val="single" w:sz="6" w:space="0" w:color="auto"/>
              <w:bottom w:val="single" w:sz="6" w:space="0" w:color="auto"/>
              <w:right w:val="single" w:sz="6" w:space="0" w:color="auto"/>
            </w:tcBorders>
            <w:vAlign w:val="center"/>
          </w:tcPr>
          <w:p w14:paraId="725DF8D6"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+0.04</w:t>
            </w:r>
          </w:p>
        </w:tc>
      </w:tr>
      <w:tr w:rsidR="00DF5012" w:rsidRPr="00BA3592" w14:paraId="1E1168E9" w14:textId="77777777" w:rsidTr="008A0760">
        <w:trPr>
          <w:trHeight w:val="20"/>
          <w:jc w:val="center"/>
        </w:trPr>
        <w:tc>
          <w:tcPr>
            <w:tcW w:w="4814" w:type="dxa"/>
            <w:tcBorders>
              <w:top w:val="single" w:sz="6" w:space="0" w:color="auto"/>
              <w:left w:val="single" w:sz="6" w:space="0" w:color="auto"/>
              <w:bottom w:val="single" w:sz="6" w:space="0" w:color="auto"/>
              <w:right w:val="single" w:sz="6" w:space="0" w:color="auto"/>
            </w:tcBorders>
            <w:vAlign w:val="center"/>
          </w:tcPr>
          <w:p w14:paraId="5D01D129" w14:textId="77777777" w:rsidR="00DF5012" w:rsidRPr="00BA3592" w:rsidRDefault="00DF5012" w:rsidP="00931F51">
            <w:pPr>
              <w:pStyle w:val="Texto"/>
              <w:spacing w:before="40" w:after="40" w:line="222" w:lineRule="exact"/>
              <w:ind w:firstLine="0"/>
              <w:rPr>
                <w:rFonts w:ascii="Verdana" w:hAnsi="Verdana"/>
                <w:sz w:val="16"/>
                <w:szCs w:val="16"/>
                <w:lang w:val="es-ES_tradnl"/>
              </w:rPr>
            </w:pPr>
            <w:r w:rsidRPr="00BA3592">
              <w:rPr>
                <w:rFonts w:ascii="Verdana" w:hAnsi="Verdana"/>
                <w:sz w:val="16"/>
                <w:szCs w:val="16"/>
                <w:lang w:val="es-ES_tradnl"/>
              </w:rPr>
              <w:t>Otros sistemas de control de emisiones (SRG/EGR) y sistemas de inyección de combustible</w:t>
            </w:r>
          </w:p>
        </w:tc>
        <w:tc>
          <w:tcPr>
            <w:tcW w:w="775" w:type="dxa"/>
            <w:tcBorders>
              <w:top w:val="single" w:sz="6" w:space="0" w:color="auto"/>
              <w:left w:val="single" w:sz="6" w:space="0" w:color="auto"/>
              <w:bottom w:val="single" w:sz="6" w:space="0" w:color="auto"/>
              <w:right w:val="single" w:sz="6" w:space="0" w:color="auto"/>
            </w:tcBorders>
            <w:vAlign w:val="center"/>
          </w:tcPr>
          <w:p w14:paraId="29C20CC7"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+0.3</w:t>
            </w:r>
          </w:p>
        </w:tc>
        <w:tc>
          <w:tcPr>
            <w:tcW w:w="748" w:type="dxa"/>
            <w:tcBorders>
              <w:top w:val="single" w:sz="6" w:space="0" w:color="auto"/>
              <w:left w:val="single" w:sz="6" w:space="0" w:color="auto"/>
              <w:bottom w:val="single" w:sz="6" w:space="0" w:color="auto"/>
              <w:right w:val="single" w:sz="6" w:space="0" w:color="auto"/>
            </w:tcBorders>
            <w:vAlign w:val="center"/>
          </w:tcPr>
          <w:p w14:paraId="147103F0"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539" w:type="dxa"/>
            <w:tcBorders>
              <w:top w:val="single" w:sz="6" w:space="0" w:color="auto"/>
              <w:left w:val="single" w:sz="6" w:space="0" w:color="auto"/>
              <w:bottom w:val="single" w:sz="6" w:space="0" w:color="auto"/>
              <w:right w:val="single" w:sz="6" w:space="0" w:color="auto"/>
            </w:tcBorders>
            <w:vAlign w:val="center"/>
          </w:tcPr>
          <w:p w14:paraId="4EB0D944"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2X</w:t>
            </w:r>
          </w:p>
        </w:tc>
        <w:tc>
          <w:tcPr>
            <w:tcW w:w="765" w:type="dxa"/>
            <w:tcBorders>
              <w:top w:val="single" w:sz="6" w:space="0" w:color="auto"/>
              <w:left w:val="single" w:sz="6" w:space="0" w:color="auto"/>
              <w:bottom w:val="single" w:sz="6" w:space="0" w:color="auto"/>
              <w:right w:val="single" w:sz="6" w:space="0" w:color="auto"/>
            </w:tcBorders>
            <w:vAlign w:val="center"/>
          </w:tcPr>
          <w:p w14:paraId="718BDFB0" w14:textId="77777777" w:rsidR="00DF5012" w:rsidRPr="00BA3592" w:rsidRDefault="00DF5012" w:rsidP="00931F51">
            <w:pPr>
              <w:pStyle w:val="Texto"/>
              <w:spacing w:before="40" w:after="40" w:line="222" w:lineRule="exact"/>
              <w:ind w:firstLine="0"/>
              <w:jc w:val="center"/>
              <w:rPr>
                <w:rFonts w:ascii="Verdana" w:hAnsi="Verdana"/>
                <w:sz w:val="16"/>
                <w:szCs w:val="16"/>
                <w:lang w:val="es-ES_tradnl"/>
              </w:rPr>
            </w:pPr>
            <w:r w:rsidRPr="00BA3592">
              <w:rPr>
                <w:rFonts w:ascii="Verdana" w:hAnsi="Verdana"/>
                <w:sz w:val="16"/>
                <w:szCs w:val="16"/>
                <w:lang w:val="es-ES_tradnl"/>
              </w:rPr>
              <w:t>+0.02</w:t>
            </w:r>
          </w:p>
        </w:tc>
      </w:tr>
      <w:tr w:rsidR="008A0760" w:rsidRPr="00BA3592" w14:paraId="004A8281" w14:textId="77777777" w:rsidTr="00337D87">
        <w:trPr>
          <w:trHeight w:val="20"/>
          <w:jc w:val="center"/>
        </w:trPr>
        <w:tc>
          <w:tcPr>
            <w:tcW w:w="7641" w:type="dxa"/>
            <w:gridSpan w:val="5"/>
            <w:tcBorders>
              <w:top w:val="single" w:sz="6" w:space="0" w:color="auto"/>
              <w:left w:val="single" w:sz="6" w:space="0" w:color="auto"/>
              <w:bottom w:val="single" w:sz="6" w:space="0" w:color="auto"/>
              <w:right w:val="single" w:sz="6" w:space="0" w:color="auto"/>
            </w:tcBorders>
            <w:vAlign w:val="center"/>
          </w:tcPr>
          <w:p w14:paraId="1CF283CB" w14:textId="77777777" w:rsidR="008A0760" w:rsidRPr="00BA3592" w:rsidRDefault="008A0760" w:rsidP="008A0760">
            <w:pPr>
              <w:pStyle w:val="Texto"/>
              <w:spacing w:line="222" w:lineRule="exact"/>
              <w:ind w:left="576" w:firstLine="0"/>
              <w:rPr>
                <w:rFonts w:ascii="Verdana" w:hAnsi="Verdana"/>
                <w:sz w:val="16"/>
                <w:szCs w:val="16"/>
                <w:lang w:val="es-ES_tradnl"/>
              </w:rPr>
            </w:pPr>
            <w:r w:rsidRPr="00BA3592">
              <w:rPr>
                <w:rFonts w:ascii="Verdana" w:hAnsi="Verdana"/>
                <w:sz w:val="16"/>
                <w:szCs w:val="16"/>
                <w:lang w:val="es-ES_tradnl"/>
              </w:rPr>
              <w:t>Nota:</w:t>
            </w:r>
          </w:p>
          <w:p w14:paraId="1EB6D1B9" w14:textId="77777777" w:rsidR="008A0760" w:rsidRPr="00BA3592" w:rsidRDefault="008A0760" w:rsidP="008A0760">
            <w:pPr>
              <w:pStyle w:val="Texto"/>
              <w:spacing w:line="222" w:lineRule="exact"/>
              <w:ind w:left="936" w:hanging="360"/>
              <w:rPr>
                <w:rFonts w:ascii="Verdana" w:hAnsi="Verdana"/>
                <w:sz w:val="16"/>
                <w:szCs w:val="16"/>
                <w:lang w:val="es-ES_tradnl"/>
              </w:rPr>
            </w:pPr>
            <w:r w:rsidRPr="00BA3592">
              <w:rPr>
                <w:rFonts w:ascii="Verdana" w:hAnsi="Verdana"/>
                <w:sz w:val="16"/>
                <w:szCs w:val="16"/>
                <w:lang w:val="es-ES_tradnl"/>
              </w:rPr>
              <w:t>1.</w:t>
            </w:r>
            <w:r w:rsidRPr="00BA3592">
              <w:rPr>
                <w:rFonts w:ascii="Verdana" w:hAnsi="Verdana"/>
                <w:sz w:val="16"/>
                <w:szCs w:val="16"/>
                <w:lang w:val="es-ES_tradnl"/>
              </w:rPr>
              <w:tab/>
              <w:t>2X, significa un múltiplo de 2,0 veces las emisiones estándar correspondientes o límite de las emisiones del vehículo + 0.3 significa estándar o límite de las emisiones del vehículo más 0.3 g/mi.</w:t>
            </w:r>
          </w:p>
          <w:p w14:paraId="66986AEA" w14:textId="77777777" w:rsidR="008A0760" w:rsidRPr="00BA3592" w:rsidRDefault="008A0760" w:rsidP="00931F51">
            <w:pPr>
              <w:pStyle w:val="Texto"/>
              <w:spacing w:before="40" w:after="40" w:line="222" w:lineRule="exact"/>
              <w:ind w:firstLine="0"/>
              <w:jc w:val="center"/>
              <w:rPr>
                <w:rFonts w:ascii="Verdana" w:hAnsi="Verdana"/>
                <w:sz w:val="16"/>
                <w:szCs w:val="16"/>
                <w:lang w:val="es-ES_tradnl"/>
              </w:rPr>
            </w:pPr>
          </w:p>
        </w:tc>
      </w:tr>
    </w:tbl>
    <w:p w14:paraId="457D4D21" w14:textId="77777777" w:rsidR="008A0760" w:rsidRDefault="008A0760" w:rsidP="008A0760">
      <w:pPr>
        <w:pStyle w:val="Texto"/>
        <w:spacing w:line="222" w:lineRule="exact"/>
        <w:ind w:firstLine="0"/>
        <w:rPr>
          <w:rFonts w:ascii="Verdana" w:hAnsi="Verdana"/>
          <w:b/>
          <w:sz w:val="16"/>
          <w:szCs w:val="16"/>
          <w:lang w:val="es-ES_tradnl"/>
        </w:rPr>
      </w:pPr>
    </w:p>
    <w:p w14:paraId="7304C2A7" w14:textId="77777777" w:rsidR="008A0760" w:rsidRPr="008A0760" w:rsidRDefault="008A0760" w:rsidP="008A0760">
      <w:pPr>
        <w:spacing w:after="101" w:line="222" w:lineRule="atLeast"/>
        <w:jc w:val="center"/>
        <w:rPr>
          <w:lang w:val="en-US" w:eastAsia="en-US"/>
        </w:rPr>
      </w:pPr>
      <w:r w:rsidRPr="008A0760">
        <w:rPr>
          <w:rFonts w:ascii="Verdana" w:hAnsi="Verdana"/>
          <w:b/>
          <w:bCs/>
          <w:sz w:val="16"/>
          <w:szCs w:val="16"/>
          <w:lang w:val="en-US" w:eastAsia="en-US"/>
        </w:rPr>
        <w:lastRenderedPageBreak/>
        <w:t>Table A.4</w:t>
      </w:r>
      <w:r w:rsidRPr="008A0760">
        <w:rPr>
          <w:lang w:val="en-US" w:eastAsia="en-US"/>
        </w:rPr>
        <w:t xml:space="preserve"> </w:t>
      </w:r>
    </w:p>
    <w:tbl>
      <w:tblPr>
        <w:tblW w:w="7641" w:type="dxa"/>
        <w:jc w:val="center"/>
        <w:tblCellMar>
          <w:left w:w="0" w:type="dxa"/>
          <w:right w:w="0" w:type="dxa"/>
        </w:tblCellMar>
        <w:tblLook w:val="04A0" w:firstRow="1" w:lastRow="0" w:firstColumn="1" w:lastColumn="0" w:noHBand="0" w:noVBand="1"/>
      </w:tblPr>
      <w:tblGrid>
        <w:gridCol w:w="4814"/>
        <w:gridCol w:w="775"/>
        <w:gridCol w:w="748"/>
        <w:gridCol w:w="539"/>
        <w:gridCol w:w="765"/>
      </w:tblGrid>
      <w:tr w:rsidR="008A0760" w:rsidRPr="008A0760" w14:paraId="5B53C206" w14:textId="77777777" w:rsidTr="008A0760">
        <w:trPr>
          <w:trHeight w:val="20"/>
          <w:jc w:val="center"/>
        </w:trPr>
        <w:tc>
          <w:tcPr>
            <w:tcW w:w="4814"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8AC7CD4" w14:textId="77777777" w:rsidR="008A0760" w:rsidRPr="008A0760" w:rsidRDefault="008A0760" w:rsidP="008A0760">
            <w:pPr>
              <w:spacing w:before="40" w:after="40" w:line="222" w:lineRule="atLeast"/>
              <w:jc w:val="center"/>
              <w:rPr>
                <w:lang w:val="en-US" w:eastAsia="en-US"/>
              </w:rPr>
            </w:pPr>
            <w:r w:rsidRPr="008A0760">
              <w:rPr>
                <w:rFonts w:ascii="Verdana" w:hAnsi="Verdana"/>
                <w:b/>
                <w:bCs/>
                <w:sz w:val="16"/>
                <w:szCs w:val="16"/>
                <w:lang w:val="en-US" w:eastAsia="en-US"/>
              </w:rPr>
              <w:t>Display</w:t>
            </w:r>
            <w:r w:rsidRPr="008A0760">
              <w:rPr>
                <w:lang w:val="en-US" w:eastAsia="en-US"/>
              </w:rPr>
              <w:t xml:space="preserve"> </w:t>
            </w:r>
          </w:p>
        </w:tc>
        <w:tc>
          <w:tcPr>
            <w:tcW w:w="775"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2C3D83BE" w14:textId="77777777" w:rsidR="008A0760" w:rsidRPr="008A0760" w:rsidRDefault="008A0760" w:rsidP="008A0760">
            <w:pPr>
              <w:spacing w:before="40" w:after="40" w:line="222" w:lineRule="atLeast"/>
              <w:jc w:val="center"/>
              <w:rPr>
                <w:lang w:val="en-US" w:eastAsia="en-US"/>
              </w:rPr>
            </w:pPr>
            <w:r w:rsidRPr="008A0760">
              <w:rPr>
                <w:rFonts w:ascii="Verdana" w:hAnsi="Verdana"/>
                <w:b/>
                <w:bCs/>
                <w:sz w:val="16"/>
                <w:szCs w:val="16"/>
                <w:lang w:val="en-US" w:eastAsia="en-US"/>
              </w:rPr>
              <w:t>NOx</w:t>
            </w:r>
            <w:r w:rsidRPr="008A0760">
              <w:rPr>
                <w:lang w:val="en-US" w:eastAsia="en-US"/>
              </w:rPr>
              <w:t xml:space="preserve"> </w:t>
            </w:r>
            <w:r w:rsidRPr="008A0760">
              <w:rPr>
                <w:rFonts w:ascii="Verdana" w:hAnsi="Verdana"/>
                <w:b/>
                <w:bCs/>
                <w:sz w:val="16"/>
                <w:szCs w:val="16"/>
                <w:lang w:val="en-US" w:eastAsia="en-US"/>
              </w:rPr>
              <w:t>(g / mi)</w:t>
            </w:r>
            <w:r w:rsidRPr="008A0760">
              <w:rPr>
                <w:lang w:val="en-US" w:eastAsia="en-US"/>
              </w:rPr>
              <w:t xml:space="preserve"> </w:t>
            </w:r>
          </w:p>
        </w:tc>
        <w:tc>
          <w:tcPr>
            <w:tcW w:w="748"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EF3E8BD" w14:textId="77777777" w:rsidR="008A0760" w:rsidRPr="008A0760" w:rsidRDefault="008A0760" w:rsidP="008A0760">
            <w:pPr>
              <w:spacing w:before="40" w:after="40" w:line="222" w:lineRule="atLeast"/>
              <w:jc w:val="center"/>
              <w:rPr>
                <w:lang w:val="en-US" w:eastAsia="en-US"/>
              </w:rPr>
            </w:pPr>
            <w:r w:rsidRPr="008A0760">
              <w:rPr>
                <w:rFonts w:ascii="Verdana" w:hAnsi="Verdana"/>
                <w:b/>
                <w:bCs/>
                <w:sz w:val="16"/>
                <w:szCs w:val="16"/>
                <w:lang w:val="en-US" w:eastAsia="en-US"/>
              </w:rPr>
              <w:t>HCNM</w:t>
            </w:r>
            <w:r w:rsidRPr="008A0760">
              <w:rPr>
                <w:lang w:val="en-US" w:eastAsia="en-US"/>
              </w:rPr>
              <w:t xml:space="preserve"> </w:t>
            </w:r>
          </w:p>
        </w:tc>
        <w:tc>
          <w:tcPr>
            <w:tcW w:w="539"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7E3476E5" w14:textId="77777777" w:rsidR="008A0760" w:rsidRPr="008A0760" w:rsidRDefault="008A0760" w:rsidP="008A0760">
            <w:pPr>
              <w:spacing w:before="40" w:after="40" w:line="222" w:lineRule="atLeast"/>
              <w:jc w:val="center"/>
              <w:rPr>
                <w:lang w:val="en-US" w:eastAsia="en-US"/>
              </w:rPr>
            </w:pPr>
            <w:r w:rsidRPr="008A0760">
              <w:rPr>
                <w:rFonts w:ascii="Verdana" w:hAnsi="Verdana"/>
                <w:b/>
                <w:bCs/>
                <w:sz w:val="16"/>
                <w:szCs w:val="16"/>
                <w:lang w:val="en-US" w:eastAsia="en-US"/>
              </w:rPr>
              <w:t>CO</w:t>
            </w:r>
            <w:r w:rsidRPr="008A0760">
              <w:rPr>
                <w:lang w:val="en-US" w:eastAsia="en-US"/>
              </w:rPr>
              <w:t xml:space="preserve"> </w:t>
            </w:r>
          </w:p>
        </w:tc>
        <w:tc>
          <w:tcPr>
            <w:tcW w:w="765"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3DC22009" w14:textId="77777777" w:rsidR="008A0760" w:rsidRPr="008A0760" w:rsidRDefault="008A0760" w:rsidP="008A0760">
            <w:pPr>
              <w:spacing w:before="40" w:after="40" w:line="222" w:lineRule="atLeast"/>
              <w:jc w:val="center"/>
              <w:rPr>
                <w:lang w:val="en-US" w:eastAsia="en-US"/>
              </w:rPr>
            </w:pPr>
            <w:r w:rsidRPr="008A0760">
              <w:rPr>
                <w:rFonts w:ascii="Verdana" w:hAnsi="Verdana"/>
                <w:b/>
                <w:bCs/>
                <w:sz w:val="16"/>
                <w:szCs w:val="16"/>
                <w:lang w:val="en-US" w:eastAsia="en-US"/>
              </w:rPr>
              <w:t>Part</w:t>
            </w:r>
            <w:r w:rsidRPr="008A0760">
              <w:rPr>
                <w:lang w:val="en-US" w:eastAsia="en-US"/>
              </w:rPr>
              <w:t xml:space="preserve"> </w:t>
            </w:r>
            <w:r w:rsidRPr="008A0760">
              <w:rPr>
                <w:rFonts w:ascii="Verdana" w:hAnsi="Verdana"/>
                <w:b/>
                <w:bCs/>
                <w:sz w:val="16"/>
                <w:szCs w:val="16"/>
                <w:lang w:val="en-US" w:eastAsia="en-US"/>
              </w:rPr>
              <w:t>(g / mi)</w:t>
            </w:r>
            <w:r w:rsidRPr="008A0760">
              <w:rPr>
                <w:lang w:val="en-US" w:eastAsia="en-US"/>
              </w:rPr>
              <w:t xml:space="preserve"> </w:t>
            </w:r>
          </w:p>
        </w:tc>
      </w:tr>
      <w:tr w:rsidR="008A0760" w:rsidRPr="008A0760" w14:paraId="119D22A3" w14:textId="77777777" w:rsidTr="008A0760">
        <w:trPr>
          <w:trHeight w:val="20"/>
          <w:jc w:val="center"/>
        </w:trPr>
        <w:tc>
          <w:tcPr>
            <w:tcW w:w="48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7474855" w14:textId="77777777" w:rsidR="008A0760" w:rsidRPr="008A0760" w:rsidRDefault="008A0760" w:rsidP="008A0760">
            <w:pPr>
              <w:spacing w:before="40" w:after="40" w:line="222" w:lineRule="atLeast"/>
              <w:jc w:val="both"/>
              <w:rPr>
                <w:lang w:val="en-US" w:eastAsia="en-US"/>
              </w:rPr>
            </w:pPr>
            <w:r w:rsidRPr="008A0760">
              <w:rPr>
                <w:rFonts w:ascii="Verdana" w:hAnsi="Verdana"/>
                <w:sz w:val="16"/>
                <w:szCs w:val="16"/>
                <w:lang w:val="en-US" w:eastAsia="en-US"/>
              </w:rPr>
              <w:t>Oxidation catalyst system (SCOD/DOC)</w:t>
            </w:r>
            <w:r w:rsidRPr="008A0760">
              <w:rPr>
                <w:lang w:val="en-US" w:eastAsia="en-US"/>
              </w:rPr>
              <w:t xml:space="preserve">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4AEAAC9"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7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DACCEA"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5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3F41C6E"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F35F56"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r>
      <w:tr w:rsidR="008A0760" w:rsidRPr="008A0760" w14:paraId="3C4D5D98" w14:textId="77777777" w:rsidTr="008A0760">
        <w:trPr>
          <w:trHeight w:val="20"/>
          <w:jc w:val="center"/>
        </w:trPr>
        <w:tc>
          <w:tcPr>
            <w:tcW w:w="48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4468A20" w14:textId="77777777" w:rsidR="008A0760" w:rsidRPr="008A0760" w:rsidRDefault="008A0760" w:rsidP="008A0760">
            <w:pPr>
              <w:spacing w:before="40" w:after="40" w:line="222" w:lineRule="atLeast"/>
              <w:jc w:val="both"/>
              <w:rPr>
                <w:lang w:val="en-US" w:eastAsia="en-US"/>
              </w:rPr>
            </w:pPr>
            <w:r w:rsidRPr="008A0760">
              <w:rPr>
                <w:rFonts w:ascii="Verdana" w:hAnsi="Verdana"/>
                <w:sz w:val="16"/>
                <w:szCs w:val="16"/>
                <w:lang w:val="en-US" w:eastAsia="en-US"/>
              </w:rPr>
              <w:t>Selective Reduction Catalyst System (</w:t>
            </w:r>
            <w:r w:rsidR="00F75D61">
              <w:rPr>
                <w:rFonts w:ascii="Verdana" w:hAnsi="Verdana"/>
                <w:sz w:val="16"/>
                <w:szCs w:val="16"/>
                <w:lang w:val="en-US" w:eastAsia="en-US"/>
              </w:rPr>
              <w:t>SRCS/SCR</w:t>
            </w:r>
            <w:r w:rsidRPr="008A0760">
              <w:rPr>
                <w:rFonts w:ascii="Verdana" w:hAnsi="Verdana"/>
                <w:sz w:val="16"/>
                <w:szCs w:val="16"/>
                <w:lang w:val="en-US" w:eastAsia="en-US"/>
              </w:rPr>
              <w:t>)</w:t>
            </w:r>
            <w:r w:rsidRPr="008A0760">
              <w:rPr>
                <w:lang w:val="en-US" w:eastAsia="en-US"/>
              </w:rPr>
              <w:t xml:space="preserve">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12DCF55"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7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577C453"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5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EB372D4"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548FE36"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r>
      <w:tr w:rsidR="008A0760" w:rsidRPr="008A0760" w14:paraId="171031B3" w14:textId="77777777" w:rsidTr="008A0760">
        <w:trPr>
          <w:trHeight w:val="20"/>
          <w:jc w:val="center"/>
        </w:trPr>
        <w:tc>
          <w:tcPr>
            <w:tcW w:w="48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F0C7358" w14:textId="77777777" w:rsidR="008A0760" w:rsidRPr="008A0760" w:rsidRDefault="008A0760" w:rsidP="008A0760">
            <w:pPr>
              <w:spacing w:before="40" w:after="40" w:line="222" w:lineRule="atLeast"/>
              <w:jc w:val="both"/>
              <w:rPr>
                <w:lang w:val="en-US" w:eastAsia="en-US"/>
              </w:rPr>
            </w:pPr>
            <w:r w:rsidRPr="008A0760">
              <w:rPr>
                <w:rFonts w:ascii="Verdana" w:hAnsi="Verdana"/>
                <w:sz w:val="16"/>
                <w:szCs w:val="16"/>
                <w:lang w:val="en-US" w:eastAsia="en-US"/>
              </w:rPr>
              <w:t>Particle Filtration System (</w:t>
            </w:r>
            <w:r w:rsidR="00F75D61">
              <w:rPr>
                <w:rFonts w:ascii="Verdana" w:hAnsi="Verdana"/>
                <w:sz w:val="16"/>
                <w:szCs w:val="16"/>
                <w:lang w:val="en-US" w:eastAsia="en-US"/>
              </w:rPr>
              <w:t>SFP/DPF</w:t>
            </w:r>
            <w:r w:rsidRPr="008A0760">
              <w:rPr>
                <w:rFonts w:ascii="Verdana" w:hAnsi="Verdana"/>
                <w:sz w:val="16"/>
                <w:szCs w:val="16"/>
                <w:lang w:val="en-US" w:eastAsia="en-US"/>
              </w:rPr>
              <w:t>)</w:t>
            </w:r>
            <w:r w:rsidRPr="008A0760">
              <w:rPr>
                <w:lang w:val="en-US" w:eastAsia="en-US"/>
              </w:rPr>
              <w:t xml:space="preserve">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B20316"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7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72D303F"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5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BA09EC7"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BF8137C"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+0.04</w:t>
            </w:r>
            <w:r w:rsidRPr="008A0760">
              <w:rPr>
                <w:lang w:val="en-US" w:eastAsia="en-US"/>
              </w:rPr>
              <w:t xml:space="preserve"> </w:t>
            </w:r>
          </w:p>
        </w:tc>
      </w:tr>
      <w:tr w:rsidR="008A0760" w:rsidRPr="008A0760" w14:paraId="6B42BAB3" w14:textId="77777777" w:rsidTr="008A0760">
        <w:trPr>
          <w:trHeight w:val="20"/>
          <w:jc w:val="center"/>
        </w:trPr>
        <w:tc>
          <w:tcPr>
            <w:tcW w:w="48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34F5599" w14:textId="77777777" w:rsidR="008A0760" w:rsidRPr="008A0760" w:rsidRDefault="008A0760" w:rsidP="008A0760">
            <w:pPr>
              <w:spacing w:before="40" w:after="40" w:line="222" w:lineRule="atLeast"/>
              <w:jc w:val="both"/>
              <w:rPr>
                <w:lang w:val="en-US" w:eastAsia="en-US"/>
              </w:rPr>
            </w:pPr>
            <w:r w:rsidRPr="008A0760">
              <w:rPr>
                <w:rFonts w:ascii="Verdana" w:hAnsi="Verdana"/>
                <w:sz w:val="16"/>
                <w:szCs w:val="16"/>
                <w:lang w:val="en-US" w:eastAsia="en-US"/>
              </w:rPr>
              <w:t>Exhaust gas sensors-Air/fuel ratio sensors located before the post-treatment system</w:t>
            </w:r>
            <w:r w:rsidRPr="008A0760">
              <w:rPr>
                <w:lang w:val="en-US" w:eastAsia="en-US"/>
              </w:rPr>
              <w:t xml:space="preserve">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93C9E9"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7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1B5EF19"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5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BA26ADE"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EAD038"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+0.02</w:t>
            </w:r>
            <w:r w:rsidRPr="008A0760">
              <w:rPr>
                <w:lang w:val="en-US" w:eastAsia="en-US"/>
              </w:rPr>
              <w:t xml:space="preserve"> </w:t>
            </w:r>
          </w:p>
        </w:tc>
      </w:tr>
      <w:tr w:rsidR="008A0760" w:rsidRPr="008A0760" w14:paraId="0ECAF170" w14:textId="77777777" w:rsidTr="008A0760">
        <w:trPr>
          <w:trHeight w:val="20"/>
          <w:jc w:val="center"/>
        </w:trPr>
        <w:tc>
          <w:tcPr>
            <w:tcW w:w="48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A01545E" w14:textId="77777777" w:rsidR="008A0760" w:rsidRPr="008A0760" w:rsidRDefault="008A0760" w:rsidP="008A0760">
            <w:pPr>
              <w:spacing w:before="40" w:after="40" w:line="222" w:lineRule="atLeast"/>
              <w:jc w:val="both"/>
              <w:rPr>
                <w:lang w:val="en-US" w:eastAsia="en-US"/>
              </w:rPr>
            </w:pPr>
            <w:r w:rsidRPr="008A0760">
              <w:rPr>
                <w:rFonts w:ascii="Verdana" w:hAnsi="Verdana"/>
                <w:sz w:val="16"/>
                <w:szCs w:val="16"/>
                <w:lang w:val="en-US" w:eastAsia="en-US"/>
              </w:rPr>
              <w:t>Exhaust gas sensors-Air/fuel ratio sensors located after the post-treatment system</w:t>
            </w:r>
            <w:r w:rsidRPr="008A0760">
              <w:rPr>
                <w:lang w:val="en-US" w:eastAsia="en-US"/>
              </w:rPr>
              <w:t xml:space="preserve">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00E975B"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7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AD1459D"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5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6883C7"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994714A"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+0.04</w:t>
            </w:r>
            <w:r w:rsidRPr="008A0760">
              <w:rPr>
                <w:lang w:val="en-US" w:eastAsia="en-US"/>
              </w:rPr>
              <w:t xml:space="preserve"> </w:t>
            </w:r>
          </w:p>
        </w:tc>
      </w:tr>
      <w:tr w:rsidR="008A0760" w:rsidRPr="008A0760" w14:paraId="6F9E05FA" w14:textId="77777777" w:rsidTr="008A0760">
        <w:trPr>
          <w:trHeight w:val="20"/>
          <w:jc w:val="center"/>
        </w:trPr>
        <w:tc>
          <w:tcPr>
            <w:tcW w:w="48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A9D0917" w14:textId="77777777" w:rsidR="008A0760" w:rsidRPr="008A0760" w:rsidRDefault="008A0760" w:rsidP="008A0760">
            <w:pPr>
              <w:spacing w:before="40" w:after="40" w:line="222" w:lineRule="atLeast"/>
              <w:jc w:val="both"/>
              <w:rPr>
                <w:lang w:val="en-US" w:eastAsia="en-US"/>
              </w:rPr>
            </w:pPr>
            <w:r w:rsidRPr="008A0760">
              <w:rPr>
                <w:rFonts w:ascii="Verdana" w:hAnsi="Verdana"/>
                <w:sz w:val="16"/>
                <w:szCs w:val="16"/>
                <w:lang w:val="en-US" w:eastAsia="en-US"/>
              </w:rPr>
              <w:t>NOx</w:t>
            </w:r>
            <w:r w:rsidRPr="008A0760">
              <w:rPr>
                <w:lang w:val="en-US" w:eastAsia="en-US"/>
              </w:rPr>
              <w:t xml:space="preserve"> </w:t>
            </w:r>
            <w:r w:rsidRPr="008A0760">
              <w:rPr>
                <w:rFonts w:ascii="Verdana" w:hAnsi="Verdana"/>
                <w:sz w:val="16"/>
                <w:szCs w:val="16"/>
                <w:lang w:val="en-US" w:eastAsia="en-US"/>
              </w:rPr>
              <w:t>sensors</w:t>
            </w:r>
            <w:r w:rsidRPr="008A0760">
              <w:rPr>
                <w:lang w:val="en-US" w:eastAsia="en-US"/>
              </w:rPr>
              <w:t xml:space="preserve">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5728210"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7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F456F5"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5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CB8E939"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w:t>
            </w:r>
            <w:r w:rsidRPr="008A0760">
              <w:rPr>
                <w:lang w:val="en-US" w:eastAsia="en-US"/>
              </w:rPr>
              <w:t xml:space="preserve"> </w:t>
            </w:r>
          </w:p>
        </w:tc>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CD7D89F"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+0.04</w:t>
            </w:r>
            <w:r w:rsidRPr="008A0760">
              <w:rPr>
                <w:lang w:val="en-US" w:eastAsia="en-US"/>
              </w:rPr>
              <w:t xml:space="preserve"> </w:t>
            </w:r>
          </w:p>
        </w:tc>
      </w:tr>
      <w:tr w:rsidR="008A0760" w:rsidRPr="008A0760" w14:paraId="71118B66" w14:textId="77777777" w:rsidTr="008A0760">
        <w:trPr>
          <w:trHeight w:val="20"/>
          <w:jc w:val="center"/>
        </w:trPr>
        <w:tc>
          <w:tcPr>
            <w:tcW w:w="481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C584D32" w14:textId="77777777" w:rsidR="008A0760" w:rsidRPr="008A0760" w:rsidRDefault="008A0760" w:rsidP="008A0760">
            <w:pPr>
              <w:spacing w:before="40" w:after="40" w:line="222" w:lineRule="atLeast"/>
              <w:jc w:val="both"/>
              <w:rPr>
                <w:lang w:val="en-US" w:eastAsia="en-US"/>
              </w:rPr>
            </w:pPr>
            <w:r w:rsidRPr="008A0760">
              <w:rPr>
                <w:rFonts w:ascii="Verdana" w:hAnsi="Verdana"/>
                <w:sz w:val="16"/>
                <w:szCs w:val="16"/>
                <w:lang w:val="en-US" w:eastAsia="en-US"/>
              </w:rPr>
              <w:t>Other emission control systems (</w:t>
            </w:r>
            <w:r w:rsidR="00F75D61">
              <w:rPr>
                <w:rFonts w:ascii="Verdana" w:hAnsi="Verdana"/>
                <w:sz w:val="16"/>
                <w:szCs w:val="16"/>
                <w:lang w:val="en-US" w:eastAsia="en-US"/>
              </w:rPr>
              <w:t>SRG/EGR</w:t>
            </w:r>
            <w:r w:rsidRPr="008A0760">
              <w:rPr>
                <w:rFonts w:ascii="Verdana" w:hAnsi="Verdana"/>
                <w:sz w:val="16"/>
                <w:szCs w:val="16"/>
                <w:lang w:val="en-US" w:eastAsia="en-US"/>
              </w:rPr>
              <w:t>) and fuel injection systems</w:t>
            </w:r>
            <w:r w:rsidRPr="008A0760">
              <w:rPr>
                <w:lang w:val="en-US" w:eastAsia="en-US"/>
              </w:rPr>
              <w:t xml:space="preserve"> </w:t>
            </w:r>
          </w:p>
        </w:tc>
        <w:tc>
          <w:tcPr>
            <w:tcW w:w="77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029636EF"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+0.3</w:t>
            </w:r>
            <w:r w:rsidRPr="008A0760">
              <w:rPr>
                <w:lang w:val="en-US" w:eastAsia="en-US"/>
              </w:rPr>
              <w:t xml:space="preserve"> </w:t>
            </w:r>
          </w:p>
        </w:tc>
        <w:tc>
          <w:tcPr>
            <w:tcW w:w="748"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7C6120A"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539"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64AEF1B5"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2X</w:t>
            </w:r>
            <w:r w:rsidRPr="008A0760">
              <w:rPr>
                <w:lang w:val="en-US" w:eastAsia="en-US"/>
              </w:rPr>
              <w:t xml:space="preserve"> </w:t>
            </w:r>
          </w:p>
        </w:tc>
        <w:tc>
          <w:tcPr>
            <w:tcW w:w="76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67BA910"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+0.02</w:t>
            </w:r>
            <w:r w:rsidRPr="008A0760">
              <w:rPr>
                <w:lang w:val="en-US" w:eastAsia="en-US"/>
              </w:rPr>
              <w:t xml:space="preserve"> </w:t>
            </w:r>
          </w:p>
        </w:tc>
      </w:tr>
      <w:tr w:rsidR="008A0760" w:rsidRPr="00743A20" w14:paraId="4DE5D294" w14:textId="77777777" w:rsidTr="008A0760">
        <w:trPr>
          <w:trHeight w:val="20"/>
          <w:jc w:val="center"/>
        </w:trPr>
        <w:tc>
          <w:tcPr>
            <w:tcW w:w="7641"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91DB7EC" w14:textId="77777777" w:rsidR="008A0760" w:rsidRPr="008A0760" w:rsidRDefault="008A0760" w:rsidP="008A0760">
            <w:pPr>
              <w:spacing w:after="101" w:line="222" w:lineRule="atLeast"/>
              <w:ind w:left="576"/>
              <w:jc w:val="both"/>
              <w:rPr>
                <w:lang w:val="en-US" w:eastAsia="en-US"/>
              </w:rPr>
            </w:pPr>
            <w:r w:rsidRPr="008A0760">
              <w:rPr>
                <w:rFonts w:ascii="Verdana" w:hAnsi="Verdana"/>
                <w:sz w:val="16"/>
                <w:szCs w:val="16"/>
                <w:lang w:val="en-US" w:eastAsia="en-US"/>
              </w:rPr>
              <w:t>Note:</w:t>
            </w:r>
            <w:r w:rsidRPr="008A0760">
              <w:rPr>
                <w:lang w:val="en-US" w:eastAsia="en-US"/>
              </w:rPr>
              <w:t xml:space="preserve"> </w:t>
            </w:r>
          </w:p>
          <w:p w14:paraId="1425B9EB" w14:textId="77777777" w:rsidR="008A0760" w:rsidRPr="008A0760" w:rsidRDefault="008A0760" w:rsidP="008A0760">
            <w:pPr>
              <w:spacing w:after="101" w:line="222" w:lineRule="atLeast"/>
              <w:ind w:left="576" w:hanging="360"/>
              <w:jc w:val="both"/>
              <w:rPr>
                <w:lang w:val="en-US" w:eastAsia="en-US"/>
              </w:rPr>
            </w:pPr>
            <w:r w:rsidRPr="008A0760">
              <w:rPr>
                <w:rFonts w:ascii="Verdana" w:hAnsi="Verdana"/>
                <w:sz w:val="16"/>
                <w:szCs w:val="16"/>
                <w:lang w:val="en-US" w:eastAsia="en-US"/>
              </w:rPr>
              <w:t>1.</w:t>
            </w:r>
            <w:r w:rsidRPr="008A0760">
              <w:rPr>
                <w:lang w:val="en-US" w:eastAsia="en-US"/>
              </w:rPr>
              <w:t xml:space="preserve"> </w:t>
            </w:r>
            <w:r w:rsidRPr="008A0760">
              <w:rPr>
                <w:rFonts w:ascii="Verdana" w:hAnsi="Verdana"/>
                <w:sz w:val="16"/>
                <w:szCs w:val="16"/>
                <w:lang w:val="en-US" w:eastAsia="en-US"/>
              </w:rPr>
              <w:t>              2X, means a multiple of 2.0 times the corresponding standard emissions or limit of vehicle emissions + 0.3 means standard or limit of vehicle emissions plus 0.3 g /</w:t>
            </w:r>
            <w:r w:rsidRPr="008A0760">
              <w:rPr>
                <w:lang w:val="en-US" w:eastAsia="en-US"/>
              </w:rPr>
              <w:t xml:space="preserve"> </w:t>
            </w:r>
            <w:r w:rsidRPr="008A0760">
              <w:rPr>
                <w:rFonts w:ascii="Verdana" w:hAnsi="Verdana"/>
                <w:sz w:val="16"/>
                <w:szCs w:val="16"/>
                <w:lang w:val="en-US" w:eastAsia="en-US"/>
              </w:rPr>
              <w:t>mi.</w:t>
            </w:r>
            <w:r w:rsidRPr="008A0760">
              <w:rPr>
                <w:lang w:val="en-US" w:eastAsia="en-US"/>
              </w:rPr>
              <w:t xml:space="preserve"> </w:t>
            </w:r>
          </w:p>
          <w:p w14:paraId="065A3667" w14:textId="77777777" w:rsidR="008A0760" w:rsidRPr="008A0760" w:rsidRDefault="008A0760" w:rsidP="008A0760">
            <w:pPr>
              <w:spacing w:before="40" w:after="40" w:line="222" w:lineRule="atLeast"/>
              <w:jc w:val="center"/>
              <w:rPr>
                <w:lang w:val="en-US" w:eastAsia="en-US"/>
              </w:rPr>
            </w:pPr>
            <w:r w:rsidRPr="008A0760">
              <w:rPr>
                <w:rFonts w:ascii="Verdana" w:hAnsi="Verdana"/>
                <w:sz w:val="16"/>
                <w:szCs w:val="16"/>
                <w:lang w:val="en-US" w:eastAsia="en-US"/>
              </w:rPr>
              <w:t> </w:t>
            </w:r>
          </w:p>
        </w:tc>
      </w:tr>
    </w:tbl>
    <w:p w14:paraId="04CC4459" w14:textId="77777777" w:rsidR="008A0760" w:rsidRPr="008A0760" w:rsidRDefault="008A0760" w:rsidP="008A0760">
      <w:pPr>
        <w:spacing w:after="160" w:line="259" w:lineRule="auto"/>
        <w:rPr>
          <w:sz w:val="22"/>
          <w:szCs w:val="22"/>
          <w:lang w:val="en-US" w:eastAsia="en-US"/>
        </w:rPr>
      </w:pPr>
      <w:r w:rsidRPr="008A0760">
        <w:rPr>
          <w:rFonts w:ascii="Calibri" w:hAnsi="Calibri" w:cs="Calibri"/>
          <w:sz w:val="22"/>
          <w:szCs w:val="22"/>
          <w:lang w:val="en-US" w:eastAsia="en-US"/>
        </w:rPr>
        <w:t> </w:t>
      </w:r>
    </w:p>
    <w:p w14:paraId="2B66AFDF" w14:textId="77777777" w:rsidR="008A0760" w:rsidRPr="008A0760" w:rsidRDefault="008A0760" w:rsidP="008A0760">
      <w:pPr>
        <w:pStyle w:val="Texto"/>
        <w:spacing w:line="222" w:lineRule="exact"/>
        <w:ind w:firstLine="0"/>
        <w:rPr>
          <w:rFonts w:ascii="Verdana" w:hAnsi="Verdana"/>
          <w:b/>
          <w:sz w:val="16"/>
          <w:szCs w:val="16"/>
          <w:lang w:val="en-US"/>
        </w:rPr>
      </w:pPr>
    </w:p>
    <w:tbl>
      <w:tblPr>
        <w:tblW w:w="0" w:type="auto"/>
        <w:tblLook w:val="04A0" w:firstRow="1" w:lastRow="0" w:firstColumn="1" w:lastColumn="0" w:noHBand="0" w:noVBand="1"/>
      </w:tblPr>
      <w:tblGrid>
        <w:gridCol w:w="4673"/>
        <w:gridCol w:w="4687"/>
      </w:tblGrid>
      <w:tr w:rsidR="008A0760" w:rsidRPr="00743A20" w14:paraId="33A362EE" w14:textId="77777777" w:rsidTr="00BD076C">
        <w:tc>
          <w:tcPr>
            <w:tcW w:w="4788" w:type="dxa"/>
            <w:shd w:val="clear" w:color="auto" w:fill="auto"/>
          </w:tcPr>
          <w:p w14:paraId="1D75D7EE"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A.7.2.3. Requisitos de Monitoreo para vehículos automotores nuevos con</w:t>
            </w:r>
            <w:r w:rsidRPr="00A57824">
              <w:rPr>
                <w:rFonts w:ascii="Verdana" w:hAnsi="Verdana"/>
                <w:sz w:val="16"/>
                <w:szCs w:val="16"/>
                <w:lang w:val="es-ES_tradnl"/>
              </w:rPr>
              <w:t xml:space="preserve"> </w:t>
            </w:r>
            <w:r w:rsidRPr="00A57824">
              <w:rPr>
                <w:rFonts w:ascii="Verdana" w:hAnsi="Verdana"/>
                <w:b/>
                <w:sz w:val="16"/>
                <w:szCs w:val="16"/>
                <w:lang w:val="es-ES_tradnl"/>
              </w:rPr>
              <w:t>peso bruto vehicular mayor a 6,350 kilogramos.</w:t>
            </w:r>
          </w:p>
        </w:tc>
        <w:tc>
          <w:tcPr>
            <w:tcW w:w="4788" w:type="dxa"/>
            <w:shd w:val="clear" w:color="auto" w:fill="auto"/>
          </w:tcPr>
          <w:p w14:paraId="4CE977B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w:t>
            </w:r>
            <w:r w:rsidRPr="00BD076C">
              <w:rPr>
                <w:lang w:val="en-US"/>
              </w:rPr>
              <w:t xml:space="preserve"> </w:t>
            </w:r>
            <w:r w:rsidRPr="00BD076C">
              <w:rPr>
                <w:rFonts w:ascii="Verdana" w:hAnsi="Verdana"/>
                <w:b/>
                <w:bCs/>
                <w:sz w:val="16"/>
                <w:szCs w:val="16"/>
                <w:lang w:val="en-US"/>
              </w:rPr>
              <w:t>Monitoring requirements for new motor vehicles with</w:t>
            </w:r>
            <w:r w:rsidRPr="00BD076C">
              <w:rPr>
                <w:lang w:val="en-US"/>
              </w:rPr>
              <w:t xml:space="preserve"> </w:t>
            </w:r>
            <w:r w:rsidRPr="00BD076C">
              <w:rPr>
                <w:rFonts w:ascii="Verdana" w:hAnsi="Verdana"/>
                <w:b/>
                <w:bCs/>
                <w:sz w:val="16"/>
                <w:szCs w:val="16"/>
                <w:lang w:val="en-US"/>
              </w:rPr>
              <w:t>vehicular gross weight greater than 6,350 kilograms.</w:t>
            </w:r>
            <w:r w:rsidRPr="00BD076C">
              <w:rPr>
                <w:lang w:val="en-US"/>
              </w:rPr>
              <w:t xml:space="preserve"> </w:t>
            </w:r>
          </w:p>
        </w:tc>
      </w:tr>
      <w:tr w:rsidR="008A0760" w:rsidRPr="00A57824" w14:paraId="068B24BC" w14:textId="77777777" w:rsidTr="00BD076C">
        <w:tc>
          <w:tcPr>
            <w:tcW w:w="4788" w:type="dxa"/>
            <w:shd w:val="clear" w:color="auto" w:fill="auto"/>
          </w:tcPr>
          <w:p w14:paraId="1E171310"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A.7.2.3.1.</w:t>
            </w:r>
            <w:r w:rsidRPr="00A57824">
              <w:rPr>
                <w:rFonts w:ascii="Verdana" w:hAnsi="Verdana"/>
                <w:sz w:val="16"/>
                <w:szCs w:val="16"/>
                <w:lang w:val="es-ES_tradnl"/>
              </w:rPr>
              <w:t xml:space="preserve"> Sistema de inyección de combustible.</w:t>
            </w:r>
          </w:p>
        </w:tc>
        <w:tc>
          <w:tcPr>
            <w:tcW w:w="4788" w:type="dxa"/>
            <w:shd w:val="clear" w:color="auto" w:fill="auto"/>
          </w:tcPr>
          <w:p w14:paraId="7643150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A.7.2.3.1.</w:t>
            </w:r>
            <w:r w:rsidRPr="00BD076C">
              <w:rPr>
                <w:lang w:val="en-US"/>
              </w:rPr>
              <w:t xml:space="preserve"> </w:t>
            </w:r>
            <w:r w:rsidRPr="00BD076C">
              <w:rPr>
                <w:rFonts w:ascii="Verdana" w:hAnsi="Verdana"/>
                <w:sz w:val="16"/>
                <w:szCs w:val="16"/>
                <w:lang w:val="en-US"/>
              </w:rPr>
              <w:t>Fuel injection system.</w:t>
            </w:r>
            <w:r w:rsidRPr="00BD076C">
              <w:rPr>
                <w:lang w:val="en-US"/>
              </w:rPr>
              <w:t xml:space="preserve"> </w:t>
            </w:r>
          </w:p>
        </w:tc>
      </w:tr>
      <w:tr w:rsidR="008A0760" w:rsidRPr="00743A20" w14:paraId="5AB4C437" w14:textId="77777777" w:rsidTr="00BD076C">
        <w:tc>
          <w:tcPr>
            <w:tcW w:w="4788" w:type="dxa"/>
            <w:shd w:val="clear" w:color="auto" w:fill="auto"/>
          </w:tcPr>
          <w:p w14:paraId="230CFCC4"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sistema SDB/OBD deberá monitorear el sistema de suministro de combustible para verificar que esté funcionando correctamente. Los componentes electrónicos individuales (por ejemplo, actuadores, válvulas, sensores, bombas) que se utilizan en el sistema de combustible también deberán ser monitoreados.</w:t>
            </w:r>
          </w:p>
        </w:tc>
        <w:tc>
          <w:tcPr>
            <w:tcW w:w="4788" w:type="dxa"/>
            <w:shd w:val="clear" w:color="auto" w:fill="auto"/>
          </w:tcPr>
          <w:p w14:paraId="4449B515"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monitor the fuel supply system to verify that it is working properly.</w:t>
            </w:r>
            <w:r w:rsidRPr="00BD076C">
              <w:rPr>
                <w:lang w:val="en-US"/>
              </w:rPr>
              <w:t xml:space="preserve"> </w:t>
            </w:r>
            <w:r w:rsidRPr="00BD076C">
              <w:rPr>
                <w:rFonts w:ascii="Verdana" w:hAnsi="Verdana"/>
                <w:sz w:val="16"/>
                <w:szCs w:val="16"/>
                <w:lang w:val="en-US"/>
              </w:rPr>
              <w:t>The individual electronic components (for example, actuators, valves, sensors, pumps) that are used in the fuel system must also be monitored.</w:t>
            </w:r>
            <w:r w:rsidRPr="00BD076C">
              <w:rPr>
                <w:lang w:val="en-US"/>
              </w:rPr>
              <w:t xml:space="preserve"> </w:t>
            </w:r>
          </w:p>
        </w:tc>
      </w:tr>
      <w:tr w:rsidR="008A0760" w:rsidRPr="00743A20" w14:paraId="39E26815" w14:textId="77777777" w:rsidTr="00BD076C">
        <w:tc>
          <w:tcPr>
            <w:tcW w:w="4788" w:type="dxa"/>
            <w:shd w:val="clear" w:color="auto" w:fill="auto"/>
          </w:tcPr>
          <w:p w14:paraId="63D846CC"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b/>
                <w:sz w:val="16"/>
                <w:szCs w:val="16"/>
                <w:lang w:val="es-ES_tradnl"/>
              </w:rPr>
              <w:tab/>
            </w:r>
            <w:r w:rsidRPr="00A57824">
              <w:rPr>
                <w:rFonts w:ascii="Verdana" w:hAnsi="Verdana"/>
                <w:sz w:val="16"/>
                <w:szCs w:val="16"/>
                <w:lang w:val="es-ES_tradnl"/>
              </w:rPr>
              <w:t>Monitoreo de la presión de inyección: el sistema SDB/OBD deberá supervisar la capacidad del sistema de combustible para controlar la presión del combustible deseado. El control de la presión del sistema de combustible debe ser monitoreado continuamente. El sistema de SDB/OBD debe detectar una falla cuando el sistema de control de presión de inyección es incapaz de mantener las emisiones por debajo de los límites SDB/OBD correspondientes a “Otros Monitores de Límites SDB/OBD” en la Tabla A.3;</w:t>
            </w:r>
          </w:p>
        </w:tc>
        <w:tc>
          <w:tcPr>
            <w:tcW w:w="4788" w:type="dxa"/>
            <w:shd w:val="clear" w:color="auto" w:fill="auto"/>
          </w:tcPr>
          <w:p w14:paraId="7B20F19F" w14:textId="77777777" w:rsidR="008A0760" w:rsidRPr="00BD076C" w:rsidRDefault="00BD076C"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 xml:space="preserve">Injection pressure monitoring: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must monitor the fuel system's capacity to control the desired fuel pressure.</w:t>
            </w:r>
            <w:r w:rsidR="008A0760" w:rsidRPr="00BD076C">
              <w:rPr>
                <w:lang w:val="en-US"/>
              </w:rPr>
              <w:t xml:space="preserve"> </w:t>
            </w:r>
            <w:r w:rsidR="008A0760" w:rsidRPr="00BD076C">
              <w:rPr>
                <w:rFonts w:ascii="Verdana" w:hAnsi="Verdana"/>
                <w:sz w:val="16"/>
                <w:szCs w:val="16"/>
                <w:lang w:val="en-US"/>
              </w:rPr>
              <w:t>Fuel system pressure monitoring must be monitored continuously.</w:t>
            </w:r>
            <w:r w:rsidR="008A0760" w:rsidRPr="00BD076C">
              <w:rPr>
                <w:lang w:val="en-US"/>
              </w:rPr>
              <w:t xml:space="preserve"> </w:t>
            </w:r>
            <w:r w:rsidR="008A0760" w:rsidRPr="00BD076C">
              <w:rPr>
                <w:rFonts w:ascii="Verdana" w:hAnsi="Verdana"/>
                <w:sz w:val="16"/>
                <w:szCs w:val="16"/>
                <w:lang w:val="en-US"/>
              </w:rPr>
              <w:t xml:space="preserve">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must detect a fault when the injection pressure control system is unable to keep the emissions below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limits corresponding to "Other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 Monitors" in Table A.3;</w:t>
            </w:r>
            <w:r w:rsidR="008A0760" w:rsidRPr="00BD076C">
              <w:rPr>
                <w:lang w:val="en-US"/>
              </w:rPr>
              <w:t xml:space="preserve"> </w:t>
            </w:r>
          </w:p>
        </w:tc>
      </w:tr>
      <w:tr w:rsidR="008A0760" w:rsidRPr="00743A20" w14:paraId="68CDAF77" w14:textId="77777777" w:rsidTr="00BD076C">
        <w:tc>
          <w:tcPr>
            <w:tcW w:w="4788" w:type="dxa"/>
            <w:shd w:val="clear" w:color="auto" w:fill="auto"/>
          </w:tcPr>
          <w:p w14:paraId="3DBFC944"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b/>
                <w:sz w:val="16"/>
                <w:szCs w:val="16"/>
                <w:lang w:val="es-ES_tradnl"/>
              </w:rPr>
              <w:tab/>
            </w:r>
            <w:r w:rsidRPr="00A57824">
              <w:rPr>
                <w:rFonts w:ascii="Verdana" w:hAnsi="Verdana"/>
                <w:sz w:val="16"/>
                <w:szCs w:val="16"/>
                <w:lang w:val="es-ES_tradnl"/>
              </w:rPr>
              <w:t xml:space="preserve">Monitoreo de la cantidad inyectada: el sistema SDB/OBD deberá detectar un mal funcionamiento del sistema de inyección de combustible cuando éste sea </w:t>
            </w:r>
            <w:r w:rsidRPr="00A57824">
              <w:rPr>
                <w:rFonts w:ascii="Verdana" w:hAnsi="Verdana"/>
                <w:sz w:val="16"/>
                <w:szCs w:val="16"/>
                <w:lang w:val="es-ES_tradnl"/>
              </w:rPr>
              <w:lastRenderedPageBreak/>
              <w:t>incapaz de entregar la cantidad de combustible necesario para mantener las emisiones de un motor igual o menor a las establecidas en los límites SDB/OBD correspondientes a “Otros Monitores de Límites SDB/OBD” en la Tabla A.3;</w:t>
            </w:r>
          </w:p>
        </w:tc>
        <w:tc>
          <w:tcPr>
            <w:tcW w:w="4788" w:type="dxa"/>
            <w:shd w:val="clear" w:color="auto" w:fill="auto"/>
          </w:tcPr>
          <w:p w14:paraId="0199152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b.</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 xml:space="preserve">Monitoring of the quantity injected: 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a malfunction of the fuel injection system when it is unable to deliver the amount </w:t>
            </w:r>
            <w:r w:rsidRPr="00BD076C">
              <w:rPr>
                <w:rFonts w:ascii="Verdana" w:hAnsi="Verdana"/>
                <w:sz w:val="16"/>
                <w:szCs w:val="16"/>
                <w:lang w:val="en-US"/>
              </w:rPr>
              <w:lastRenderedPageBreak/>
              <w:t xml:space="preserve">of fuel needed to maintain engine emissions equal to or lower than those established in the SDB limits/OBD corresponding to "Other </w:t>
            </w:r>
            <w:r w:rsidR="002D78B5" w:rsidRPr="00BD076C">
              <w:rPr>
                <w:rFonts w:ascii="Verdana" w:hAnsi="Verdana"/>
                <w:sz w:val="16"/>
                <w:szCs w:val="16"/>
                <w:lang w:val="en-US"/>
              </w:rPr>
              <w:t>SDB/OBD</w:t>
            </w:r>
            <w:r w:rsidRPr="00BD076C">
              <w:rPr>
                <w:rFonts w:ascii="Verdana" w:hAnsi="Verdana"/>
                <w:sz w:val="16"/>
                <w:szCs w:val="16"/>
                <w:lang w:val="en-US"/>
              </w:rPr>
              <w:t xml:space="preserve"> Limit Monitors" in Table A.3;</w:t>
            </w:r>
            <w:r w:rsidRPr="00BD076C">
              <w:rPr>
                <w:lang w:val="en-US"/>
              </w:rPr>
              <w:t xml:space="preserve"> </w:t>
            </w:r>
          </w:p>
        </w:tc>
      </w:tr>
      <w:tr w:rsidR="008A0760" w:rsidRPr="00743A20" w14:paraId="3541D111" w14:textId="77777777" w:rsidTr="00BD076C">
        <w:tc>
          <w:tcPr>
            <w:tcW w:w="4788" w:type="dxa"/>
            <w:shd w:val="clear" w:color="auto" w:fill="auto"/>
          </w:tcPr>
          <w:p w14:paraId="35D165D0"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c.</w:t>
            </w:r>
            <w:r w:rsidRPr="00A57824">
              <w:rPr>
                <w:rFonts w:ascii="Verdana" w:hAnsi="Verdana"/>
                <w:b/>
                <w:sz w:val="16"/>
                <w:szCs w:val="16"/>
                <w:lang w:val="es-ES_tradnl"/>
              </w:rPr>
              <w:tab/>
            </w:r>
            <w:r w:rsidRPr="00A57824">
              <w:rPr>
                <w:rFonts w:ascii="Verdana" w:hAnsi="Verdana"/>
                <w:sz w:val="16"/>
                <w:szCs w:val="16"/>
                <w:lang w:val="es-ES_tradnl"/>
              </w:rPr>
              <w:t>Monitoreo del temporizador de inyección: el sistema SDB/OBD deberá detectar un mal funcionamiento del sistema de inyección de combustible cuando éste sea incapaz de suministrar combustible en el momento/ángulo de cigüeñal adecuado (por ejemplo, la sincronización de la inyección demasiado adelantado o demasiado retrasado), necesario para mantener las emisiones de un motor igual o menor a las establecidas en los límites SDB/OBD correspondientes a “Otros Monitores de Límites SDB/OBD” en la Tabla A.3, y</w:t>
            </w:r>
          </w:p>
        </w:tc>
        <w:tc>
          <w:tcPr>
            <w:tcW w:w="4788" w:type="dxa"/>
            <w:shd w:val="clear" w:color="auto" w:fill="auto"/>
          </w:tcPr>
          <w:p w14:paraId="3D3BABF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 xml:space="preserve">Injection timer monitoring: 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a malfunction of the fuel injection system when it is unable to supply fuel at the right moment/crankshaft angle (for example, injection timing too early or too much delayed), necessary to maintain engine emissions equal to or less than those established in the </w:t>
            </w:r>
            <w:r w:rsidR="002D78B5" w:rsidRPr="00BD076C">
              <w:rPr>
                <w:rFonts w:ascii="Verdana" w:hAnsi="Verdana"/>
                <w:sz w:val="16"/>
                <w:szCs w:val="16"/>
                <w:lang w:val="en-US"/>
              </w:rPr>
              <w:t>SDB/OBD</w:t>
            </w:r>
            <w:r w:rsidRPr="00BD076C">
              <w:rPr>
                <w:rFonts w:ascii="Verdana" w:hAnsi="Verdana"/>
                <w:sz w:val="16"/>
                <w:szCs w:val="16"/>
                <w:lang w:val="en-US"/>
              </w:rPr>
              <w:t xml:space="preserve"> limits corresponding to "Other </w:t>
            </w:r>
            <w:r w:rsidR="002D78B5" w:rsidRPr="00BD076C">
              <w:rPr>
                <w:rFonts w:ascii="Verdana" w:hAnsi="Verdana"/>
                <w:sz w:val="16"/>
                <w:szCs w:val="16"/>
                <w:lang w:val="en-US"/>
              </w:rPr>
              <w:t>SDB/OBD</w:t>
            </w:r>
            <w:r w:rsidRPr="00BD076C">
              <w:rPr>
                <w:rFonts w:ascii="Verdana" w:hAnsi="Verdana"/>
                <w:sz w:val="16"/>
                <w:szCs w:val="16"/>
                <w:lang w:val="en-US"/>
              </w:rPr>
              <w:t xml:space="preserve"> Limit Monitors" in Table A.3, and</w:t>
            </w:r>
            <w:r w:rsidRPr="00BD076C">
              <w:rPr>
                <w:lang w:val="en-US"/>
              </w:rPr>
              <w:t xml:space="preserve"> </w:t>
            </w:r>
          </w:p>
        </w:tc>
      </w:tr>
      <w:tr w:rsidR="008A0760" w:rsidRPr="00743A20" w14:paraId="3382B980" w14:textId="77777777" w:rsidTr="00BD076C">
        <w:tc>
          <w:tcPr>
            <w:tcW w:w="4788" w:type="dxa"/>
            <w:shd w:val="clear" w:color="auto" w:fill="auto"/>
          </w:tcPr>
          <w:p w14:paraId="38FE4FF2" w14:textId="77777777" w:rsidR="008A0760" w:rsidRPr="00A57824" w:rsidRDefault="008A0760" w:rsidP="00BD076C">
            <w:pPr>
              <w:pStyle w:val="ROMANOS"/>
              <w:tabs>
                <w:tab w:val="left" w:pos="660"/>
              </w:tabs>
              <w:spacing w:line="276" w:lineRule="auto"/>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b/>
                <w:sz w:val="16"/>
                <w:szCs w:val="16"/>
                <w:lang w:val="es-ES_tradnl"/>
              </w:rPr>
              <w:tab/>
            </w:r>
            <w:r w:rsidRPr="00A57824">
              <w:rPr>
                <w:rFonts w:ascii="Verdana" w:hAnsi="Verdana"/>
                <w:sz w:val="16"/>
                <w:szCs w:val="16"/>
                <w:lang w:val="es-ES_tradnl"/>
              </w:rPr>
              <w:tab/>
              <w:t>Las señales de monitoreo por lazo cerrado deben ser monitoreadas.</w:t>
            </w:r>
          </w:p>
        </w:tc>
        <w:tc>
          <w:tcPr>
            <w:tcW w:w="4788" w:type="dxa"/>
            <w:shd w:val="clear" w:color="auto" w:fill="auto"/>
          </w:tcPr>
          <w:p w14:paraId="0F4DB76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b/>
                <w:bCs/>
                <w:sz w:val="16"/>
                <w:szCs w:val="16"/>
                <w:lang w:val="en-US"/>
              </w:rPr>
              <w:t>        </w:t>
            </w:r>
            <w:r w:rsidRPr="00BD076C">
              <w:rPr>
                <w:rFonts w:ascii="Verdana" w:hAnsi="Verdana"/>
                <w:sz w:val="16"/>
                <w:szCs w:val="16"/>
                <w:lang w:val="en-US"/>
              </w:rPr>
              <w:t xml:space="preserve"> Closed loop monitoring signals must be monitored.</w:t>
            </w:r>
            <w:r w:rsidRPr="00BD076C">
              <w:rPr>
                <w:lang w:val="en-US"/>
              </w:rPr>
              <w:t xml:space="preserve"> </w:t>
            </w:r>
          </w:p>
        </w:tc>
      </w:tr>
      <w:tr w:rsidR="008A0760" w:rsidRPr="00A57824" w14:paraId="3E1D088B" w14:textId="77777777" w:rsidTr="00BD076C">
        <w:tc>
          <w:tcPr>
            <w:tcW w:w="4788" w:type="dxa"/>
            <w:shd w:val="clear" w:color="auto" w:fill="auto"/>
          </w:tcPr>
          <w:p w14:paraId="3913225E"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A.7.2.3.2.</w:t>
            </w:r>
            <w:r w:rsidRPr="00A57824">
              <w:rPr>
                <w:rFonts w:ascii="Verdana" w:hAnsi="Verdana"/>
                <w:sz w:val="16"/>
                <w:szCs w:val="16"/>
                <w:lang w:val="es-ES_tradnl"/>
              </w:rPr>
              <w:t xml:space="preserve"> Fallas de encendido del motor.</w:t>
            </w:r>
          </w:p>
        </w:tc>
        <w:tc>
          <w:tcPr>
            <w:tcW w:w="4788" w:type="dxa"/>
            <w:shd w:val="clear" w:color="auto" w:fill="auto"/>
          </w:tcPr>
          <w:p w14:paraId="2E1A32D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A.7.2.3.2.</w:t>
            </w:r>
            <w:r w:rsidRPr="00BD076C">
              <w:rPr>
                <w:lang w:val="en-US"/>
              </w:rPr>
              <w:t xml:space="preserve"> </w:t>
            </w:r>
            <w:r w:rsidRPr="00BD076C">
              <w:rPr>
                <w:rFonts w:ascii="Verdana" w:hAnsi="Verdana"/>
                <w:sz w:val="16"/>
                <w:szCs w:val="16"/>
                <w:lang w:val="en-US"/>
              </w:rPr>
              <w:t>Engine ignition failures.</w:t>
            </w:r>
            <w:r w:rsidRPr="00BD076C">
              <w:rPr>
                <w:lang w:val="en-US"/>
              </w:rPr>
              <w:t xml:space="preserve"> </w:t>
            </w:r>
          </w:p>
        </w:tc>
      </w:tr>
      <w:tr w:rsidR="008A0760" w:rsidRPr="00743A20" w14:paraId="4D8B8C4E" w14:textId="77777777" w:rsidTr="00BD076C">
        <w:tc>
          <w:tcPr>
            <w:tcW w:w="4788" w:type="dxa"/>
            <w:shd w:val="clear" w:color="auto" w:fill="auto"/>
          </w:tcPr>
          <w:p w14:paraId="7ADD9D4D"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sistema SDB/OBD deberá supervisar el motor por falla de encendido que cause un exceso de emisiones en operación de mínimas revoluciones o ralentí por viaje. El sistema SDB/OBD deberá ser capaz de detectar fallas de encendido que ocurran en uno o más cilindros.</w:t>
            </w:r>
          </w:p>
        </w:tc>
        <w:tc>
          <w:tcPr>
            <w:tcW w:w="4788" w:type="dxa"/>
            <w:shd w:val="clear" w:color="auto" w:fill="auto"/>
          </w:tcPr>
          <w:p w14:paraId="22E886E4"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supervise the engine due to a misfire that causes an excess of emissions in operation of minimum revolutions or idle per trip.</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be capable of detecting ignition failures that occur in one or more cylinders.</w:t>
            </w:r>
            <w:r w:rsidRPr="00BD076C">
              <w:rPr>
                <w:lang w:val="en-US"/>
              </w:rPr>
              <w:t xml:space="preserve"> </w:t>
            </w:r>
          </w:p>
        </w:tc>
      </w:tr>
      <w:tr w:rsidR="008A0760" w:rsidRPr="00743A20" w14:paraId="2BCDE933" w14:textId="77777777" w:rsidTr="00BD076C">
        <w:tc>
          <w:tcPr>
            <w:tcW w:w="4788" w:type="dxa"/>
            <w:shd w:val="clear" w:color="auto" w:fill="auto"/>
          </w:tcPr>
          <w:p w14:paraId="7D925E01"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A.7.2.3.3.</w:t>
            </w:r>
            <w:r w:rsidRPr="00A57824">
              <w:rPr>
                <w:rFonts w:ascii="Verdana" w:hAnsi="Verdana"/>
                <w:sz w:val="16"/>
                <w:szCs w:val="16"/>
                <w:lang w:val="es-ES_tradnl"/>
              </w:rPr>
              <w:t xml:space="preserve"> Sistema de Recirculación de Gases (SRG o EGR, por sus siglas en inglés).</w:t>
            </w:r>
          </w:p>
        </w:tc>
        <w:tc>
          <w:tcPr>
            <w:tcW w:w="4788" w:type="dxa"/>
            <w:shd w:val="clear" w:color="auto" w:fill="auto"/>
          </w:tcPr>
          <w:p w14:paraId="732D4C1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A.7.2.3.3.</w:t>
            </w:r>
            <w:r w:rsidRPr="00BD076C">
              <w:rPr>
                <w:lang w:val="en-US"/>
              </w:rPr>
              <w:t xml:space="preserve"> </w:t>
            </w:r>
            <w:r w:rsidRPr="00BD076C">
              <w:rPr>
                <w:rFonts w:ascii="Verdana" w:hAnsi="Verdana"/>
                <w:sz w:val="16"/>
                <w:szCs w:val="16"/>
                <w:lang w:val="en-US"/>
              </w:rPr>
              <w:t>Gas Recirculation System (SRG or EGR, for its acronym in English).</w:t>
            </w:r>
            <w:r w:rsidRPr="00BD076C">
              <w:rPr>
                <w:lang w:val="en-US"/>
              </w:rPr>
              <w:t xml:space="preserve"> </w:t>
            </w:r>
          </w:p>
        </w:tc>
      </w:tr>
      <w:tr w:rsidR="008A0760" w:rsidRPr="00F75D61" w14:paraId="1E8BD5F5" w14:textId="77777777" w:rsidTr="00BD076C">
        <w:tc>
          <w:tcPr>
            <w:tcW w:w="4788" w:type="dxa"/>
            <w:shd w:val="clear" w:color="auto" w:fill="auto"/>
          </w:tcPr>
          <w:p w14:paraId="15781C53"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sistema SDB/OBD deberá supervisar el SRG/EGR por mal funcionamiento debido a tasa de flujo bajo, tasa de flujo alto y respuesta lenta del sistema, en los motores equipados con este tipo de sistemas. Para los motores equipados con enfriadores del SRG/EGR (por ejemplo, intercambiadores de calor), el sistema SDB/OBD deberá supervisar el refrigerante por mal funcionamiento debido a refrigeración insuficiente. El caudal del SRG/EGR (corriente arriba y abajo) debe ser monitoreado continuamente. Las señales de retroalimentación del SRG/EGR deberán controlarse permanentemente. La tasa de respuesta del SRG/EGR y el seguimiento de enfriamiento serán definidos por el fabricante. Los componentes electrónicos individuales (por ejemplo, actuadores, válvulas, sensores) que se utilizan en el SRG/EGR, deberán ser monitoreados. Los requisitos de monitoreo se presentan a continuación:</w:t>
            </w:r>
          </w:p>
        </w:tc>
        <w:tc>
          <w:tcPr>
            <w:tcW w:w="4788" w:type="dxa"/>
            <w:shd w:val="clear" w:color="auto" w:fill="auto"/>
          </w:tcPr>
          <w:p w14:paraId="3BE36AFA"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supervise the </w:t>
            </w:r>
            <w:r w:rsidR="00F75D61" w:rsidRPr="00BD076C">
              <w:rPr>
                <w:rFonts w:ascii="Verdana" w:hAnsi="Verdana"/>
                <w:sz w:val="16"/>
                <w:szCs w:val="16"/>
                <w:lang w:val="en-US"/>
              </w:rPr>
              <w:t>SRG/EGR</w:t>
            </w:r>
            <w:r w:rsidRPr="00BD076C">
              <w:rPr>
                <w:rFonts w:ascii="Verdana" w:hAnsi="Verdana"/>
                <w:sz w:val="16"/>
                <w:szCs w:val="16"/>
                <w:lang w:val="en-US"/>
              </w:rPr>
              <w:t xml:space="preserve"> due to malfunction due to low flow rate, high flow rate and slow system response, in engines equipped with this type of systems.</w:t>
            </w:r>
            <w:r w:rsidRPr="00BD076C">
              <w:rPr>
                <w:lang w:val="en-US"/>
              </w:rPr>
              <w:t xml:space="preserve"> </w:t>
            </w:r>
            <w:r w:rsidRPr="00BD076C">
              <w:rPr>
                <w:rFonts w:ascii="Verdana" w:hAnsi="Verdana"/>
                <w:sz w:val="16"/>
                <w:szCs w:val="16"/>
                <w:lang w:val="en-US"/>
              </w:rPr>
              <w:t>For motors</w:t>
            </w:r>
            <w:r w:rsidRPr="00BD076C">
              <w:rPr>
                <w:lang w:val="en-US"/>
              </w:rPr>
              <w:t xml:space="preserve"> </w:t>
            </w:r>
            <w:r w:rsidRPr="00BD076C">
              <w:rPr>
                <w:rFonts w:ascii="Verdana" w:hAnsi="Verdana"/>
                <w:sz w:val="16"/>
                <w:szCs w:val="16"/>
                <w:lang w:val="en-US"/>
              </w:rPr>
              <w:t xml:space="preserve">equipped with </w:t>
            </w:r>
            <w:r w:rsidR="00F75D61" w:rsidRPr="00BD076C">
              <w:rPr>
                <w:rFonts w:ascii="Verdana" w:hAnsi="Verdana"/>
                <w:sz w:val="16"/>
                <w:szCs w:val="16"/>
                <w:lang w:val="en-US"/>
              </w:rPr>
              <w:t>SRG/EGR</w:t>
            </w:r>
            <w:r w:rsidRPr="00BD076C">
              <w:rPr>
                <w:rFonts w:ascii="Verdana" w:hAnsi="Verdana"/>
                <w:sz w:val="16"/>
                <w:szCs w:val="16"/>
                <w:lang w:val="en-US"/>
              </w:rPr>
              <w:t xml:space="preserve"> coolers (eg</w:t>
            </w:r>
            <w:r w:rsidR="00BD076C">
              <w:rPr>
                <w:rFonts w:ascii="Verdana" w:hAnsi="Verdana"/>
                <w:sz w:val="16"/>
                <w:szCs w:val="16"/>
                <w:lang w:val="en-US"/>
              </w:rPr>
              <w:t>.</w:t>
            </w:r>
            <w:r w:rsidRPr="00BD076C">
              <w:rPr>
                <w:rFonts w:ascii="Verdana" w:hAnsi="Verdana"/>
                <w:sz w:val="16"/>
                <w:szCs w:val="16"/>
                <w:lang w:val="en-US"/>
              </w:rPr>
              <w:t xml:space="preserve"> heat exchangers), 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monitor the refrigerant for malfunction due to insufficient cooling.</w:t>
            </w:r>
            <w:r w:rsidRPr="00BD076C">
              <w:rPr>
                <w:lang w:val="en-US"/>
              </w:rPr>
              <w:t xml:space="preserve"> </w:t>
            </w:r>
            <w:r w:rsidRPr="00BD076C">
              <w:rPr>
                <w:rFonts w:ascii="Verdana" w:hAnsi="Verdana"/>
                <w:sz w:val="16"/>
                <w:szCs w:val="16"/>
                <w:lang w:val="en-US"/>
              </w:rPr>
              <w:t xml:space="preserve">The </w:t>
            </w:r>
            <w:r w:rsidR="00F75D61" w:rsidRPr="00BD076C">
              <w:rPr>
                <w:rFonts w:ascii="Verdana" w:hAnsi="Verdana"/>
                <w:sz w:val="16"/>
                <w:szCs w:val="16"/>
                <w:lang w:val="en-US"/>
              </w:rPr>
              <w:t>SRG/EGR</w:t>
            </w:r>
            <w:r w:rsidRPr="00BD076C">
              <w:rPr>
                <w:rFonts w:ascii="Verdana" w:hAnsi="Verdana"/>
                <w:sz w:val="16"/>
                <w:szCs w:val="16"/>
                <w:lang w:val="en-US"/>
              </w:rPr>
              <w:t xml:space="preserve"> flow (upstream and downstream) must be continuously monitored.</w:t>
            </w:r>
            <w:r w:rsidRPr="00BD076C">
              <w:rPr>
                <w:lang w:val="en-US"/>
              </w:rPr>
              <w:t xml:space="preserve"> </w:t>
            </w:r>
            <w:r w:rsidRPr="00BD076C">
              <w:rPr>
                <w:rFonts w:ascii="Verdana" w:hAnsi="Verdana"/>
                <w:sz w:val="16"/>
                <w:szCs w:val="16"/>
                <w:lang w:val="en-US"/>
              </w:rPr>
              <w:t xml:space="preserve">The feedback signals from the </w:t>
            </w:r>
            <w:r w:rsidR="00F75D61" w:rsidRPr="00BD076C">
              <w:rPr>
                <w:rFonts w:ascii="Verdana" w:hAnsi="Verdana"/>
                <w:sz w:val="16"/>
                <w:szCs w:val="16"/>
                <w:lang w:val="en-US"/>
              </w:rPr>
              <w:t>SRG/EGR</w:t>
            </w:r>
            <w:r w:rsidRPr="00BD076C">
              <w:rPr>
                <w:rFonts w:ascii="Verdana" w:hAnsi="Verdana"/>
                <w:sz w:val="16"/>
                <w:szCs w:val="16"/>
                <w:lang w:val="en-US"/>
              </w:rPr>
              <w:t xml:space="preserve"> should be continuously monitored.</w:t>
            </w:r>
            <w:r w:rsidRPr="00BD076C">
              <w:rPr>
                <w:lang w:val="en-US"/>
              </w:rPr>
              <w:t xml:space="preserve"> </w:t>
            </w:r>
            <w:r w:rsidRPr="00BD076C">
              <w:rPr>
                <w:rFonts w:ascii="Verdana" w:hAnsi="Verdana"/>
                <w:sz w:val="16"/>
                <w:szCs w:val="16"/>
                <w:lang w:val="en-US"/>
              </w:rPr>
              <w:t xml:space="preserve">The response rate of the </w:t>
            </w:r>
            <w:r w:rsidR="00F75D61" w:rsidRPr="00BD076C">
              <w:rPr>
                <w:rFonts w:ascii="Verdana" w:hAnsi="Verdana"/>
                <w:sz w:val="16"/>
                <w:szCs w:val="16"/>
                <w:lang w:val="en-US"/>
              </w:rPr>
              <w:t>SRG/EGR</w:t>
            </w:r>
            <w:r w:rsidRPr="00BD076C">
              <w:rPr>
                <w:rFonts w:ascii="Verdana" w:hAnsi="Verdana"/>
                <w:sz w:val="16"/>
                <w:szCs w:val="16"/>
                <w:lang w:val="en-US"/>
              </w:rPr>
              <w:t xml:space="preserve"> and the cooling follow-up will be defined by the manufacturer.</w:t>
            </w:r>
            <w:r w:rsidRPr="00BD076C">
              <w:rPr>
                <w:lang w:val="en-US"/>
              </w:rPr>
              <w:t xml:space="preserve"> </w:t>
            </w:r>
            <w:r w:rsidRPr="00BD076C">
              <w:rPr>
                <w:rFonts w:ascii="Verdana" w:hAnsi="Verdana"/>
                <w:sz w:val="16"/>
                <w:szCs w:val="16"/>
                <w:lang w:val="en-US"/>
              </w:rPr>
              <w:t xml:space="preserve">The individual electronic components (for example, actuators, valves, sensors) that are used in the </w:t>
            </w:r>
            <w:r w:rsidR="00F75D61" w:rsidRPr="00BD076C">
              <w:rPr>
                <w:rFonts w:ascii="Verdana" w:hAnsi="Verdana"/>
                <w:sz w:val="16"/>
                <w:szCs w:val="16"/>
                <w:lang w:val="en-US"/>
              </w:rPr>
              <w:t>SRG/EGR</w:t>
            </w:r>
            <w:r w:rsidRPr="00BD076C">
              <w:rPr>
                <w:rFonts w:ascii="Verdana" w:hAnsi="Verdana"/>
                <w:sz w:val="16"/>
                <w:szCs w:val="16"/>
                <w:lang w:val="en-US"/>
              </w:rPr>
              <w:t>, should be monitored.</w:t>
            </w:r>
            <w:r w:rsidRPr="00BD076C">
              <w:rPr>
                <w:lang w:val="en-US"/>
              </w:rPr>
              <w:t xml:space="preserve"> </w:t>
            </w:r>
            <w:r w:rsidRPr="00BD076C">
              <w:rPr>
                <w:rFonts w:ascii="Verdana" w:hAnsi="Verdana"/>
                <w:sz w:val="16"/>
                <w:szCs w:val="16"/>
                <w:lang w:val="en-US"/>
              </w:rPr>
              <w:t>The monitoring requirements are presented below:</w:t>
            </w:r>
            <w:r w:rsidRPr="00BD076C">
              <w:rPr>
                <w:lang w:val="en-US"/>
              </w:rPr>
              <w:t xml:space="preserve"> </w:t>
            </w:r>
          </w:p>
        </w:tc>
      </w:tr>
      <w:tr w:rsidR="008A0760" w:rsidRPr="00743A20" w14:paraId="49E529E6" w14:textId="77777777" w:rsidTr="00BD076C">
        <w:tc>
          <w:tcPr>
            <w:tcW w:w="4788" w:type="dxa"/>
            <w:shd w:val="clear" w:color="auto" w:fill="auto"/>
          </w:tcPr>
          <w:p w14:paraId="759BE960"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 xml:space="preserve">Flujo bajo de SRG/EGR. El sistema SDB/OBD deberá detectar el mal funcionamiento del SRG/EGR, anticipando una disminución de la tasa de flujo por debajo de un valor especificado por el fabricante que pueda causar que las emisiones del motor excedan los límites de las emisiones SDB/OBD correspondientes a “Otros Monitores de Límites SDB/OBD” en la Tabla A.3. Para los motores en los que no se presente ninguna falla </w:t>
            </w:r>
            <w:r w:rsidRPr="00A57824">
              <w:rPr>
                <w:rFonts w:ascii="Verdana" w:hAnsi="Verdana"/>
                <w:sz w:val="16"/>
                <w:szCs w:val="16"/>
                <w:lang w:val="es-ES_tradnl"/>
              </w:rPr>
              <w:lastRenderedPageBreak/>
              <w:t>o deterioro del sistema SRG/EGR, que provoquen una disminución del flujo, ocasionando que las emisiones del motor rebasen los límites de emisiones SDB/OBD establecidos, el sistema SDB/OBD deberá detectar un mal funcionamiento cuando el sistema haya alcanzado sus límites de control, sin lograr aumentar el flujo de SRG/EGR para alcanzar la tasa de flujo ordenada;</w:t>
            </w:r>
          </w:p>
        </w:tc>
        <w:tc>
          <w:tcPr>
            <w:tcW w:w="4788" w:type="dxa"/>
            <w:shd w:val="clear" w:color="auto" w:fill="auto"/>
          </w:tcPr>
          <w:p w14:paraId="7954EBC0" w14:textId="77777777" w:rsidR="008A0760" w:rsidRPr="00BD076C" w:rsidRDefault="00BD076C" w:rsidP="00BD076C">
            <w:pPr>
              <w:spacing w:after="101" w:line="276" w:lineRule="auto"/>
              <w:jc w:val="both"/>
              <w:rPr>
                <w:lang w:val="en-US"/>
              </w:rPr>
            </w:pPr>
            <w:r>
              <w:rPr>
                <w:rFonts w:ascii="Verdana" w:hAnsi="Verdana"/>
                <w:b/>
                <w:bCs/>
                <w:sz w:val="16"/>
                <w:szCs w:val="16"/>
                <w:lang w:val="en-US"/>
              </w:rPr>
              <w:lastRenderedPageBreak/>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xml:space="preserve">              Low flow of </w:t>
            </w:r>
            <w:r w:rsidR="00F75D61" w:rsidRPr="00BD076C">
              <w:rPr>
                <w:rFonts w:ascii="Verdana" w:hAnsi="Verdana"/>
                <w:sz w:val="16"/>
                <w:szCs w:val="16"/>
                <w:lang w:val="en-US"/>
              </w:rPr>
              <w:t>SRG/EGR</w:t>
            </w:r>
            <w:r w:rsidR="008A0760" w:rsidRPr="00BD076C">
              <w:rPr>
                <w:rFonts w:ascii="Verdana" w:hAnsi="Verdana"/>
                <w:sz w:val="16"/>
                <w:szCs w:val="16"/>
                <w:lang w:val="en-US"/>
              </w:rPr>
              <w:t>.</w:t>
            </w:r>
            <w:r w:rsidR="008A0760" w:rsidRPr="00BD076C">
              <w:rPr>
                <w:lang w:val="en-US"/>
              </w:rPr>
              <w:t xml:space="preserve"> </w:t>
            </w:r>
            <w:r w:rsidR="008A0760" w:rsidRPr="00BD076C">
              <w:rPr>
                <w:rFonts w:ascii="Verdana" w:hAnsi="Verdana"/>
                <w:sz w:val="16"/>
                <w:szCs w:val="16"/>
                <w:lang w:val="en-US"/>
              </w:rPr>
              <w:t xml:space="preserve">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shall detect the malfunction of the </w:t>
            </w:r>
            <w:r w:rsidR="00F75D61" w:rsidRPr="00BD076C">
              <w:rPr>
                <w:rFonts w:ascii="Verdana" w:hAnsi="Verdana"/>
                <w:sz w:val="16"/>
                <w:szCs w:val="16"/>
                <w:lang w:val="en-US"/>
              </w:rPr>
              <w:t>SRG/EGR</w:t>
            </w:r>
            <w:r w:rsidR="008A0760" w:rsidRPr="00BD076C">
              <w:rPr>
                <w:rFonts w:ascii="Verdana" w:hAnsi="Verdana"/>
                <w:sz w:val="16"/>
                <w:szCs w:val="16"/>
                <w:lang w:val="en-US"/>
              </w:rPr>
              <w:t xml:space="preserve">, anticipating a decrease in the flow rate below a value specified by the manufacturer that may cause the engine emissions to exceed the limits of the corresponding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emissions to "Other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 Monitors" in Table A.3.</w:t>
            </w:r>
            <w:r w:rsidR="008A0760" w:rsidRPr="00BD076C">
              <w:rPr>
                <w:lang w:val="en-US"/>
              </w:rPr>
              <w:t xml:space="preserve"> </w:t>
            </w:r>
            <w:r w:rsidR="008A0760" w:rsidRPr="00BD076C">
              <w:rPr>
                <w:rFonts w:ascii="Verdana" w:hAnsi="Verdana"/>
                <w:sz w:val="16"/>
                <w:szCs w:val="16"/>
                <w:lang w:val="en-US"/>
              </w:rPr>
              <w:t xml:space="preserve">For motors in which there is no fault or deterioration of the </w:t>
            </w:r>
            <w:r w:rsidR="00F75D61" w:rsidRPr="00BD076C">
              <w:rPr>
                <w:rFonts w:ascii="Verdana" w:hAnsi="Verdana"/>
                <w:sz w:val="16"/>
                <w:szCs w:val="16"/>
                <w:lang w:val="en-US"/>
              </w:rPr>
              <w:t>SRG/EGR</w:t>
            </w:r>
            <w:r w:rsidR="008A0760" w:rsidRPr="00BD076C">
              <w:rPr>
                <w:rFonts w:ascii="Verdana" w:hAnsi="Verdana"/>
                <w:sz w:val="16"/>
                <w:szCs w:val="16"/>
                <w:lang w:val="en-US"/>
              </w:rPr>
              <w:t xml:space="preserve"> system, </w:t>
            </w:r>
            <w:r w:rsidR="008A0760" w:rsidRPr="00BD076C">
              <w:rPr>
                <w:rFonts w:ascii="Verdana" w:hAnsi="Verdana"/>
                <w:sz w:val="16"/>
                <w:szCs w:val="16"/>
                <w:lang w:val="en-US"/>
              </w:rPr>
              <w:lastRenderedPageBreak/>
              <w:t xml:space="preserve">which causes a decrease in the flow, causing the engine emissions to exceed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emissions limits established,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shall detect a malfunctioning when the system has reached its control limits, without increasing the flow of </w:t>
            </w:r>
            <w:r w:rsidR="00F75D61" w:rsidRPr="00BD076C">
              <w:rPr>
                <w:rFonts w:ascii="Verdana" w:hAnsi="Verdana"/>
                <w:sz w:val="16"/>
                <w:szCs w:val="16"/>
                <w:lang w:val="en-US"/>
              </w:rPr>
              <w:t>SRG/EGR</w:t>
            </w:r>
            <w:r w:rsidR="008A0760" w:rsidRPr="00BD076C">
              <w:rPr>
                <w:rFonts w:ascii="Verdana" w:hAnsi="Verdana"/>
                <w:sz w:val="16"/>
                <w:szCs w:val="16"/>
                <w:lang w:val="en-US"/>
              </w:rPr>
              <w:t xml:space="preserve"> to achieve the ordered flow rate;</w:t>
            </w:r>
            <w:r w:rsidR="008A0760" w:rsidRPr="00BD076C">
              <w:rPr>
                <w:lang w:val="en-US"/>
              </w:rPr>
              <w:t xml:space="preserve"> </w:t>
            </w:r>
          </w:p>
        </w:tc>
      </w:tr>
      <w:tr w:rsidR="008A0760" w:rsidRPr="00743A20" w14:paraId="7994ABA3" w14:textId="77777777" w:rsidTr="00BD076C">
        <w:tc>
          <w:tcPr>
            <w:tcW w:w="4788" w:type="dxa"/>
            <w:shd w:val="clear" w:color="auto" w:fill="auto"/>
          </w:tcPr>
          <w:p w14:paraId="77852DD9"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b.</w:t>
            </w:r>
            <w:r w:rsidRPr="00A57824">
              <w:rPr>
                <w:rFonts w:ascii="Verdana" w:hAnsi="Verdana"/>
                <w:sz w:val="16"/>
                <w:szCs w:val="16"/>
                <w:lang w:val="es-ES_tradnl"/>
              </w:rPr>
              <w:tab/>
              <w:t>Flujo Alto de SRG/EGR. El sistema SDB/OBD deberá detectar un mal funcionamiento del SRG/EGR, incluyendo una válvula de SRG/EGR con fugas (es decir, flujo de gases de escape a través de la válvula SRG/EGR cuando la válvula debe estar cerrada), anticipando un aumento en la tasa de flujo por encima de un valor especificado por el fabricante que pueda causar emisiones de un motor superiores a los límites de emisiones SDB/OBD correspondientes a “Otros Monitores de Límites SDB/OBD” en la Tabla A.3. El sistema SDB/OBD deberá detectar un mal funcionamiento cuando el sistema haya alcanzado sus límites de control, sin lograr disminuir el flujo de SRG/EGR para alcanzar la tasa de flujo ordenada, esto es para los motores en los que no exista alguna falla o deterioro del sistema SRG/EGR, que provoquen una disminución del flujo que ocasione que las emisiones del motor excedan los límites de emisiones establecidos;</w:t>
            </w:r>
          </w:p>
        </w:tc>
        <w:tc>
          <w:tcPr>
            <w:tcW w:w="4788" w:type="dxa"/>
            <w:shd w:val="clear" w:color="auto" w:fill="auto"/>
          </w:tcPr>
          <w:p w14:paraId="4B3CE11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sz w:val="16"/>
                <w:szCs w:val="16"/>
                <w:lang w:val="en-US"/>
              </w:rPr>
              <w:t xml:space="preserve">              High Flow of </w:t>
            </w:r>
            <w:r w:rsidR="00F75D61" w:rsidRPr="00BD076C">
              <w:rPr>
                <w:rFonts w:ascii="Verdana" w:hAnsi="Verdana"/>
                <w:sz w:val="16"/>
                <w:szCs w:val="16"/>
                <w:lang w:val="en-US"/>
              </w:rPr>
              <w:t>SRG/EGR</w:t>
            </w:r>
            <w:r w:rsidRPr="00BD076C">
              <w:rPr>
                <w:rFonts w:ascii="Verdana" w:hAnsi="Verdana"/>
                <w:sz w:val="16"/>
                <w:szCs w:val="16"/>
                <w:lang w:val="en-US"/>
              </w:rPr>
              <w:t>.</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a malfunction of the </w:t>
            </w:r>
            <w:r w:rsidR="00F75D61" w:rsidRPr="00BD076C">
              <w:rPr>
                <w:rFonts w:ascii="Verdana" w:hAnsi="Verdana"/>
                <w:sz w:val="16"/>
                <w:szCs w:val="16"/>
                <w:lang w:val="en-US"/>
              </w:rPr>
              <w:t>SRG/EGR</w:t>
            </w:r>
            <w:r w:rsidRPr="00BD076C">
              <w:rPr>
                <w:rFonts w:ascii="Verdana" w:hAnsi="Verdana"/>
                <w:sz w:val="16"/>
                <w:szCs w:val="16"/>
                <w:lang w:val="en-US"/>
              </w:rPr>
              <w:t xml:space="preserve">, including a leaky </w:t>
            </w:r>
            <w:r w:rsidR="00F75D61" w:rsidRPr="00BD076C">
              <w:rPr>
                <w:rFonts w:ascii="Verdana" w:hAnsi="Verdana"/>
                <w:sz w:val="16"/>
                <w:szCs w:val="16"/>
                <w:lang w:val="en-US"/>
              </w:rPr>
              <w:t>SRG/EGR</w:t>
            </w:r>
            <w:r w:rsidRPr="00BD076C">
              <w:rPr>
                <w:rFonts w:ascii="Verdana" w:hAnsi="Verdana"/>
                <w:sz w:val="16"/>
                <w:szCs w:val="16"/>
                <w:lang w:val="en-US"/>
              </w:rPr>
              <w:t xml:space="preserve"> valve (ie, exhaust gas flow through the </w:t>
            </w:r>
            <w:r w:rsidR="00F75D61" w:rsidRPr="00BD076C">
              <w:rPr>
                <w:rFonts w:ascii="Verdana" w:hAnsi="Verdana"/>
                <w:sz w:val="16"/>
                <w:szCs w:val="16"/>
                <w:lang w:val="en-US"/>
              </w:rPr>
              <w:t>SRG/EGR</w:t>
            </w:r>
            <w:r w:rsidRPr="00BD076C">
              <w:rPr>
                <w:rFonts w:ascii="Verdana" w:hAnsi="Verdana"/>
                <w:sz w:val="16"/>
                <w:szCs w:val="16"/>
                <w:lang w:val="en-US"/>
              </w:rPr>
              <w:t xml:space="preserve"> valve when the valve must be closed), anticipating an increase in flow rate above a value specified by the manufacturer that may cause one engine emissions greater than the </w:t>
            </w:r>
            <w:r w:rsidR="002D78B5" w:rsidRPr="00BD076C">
              <w:rPr>
                <w:rFonts w:ascii="Verdana" w:hAnsi="Verdana"/>
                <w:sz w:val="16"/>
                <w:szCs w:val="16"/>
                <w:lang w:val="en-US"/>
              </w:rPr>
              <w:t>SDB/OBD</w:t>
            </w:r>
            <w:r w:rsidRPr="00BD076C">
              <w:rPr>
                <w:rFonts w:ascii="Verdana" w:hAnsi="Verdana"/>
                <w:sz w:val="16"/>
                <w:szCs w:val="16"/>
                <w:lang w:val="en-US"/>
              </w:rPr>
              <w:t xml:space="preserve"> emissions limits corresponding to "Other </w:t>
            </w:r>
            <w:r w:rsidR="002D78B5" w:rsidRPr="00BD076C">
              <w:rPr>
                <w:rFonts w:ascii="Verdana" w:hAnsi="Verdana"/>
                <w:sz w:val="16"/>
                <w:szCs w:val="16"/>
                <w:lang w:val="en-US"/>
              </w:rPr>
              <w:t>SDB/OBD</w:t>
            </w:r>
            <w:r w:rsidRPr="00BD076C">
              <w:rPr>
                <w:rFonts w:ascii="Verdana" w:hAnsi="Verdana"/>
                <w:sz w:val="16"/>
                <w:szCs w:val="16"/>
                <w:lang w:val="en-US"/>
              </w:rPr>
              <w:t xml:space="preserve"> Limit Monitors" in Table A.3.</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a malfunction when the system has reached its control limits, without reducing the flow of </w:t>
            </w:r>
            <w:r w:rsidR="00F75D61" w:rsidRPr="00BD076C">
              <w:rPr>
                <w:rFonts w:ascii="Verdana" w:hAnsi="Verdana"/>
                <w:sz w:val="16"/>
                <w:szCs w:val="16"/>
                <w:lang w:val="en-US"/>
              </w:rPr>
              <w:t>SRG/EGR</w:t>
            </w:r>
            <w:r w:rsidRPr="00BD076C">
              <w:rPr>
                <w:rFonts w:ascii="Verdana" w:hAnsi="Verdana"/>
                <w:sz w:val="16"/>
                <w:szCs w:val="16"/>
                <w:lang w:val="en-US"/>
              </w:rPr>
              <w:t xml:space="preserve"> to reach the ordered flow rate, this is for the motors in which there is no failure or deterioration of the </w:t>
            </w:r>
            <w:r w:rsidR="00F75D61" w:rsidRPr="00BD076C">
              <w:rPr>
                <w:rFonts w:ascii="Verdana" w:hAnsi="Verdana"/>
                <w:sz w:val="16"/>
                <w:szCs w:val="16"/>
                <w:lang w:val="en-US"/>
              </w:rPr>
              <w:t>SRG/EGR</w:t>
            </w:r>
            <w:r w:rsidRPr="00BD076C">
              <w:rPr>
                <w:rFonts w:ascii="Verdana" w:hAnsi="Verdana"/>
                <w:sz w:val="16"/>
                <w:szCs w:val="16"/>
                <w:lang w:val="en-US"/>
              </w:rPr>
              <w:t xml:space="preserve"> system, which cause a decrease in the flow that causes the engine emissions to exceed the established emission limits;</w:t>
            </w:r>
            <w:r w:rsidRPr="00BD076C">
              <w:rPr>
                <w:lang w:val="en-US"/>
              </w:rPr>
              <w:t xml:space="preserve"> </w:t>
            </w:r>
          </w:p>
        </w:tc>
      </w:tr>
      <w:tr w:rsidR="008A0760" w:rsidRPr="00743A20" w14:paraId="37C370EB" w14:textId="77777777" w:rsidTr="00BD076C">
        <w:tc>
          <w:tcPr>
            <w:tcW w:w="4788" w:type="dxa"/>
            <w:shd w:val="clear" w:color="auto" w:fill="auto"/>
          </w:tcPr>
          <w:p w14:paraId="57897C75"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sz w:val="16"/>
                <w:szCs w:val="16"/>
                <w:lang w:val="es-ES_tradnl"/>
              </w:rPr>
              <w:tab/>
              <w:t>Demora en la respuesta SRG/EGR. El sistema SDB/OBD deberá detectar un mal funcionamiento del sistema SRG/EGR anticipando que cualquier falla o deterioro de la capacidad del sistema SRG/EGR para alcanzar la velocidad de flujo ordenado, dentro de un tiempo especificado por el fabricante, lo cual ocasionaría que las emisiones del motor excedan los límites de emisiones SDB/OBD correspondientes a “Otros Monitores de Límites SDB/OBD” en la Tabla A.3. El sistema SDB/OBD deberá supervisar la capacidad del sistema para responder a un aumento o a una disminución en el flujo ordenado;</w:t>
            </w:r>
          </w:p>
        </w:tc>
        <w:tc>
          <w:tcPr>
            <w:tcW w:w="4788" w:type="dxa"/>
            <w:shd w:val="clear" w:color="auto" w:fill="auto"/>
          </w:tcPr>
          <w:p w14:paraId="5078723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sz w:val="16"/>
                <w:szCs w:val="16"/>
                <w:lang w:val="en-US"/>
              </w:rPr>
              <w:t xml:space="preserve">              Delay in the </w:t>
            </w:r>
            <w:r w:rsidR="00F75D61" w:rsidRPr="00BD076C">
              <w:rPr>
                <w:rFonts w:ascii="Verdana" w:hAnsi="Verdana"/>
                <w:sz w:val="16"/>
                <w:szCs w:val="16"/>
                <w:lang w:val="en-US"/>
              </w:rPr>
              <w:t>SRG/EGR</w:t>
            </w:r>
            <w:r w:rsidRPr="00BD076C">
              <w:rPr>
                <w:rFonts w:ascii="Verdana" w:hAnsi="Verdana"/>
                <w:sz w:val="16"/>
                <w:szCs w:val="16"/>
                <w:lang w:val="en-US"/>
              </w:rPr>
              <w:t xml:space="preserve"> response.</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a malfunction of the </w:t>
            </w:r>
            <w:r w:rsidR="00F75D61" w:rsidRPr="00BD076C">
              <w:rPr>
                <w:rFonts w:ascii="Verdana" w:hAnsi="Verdana"/>
                <w:sz w:val="16"/>
                <w:szCs w:val="16"/>
                <w:lang w:val="en-US"/>
              </w:rPr>
              <w:t>SRG/EGR</w:t>
            </w:r>
            <w:r w:rsidRPr="00BD076C">
              <w:rPr>
                <w:rFonts w:ascii="Verdana" w:hAnsi="Verdana"/>
                <w:sz w:val="16"/>
                <w:szCs w:val="16"/>
                <w:lang w:val="en-US"/>
              </w:rPr>
              <w:t xml:space="preserve"> system anticipating any failure or deterioration of the capacity of the </w:t>
            </w:r>
            <w:r w:rsidR="00F75D61" w:rsidRPr="00BD076C">
              <w:rPr>
                <w:rFonts w:ascii="Verdana" w:hAnsi="Verdana"/>
                <w:sz w:val="16"/>
                <w:szCs w:val="16"/>
                <w:lang w:val="en-US"/>
              </w:rPr>
              <w:t>SRG/EGR</w:t>
            </w:r>
            <w:r w:rsidRPr="00BD076C">
              <w:rPr>
                <w:rFonts w:ascii="Verdana" w:hAnsi="Verdana"/>
                <w:sz w:val="16"/>
                <w:szCs w:val="16"/>
                <w:lang w:val="en-US"/>
              </w:rPr>
              <w:t xml:space="preserve"> system to reach the orderly flow speed, within a time specified by the manufacturer, which would cause Engine emissions exceed the </w:t>
            </w:r>
            <w:r w:rsidR="002D78B5" w:rsidRPr="00BD076C">
              <w:rPr>
                <w:rFonts w:ascii="Verdana" w:hAnsi="Verdana"/>
                <w:sz w:val="16"/>
                <w:szCs w:val="16"/>
                <w:lang w:val="en-US"/>
              </w:rPr>
              <w:t>SDB/OBD</w:t>
            </w:r>
            <w:r w:rsidRPr="00BD076C">
              <w:rPr>
                <w:rFonts w:ascii="Verdana" w:hAnsi="Verdana"/>
                <w:sz w:val="16"/>
                <w:szCs w:val="16"/>
                <w:lang w:val="en-US"/>
              </w:rPr>
              <w:t xml:space="preserve"> emission limits for "Other</w:t>
            </w:r>
            <w:r w:rsidRPr="00BD076C">
              <w:rPr>
                <w:lang w:val="en-US"/>
              </w:rPr>
              <w:t xml:space="preserve"> </w:t>
            </w:r>
            <w:r w:rsidR="002D78B5" w:rsidRPr="00BD076C">
              <w:rPr>
                <w:rFonts w:ascii="Verdana" w:hAnsi="Verdana"/>
                <w:sz w:val="16"/>
                <w:szCs w:val="16"/>
                <w:lang w:val="en-US"/>
              </w:rPr>
              <w:t>SDB/OBD</w:t>
            </w:r>
            <w:r w:rsidRPr="00BD076C">
              <w:rPr>
                <w:lang w:val="en-US"/>
              </w:rPr>
              <w:t xml:space="preserve"> </w:t>
            </w:r>
            <w:r w:rsidRPr="00BD076C">
              <w:rPr>
                <w:rFonts w:ascii="Verdana" w:hAnsi="Verdana"/>
                <w:sz w:val="16"/>
                <w:szCs w:val="16"/>
                <w:lang w:val="en-US"/>
              </w:rPr>
              <w:t>Limit</w:t>
            </w:r>
            <w:r w:rsidRPr="00BD076C">
              <w:rPr>
                <w:lang w:val="en-US"/>
              </w:rPr>
              <w:t xml:space="preserve"> </w:t>
            </w:r>
            <w:r w:rsidRPr="00BD076C">
              <w:rPr>
                <w:rFonts w:ascii="Verdana" w:hAnsi="Verdana"/>
                <w:sz w:val="16"/>
                <w:szCs w:val="16"/>
                <w:lang w:val="en-US"/>
              </w:rPr>
              <w:t>Monitors" in Table A.3.</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monitor the capacity of the system to respond to an increase or decrease in the orderly flow;</w:t>
            </w:r>
            <w:r w:rsidRPr="00BD076C">
              <w:rPr>
                <w:lang w:val="en-US"/>
              </w:rPr>
              <w:t xml:space="preserve"> </w:t>
            </w:r>
          </w:p>
        </w:tc>
      </w:tr>
      <w:tr w:rsidR="008A0760" w:rsidRPr="00743A20" w14:paraId="56B78BBA" w14:textId="77777777" w:rsidTr="00BD076C">
        <w:tc>
          <w:tcPr>
            <w:tcW w:w="4788" w:type="dxa"/>
            <w:shd w:val="clear" w:color="auto" w:fill="auto"/>
          </w:tcPr>
          <w:p w14:paraId="5FCFAA48"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sz w:val="16"/>
                <w:szCs w:val="16"/>
                <w:lang w:val="es-ES_tradnl"/>
              </w:rPr>
              <w:tab/>
              <w:t>Desempeño del enfriador del SRG/EGR. El sistema SDB/OBD deberá detectar un mal funcionamiento del sistema enfriador, anticipando que una reducción del rendimiento de enfriamiento especificado por el fabricante causaría que las emisiones del motor excedan los límites de emisiones correspondientes a “Otros Monitores de Límites SDB/OBD” en la Tabla A.3. El sistema SDB/OBD deberá detectar un mal funcionamiento cuando el sistema no tenga cantidad detectable de refrigerante en el SRG/EGR, esto es cuando los motores en los que no se presente alguna falla o deterioro del sistema enfriador del SRG/EGR, ocasione que las emisiones del motor excedan los límites de emisiones establecidos, y</w:t>
            </w:r>
          </w:p>
        </w:tc>
        <w:tc>
          <w:tcPr>
            <w:tcW w:w="4788" w:type="dxa"/>
            <w:shd w:val="clear" w:color="auto" w:fill="auto"/>
          </w:tcPr>
          <w:p w14:paraId="3CC46DD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sz w:val="16"/>
                <w:szCs w:val="16"/>
                <w:lang w:val="en-US"/>
              </w:rPr>
              <w:t xml:space="preserve">              Performance of the </w:t>
            </w:r>
            <w:r w:rsidR="00F75D61" w:rsidRPr="00BD076C">
              <w:rPr>
                <w:rFonts w:ascii="Verdana" w:hAnsi="Verdana"/>
                <w:sz w:val="16"/>
                <w:szCs w:val="16"/>
                <w:lang w:val="en-US"/>
              </w:rPr>
              <w:t>SRG/EGR</w:t>
            </w:r>
            <w:r w:rsidRPr="00BD076C">
              <w:rPr>
                <w:rFonts w:ascii="Verdana" w:hAnsi="Verdana"/>
                <w:sz w:val="16"/>
                <w:szCs w:val="16"/>
                <w:lang w:val="en-US"/>
              </w:rPr>
              <w:t xml:space="preserve"> cooler.</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a malfunction of the cooling system, anticipating that a reduction in the cooling performance specified by the manufacturer would cause the engine emissions to exceed the emission limits corresponding to "Other </w:t>
            </w:r>
            <w:r w:rsidR="002D78B5" w:rsidRPr="00BD076C">
              <w:rPr>
                <w:rFonts w:ascii="Verdana" w:hAnsi="Verdana"/>
                <w:sz w:val="16"/>
                <w:szCs w:val="16"/>
                <w:lang w:val="en-US"/>
              </w:rPr>
              <w:t>SDB/OBD</w:t>
            </w:r>
            <w:r w:rsidRPr="00BD076C">
              <w:rPr>
                <w:rFonts w:ascii="Verdana" w:hAnsi="Verdana"/>
                <w:sz w:val="16"/>
                <w:szCs w:val="16"/>
                <w:lang w:val="en-US"/>
              </w:rPr>
              <w:t xml:space="preserve"> Limit Monitors" in the Table A.3.</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a malfunction when the system does not have a detectable quantity of refrigerant in the </w:t>
            </w:r>
            <w:r w:rsidR="00F75D61" w:rsidRPr="00BD076C">
              <w:rPr>
                <w:rFonts w:ascii="Verdana" w:hAnsi="Verdana"/>
                <w:sz w:val="16"/>
                <w:szCs w:val="16"/>
                <w:lang w:val="en-US"/>
              </w:rPr>
              <w:t>SRG/EGR</w:t>
            </w:r>
            <w:r w:rsidRPr="00BD076C">
              <w:rPr>
                <w:rFonts w:ascii="Verdana" w:hAnsi="Verdana"/>
                <w:sz w:val="16"/>
                <w:szCs w:val="16"/>
                <w:lang w:val="en-US"/>
              </w:rPr>
              <w:t xml:space="preserve">, this is when the motors in which there is no failure or deterioration of the </w:t>
            </w:r>
            <w:r w:rsidR="00F75D61" w:rsidRPr="00BD076C">
              <w:rPr>
                <w:rFonts w:ascii="Verdana" w:hAnsi="Verdana"/>
                <w:sz w:val="16"/>
                <w:szCs w:val="16"/>
                <w:lang w:val="en-US"/>
              </w:rPr>
              <w:t>SRG/EGR</w:t>
            </w:r>
            <w:r w:rsidRPr="00BD076C">
              <w:rPr>
                <w:rFonts w:ascii="Verdana" w:hAnsi="Verdana"/>
                <w:sz w:val="16"/>
                <w:szCs w:val="16"/>
                <w:lang w:val="en-US"/>
              </w:rPr>
              <w:t xml:space="preserve"> cooling system, cause engine emissions exceed the emission limits set, and</w:t>
            </w:r>
            <w:r w:rsidRPr="00BD076C">
              <w:rPr>
                <w:lang w:val="en-US"/>
              </w:rPr>
              <w:t xml:space="preserve"> </w:t>
            </w:r>
          </w:p>
        </w:tc>
      </w:tr>
      <w:tr w:rsidR="008A0760" w:rsidRPr="00743A20" w14:paraId="210D82A1" w14:textId="77777777" w:rsidTr="00BD076C">
        <w:tc>
          <w:tcPr>
            <w:tcW w:w="4788" w:type="dxa"/>
            <w:shd w:val="clear" w:color="auto" w:fill="auto"/>
          </w:tcPr>
          <w:p w14:paraId="5A78539B"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e.</w:t>
            </w:r>
            <w:r w:rsidRPr="00A57824">
              <w:rPr>
                <w:rFonts w:ascii="Verdana" w:hAnsi="Verdana"/>
                <w:sz w:val="16"/>
                <w:szCs w:val="16"/>
                <w:lang w:val="es-ES_tradnl"/>
              </w:rPr>
              <w:tab/>
              <w:t>Las señales de monitoreo por lazo cerrado deben ser monitoreadas.</w:t>
            </w:r>
          </w:p>
        </w:tc>
        <w:tc>
          <w:tcPr>
            <w:tcW w:w="4788" w:type="dxa"/>
            <w:shd w:val="clear" w:color="auto" w:fill="auto"/>
          </w:tcPr>
          <w:p w14:paraId="552C56DF" w14:textId="77777777" w:rsidR="008A0760" w:rsidRPr="00BD076C" w:rsidRDefault="00BD076C" w:rsidP="00BD076C">
            <w:pPr>
              <w:spacing w:after="101" w:line="276" w:lineRule="auto"/>
              <w:jc w:val="both"/>
              <w:rPr>
                <w:lang w:val="en-US"/>
              </w:rPr>
            </w:pPr>
            <w:r>
              <w:rPr>
                <w:rFonts w:ascii="Verdana" w:hAnsi="Verdana"/>
                <w:b/>
                <w:bCs/>
                <w:sz w:val="16"/>
                <w:szCs w:val="16"/>
                <w:lang w:val="en-US"/>
              </w:rPr>
              <w:t>e</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Closed loop monitoring signals must be monitored.</w:t>
            </w:r>
            <w:r w:rsidR="008A0760" w:rsidRPr="00BD076C">
              <w:rPr>
                <w:lang w:val="en-US"/>
              </w:rPr>
              <w:t xml:space="preserve"> </w:t>
            </w:r>
          </w:p>
        </w:tc>
      </w:tr>
      <w:tr w:rsidR="008A0760" w:rsidRPr="00743A20" w14:paraId="11742941" w14:textId="77777777" w:rsidTr="00BD076C">
        <w:tc>
          <w:tcPr>
            <w:tcW w:w="4788" w:type="dxa"/>
            <w:shd w:val="clear" w:color="auto" w:fill="auto"/>
          </w:tcPr>
          <w:p w14:paraId="1E591742"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A.7.2.3.4.</w:t>
            </w:r>
            <w:r w:rsidRPr="00A57824">
              <w:rPr>
                <w:rFonts w:ascii="Verdana" w:hAnsi="Verdana"/>
                <w:sz w:val="16"/>
                <w:szCs w:val="16"/>
                <w:lang w:val="es-ES_tradnl"/>
              </w:rPr>
              <w:t xml:space="preserve"> Sistema de sobrealimentación de aire. El sistema SDB/OBD deberá supervisar el sistema de control de presión de sobrealimentación (por ejemplo, turbo-compresor) en los motores así equipados, con respecto a fallas por sobrealimentación baja o sobrealimentación alta. Para los motores equipados con turbo-compresor de geometría variable (TGV o VGT por sus siglas en inglés), el sistema SDB/OBD deberá supervisar el sistema por fallas por respuesta lenta. Para los motores equipados con sistemas de enfriador de aire, el sistema SDB/OBD deberá supervisar el funcionamiento del sistema de enfriamiento del aire. Los componentes electrónicos individuales (por ejemplo, actuadores, válvulas, sensores) que se utilizan en el sistema de control de la presión de alimentación de aire, deberán ser monitoreados.</w:t>
            </w:r>
          </w:p>
        </w:tc>
        <w:tc>
          <w:tcPr>
            <w:tcW w:w="4788" w:type="dxa"/>
            <w:shd w:val="clear" w:color="auto" w:fill="auto"/>
          </w:tcPr>
          <w:p w14:paraId="5ADDFE5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A.7.2.3.4.</w:t>
            </w:r>
            <w:r w:rsidRPr="00BD076C">
              <w:rPr>
                <w:lang w:val="en-US"/>
              </w:rPr>
              <w:t xml:space="preserve"> </w:t>
            </w:r>
            <w:r w:rsidRPr="00BD076C">
              <w:rPr>
                <w:rFonts w:ascii="Verdana" w:hAnsi="Verdana"/>
                <w:sz w:val="16"/>
                <w:szCs w:val="16"/>
                <w:lang w:val="en-US"/>
              </w:rPr>
              <w:t>Air overfeeding system.</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shall monitor the boost pressure control system (eg</w:t>
            </w:r>
            <w:r w:rsidR="00BD076C">
              <w:rPr>
                <w:rFonts w:ascii="Verdana" w:hAnsi="Verdana"/>
                <w:sz w:val="16"/>
                <w:szCs w:val="16"/>
                <w:lang w:val="en-US"/>
              </w:rPr>
              <w:t>.</w:t>
            </w:r>
            <w:r w:rsidRPr="00BD076C">
              <w:rPr>
                <w:rFonts w:ascii="Verdana" w:hAnsi="Verdana"/>
                <w:sz w:val="16"/>
                <w:szCs w:val="16"/>
                <w:lang w:val="en-US"/>
              </w:rPr>
              <w:t xml:space="preserve"> turbo-compressor) in the engines thus equipped, with respect to low overfeed or high overfeed faults.</w:t>
            </w:r>
            <w:r w:rsidRPr="00BD076C">
              <w:rPr>
                <w:lang w:val="en-US"/>
              </w:rPr>
              <w:t xml:space="preserve"> </w:t>
            </w:r>
            <w:r w:rsidRPr="00BD076C">
              <w:rPr>
                <w:rFonts w:ascii="Verdana" w:hAnsi="Verdana"/>
                <w:sz w:val="16"/>
                <w:szCs w:val="16"/>
                <w:lang w:val="en-US"/>
              </w:rPr>
              <w:t xml:space="preserve">For motors equipped with a variable geometry turbo-compressor (TGV or VGT), 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monitor the system for faults due to slow response.</w:t>
            </w:r>
            <w:r w:rsidRPr="00BD076C">
              <w:rPr>
                <w:lang w:val="en-US"/>
              </w:rPr>
              <w:t xml:space="preserve"> </w:t>
            </w:r>
            <w:r w:rsidRPr="00BD076C">
              <w:rPr>
                <w:rFonts w:ascii="Verdana" w:hAnsi="Verdana"/>
                <w:sz w:val="16"/>
                <w:szCs w:val="16"/>
                <w:lang w:val="en-US"/>
              </w:rPr>
              <w:t xml:space="preserve">For engines equipped with air cooler systems, 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supervise the operation of the air cooling system.</w:t>
            </w:r>
            <w:r w:rsidRPr="00BD076C">
              <w:rPr>
                <w:lang w:val="en-US"/>
              </w:rPr>
              <w:t xml:space="preserve"> </w:t>
            </w:r>
            <w:r w:rsidRPr="00BD076C">
              <w:rPr>
                <w:rFonts w:ascii="Verdana" w:hAnsi="Verdana"/>
                <w:sz w:val="16"/>
                <w:szCs w:val="16"/>
                <w:lang w:val="en-US"/>
              </w:rPr>
              <w:t>Individual electronic components (eg</w:t>
            </w:r>
            <w:r w:rsidR="00BD076C">
              <w:rPr>
                <w:rFonts w:ascii="Verdana" w:hAnsi="Verdana"/>
                <w:sz w:val="16"/>
                <w:szCs w:val="16"/>
                <w:lang w:val="en-US"/>
              </w:rPr>
              <w:t>.</w:t>
            </w:r>
            <w:r w:rsidRPr="00BD076C">
              <w:rPr>
                <w:rFonts w:ascii="Verdana" w:hAnsi="Verdana"/>
                <w:sz w:val="16"/>
                <w:szCs w:val="16"/>
                <w:lang w:val="en-US"/>
              </w:rPr>
              <w:t xml:space="preserve"> actuators, valves, sensors) that are used in the air supply pressure control system should be monitored.</w:t>
            </w:r>
            <w:r w:rsidRPr="00BD076C">
              <w:rPr>
                <w:lang w:val="en-US"/>
              </w:rPr>
              <w:t xml:space="preserve"> </w:t>
            </w:r>
          </w:p>
        </w:tc>
      </w:tr>
      <w:tr w:rsidR="008A0760" w:rsidRPr="00A57824" w14:paraId="2279AF13" w14:textId="77777777" w:rsidTr="00BD076C">
        <w:tc>
          <w:tcPr>
            <w:tcW w:w="4788" w:type="dxa"/>
            <w:shd w:val="clear" w:color="auto" w:fill="auto"/>
          </w:tcPr>
          <w:p w14:paraId="305F5292"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Los requisitos de monitoreo son:</w:t>
            </w:r>
          </w:p>
        </w:tc>
        <w:tc>
          <w:tcPr>
            <w:tcW w:w="4788" w:type="dxa"/>
            <w:shd w:val="clear" w:color="auto" w:fill="auto"/>
          </w:tcPr>
          <w:p w14:paraId="53EF681B"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The monitoring requirements are:</w:t>
            </w:r>
            <w:r w:rsidRPr="00BD076C">
              <w:rPr>
                <w:lang w:val="en-US"/>
              </w:rPr>
              <w:t xml:space="preserve"> </w:t>
            </w:r>
          </w:p>
        </w:tc>
      </w:tr>
      <w:tr w:rsidR="008A0760" w:rsidRPr="00743A20" w14:paraId="38B343B2" w14:textId="77777777" w:rsidTr="00BD076C">
        <w:tc>
          <w:tcPr>
            <w:tcW w:w="4788" w:type="dxa"/>
            <w:shd w:val="clear" w:color="auto" w:fill="auto"/>
          </w:tcPr>
          <w:p w14:paraId="313E2885"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Baja alimentación de aire. El sistema SDB/OBD deberá detectar mal funcionamiento del sistema de control de presión de aire de sobrealimentación anticipando que una disminución en la presión de sobrealimentación del fabricante, o de la presión de sobrealimentación esperada en los motores que no estén equipados con un sistema de control de presión de sobrealimentación, haría que las emisiones del motor excedieran los límites SDB/OBD correspondientes a “Otros Monitores de Límites SDB/OBD” en la Tabla A.3. El sistema SDB/OBD deberá detectar mal funcionamiento cuando el sistema haya alcanzado sus límites de control, de tal manera que no pueda aumentar la presión para lograr la presión de sobrealimentación mandada en los motores que no detecten alguna falla o deterioro del sistema de control de presión de sobrealimentación, debido a una disminución de presión de sobrealimentación que pudiera ocasionar que las emisiones del motor excedan los límites de emisiones establecidos;</w:t>
            </w:r>
          </w:p>
        </w:tc>
        <w:tc>
          <w:tcPr>
            <w:tcW w:w="4788" w:type="dxa"/>
            <w:shd w:val="clear" w:color="auto" w:fill="auto"/>
          </w:tcPr>
          <w:p w14:paraId="38A54E22" w14:textId="77777777" w:rsidR="008A0760" w:rsidRPr="00BD076C" w:rsidRDefault="00BD076C"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Low air supply.</w:t>
            </w:r>
            <w:r w:rsidR="008A0760" w:rsidRPr="00BD076C">
              <w:rPr>
                <w:lang w:val="en-US"/>
              </w:rPr>
              <w:t xml:space="preserve"> </w:t>
            </w:r>
            <w:r w:rsidR="008A0760" w:rsidRPr="00BD076C">
              <w:rPr>
                <w:rFonts w:ascii="Verdana" w:hAnsi="Verdana"/>
                <w:sz w:val="16"/>
                <w:szCs w:val="16"/>
                <w:lang w:val="en-US"/>
              </w:rPr>
              <w:t xml:space="preserve">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should detect malfunction of the boost air pressure control system anticipating a decrease in the manufacturer's boost pressure, or the expected boost pressure in engines that are not equipped with a control system of boost pressure, would cause the motor's emissions to exceed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limits corresponding to "Other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 Monitors" in Table A.3.</w:t>
            </w:r>
            <w:r w:rsidR="008A0760" w:rsidRPr="00BD076C">
              <w:rPr>
                <w:lang w:val="en-US"/>
              </w:rPr>
              <w:t xml:space="preserve"> </w:t>
            </w:r>
            <w:r w:rsidR="008A0760" w:rsidRPr="00BD076C">
              <w:rPr>
                <w:rFonts w:ascii="Verdana" w:hAnsi="Verdana"/>
                <w:sz w:val="16"/>
                <w:szCs w:val="16"/>
                <w:lang w:val="en-US"/>
              </w:rPr>
              <w:t xml:space="preserve">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must detect malfunctions when the system has reached its control limits, in such a way that it cannot increase the pressure to achieve the supercharging pressure sent in the motors that do not detect any failure or</w:t>
            </w:r>
            <w:r w:rsidR="008A0760" w:rsidRPr="00BD076C">
              <w:rPr>
                <w:lang w:val="en-US"/>
              </w:rPr>
              <w:t xml:space="preserve"> </w:t>
            </w:r>
            <w:r w:rsidR="008A0760" w:rsidRPr="00BD076C">
              <w:rPr>
                <w:rFonts w:ascii="Verdana" w:hAnsi="Verdana"/>
                <w:sz w:val="16"/>
                <w:szCs w:val="16"/>
                <w:lang w:val="en-US"/>
              </w:rPr>
              <w:t>deterioration of the control system. boost pressure, due to a decrease in boost pressure that could cause engine emissions to exceed established emission limits;</w:t>
            </w:r>
            <w:r w:rsidR="008A0760" w:rsidRPr="00BD076C">
              <w:rPr>
                <w:lang w:val="en-US"/>
              </w:rPr>
              <w:t xml:space="preserve"> </w:t>
            </w:r>
          </w:p>
        </w:tc>
      </w:tr>
      <w:tr w:rsidR="008A0760" w:rsidRPr="00743A20" w14:paraId="08942065" w14:textId="77777777" w:rsidTr="00BD076C">
        <w:tc>
          <w:tcPr>
            <w:tcW w:w="4788" w:type="dxa"/>
            <w:shd w:val="clear" w:color="auto" w:fill="auto"/>
          </w:tcPr>
          <w:p w14:paraId="5038D93B"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 xml:space="preserve">Exceso de alimentación de aire. El sistema SDB/OBD deberá detectar mal funcionamiento del sistema de control de presión de sobrealimentación en los motores así equipados, cuando exista un aumento de presión de la sobrealimentación (determinado por el fabricante), el cual ocasionaría que las emisiones del motor excedieran los límites SDB/OBD correspondientes a “Otros Monitores de Límites SDB/OBD” en la Tabla A.3. El sistema SDB/OBD deberá detectar un mal funcionamiento cuando el sistema haya alcanzado sus límites de control, de tal manera que no se pueda disminuir la presión para lograr la presión de </w:t>
            </w:r>
            <w:r w:rsidRPr="00A57824">
              <w:rPr>
                <w:rFonts w:ascii="Verdana" w:hAnsi="Verdana"/>
                <w:sz w:val="16"/>
                <w:szCs w:val="16"/>
                <w:lang w:val="es-ES_tradnl"/>
              </w:rPr>
              <w:lastRenderedPageBreak/>
              <w:t>sobrealimentación mandada, en los motores en los que no se detecte alguna falla o deterioro del sistema de control de presión de sobrealimentación que provoquen un aumento de presión de sobrealimentación, lo que pudiera ocasionar a su vez que las emisiones del motor excedan los límites de emisiones establecidos;</w:t>
            </w:r>
          </w:p>
        </w:tc>
        <w:tc>
          <w:tcPr>
            <w:tcW w:w="4788" w:type="dxa"/>
            <w:shd w:val="clear" w:color="auto" w:fill="auto"/>
          </w:tcPr>
          <w:p w14:paraId="2FF296E8"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b.</w:t>
            </w:r>
            <w:r w:rsidRPr="00BD076C">
              <w:rPr>
                <w:lang w:val="en-US"/>
              </w:rPr>
              <w:t xml:space="preserve"> </w:t>
            </w:r>
            <w:r w:rsidRPr="00BD076C">
              <w:rPr>
                <w:rFonts w:ascii="Verdana" w:hAnsi="Verdana"/>
                <w:sz w:val="16"/>
                <w:szCs w:val="16"/>
                <w:lang w:val="en-US"/>
              </w:rPr>
              <w:t>              Excess of air supply.</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malfunctioning of the boost pressure control system in the engines thus equipped, when there is an increase in boost pressure (determined by the manufacturer), which would cause the engine emissions to exceed the limits </w:t>
            </w:r>
            <w:r w:rsidR="002D78B5" w:rsidRPr="00BD076C">
              <w:rPr>
                <w:rFonts w:ascii="Verdana" w:hAnsi="Verdana"/>
                <w:sz w:val="16"/>
                <w:szCs w:val="16"/>
                <w:lang w:val="en-US"/>
              </w:rPr>
              <w:t>SDB/OBD</w:t>
            </w:r>
            <w:r w:rsidRPr="00BD076C">
              <w:rPr>
                <w:rFonts w:ascii="Verdana" w:hAnsi="Verdana"/>
                <w:sz w:val="16"/>
                <w:szCs w:val="16"/>
                <w:lang w:val="en-US"/>
              </w:rPr>
              <w:t xml:space="preserve"> corresponding to "Other </w:t>
            </w:r>
            <w:r w:rsidR="002D78B5" w:rsidRPr="00BD076C">
              <w:rPr>
                <w:rFonts w:ascii="Verdana" w:hAnsi="Verdana"/>
                <w:sz w:val="16"/>
                <w:szCs w:val="16"/>
                <w:lang w:val="en-US"/>
              </w:rPr>
              <w:t>SDB/OBD</w:t>
            </w:r>
            <w:r w:rsidRPr="00BD076C">
              <w:rPr>
                <w:rFonts w:ascii="Verdana" w:hAnsi="Verdana"/>
                <w:sz w:val="16"/>
                <w:szCs w:val="16"/>
                <w:lang w:val="en-US"/>
              </w:rPr>
              <w:t xml:space="preserve"> Limit Monitors" in Table A.3.</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a malfunction when the system has reached its control limits, in such a way that the pressure cannot be lowered to achieve the supercharging pressure sent, in the motors in which no fault is detected or deterioration of the boost pressure </w:t>
            </w:r>
            <w:r w:rsidRPr="00BD076C">
              <w:rPr>
                <w:rFonts w:ascii="Verdana" w:hAnsi="Verdana"/>
                <w:sz w:val="16"/>
                <w:szCs w:val="16"/>
                <w:lang w:val="en-US"/>
              </w:rPr>
              <w:lastRenderedPageBreak/>
              <w:t>control system that causes an increase in boost pressure, which in turn may cause engine emissions to exceed the emission limits established;</w:t>
            </w:r>
            <w:r w:rsidRPr="00BD076C">
              <w:rPr>
                <w:lang w:val="en-US"/>
              </w:rPr>
              <w:t xml:space="preserve"> </w:t>
            </w:r>
          </w:p>
        </w:tc>
      </w:tr>
      <w:tr w:rsidR="008A0760" w:rsidRPr="00743A20" w14:paraId="1494DBC4" w14:textId="77777777" w:rsidTr="00BD076C">
        <w:tc>
          <w:tcPr>
            <w:tcW w:w="4788" w:type="dxa"/>
            <w:shd w:val="clear" w:color="auto" w:fill="auto"/>
          </w:tcPr>
          <w:p w14:paraId="35AB7B90"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c.</w:t>
            </w:r>
            <w:r w:rsidRPr="00A57824">
              <w:rPr>
                <w:rFonts w:ascii="Verdana" w:hAnsi="Verdana"/>
                <w:sz w:val="16"/>
                <w:szCs w:val="16"/>
                <w:lang w:val="es-ES_tradnl"/>
              </w:rPr>
              <w:tab/>
              <w:t>Demora en la respuesta del TGV/VGT. El sistema SDB/OBD deberá detectar mal funcionamiento anticipando para cualquier falla o deterioro de la capacidad del sistema TGV/VGT, para alcanzar la geometría especificada dentro de un tiempo señalado por el fabricante, lo cual ocasionaría que las emisiones del motor excedieran los límites SDB/OBD correspondientes a “Otros Monitores de Límites SDB/OBD” en la Tabla A.3. El sistema SDB/OBD deberá detectar mal funcionamiento del sistema TGV/VGT cuando no se produzca una respuesta funcional adecuada del sistema de comandos de la computadora, esto ocurrirá en los motores en los que no se detecte alguna falla o deterioro de la respuesta del sistema TGV/VGT que pudiera ocasionar que las emisiones del motor excedan los límites de emisiones establecidos, y</w:t>
            </w:r>
          </w:p>
        </w:tc>
        <w:tc>
          <w:tcPr>
            <w:tcW w:w="4788" w:type="dxa"/>
            <w:shd w:val="clear" w:color="auto" w:fill="auto"/>
          </w:tcPr>
          <w:p w14:paraId="0EB017FC"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sz w:val="16"/>
                <w:szCs w:val="16"/>
                <w:lang w:val="en-US"/>
              </w:rPr>
              <w:t>              Delay in the response of the TGV/VGT.</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anticipated malfunction for any failure or deterioration of the capacity of the TGV/VGT system, to reach the specified geometry within a time specified by the manufacturer, which would cause the engine emissions to exceed the SDB limits/OBD corresponding to "Other </w:t>
            </w:r>
            <w:r w:rsidR="002D78B5" w:rsidRPr="00BD076C">
              <w:rPr>
                <w:rFonts w:ascii="Verdana" w:hAnsi="Verdana"/>
                <w:sz w:val="16"/>
                <w:szCs w:val="16"/>
                <w:lang w:val="en-US"/>
              </w:rPr>
              <w:t>SDB/OBD</w:t>
            </w:r>
            <w:r w:rsidRPr="00BD076C">
              <w:rPr>
                <w:rFonts w:ascii="Verdana" w:hAnsi="Verdana"/>
                <w:sz w:val="16"/>
                <w:szCs w:val="16"/>
                <w:lang w:val="en-US"/>
              </w:rPr>
              <w:t xml:space="preserve"> Limit Monitors" in Table A.3.</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malfunctions of the TGV/VGT system when there is no adequate functional response from the computer's command system, this will occur in the motors in which no failure or deterioration of the system response is detected TGV/VGT that could cause engine emissions to exceed the emission limits established, and</w:t>
            </w:r>
            <w:r w:rsidRPr="00BD076C">
              <w:rPr>
                <w:lang w:val="en-US"/>
              </w:rPr>
              <w:t xml:space="preserve"> </w:t>
            </w:r>
          </w:p>
        </w:tc>
      </w:tr>
      <w:tr w:rsidR="008A0760" w:rsidRPr="00743A20" w14:paraId="10DCC015" w14:textId="77777777" w:rsidTr="00BD076C">
        <w:tc>
          <w:tcPr>
            <w:tcW w:w="4788" w:type="dxa"/>
            <w:shd w:val="clear" w:color="auto" w:fill="auto"/>
          </w:tcPr>
          <w:p w14:paraId="2DBFB10A"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sz w:val="16"/>
                <w:szCs w:val="16"/>
                <w:lang w:val="es-ES_tradnl"/>
              </w:rPr>
              <w:tab/>
              <w:t>Reducción en el enfriamiento del aire de sobrealimentación. El sistema SDB/OBD deberá detectar mal funcionamiento del sistema de enfriamiento del aire de sobrealimentación cuando exista una disminución de la tasa de enfriamiento (determinado por el fabricante), el cual ocasionaría que las emisiones del motor excedieran los límites SDB/OBD correspondientes a “Otros Monitores de Límites SDB/OBD” en la Tabla A.3. El sistema SDB/OBD deberá detectar mal funcionamiento cuando el sistema no tenga una cantidad detectable de aire de carga de enfriamiento, en los motores en los que no se detecte alguna falla o deterioro del sistema de enfriamiento del aire de sobrealimentación que provoque una disminución en el rendimiento de refrigeración, lo que pudiera ocasionar a su vez, que las emisiones del motor excedan los límites de emisiones establecidos.</w:t>
            </w:r>
          </w:p>
        </w:tc>
        <w:tc>
          <w:tcPr>
            <w:tcW w:w="4788" w:type="dxa"/>
            <w:shd w:val="clear" w:color="auto" w:fill="auto"/>
          </w:tcPr>
          <w:p w14:paraId="2DF7A75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sz w:val="16"/>
                <w:szCs w:val="16"/>
                <w:lang w:val="en-US"/>
              </w:rPr>
              <w:t>              Reduction in the cooling of the supercharging air.</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shall detect malfunctioning of the supercharging air cooling system when there is a decrease in the cooling rate (determined by the manufacturer), which would cause the engine emissions to exceed the </w:t>
            </w:r>
            <w:r w:rsidR="002D78B5" w:rsidRPr="00BD076C">
              <w:rPr>
                <w:rFonts w:ascii="Verdana" w:hAnsi="Verdana"/>
                <w:sz w:val="16"/>
                <w:szCs w:val="16"/>
                <w:lang w:val="en-US"/>
              </w:rPr>
              <w:t>SDB/OBD</w:t>
            </w:r>
            <w:r w:rsidRPr="00BD076C">
              <w:rPr>
                <w:rFonts w:ascii="Verdana" w:hAnsi="Verdana"/>
                <w:sz w:val="16"/>
                <w:szCs w:val="16"/>
                <w:lang w:val="en-US"/>
              </w:rPr>
              <w:t xml:space="preserve"> limits corresponding to " Other </w:t>
            </w:r>
            <w:r w:rsidR="002D78B5" w:rsidRPr="00BD076C">
              <w:rPr>
                <w:rFonts w:ascii="Verdana" w:hAnsi="Verdana"/>
                <w:sz w:val="16"/>
                <w:szCs w:val="16"/>
                <w:lang w:val="en-US"/>
              </w:rPr>
              <w:t>SDB/OBD</w:t>
            </w:r>
            <w:r w:rsidRPr="00BD076C">
              <w:rPr>
                <w:rFonts w:ascii="Verdana" w:hAnsi="Verdana"/>
                <w:sz w:val="16"/>
                <w:szCs w:val="16"/>
                <w:lang w:val="en-US"/>
              </w:rPr>
              <w:t xml:space="preserve"> Limit Monitors "in Table A.3.</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malfunctions when the system does not have a detectable amount of cooling load air, in the engines where no failure or deterioration of the cooling system of the supercharging air is detected, causing a decrease in the cooling performance, which</w:t>
            </w:r>
            <w:r w:rsidRPr="00BD076C">
              <w:rPr>
                <w:lang w:val="en-US"/>
              </w:rPr>
              <w:t xml:space="preserve"> </w:t>
            </w:r>
            <w:r w:rsidRPr="00BD076C">
              <w:rPr>
                <w:rFonts w:ascii="Verdana" w:hAnsi="Verdana"/>
                <w:sz w:val="16"/>
                <w:szCs w:val="16"/>
                <w:lang w:val="en-US"/>
              </w:rPr>
              <w:t>could cause, in turn, that the engine emissions exceed the emission limits established.</w:t>
            </w:r>
            <w:r w:rsidRPr="00BD076C">
              <w:rPr>
                <w:lang w:val="en-US"/>
              </w:rPr>
              <w:t xml:space="preserve"> </w:t>
            </w:r>
          </w:p>
        </w:tc>
      </w:tr>
      <w:tr w:rsidR="008A0760" w:rsidRPr="00743A20" w14:paraId="7EA7FEE8" w14:textId="77777777" w:rsidTr="00BD076C">
        <w:tc>
          <w:tcPr>
            <w:tcW w:w="4788" w:type="dxa"/>
            <w:shd w:val="clear" w:color="auto" w:fill="auto"/>
          </w:tcPr>
          <w:p w14:paraId="7FC18D90"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A.7.2.3.5.</w:t>
            </w:r>
            <w:r w:rsidRPr="00A57824">
              <w:rPr>
                <w:rFonts w:ascii="Verdana" w:hAnsi="Verdana"/>
                <w:sz w:val="16"/>
                <w:szCs w:val="16"/>
                <w:lang w:val="es-ES_tradnl"/>
              </w:rPr>
              <w:t xml:space="preserve"> Catalizador de hidrocarburos no metano (HCNM).</w:t>
            </w:r>
          </w:p>
        </w:tc>
        <w:tc>
          <w:tcPr>
            <w:tcW w:w="4788" w:type="dxa"/>
            <w:shd w:val="clear" w:color="auto" w:fill="auto"/>
          </w:tcPr>
          <w:p w14:paraId="3F60C66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A.7.2.3.5.</w:t>
            </w:r>
            <w:r w:rsidRPr="00BD076C">
              <w:rPr>
                <w:lang w:val="en-US"/>
              </w:rPr>
              <w:t xml:space="preserve"> </w:t>
            </w:r>
            <w:r w:rsidRPr="00BD076C">
              <w:rPr>
                <w:rFonts w:ascii="Verdana" w:hAnsi="Verdana"/>
                <w:sz w:val="16"/>
                <w:szCs w:val="16"/>
                <w:lang w:val="en-US"/>
              </w:rPr>
              <w:t>Non-methane hydrocarbon catalyst (HCNM).</w:t>
            </w:r>
            <w:r w:rsidRPr="00BD076C">
              <w:rPr>
                <w:lang w:val="en-US"/>
              </w:rPr>
              <w:t xml:space="preserve"> </w:t>
            </w:r>
          </w:p>
        </w:tc>
      </w:tr>
      <w:tr w:rsidR="008A0760" w:rsidRPr="00743A20" w14:paraId="2DE20727" w14:textId="77777777" w:rsidTr="00BD076C">
        <w:tc>
          <w:tcPr>
            <w:tcW w:w="4788" w:type="dxa"/>
            <w:shd w:val="clear" w:color="auto" w:fill="auto"/>
          </w:tcPr>
          <w:p w14:paraId="0DEB11E8"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sistema SDB/OBD deberá supervisar el convertidor catalítico de HCNM para mantener una capacidad de conversión de HCNM adecuada. Cada catalizador que convierte HCNM se deberá controlar, ya sea individualmente o en combinación con otros. La conversión de HCNM que pueda ocurrir en el SFP/DPF u otros dispositivos de post-tratamiento, no están incluidos en este párrafo.</w:t>
            </w:r>
          </w:p>
        </w:tc>
        <w:tc>
          <w:tcPr>
            <w:tcW w:w="4788" w:type="dxa"/>
            <w:shd w:val="clear" w:color="auto" w:fill="auto"/>
          </w:tcPr>
          <w:p w14:paraId="0E1A9C12"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monitor the HCNM catalytic converter to maintain adequate HCNM conversion capacity.</w:t>
            </w:r>
            <w:r w:rsidRPr="00BD076C">
              <w:rPr>
                <w:lang w:val="en-US"/>
              </w:rPr>
              <w:t xml:space="preserve"> </w:t>
            </w:r>
            <w:r w:rsidRPr="00BD076C">
              <w:rPr>
                <w:rFonts w:ascii="Verdana" w:hAnsi="Verdana"/>
                <w:sz w:val="16"/>
                <w:szCs w:val="16"/>
                <w:lang w:val="en-US"/>
              </w:rPr>
              <w:t>Each catalyst that converts HCNM should be controlled, either individually or in combination with others.</w:t>
            </w:r>
            <w:r w:rsidRPr="00BD076C">
              <w:rPr>
                <w:lang w:val="en-US"/>
              </w:rPr>
              <w:t xml:space="preserve"> </w:t>
            </w:r>
            <w:r w:rsidRPr="00BD076C">
              <w:rPr>
                <w:rFonts w:ascii="Verdana" w:hAnsi="Verdana"/>
                <w:sz w:val="16"/>
                <w:szCs w:val="16"/>
                <w:lang w:val="en-US"/>
              </w:rPr>
              <w:t xml:space="preserve">The conversion of HCNM that may occur in the </w:t>
            </w:r>
            <w:r w:rsidR="00F75D61" w:rsidRPr="00BD076C">
              <w:rPr>
                <w:rFonts w:ascii="Verdana" w:hAnsi="Verdana"/>
                <w:sz w:val="16"/>
                <w:szCs w:val="16"/>
                <w:lang w:val="en-US"/>
              </w:rPr>
              <w:t>SFP/DPF</w:t>
            </w:r>
            <w:r w:rsidRPr="00BD076C">
              <w:rPr>
                <w:rFonts w:ascii="Verdana" w:hAnsi="Verdana"/>
                <w:sz w:val="16"/>
                <w:szCs w:val="16"/>
                <w:lang w:val="en-US"/>
              </w:rPr>
              <w:t xml:space="preserve"> or other post-treatment devices are not included in this paragraph.</w:t>
            </w:r>
            <w:r w:rsidRPr="00BD076C">
              <w:rPr>
                <w:lang w:val="en-US"/>
              </w:rPr>
              <w:t xml:space="preserve"> </w:t>
            </w:r>
          </w:p>
        </w:tc>
      </w:tr>
      <w:tr w:rsidR="008A0760" w:rsidRPr="00A57824" w14:paraId="04BD4848" w14:textId="77777777" w:rsidTr="00BD076C">
        <w:tc>
          <w:tcPr>
            <w:tcW w:w="4788" w:type="dxa"/>
            <w:shd w:val="clear" w:color="auto" w:fill="auto"/>
          </w:tcPr>
          <w:p w14:paraId="533927E0"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Los requisitos de monitoreo son:</w:t>
            </w:r>
          </w:p>
        </w:tc>
        <w:tc>
          <w:tcPr>
            <w:tcW w:w="4788" w:type="dxa"/>
            <w:shd w:val="clear" w:color="auto" w:fill="auto"/>
          </w:tcPr>
          <w:p w14:paraId="52BBABDE"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The monitoring requirements are:</w:t>
            </w:r>
            <w:r w:rsidRPr="00BD076C">
              <w:rPr>
                <w:lang w:val="en-US"/>
              </w:rPr>
              <w:t xml:space="preserve"> </w:t>
            </w:r>
          </w:p>
        </w:tc>
      </w:tr>
      <w:tr w:rsidR="008A0760" w:rsidRPr="00743A20" w14:paraId="2ADD3451" w14:textId="77777777" w:rsidTr="00BD076C">
        <w:tc>
          <w:tcPr>
            <w:tcW w:w="4788" w:type="dxa"/>
            <w:shd w:val="clear" w:color="auto" w:fill="auto"/>
          </w:tcPr>
          <w:p w14:paraId="6C8AA375"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a.</w:t>
            </w:r>
            <w:r w:rsidRPr="00A57824">
              <w:rPr>
                <w:rFonts w:ascii="Verdana" w:hAnsi="Verdana"/>
                <w:sz w:val="16"/>
                <w:szCs w:val="16"/>
                <w:lang w:val="es-ES_tradnl"/>
              </w:rPr>
              <w:tab/>
              <w:t>Eficiencia de la conversión de HCNM: El sistema SDB/OBD deberá detectar mal funcionamiento cuando el catalizador no tenga capacidad detectable de eficiencia de conversión de HCNM, y</w:t>
            </w:r>
          </w:p>
        </w:tc>
        <w:tc>
          <w:tcPr>
            <w:tcW w:w="4788" w:type="dxa"/>
            <w:shd w:val="clear" w:color="auto" w:fill="auto"/>
          </w:tcPr>
          <w:p w14:paraId="1DADAD47" w14:textId="77777777" w:rsidR="008A0760" w:rsidRPr="00BD076C" w:rsidRDefault="00BD076C"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xml:space="preserve">              Efficiency of HCNM conversion: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should detect malfunction when the catalyst does not have detectable HCNM conversion efficiency capacity, and</w:t>
            </w:r>
            <w:r w:rsidR="008A0760" w:rsidRPr="00BD076C">
              <w:rPr>
                <w:lang w:val="en-US"/>
              </w:rPr>
              <w:t xml:space="preserve"> </w:t>
            </w:r>
          </w:p>
        </w:tc>
      </w:tr>
      <w:tr w:rsidR="008A0760" w:rsidRPr="00743A20" w14:paraId="312CFFE7" w14:textId="77777777" w:rsidTr="00BD076C">
        <w:tc>
          <w:tcPr>
            <w:tcW w:w="4788" w:type="dxa"/>
            <w:shd w:val="clear" w:color="auto" w:fill="auto"/>
          </w:tcPr>
          <w:p w14:paraId="032CD1C2"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Funciones de soporte del catalizador de hidrocarburos: Para los catalizadores usados para generar una reacción exotérmica que ayude a la regeneración del SFP/DPF (tales como, el catalizador de oxidación de diésel), el sistema SDB/OBD deberá detectar mal funcionamiento cuando el catalizador es incapaz de generar una reacción exotérmica suficiente para lograr la regeneración del SFP/DPF, esto ocurrirá cuando el SCOD/DOC no puede generar un aumento de temperatura de 100 grados (°C), o para llegar a la temperatura necesaria de regeneración dentro de los 60 segundos de iniciar una regeneración activa del SFP/DPF. Además, el sistema SDB/OBD deberá detectar mal funcionamiento cuando el SCOD/DOC es incapaz de mantener la temperatura de regeneración necesaria para la duración del evento de regeneración. El sistema SDB/OBD o el sistema de control debe interrumpir la regeneración si no se ha alcanzado la temperatura de regeneración dentro de los primeros cinco minutos una vez iniciado el proceso de regeneración activa o si la temperatura de regeneración no puede ser sostenida durante la duración del evento de regeneración. Como alternativa a estos criterios específicos de mal funcionamiento, el fabricante puede emplear otros criterios diferentes.</w:t>
            </w:r>
          </w:p>
        </w:tc>
        <w:tc>
          <w:tcPr>
            <w:tcW w:w="4788" w:type="dxa"/>
            <w:shd w:val="clear" w:color="auto" w:fill="auto"/>
          </w:tcPr>
          <w:p w14:paraId="6977BA2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sz w:val="16"/>
                <w:szCs w:val="16"/>
                <w:lang w:val="en-US"/>
              </w:rPr>
              <w:t xml:space="preserve">              Hydrocarbon catalyst support functions: For catalysts used to generate an exothermic reaction that helps the regeneration of the </w:t>
            </w:r>
            <w:r w:rsidR="00F75D61" w:rsidRPr="00BD076C">
              <w:rPr>
                <w:rFonts w:ascii="Verdana" w:hAnsi="Verdana"/>
                <w:sz w:val="16"/>
                <w:szCs w:val="16"/>
                <w:lang w:val="en-US"/>
              </w:rPr>
              <w:t>SFP/DPF</w:t>
            </w:r>
            <w:r w:rsidRPr="00BD076C">
              <w:rPr>
                <w:rFonts w:ascii="Verdana" w:hAnsi="Verdana"/>
                <w:sz w:val="16"/>
                <w:szCs w:val="16"/>
                <w:lang w:val="en-US"/>
              </w:rPr>
              <w:t xml:space="preserve"> (such as the diesel oxidation catalyst), 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malfunction when the catalyst is unable to generate a sufficient exothermic reaction to achieve the regeneration of the </w:t>
            </w:r>
            <w:r w:rsidR="00F75D61" w:rsidRPr="00BD076C">
              <w:rPr>
                <w:rFonts w:ascii="Verdana" w:hAnsi="Verdana"/>
                <w:sz w:val="16"/>
                <w:szCs w:val="16"/>
                <w:lang w:val="en-US"/>
              </w:rPr>
              <w:t>SFP/DPF</w:t>
            </w:r>
            <w:r w:rsidRPr="00BD076C">
              <w:rPr>
                <w:rFonts w:ascii="Verdana" w:hAnsi="Verdana"/>
                <w:sz w:val="16"/>
                <w:szCs w:val="16"/>
                <w:lang w:val="en-US"/>
              </w:rPr>
              <w:t xml:space="preserve">, this will occur when the SCOD/DOC cannot generate a temperature increase of 100 degrees (°C), or to reach the necessary temperature of regeneration within 60 seconds after initiating an active regeneration of the </w:t>
            </w:r>
            <w:r w:rsidR="00F75D61" w:rsidRPr="00BD076C">
              <w:rPr>
                <w:rFonts w:ascii="Verdana" w:hAnsi="Verdana"/>
                <w:sz w:val="16"/>
                <w:szCs w:val="16"/>
                <w:lang w:val="en-US"/>
              </w:rPr>
              <w:t>SFP/DPF</w:t>
            </w:r>
            <w:r w:rsidRPr="00BD076C">
              <w:rPr>
                <w:rFonts w:ascii="Verdana" w:hAnsi="Verdana"/>
                <w:sz w:val="16"/>
                <w:szCs w:val="16"/>
                <w:lang w:val="en-US"/>
              </w:rPr>
              <w:t>.</w:t>
            </w:r>
            <w:r w:rsidRPr="00BD076C">
              <w:rPr>
                <w:lang w:val="en-US"/>
              </w:rPr>
              <w:t xml:space="preserve"> </w:t>
            </w:r>
            <w:r w:rsidRPr="00BD076C">
              <w:rPr>
                <w:rFonts w:ascii="Verdana" w:hAnsi="Verdana"/>
                <w:sz w:val="16"/>
                <w:szCs w:val="16"/>
                <w:lang w:val="en-US"/>
              </w:rPr>
              <w:t xml:space="preserve">In addition, 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malfunctions when the SCOD/DOC is unable to maintain the regeneration temperature necessary for the duration of the regeneration event.</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or the control system must interrupt the regeneration if the regeneration temperature has not been reached within the first five minutes after the active regeneration process has started or if the regeneration temperature cannot be sustained for the duration of the regeneration event.</w:t>
            </w:r>
            <w:r w:rsidRPr="00BD076C">
              <w:rPr>
                <w:lang w:val="en-US"/>
              </w:rPr>
              <w:t xml:space="preserve"> </w:t>
            </w:r>
            <w:r w:rsidRPr="00BD076C">
              <w:rPr>
                <w:rFonts w:ascii="Verdana" w:hAnsi="Verdana"/>
                <w:sz w:val="16"/>
                <w:szCs w:val="16"/>
                <w:lang w:val="en-US"/>
              </w:rPr>
              <w:t>As an alternative to these specific malfunction criteria, the manufacturer may use different criteria.</w:t>
            </w:r>
            <w:r w:rsidRPr="00BD076C">
              <w:rPr>
                <w:lang w:val="en-US"/>
              </w:rPr>
              <w:t xml:space="preserve"> </w:t>
            </w:r>
          </w:p>
        </w:tc>
      </w:tr>
      <w:tr w:rsidR="008A0760" w:rsidRPr="00743A20" w14:paraId="574F53C2" w14:textId="77777777" w:rsidTr="00BD076C">
        <w:tc>
          <w:tcPr>
            <w:tcW w:w="4788" w:type="dxa"/>
            <w:shd w:val="clear" w:color="auto" w:fill="auto"/>
          </w:tcPr>
          <w:p w14:paraId="2661FEF6"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A.7.2.3.6.</w:t>
            </w:r>
            <w:r w:rsidRPr="00A57824">
              <w:rPr>
                <w:rFonts w:ascii="Verdana" w:hAnsi="Verdana"/>
                <w:sz w:val="16"/>
                <w:szCs w:val="16"/>
                <w:lang w:val="es-ES_tradnl"/>
              </w:rPr>
              <w:t xml:space="preserve"> Sistema de SRCS/SCR y de post-tratamiento de NOx.</w:t>
            </w:r>
          </w:p>
        </w:tc>
        <w:tc>
          <w:tcPr>
            <w:tcW w:w="4788" w:type="dxa"/>
            <w:shd w:val="clear" w:color="auto" w:fill="auto"/>
          </w:tcPr>
          <w:p w14:paraId="187EE62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A.7.2.3.6.</w:t>
            </w:r>
            <w:r w:rsidRPr="00BD076C">
              <w:rPr>
                <w:lang w:val="en-US"/>
              </w:rPr>
              <w:t xml:space="preserve"> </w:t>
            </w:r>
            <w:r w:rsidR="00F75D61" w:rsidRPr="00BD076C">
              <w:rPr>
                <w:rFonts w:ascii="Verdana" w:hAnsi="Verdana"/>
                <w:sz w:val="16"/>
                <w:szCs w:val="16"/>
                <w:lang w:val="en-US"/>
              </w:rPr>
              <w:t>SRCS/SCR</w:t>
            </w:r>
            <w:r w:rsidRPr="00BD076C">
              <w:rPr>
                <w:rFonts w:ascii="Verdana" w:hAnsi="Verdana"/>
                <w:sz w:val="16"/>
                <w:szCs w:val="16"/>
                <w:lang w:val="en-US"/>
              </w:rPr>
              <w:t xml:space="preserve"> system and NOx post-treatment system.</w:t>
            </w:r>
            <w:r w:rsidRPr="00BD076C">
              <w:rPr>
                <w:lang w:val="en-US"/>
              </w:rPr>
              <w:t xml:space="preserve"> </w:t>
            </w:r>
          </w:p>
        </w:tc>
      </w:tr>
      <w:tr w:rsidR="008A0760" w:rsidRPr="00743A20" w14:paraId="777E3C50" w14:textId="77777777" w:rsidTr="00BD076C">
        <w:tc>
          <w:tcPr>
            <w:tcW w:w="4788" w:type="dxa"/>
            <w:shd w:val="clear" w:color="auto" w:fill="auto"/>
          </w:tcPr>
          <w:p w14:paraId="194D162A"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sistema SDB/OBD deberá monitorear la operación del sistema SRCS/SCR y de post-tratamiento de NOx con respecto a la eficiencia de conversión. Para los motores equipados con sistemas SRCS/SCR u otros sistemas catalíticos que utilicen una inyección activa/reductor intrusivo (por ejemplo, catalizadores de NOx activos que utilizan post-inyección de combustible diésel o inyección de diésel en el escape), el sistema SDB/OBD deberá supervisar la inyección de reductor activo/intrusivo para un suministro adecuado. Los componentes electrónicos individuales (por ejemplo, actuadores, válvulas, sensores, calentadores, bombas) en el sistema de inyección de agente reductor activo/intrusivo deberán ser monitoreados. La eficiencia de conversión y el seguimiento de la calidad del agente reductor serán definidos por el fabricante de acuerdo con los requisitos de rendimiento en uso.</w:t>
            </w:r>
          </w:p>
        </w:tc>
        <w:tc>
          <w:tcPr>
            <w:tcW w:w="4788" w:type="dxa"/>
            <w:shd w:val="clear" w:color="auto" w:fill="auto"/>
          </w:tcPr>
          <w:p w14:paraId="3D58172F"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monitor the operation of the </w:t>
            </w:r>
            <w:r w:rsidR="00F75D61" w:rsidRPr="00BD076C">
              <w:rPr>
                <w:rFonts w:ascii="Verdana" w:hAnsi="Verdana"/>
                <w:sz w:val="16"/>
                <w:szCs w:val="16"/>
                <w:lang w:val="en-US"/>
              </w:rPr>
              <w:t>SRCS/SCR</w:t>
            </w:r>
            <w:r w:rsidRPr="00BD076C">
              <w:rPr>
                <w:rFonts w:ascii="Verdana" w:hAnsi="Verdana"/>
                <w:sz w:val="16"/>
                <w:szCs w:val="16"/>
                <w:lang w:val="en-US"/>
              </w:rPr>
              <w:t xml:space="preserve"> system and NOx post-treatment with respect to conversion efficiency.</w:t>
            </w:r>
            <w:r w:rsidRPr="00BD076C">
              <w:rPr>
                <w:lang w:val="en-US"/>
              </w:rPr>
              <w:t xml:space="preserve"> </w:t>
            </w:r>
            <w:r w:rsidRPr="00BD076C">
              <w:rPr>
                <w:rFonts w:ascii="Verdana" w:hAnsi="Verdana"/>
                <w:sz w:val="16"/>
                <w:szCs w:val="16"/>
                <w:lang w:val="en-US"/>
              </w:rPr>
              <w:t xml:space="preserve">For engines equipped with </w:t>
            </w:r>
            <w:r w:rsidR="00F75D61" w:rsidRPr="00BD076C">
              <w:rPr>
                <w:rFonts w:ascii="Verdana" w:hAnsi="Verdana"/>
                <w:sz w:val="16"/>
                <w:szCs w:val="16"/>
                <w:lang w:val="en-US"/>
              </w:rPr>
              <w:t>SRCS/SCR</w:t>
            </w:r>
            <w:r w:rsidRPr="00BD076C">
              <w:rPr>
                <w:rFonts w:ascii="Verdana" w:hAnsi="Verdana"/>
                <w:sz w:val="16"/>
                <w:szCs w:val="16"/>
                <w:lang w:val="en-US"/>
              </w:rPr>
              <w:t xml:space="preserve"> systems or other catalytic systems using an intrusive active</w:t>
            </w:r>
            <w:r w:rsidR="00BD076C">
              <w:rPr>
                <w:rFonts w:ascii="Verdana" w:hAnsi="Verdana"/>
                <w:sz w:val="16"/>
                <w:szCs w:val="16"/>
                <w:lang w:val="en-US"/>
              </w:rPr>
              <w:t>/</w:t>
            </w:r>
            <w:r w:rsidRPr="00BD076C">
              <w:rPr>
                <w:rFonts w:ascii="Verdana" w:hAnsi="Verdana"/>
                <w:sz w:val="16"/>
                <w:szCs w:val="16"/>
                <w:lang w:val="en-US"/>
              </w:rPr>
              <w:t xml:space="preserve">reductant injection (for example, active NOx catalysts that use diesel fuel post-injection or diesel injection in the exhaust), the </w:t>
            </w:r>
            <w:r w:rsidR="002D78B5" w:rsidRPr="00BD076C">
              <w:rPr>
                <w:rFonts w:ascii="Verdana" w:hAnsi="Verdana"/>
                <w:sz w:val="16"/>
                <w:szCs w:val="16"/>
                <w:lang w:val="en-US"/>
              </w:rPr>
              <w:t>SDB/OBD</w:t>
            </w:r>
            <w:r w:rsidRPr="00BD076C">
              <w:rPr>
                <w:rFonts w:ascii="Verdana" w:hAnsi="Verdana"/>
                <w:sz w:val="16"/>
                <w:szCs w:val="16"/>
                <w:lang w:val="en-US"/>
              </w:rPr>
              <w:t xml:space="preserve"> shall monitor the injection of active/intrusive reducer for</w:t>
            </w:r>
            <w:r w:rsidRPr="00BD076C">
              <w:rPr>
                <w:lang w:val="en-US"/>
              </w:rPr>
              <w:t xml:space="preserve"> </w:t>
            </w:r>
            <w:r w:rsidRPr="00BD076C">
              <w:rPr>
                <w:rFonts w:ascii="Verdana" w:hAnsi="Verdana"/>
                <w:sz w:val="16"/>
                <w:szCs w:val="16"/>
                <w:lang w:val="en-US"/>
              </w:rPr>
              <w:t>an adequate supply.</w:t>
            </w:r>
            <w:r w:rsidRPr="00BD076C">
              <w:rPr>
                <w:lang w:val="en-US"/>
              </w:rPr>
              <w:t xml:space="preserve"> </w:t>
            </w:r>
            <w:r w:rsidRPr="00BD076C">
              <w:rPr>
                <w:rFonts w:ascii="Verdana" w:hAnsi="Verdana"/>
                <w:sz w:val="16"/>
                <w:szCs w:val="16"/>
                <w:lang w:val="en-US"/>
              </w:rPr>
              <w:t>Individual electronic components (eg actuators, valves, sensors, heaters, pumps) in the active/intrusive reducing agent injection system should be monitored.</w:t>
            </w:r>
            <w:r w:rsidRPr="00BD076C">
              <w:rPr>
                <w:lang w:val="en-US"/>
              </w:rPr>
              <w:t xml:space="preserve"> </w:t>
            </w:r>
            <w:r w:rsidRPr="00BD076C">
              <w:rPr>
                <w:rFonts w:ascii="Verdana" w:hAnsi="Verdana"/>
                <w:sz w:val="16"/>
                <w:szCs w:val="16"/>
                <w:lang w:val="en-US"/>
              </w:rPr>
              <w:t>The conversion efficiency and the monitoring of the quality of the reducing agent will be defined by the manufacturer in accordance with the performance requirements in use.</w:t>
            </w:r>
            <w:r w:rsidRPr="00BD076C">
              <w:rPr>
                <w:lang w:val="en-US"/>
              </w:rPr>
              <w:t xml:space="preserve"> </w:t>
            </w:r>
          </w:p>
        </w:tc>
      </w:tr>
      <w:tr w:rsidR="008A0760" w:rsidRPr="00A57824" w14:paraId="5528012E" w14:textId="77777777" w:rsidTr="00BD076C">
        <w:tc>
          <w:tcPr>
            <w:tcW w:w="4788" w:type="dxa"/>
            <w:shd w:val="clear" w:color="auto" w:fill="auto"/>
          </w:tcPr>
          <w:p w14:paraId="40DCCBE3"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Los requisitos de monitoreo son:</w:t>
            </w:r>
          </w:p>
        </w:tc>
        <w:tc>
          <w:tcPr>
            <w:tcW w:w="4788" w:type="dxa"/>
            <w:shd w:val="clear" w:color="auto" w:fill="auto"/>
          </w:tcPr>
          <w:p w14:paraId="7186A2FF"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The monitoring requirements are:</w:t>
            </w:r>
            <w:r w:rsidRPr="00BD076C">
              <w:rPr>
                <w:lang w:val="en-US"/>
              </w:rPr>
              <w:t xml:space="preserve"> </w:t>
            </w:r>
          </w:p>
        </w:tc>
      </w:tr>
      <w:tr w:rsidR="008A0760" w:rsidRPr="00743A20" w14:paraId="6D91E15A" w14:textId="77777777" w:rsidTr="00BD076C">
        <w:tc>
          <w:tcPr>
            <w:tcW w:w="4788" w:type="dxa"/>
            <w:shd w:val="clear" w:color="auto" w:fill="auto"/>
          </w:tcPr>
          <w:p w14:paraId="7AC214F4"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a.</w:t>
            </w:r>
            <w:r w:rsidRPr="00A57824">
              <w:rPr>
                <w:rFonts w:ascii="Verdana" w:hAnsi="Verdana"/>
                <w:sz w:val="16"/>
                <w:szCs w:val="16"/>
                <w:lang w:val="es-ES_tradnl"/>
              </w:rPr>
              <w:tab/>
              <w:t>Eficiencia del convertidor catalítico de SRCS/SCR y catalizador de NOx. El sistema SDB/OBD deberá detectar el mal funcionamiento del catalizador cuando la eficiencia de conversión catalítica disminuya hasta el punto que ocasione que las emisiones del motor excedan los límites SDB/OBD correspondientes al “Sistema de post-tratamiento de NOx” en la Tabla A.3. Si no existe alguna falla o deterioro de la capacidad de conversión del catalizador de NOx</w:t>
            </w:r>
            <w:r w:rsidRPr="00A57824">
              <w:rPr>
                <w:rFonts w:ascii="Verdana" w:hAnsi="Verdana"/>
                <w:position w:val="-3"/>
                <w:sz w:val="16"/>
                <w:szCs w:val="16"/>
                <w:lang w:val="es-ES_tradnl"/>
              </w:rPr>
              <w:t xml:space="preserve"> </w:t>
            </w:r>
            <w:r w:rsidRPr="00A57824">
              <w:rPr>
                <w:rFonts w:ascii="Verdana" w:hAnsi="Verdana"/>
                <w:sz w:val="16"/>
                <w:szCs w:val="16"/>
                <w:lang w:val="es-ES_tradnl"/>
              </w:rPr>
              <w:t>que pudieran ocasionar que las emisiones de un motor excedan los límites de las emisiones establecidas, el sistema SDB/OBD deberá detectar mal funcionamiento cuando la capacidad de conversión del catalizador del NOx no sea detectable;</w:t>
            </w:r>
          </w:p>
        </w:tc>
        <w:tc>
          <w:tcPr>
            <w:tcW w:w="4788" w:type="dxa"/>
            <w:shd w:val="clear" w:color="auto" w:fill="auto"/>
          </w:tcPr>
          <w:p w14:paraId="02AACD47" w14:textId="77777777" w:rsidR="008A0760" w:rsidRPr="00BD076C" w:rsidRDefault="00BD076C"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xml:space="preserve">              Efficiency of the </w:t>
            </w:r>
            <w:r w:rsidR="00F75D61" w:rsidRPr="00BD076C">
              <w:rPr>
                <w:rFonts w:ascii="Verdana" w:hAnsi="Verdana"/>
                <w:sz w:val="16"/>
                <w:szCs w:val="16"/>
                <w:lang w:val="en-US"/>
              </w:rPr>
              <w:t>SRCS/SCR</w:t>
            </w:r>
            <w:r w:rsidR="008A0760" w:rsidRPr="00BD076C">
              <w:rPr>
                <w:rFonts w:ascii="Verdana" w:hAnsi="Verdana"/>
                <w:sz w:val="16"/>
                <w:szCs w:val="16"/>
                <w:lang w:val="en-US"/>
              </w:rPr>
              <w:t xml:space="preserve"> catalytic converter and NOx catalyst.</w:t>
            </w:r>
            <w:r w:rsidR="008A0760" w:rsidRPr="00BD076C">
              <w:rPr>
                <w:lang w:val="en-US"/>
              </w:rPr>
              <w:t xml:space="preserve"> </w:t>
            </w:r>
            <w:r w:rsidR="008A0760" w:rsidRPr="00BD076C">
              <w:rPr>
                <w:rFonts w:ascii="Verdana" w:hAnsi="Verdana"/>
                <w:sz w:val="16"/>
                <w:szCs w:val="16"/>
                <w:lang w:val="en-US"/>
              </w:rPr>
              <w:t xml:space="preserve">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shall detect the malfunction of the catalyst when the catalytic conversion efficiency decreases to the point that it causes the engine emissions to exceed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limits corresponding to the "NOx post-treatment system" in Table A .3.</w:t>
            </w:r>
            <w:r w:rsidR="008A0760" w:rsidRPr="00BD076C">
              <w:rPr>
                <w:lang w:val="en-US"/>
              </w:rPr>
              <w:t xml:space="preserve"> </w:t>
            </w:r>
            <w:r w:rsidR="008A0760" w:rsidRPr="00BD076C">
              <w:rPr>
                <w:rFonts w:ascii="Verdana" w:hAnsi="Verdana"/>
                <w:sz w:val="16"/>
                <w:szCs w:val="16"/>
                <w:lang w:val="en-US"/>
              </w:rPr>
              <w:t>If there is no failure or deterioration in the conversion capacity of the NOx catalyst</w:t>
            </w:r>
            <w:r w:rsidR="008A0760" w:rsidRPr="00BD076C">
              <w:rPr>
                <w:lang w:val="en-US"/>
              </w:rPr>
              <w:t xml:space="preserve"> </w:t>
            </w:r>
            <w:r w:rsidR="008A0760" w:rsidRPr="00BD076C">
              <w:rPr>
                <w:rFonts w:ascii="Verdana" w:hAnsi="Verdana"/>
                <w:sz w:val="16"/>
                <w:szCs w:val="16"/>
                <w:lang w:val="en-US"/>
              </w:rPr>
              <w:t xml:space="preserve">that could cause the emissions of an engine to exceed the limits of the established emissions,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should detect malfunctions when the conversion capacity of the NOx catalyst is not detectable;</w:t>
            </w:r>
            <w:r w:rsidR="008A0760" w:rsidRPr="00BD076C">
              <w:rPr>
                <w:lang w:val="en-US"/>
              </w:rPr>
              <w:t xml:space="preserve"> </w:t>
            </w:r>
          </w:p>
        </w:tc>
      </w:tr>
      <w:tr w:rsidR="008A0760" w:rsidRPr="00743A20" w14:paraId="3D07FB59" w14:textId="77777777" w:rsidTr="00BD076C">
        <w:tc>
          <w:tcPr>
            <w:tcW w:w="4788" w:type="dxa"/>
            <w:shd w:val="clear" w:color="auto" w:fill="auto"/>
          </w:tcPr>
          <w:p w14:paraId="107F1B42" w14:textId="77777777" w:rsidR="008A0760" w:rsidRPr="00496E77" w:rsidRDefault="008A0760" w:rsidP="00BD076C">
            <w:pPr>
              <w:pStyle w:val="ROMANOS"/>
              <w:spacing w:line="276" w:lineRule="auto"/>
              <w:ind w:left="0" w:firstLine="0"/>
              <w:rPr>
                <w:rFonts w:ascii="Verdana" w:hAnsi="Verdana"/>
                <w:sz w:val="16"/>
                <w:szCs w:val="16"/>
                <w:lang w:val="es-ES_tradnl"/>
              </w:rPr>
            </w:pPr>
            <w:r w:rsidRPr="00496E77">
              <w:rPr>
                <w:rFonts w:ascii="Verdana" w:hAnsi="Verdana"/>
                <w:b/>
                <w:sz w:val="16"/>
                <w:szCs w:val="16"/>
                <w:lang w:val="es-ES_tradnl"/>
              </w:rPr>
              <w:t>b.</w:t>
            </w:r>
            <w:r w:rsidRPr="00496E77">
              <w:rPr>
                <w:rFonts w:ascii="Verdana" w:hAnsi="Verdana"/>
                <w:sz w:val="16"/>
                <w:szCs w:val="16"/>
                <w:lang w:val="es-ES_tradnl"/>
              </w:rPr>
              <w:tab/>
              <w:t>Rendimiento de suministro del reductor activo/intrusivo del SRCS/SCR y del catalizador de NOx (TAN/LNT). El sistema SDB/OBD deberá detectar mal funcionamiento anticipando que cualquier falla o deterioro del sistema para regular adecuadamente el suministro del reductor (por ejemplo, inyección de Solución acuosa de urea, la inyección de combustible de post-inyección en el motor o del inyector adicional en el escape o la inyección de aire asistida/mezcla), lo cual ocasionaría que las emisiones del motor rebasen los límites SDB/OBD correspondientes al “Sistema de post-tratamiento de NOx” en la Tabla A.3. El sistema SDB/OBD deberá detectar mal funcionamiento cuando el sistema haya alcanzado sus límites de control, de tal manera que no sea capaz de suministrar la cantidad deseada de reductor. En el caso de que no exista alguna falla o deterioro del sistema de suministro del reductor, ocasionará que las emisiones del motor excedan a cualquiera de los límites aplicables;</w:t>
            </w:r>
          </w:p>
        </w:tc>
        <w:tc>
          <w:tcPr>
            <w:tcW w:w="4788" w:type="dxa"/>
            <w:shd w:val="clear" w:color="auto" w:fill="auto"/>
          </w:tcPr>
          <w:p w14:paraId="77456A32" w14:textId="77777777" w:rsidR="008A0760" w:rsidRPr="00496E77" w:rsidRDefault="008A0760" w:rsidP="00BD076C">
            <w:pPr>
              <w:spacing w:after="101" w:line="276" w:lineRule="auto"/>
              <w:jc w:val="both"/>
              <w:rPr>
                <w:lang w:val="en-US"/>
              </w:rPr>
            </w:pPr>
            <w:r w:rsidRPr="00496E77">
              <w:rPr>
                <w:rFonts w:ascii="Verdana" w:hAnsi="Verdana"/>
                <w:b/>
                <w:bCs/>
                <w:sz w:val="16"/>
                <w:szCs w:val="16"/>
                <w:lang w:val="en-US"/>
              </w:rPr>
              <w:t>b.</w:t>
            </w:r>
            <w:r w:rsidRPr="00496E77">
              <w:rPr>
                <w:lang w:val="en-US"/>
              </w:rPr>
              <w:t xml:space="preserve"> </w:t>
            </w:r>
            <w:r w:rsidRPr="00496E77">
              <w:rPr>
                <w:rFonts w:ascii="Verdana" w:hAnsi="Verdana"/>
                <w:sz w:val="16"/>
                <w:szCs w:val="16"/>
                <w:lang w:val="en-US"/>
              </w:rPr>
              <w:t xml:space="preserve">              Supply performance of the active/intrusive reducer of the </w:t>
            </w:r>
            <w:r w:rsidR="00F75D61" w:rsidRPr="00496E77">
              <w:rPr>
                <w:rFonts w:ascii="Verdana" w:hAnsi="Verdana"/>
                <w:sz w:val="16"/>
                <w:szCs w:val="16"/>
                <w:lang w:val="en-US"/>
              </w:rPr>
              <w:t>SRCS/SCR</w:t>
            </w:r>
            <w:r w:rsidRPr="00496E77">
              <w:rPr>
                <w:rFonts w:ascii="Verdana" w:hAnsi="Verdana"/>
                <w:sz w:val="16"/>
                <w:szCs w:val="16"/>
                <w:lang w:val="en-US"/>
              </w:rPr>
              <w:t xml:space="preserve"> and the NOx catalyst (TAN / LNT).</w:t>
            </w:r>
            <w:r w:rsidRPr="00496E77">
              <w:rPr>
                <w:lang w:val="en-US"/>
              </w:rPr>
              <w:t xml:space="preserve"> </w:t>
            </w:r>
            <w:r w:rsidRPr="00496E77">
              <w:rPr>
                <w:rFonts w:ascii="Verdana" w:hAnsi="Verdana"/>
                <w:sz w:val="16"/>
                <w:szCs w:val="16"/>
                <w:lang w:val="en-US"/>
              </w:rPr>
              <w:t xml:space="preserve">The </w:t>
            </w:r>
            <w:r w:rsidR="002D78B5" w:rsidRPr="00496E77">
              <w:rPr>
                <w:rFonts w:ascii="Verdana" w:hAnsi="Verdana"/>
                <w:sz w:val="16"/>
                <w:szCs w:val="16"/>
                <w:lang w:val="en-US"/>
              </w:rPr>
              <w:t>SDB/OBD</w:t>
            </w:r>
            <w:r w:rsidRPr="00496E77">
              <w:rPr>
                <w:rFonts w:ascii="Verdana" w:hAnsi="Verdana"/>
                <w:sz w:val="16"/>
                <w:szCs w:val="16"/>
                <w:lang w:val="en-US"/>
              </w:rPr>
              <w:t xml:space="preserve"> system should detect malfunction anticipating any failure or deterioration of the system to properly regulate the supply of the reducer (eg, injection of Aqueous urea solution, injection of post-injection fuel into the engine or additional injector in the exhaust or assisted air injection/mixing), which would cause the engine emissions to exceed the </w:t>
            </w:r>
            <w:r w:rsidR="002D78B5" w:rsidRPr="00496E77">
              <w:rPr>
                <w:rFonts w:ascii="Verdana" w:hAnsi="Verdana"/>
                <w:sz w:val="16"/>
                <w:szCs w:val="16"/>
                <w:lang w:val="en-US"/>
              </w:rPr>
              <w:t>SDB/OBD</w:t>
            </w:r>
            <w:r w:rsidRPr="00496E77">
              <w:rPr>
                <w:rFonts w:ascii="Verdana" w:hAnsi="Verdana"/>
                <w:sz w:val="16"/>
                <w:szCs w:val="16"/>
                <w:lang w:val="en-US"/>
              </w:rPr>
              <w:t xml:space="preserve"> limits corresponding to the "NOx after-treatment system" in Table A.3.</w:t>
            </w:r>
            <w:r w:rsidRPr="00496E77">
              <w:rPr>
                <w:lang w:val="en-US"/>
              </w:rPr>
              <w:t xml:space="preserve"> </w:t>
            </w:r>
            <w:r w:rsidRPr="00496E77">
              <w:rPr>
                <w:rFonts w:ascii="Verdana" w:hAnsi="Verdana"/>
                <w:sz w:val="16"/>
                <w:szCs w:val="16"/>
                <w:lang w:val="en-US"/>
              </w:rPr>
              <w:t xml:space="preserve">The </w:t>
            </w:r>
            <w:r w:rsidR="002D78B5" w:rsidRPr="00496E77">
              <w:rPr>
                <w:rFonts w:ascii="Verdana" w:hAnsi="Verdana"/>
                <w:sz w:val="16"/>
                <w:szCs w:val="16"/>
                <w:lang w:val="en-US"/>
              </w:rPr>
              <w:t>SDB/OBD</w:t>
            </w:r>
            <w:r w:rsidRPr="00496E77">
              <w:rPr>
                <w:rFonts w:ascii="Verdana" w:hAnsi="Verdana"/>
                <w:sz w:val="16"/>
                <w:szCs w:val="16"/>
                <w:lang w:val="en-US"/>
              </w:rPr>
              <w:t xml:space="preserve"> system must detect malfunctions when the system has reached its control limits, in such a way that it is not able to supply the desired amount of reducer.</w:t>
            </w:r>
            <w:r w:rsidRPr="00496E77">
              <w:rPr>
                <w:lang w:val="en-US"/>
              </w:rPr>
              <w:t xml:space="preserve"> </w:t>
            </w:r>
            <w:r w:rsidRPr="00496E77">
              <w:rPr>
                <w:rFonts w:ascii="Verdana" w:hAnsi="Verdana"/>
                <w:sz w:val="16"/>
                <w:szCs w:val="16"/>
                <w:lang w:val="en-US"/>
              </w:rPr>
              <w:t>In the event there is no failure or deterioration of the reducer's supply system, it will cause the engine's emissions to exceed any of the applicable limits;</w:t>
            </w:r>
            <w:r w:rsidRPr="00496E77">
              <w:rPr>
                <w:lang w:val="en-US"/>
              </w:rPr>
              <w:t xml:space="preserve"> </w:t>
            </w:r>
          </w:p>
        </w:tc>
      </w:tr>
      <w:tr w:rsidR="008A0760" w:rsidRPr="00743A20" w14:paraId="201FB001" w14:textId="77777777" w:rsidTr="00BD076C">
        <w:tc>
          <w:tcPr>
            <w:tcW w:w="4788" w:type="dxa"/>
            <w:shd w:val="clear" w:color="auto" w:fill="auto"/>
          </w:tcPr>
          <w:p w14:paraId="7642507B"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sz w:val="16"/>
                <w:szCs w:val="16"/>
                <w:lang w:val="es-ES_tradnl"/>
              </w:rPr>
              <w:tab/>
              <w:t>Cantidad de reductor activo/intrusivo del SRCS/SCR y del catalizador de NOx. En el caso de que SRCS/SCR o el sistema de post-tratamiento de NOx utilice un reductor que no sea el combustible recomendado para el motor o utilice un depósito/tanque para el agente reductor que sea independiente del depósito de combustible para el motor, el sistema SDB/OBD deberá detectar mal funcionamiento cuando no haya suficiente reductor disponible (por ejemplo, si el depósito de reductor está vacío), y</w:t>
            </w:r>
          </w:p>
        </w:tc>
        <w:tc>
          <w:tcPr>
            <w:tcW w:w="4788" w:type="dxa"/>
            <w:shd w:val="clear" w:color="auto" w:fill="auto"/>
          </w:tcPr>
          <w:p w14:paraId="6916860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sz w:val="16"/>
                <w:szCs w:val="16"/>
                <w:lang w:val="en-US"/>
              </w:rPr>
              <w:t xml:space="preserve">              Amount of active/intrusive reducer of </w:t>
            </w:r>
            <w:r w:rsidR="00F75D61" w:rsidRPr="00BD076C">
              <w:rPr>
                <w:rFonts w:ascii="Verdana" w:hAnsi="Verdana"/>
                <w:sz w:val="16"/>
                <w:szCs w:val="16"/>
                <w:lang w:val="en-US"/>
              </w:rPr>
              <w:t>SRCS/SCR</w:t>
            </w:r>
            <w:r w:rsidRPr="00BD076C">
              <w:rPr>
                <w:rFonts w:ascii="Verdana" w:hAnsi="Verdana"/>
                <w:sz w:val="16"/>
                <w:szCs w:val="16"/>
                <w:lang w:val="en-US"/>
              </w:rPr>
              <w:t xml:space="preserve"> and NOx catalyst.</w:t>
            </w:r>
            <w:r w:rsidRPr="00BD076C">
              <w:rPr>
                <w:lang w:val="en-US"/>
              </w:rPr>
              <w:t xml:space="preserve"> </w:t>
            </w:r>
            <w:r w:rsidRPr="00BD076C">
              <w:rPr>
                <w:rFonts w:ascii="Verdana" w:hAnsi="Verdana"/>
                <w:sz w:val="16"/>
                <w:szCs w:val="16"/>
                <w:lang w:val="en-US"/>
              </w:rPr>
              <w:t xml:space="preserve">In the event that </w:t>
            </w:r>
            <w:r w:rsidR="00F75D61" w:rsidRPr="00BD076C">
              <w:rPr>
                <w:rFonts w:ascii="Verdana" w:hAnsi="Verdana"/>
                <w:sz w:val="16"/>
                <w:szCs w:val="16"/>
                <w:lang w:val="en-US"/>
              </w:rPr>
              <w:t>SRCS/SCR</w:t>
            </w:r>
            <w:r w:rsidRPr="00BD076C">
              <w:rPr>
                <w:rFonts w:ascii="Verdana" w:hAnsi="Verdana"/>
                <w:sz w:val="16"/>
                <w:szCs w:val="16"/>
                <w:lang w:val="en-US"/>
              </w:rPr>
              <w:t xml:space="preserve"> or the NOx after-treatment system uses a reducer that is not the recommended fuel for the engine or use a tank/tank for the reducing agent that is independent of the fuel tank for the engine, 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malfunctions when there is not enough gear available (for example, if the gearbox is empty), and</w:t>
            </w:r>
            <w:r w:rsidRPr="00BD076C">
              <w:rPr>
                <w:lang w:val="en-US"/>
              </w:rPr>
              <w:t xml:space="preserve"> </w:t>
            </w:r>
          </w:p>
        </w:tc>
      </w:tr>
      <w:tr w:rsidR="008A0760" w:rsidRPr="00743A20" w14:paraId="0AE7C790" w14:textId="77777777" w:rsidTr="00BD076C">
        <w:tc>
          <w:tcPr>
            <w:tcW w:w="4788" w:type="dxa"/>
            <w:shd w:val="clear" w:color="auto" w:fill="auto"/>
          </w:tcPr>
          <w:p w14:paraId="7AAFCF75"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sz w:val="16"/>
                <w:szCs w:val="16"/>
                <w:lang w:val="es-ES_tradnl"/>
              </w:rPr>
              <w:tab/>
              <w:t xml:space="preserve">Calidad del reductor activo/ intrusivo del SRCS/SCR y del catalizador de NOx. En el caso de que el SRCS/SCR o el sistema de post-tratamiento de NOx utilice un depósito/tanque para el agente reductor que sea independiente del depósito de combustible recomendado para el motor, el sistema SDB/OBD deberá detectar una falla de funcionamiento cuando se use un reductor inadecuado en el depósito (por </w:t>
            </w:r>
            <w:r w:rsidRPr="00A57824">
              <w:rPr>
                <w:rFonts w:ascii="Verdana" w:hAnsi="Verdana"/>
                <w:sz w:val="16"/>
                <w:szCs w:val="16"/>
                <w:lang w:val="es-ES_tradnl"/>
              </w:rPr>
              <w:lastRenderedPageBreak/>
              <w:t>ejemplo, el depósito de reductor está lleno de algo que no sea el reductor).</w:t>
            </w:r>
          </w:p>
        </w:tc>
        <w:tc>
          <w:tcPr>
            <w:tcW w:w="4788" w:type="dxa"/>
            <w:shd w:val="clear" w:color="auto" w:fill="auto"/>
          </w:tcPr>
          <w:p w14:paraId="45B6A514"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d.</w:t>
            </w:r>
            <w:r w:rsidRPr="00BD076C">
              <w:rPr>
                <w:lang w:val="en-US"/>
              </w:rPr>
              <w:t xml:space="preserve"> </w:t>
            </w:r>
            <w:r w:rsidRPr="00BD076C">
              <w:rPr>
                <w:rFonts w:ascii="Verdana" w:hAnsi="Verdana"/>
                <w:sz w:val="16"/>
                <w:szCs w:val="16"/>
                <w:lang w:val="en-US"/>
              </w:rPr>
              <w:t xml:space="preserve">              Quality of the active/intrusive reducer of the </w:t>
            </w:r>
            <w:r w:rsidR="00F75D61" w:rsidRPr="00BD076C">
              <w:rPr>
                <w:rFonts w:ascii="Verdana" w:hAnsi="Verdana"/>
                <w:sz w:val="16"/>
                <w:szCs w:val="16"/>
                <w:lang w:val="en-US"/>
              </w:rPr>
              <w:t>SRCS/SCR</w:t>
            </w:r>
            <w:r w:rsidRPr="00BD076C">
              <w:rPr>
                <w:rFonts w:ascii="Verdana" w:hAnsi="Verdana"/>
                <w:sz w:val="16"/>
                <w:szCs w:val="16"/>
                <w:lang w:val="en-US"/>
              </w:rPr>
              <w:t xml:space="preserve"> and the NOx catalyst.</w:t>
            </w:r>
            <w:r w:rsidRPr="00BD076C">
              <w:rPr>
                <w:lang w:val="en-US"/>
              </w:rPr>
              <w:t xml:space="preserve"> </w:t>
            </w:r>
            <w:r w:rsidRPr="00BD076C">
              <w:rPr>
                <w:rFonts w:ascii="Verdana" w:hAnsi="Verdana"/>
                <w:sz w:val="16"/>
                <w:szCs w:val="16"/>
                <w:lang w:val="en-US"/>
              </w:rPr>
              <w:t xml:space="preserve">In the event that the </w:t>
            </w:r>
            <w:r w:rsidR="00F75D61" w:rsidRPr="00BD076C">
              <w:rPr>
                <w:rFonts w:ascii="Verdana" w:hAnsi="Verdana"/>
                <w:sz w:val="16"/>
                <w:szCs w:val="16"/>
                <w:lang w:val="en-US"/>
              </w:rPr>
              <w:t>SRCS/SCR</w:t>
            </w:r>
            <w:r w:rsidRPr="00BD076C">
              <w:rPr>
                <w:rFonts w:ascii="Verdana" w:hAnsi="Verdana"/>
                <w:sz w:val="16"/>
                <w:szCs w:val="16"/>
                <w:lang w:val="en-US"/>
              </w:rPr>
              <w:t xml:space="preserve"> or the NOx after-treatment system</w:t>
            </w:r>
            <w:r w:rsidRPr="00BD076C">
              <w:rPr>
                <w:lang w:val="en-US"/>
              </w:rPr>
              <w:t xml:space="preserve"> </w:t>
            </w:r>
            <w:r w:rsidRPr="00BD076C">
              <w:rPr>
                <w:rFonts w:ascii="Verdana" w:hAnsi="Verdana"/>
                <w:sz w:val="16"/>
                <w:szCs w:val="16"/>
                <w:lang w:val="en-US"/>
              </w:rPr>
              <w:t xml:space="preserve">uses a tank/tank for the reducing agent that is independent of the fuel tank recommended for the engine, the </w:t>
            </w:r>
            <w:r w:rsidR="002D78B5" w:rsidRPr="00BD076C">
              <w:rPr>
                <w:rFonts w:ascii="Verdana" w:hAnsi="Verdana"/>
                <w:sz w:val="16"/>
                <w:szCs w:val="16"/>
                <w:lang w:val="en-US"/>
              </w:rPr>
              <w:t>SDB/OBD</w:t>
            </w:r>
            <w:r w:rsidRPr="00BD076C">
              <w:rPr>
                <w:rFonts w:ascii="Verdana" w:hAnsi="Verdana"/>
                <w:sz w:val="16"/>
                <w:szCs w:val="16"/>
                <w:lang w:val="en-US"/>
              </w:rPr>
              <w:t xml:space="preserve"> system shall detect a malfunction when an inadequate reducer is used in the reservoir (for </w:t>
            </w:r>
            <w:r w:rsidRPr="00BD076C">
              <w:rPr>
                <w:rFonts w:ascii="Verdana" w:hAnsi="Verdana"/>
                <w:sz w:val="16"/>
                <w:szCs w:val="16"/>
                <w:lang w:val="en-US"/>
              </w:rPr>
              <w:lastRenderedPageBreak/>
              <w:t>example, the reducer reservoir is filled with something other than the reducer).</w:t>
            </w:r>
            <w:r w:rsidRPr="00BD076C">
              <w:rPr>
                <w:lang w:val="en-US"/>
              </w:rPr>
              <w:t xml:space="preserve"> </w:t>
            </w:r>
          </w:p>
        </w:tc>
      </w:tr>
      <w:tr w:rsidR="008A0760" w:rsidRPr="00743A20" w14:paraId="0AB79F50" w14:textId="77777777" w:rsidTr="00BD076C">
        <w:tc>
          <w:tcPr>
            <w:tcW w:w="4788" w:type="dxa"/>
            <w:shd w:val="clear" w:color="auto" w:fill="auto"/>
          </w:tcPr>
          <w:p w14:paraId="78DF83E0"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A.7.2.3.7.</w:t>
            </w:r>
            <w:r w:rsidRPr="00A57824">
              <w:rPr>
                <w:rFonts w:ascii="Verdana" w:hAnsi="Verdana"/>
                <w:sz w:val="16"/>
                <w:szCs w:val="16"/>
                <w:lang w:val="es-ES_tradnl"/>
              </w:rPr>
              <w:t xml:space="preserve"> Sistema de Filtrado de Partículas (SFP o DPF, por sus siglas en inglés).</w:t>
            </w:r>
          </w:p>
        </w:tc>
        <w:tc>
          <w:tcPr>
            <w:tcW w:w="4788" w:type="dxa"/>
            <w:shd w:val="clear" w:color="auto" w:fill="auto"/>
          </w:tcPr>
          <w:p w14:paraId="31D31AC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A.7.2.3.7.</w:t>
            </w:r>
            <w:r w:rsidRPr="00BD076C">
              <w:rPr>
                <w:lang w:val="en-US"/>
              </w:rPr>
              <w:t xml:space="preserve"> </w:t>
            </w:r>
            <w:r w:rsidR="00BE1219">
              <w:rPr>
                <w:rFonts w:ascii="Verdana" w:hAnsi="Verdana"/>
                <w:sz w:val="16"/>
                <w:szCs w:val="16"/>
                <w:lang w:val="en-US"/>
              </w:rPr>
              <w:t xml:space="preserve">System of </w:t>
            </w:r>
            <w:r w:rsidRPr="00BD076C">
              <w:rPr>
                <w:rFonts w:ascii="Verdana" w:hAnsi="Verdana"/>
                <w:sz w:val="16"/>
                <w:szCs w:val="16"/>
                <w:lang w:val="en-US"/>
              </w:rPr>
              <w:t xml:space="preserve">Filtration </w:t>
            </w:r>
            <w:r w:rsidR="00BE1219">
              <w:rPr>
                <w:rFonts w:ascii="Verdana" w:hAnsi="Verdana"/>
                <w:sz w:val="16"/>
                <w:szCs w:val="16"/>
                <w:lang w:val="en-US"/>
              </w:rPr>
              <w:t>of Particles</w:t>
            </w:r>
            <w:r w:rsidR="00BE1219" w:rsidRPr="00BD076C">
              <w:rPr>
                <w:rFonts w:ascii="Verdana" w:hAnsi="Verdana"/>
                <w:sz w:val="16"/>
                <w:szCs w:val="16"/>
                <w:lang w:val="en-US"/>
              </w:rPr>
              <w:t xml:space="preserve"> </w:t>
            </w:r>
            <w:r w:rsidRPr="00BD076C">
              <w:rPr>
                <w:rFonts w:ascii="Verdana" w:hAnsi="Verdana"/>
                <w:sz w:val="16"/>
                <w:szCs w:val="16"/>
                <w:lang w:val="en-US"/>
              </w:rPr>
              <w:t>(SFP or DPF, for its acronym in English).</w:t>
            </w:r>
            <w:r w:rsidRPr="00BD076C">
              <w:rPr>
                <w:lang w:val="en-US"/>
              </w:rPr>
              <w:t xml:space="preserve"> </w:t>
            </w:r>
          </w:p>
        </w:tc>
      </w:tr>
      <w:tr w:rsidR="008A0760" w:rsidRPr="00A57824" w14:paraId="3F3D7FD5" w14:textId="77777777" w:rsidTr="00BD076C">
        <w:tc>
          <w:tcPr>
            <w:tcW w:w="4788" w:type="dxa"/>
            <w:shd w:val="clear" w:color="auto" w:fill="auto"/>
          </w:tcPr>
          <w:p w14:paraId="41677111"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sistema SDB/OBD deberá monitorear la operación del SFP/DPF en los motores y vehículos equipados con este sistema. Para los motores y vehículos equipados con sistemas de regeneración activa que utilicen una inyección activa/intrusiva (por ejemplo, la inyección de combustible en el escape, quemador de combustible/aire en el escape), el sistema SDB/OBD deberá supervisar la correcta operación del sistema de inyección. Los componentes electrónicos individuales (por ejemplo, inyectores, válvulas, sensores) que se utilizan en el sistema de inyección activa/intrusiva deberán ser monitoreados. Los requisitos de monitoreo son:</w:t>
            </w:r>
          </w:p>
        </w:tc>
        <w:tc>
          <w:tcPr>
            <w:tcW w:w="4788" w:type="dxa"/>
            <w:shd w:val="clear" w:color="auto" w:fill="auto"/>
          </w:tcPr>
          <w:p w14:paraId="38696B13"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monitor the operation of the </w:t>
            </w:r>
            <w:r w:rsidR="00F75D61" w:rsidRPr="00BD076C">
              <w:rPr>
                <w:rFonts w:ascii="Verdana" w:hAnsi="Verdana"/>
                <w:sz w:val="16"/>
                <w:szCs w:val="16"/>
                <w:lang w:val="en-US"/>
              </w:rPr>
              <w:t>SFP/DPF</w:t>
            </w:r>
            <w:r w:rsidRPr="00BD076C">
              <w:rPr>
                <w:rFonts w:ascii="Verdana" w:hAnsi="Verdana"/>
                <w:sz w:val="16"/>
                <w:szCs w:val="16"/>
                <w:lang w:val="en-US"/>
              </w:rPr>
              <w:t xml:space="preserve"> in the engines and vehicles equipped with this system.</w:t>
            </w:r>
            <w:r w:rsidRPr="00BD076C">
              <w:rPr>
                <w:lang w:val="en-US"/>
              </w:rPr>
              <w:t xml:space="preserve"> </w:t>
            </w:r>
            <w:r w:rsidRPr="00BD076C">
              <w:rPr>
                <w:rFonts w:ascii="Verdana" w:hAnsi="Verdana"/>
                <w:sz w:val="16"/>
                <w:szCs w:val="16"/>
                <w:lang w:val="en-US"/>
              </w:rPr>
              <w:t xml:space="preserve">For engines and vehicles equipped with active regeneration systems that use an </w:t>
            </w:r>
            <w:r w:rsidR="00BE1219">
              <w:rPr>
                <w:rFonts w:ascii="Verdana" w:hAnsi="Verdana"/>
                <w:sz w:val="16"/>
                <w:szCs w:val="16"/>
                <w:lang w:val="en-US"/>
              </w:rPr>
              <w:t>active/intrusive</w:t>
            </w:r>
            <w:r w:rsidRPr="00BD076C">
              <w:rPr>
                <w:rFonts w:ascii="Verdana" w:hAnsi="Verdana"/>
                <w:sz w:val="16"/>
                <w:szCs w:val="16"/>
                <w:lang w:val="en-US"/>
              </w:rPr>
              <w:t xml:space="preserve"> injection (for example, fuel injection in the exhaust, fuel/air burner in the exhaust), 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supervise the correct operation of the injection system.</w:t>
            </w:r>
            <w:r w:rsidRPr="00BD076C">
              <w:rPr>
                <w:lang w:val="en-US"/>
              </w:rPr>
              <w:t xml:space="preserve"> </w:t>
            </w:r>
            <w:r w:rsidRPr="00BD076C">
              <w:rPr>
                <w:rFonts w:ascii="Verdana" w:hAnsi="Verdana"/>
                <w:sz w:val="16"/>
                <w:szCs w:val="16"/>
                <w:lang w:val="en-US"/>
              </w:rPr>
              <w:t>Individual electronic components (eg</w:t>
            </w:r>
            <w:r w:rsidR="00BE1219">
              <w:rPr>
                <w:rFonts w:ascii="Verdana" w:hAnsi="Verdana"/>
                <w:sz w:val="16"/>
                <w:szCs w:val="16"/>
                <w:lang w:val="en-US"/>
              </w:rPr>
              <w:t>.</w:t>
            </w:r>
            <w:r w:rsidRPr="00BD076C">
              <w:rPr>
                <w:rFonts w:ascii="Verdana" w:hAnsi="Verdana"/>
                <w:sz w:val="16"/>
                <w:szCs w:val="16"/>
                <w:lang w:val="en-US"/>
              </w:rPr>
              <w:t xml:space="preserve"> injectors, valves, sensors) that are used in the </w:t>
            </w:r>
            <w:r w:rsidR="00BE1219">
              <w:rPr>
                <w:rFonts w:ascii="Verdana" w:hAnsi="Verdana"/>
                <w:sz w:val="16"/>
                <w:szCs w:val="16"/>
                <w:lang w:val="en-US"/>
              </w:rPr>
              <w:t>active/intrusive</w:t>
            </w:r>
            <w:r w:rsidRPr="00BD076C">
              <w:rPr>
                <w:rFonts w:ascii="Verdana" w:hAnsi="Verdana"/>
                <w:sz w:val="16"/>
                <w:szCs w:val="16"/>
                <w:lang w:val="en-US"/>
              </w:rPr>
              <w:t xml:space="preserve"> injection system should be monitored.</w:t>
            </w:r>
            <w:r w:rsidRPr="00BD076C">
              <w:rPr>
                <w:lang w:val="en-US"/>
              </w:rPr>
              <w:t xml:space="preserve"> </w:t>
            </w:r>
            <w:r w:rsidRPr="00BD076C">
              <w:rPr>
                <w:rFonts w:ascii="Verdana" w:hAnsi="Verdana"/>
                <w:sz w:val="16"/>
                <w:szCs w:val="16"/>
                <w:lang w:val="en-US"/>
              </w:rPr>
              <w:t>The monitoring requirements are:</w:t>
            </w:r>
            <w:r w:rsidRPr="00BD076C">
              <w:rPr>
                <w:lang w:val="en-US"/>
              </w:rPr>
              <w:t xml:space="preserve"> </w:t>
            </w:r>
          </w:p>
        </w:tc>
      </w:tr>
      <w:tr w:rsidR="008A0760" w:rsidRPr="00743A20" w14:paraId="1F98A3DA" w14:textId="77777777" w:rsidTr="00BD076C">
        <w:tc>
          <w:tcPr>
            <w:tcW w:w="4788" w:type="dxa"/>
            <w:shd w:val="clear" w:color="auto" w:fill="auto"/>
          </w:tcPr>
          <w:p w14:paraId="355DF69B"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Rendimiento de filtrado del SFP/DPF. El sistema SDB/OBD deberá detectar mal funcionamiento cuando exista una disminución en la capacidad de filtrado de partículas del SFP/DPF (por ejemplo, grietas, derretimiento, etc.), lo cual ocasionaría que las emisiones de partículas de motor excedieran los límites de emisiones SDB/OBD para el SFP/DPF en la Tabla A.3. En caso de que no exista alguna falla o deterioro del rendimiento de filtrado de partículas que pudiera ocasionar que las emisiones de partículas de un motor, rebasen los límites SDB/OBD de las emisiones establecidas; el sistema SDB/OBD deberá detectar mal funcionamiento cuando no se produzca una cantidad detectable de filtrado de partículas;</w:t>
            </w:r>
          </w:p>
        </w:tc>
        <w:tc>
          <w:tcPr>
            <w:tcW w:w="4788" w:type="dxa"/>
            <w:shd w:val="clear" w:color="auto" w:fill="auto"/>
          </w:tcPr>
          <w:p w14:paraId="70CA652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to.</w:t>
            </w:r>
            <w:r w:rsidRPr="00BD076C">
              <w:rPr>
                <w:lang w:val="en-US"/>
              </w:rPr>
              <w:t xml:space="preserve"> </w:t>
            </w:r>
            <w:r w:rsidRPr="00BD076C">
              <w:rPr>
                <w:rFonts w:ascii="Verdana" w:hAnsi="Verdana"/>
                <w:sz w:val="16"/>
                <w:szCs w:val="16"/>
                <w:lang w:val="en-US"/>
              </w:rPr>
              <w:t xml:space="preserve">              Filtering performance of the </w:t>
            </w:r>
            <w:r w:rsidR="00F75D61" w:rsidRPr="00BD076C">
              <w:rPr>
                <w:rFonts w:ascii="Verdana" w:hAnsi="Verdana"/>
                <w:sz w:val="16"/>
                <w:szCs w:val="16"/>
                <w:lang w:val="en-US"/>
              </w:rPr>
              <w:t>SFP/DPF</w:t>
            </w:r>
            <w:r w:rsidRPr="00BD076C">
              <w:rPr>
                <w:rFonts w:ascii="Verdana" w:hAnsi="Verdana"/>
                <w:sz w:val="16"/>
                <w:szCs w:val="16"/>
                <w:lang w:val="en-US"/>
              </w:rPr>
              <w:t>.</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malfunctions when there is a decrease in the particle filtering capacity of the </w:t>
            </w:r>
            <w:r w:rsidR="00F75D61" w:rsidRPr="00BD076C">
              <w:rPr>
                <w:rFonts w:ascii="Verdana" w:hAnsi="Verdana"/>
                <w:sz w:val="16"/>
                <w:szCs w:val="16"/>
                <w:lang w:val="en-US"/>
              </w:rPr>
              <w:t>SFP/DPF</w:t>
            </w:r>
            <w:r w:rsidRPr="00BD076C">
              <w:rPr>
                <w:rFonts w:ascii="Verdana" w:hAnsi="Verdana"/>
                <w:sz w:val="16"/>
                <w:szCs w:val="16"/>
                <w:lang w:val="en-US"/>
              </w:rPr>
              <w:t xml:space="preserve"> (for example, cracks, melting, etc.), which would cause the motor particle emissions to exceed the limits of </w:t>
            </w:r>
            <w:r w:rsidR="002D78B5" w:rsidRPr="00BD076C">
              <w:rPr>
                <w:rFonts w:ascii="Verdana" w:hAnsi="Verdana"/>
                <w:sz w:val="16"/>
                <w:szCs w:val="16"/>
                <w:lang w:val="en-US"/>
              </w:rPr>
              <w:t>SDB/OBD</w:t>
            </w:r>
            <w:r w:rsidRPr="00BD076C">
              <w:rPr>
                <w:rFonts w:ascii="Verdana" w:hAnsi="Verdana"/>
                <w:sz w:val="16"/>
                <w:szCs w:val="16"/>
                <w:lang w:val="en-US"/>
              </w:rPr>
              <w:t xml:space="preserve"> emissions for the </w:t>
            </w:r>
            <w:r w:rsidR="00F75D61" w:rsidRPr="00BD076C">
              <w:rPr>
                <w:rFonts w:ascii="Verdana" w:hAnsi="Verdana"/>
                <w:sz w:val="16"/>
                <w:szCs w:val="16"/>
                <w:lang w:val="en-US"/>
              </w:rPr>
              <w:t>SFP/DPF</w:t>
            </w:r>
            <w:r w:rsidRPr="00BD076C">
              <w:rPr>
                <w:rFonts w:ascii="Verdana" w:hAnsi="Verdana"/>
                <w:sz w:val="16"/>
                <w:szCs w:val="16"/>
                <w:lang w:val="en-US"/>
              </w:rPr>
              <w:t xml:space="preserve"> in Table A.3.</w:t>
            </w:r>
            <w:r w:rsidRPr="00BD076C">
              <w:rPr>
                <w:lang w:val="en-US"/>
              </w:rPr>
              <w:t xml:space="preserve"> </w:t>
            </w:r>
            <w:r w:rsidRPr="00BD076C">
              <w:rPr>
                <w:rFonts w:ascii="Verdana" w:hAnsi="Verdana"/>
                <w:sz w:val="16"/>
                <w:szCs w:val="16"/>
                <w:lang w:val="en-US"/>
              </w:rPr>
              <w:t xml:space="preserve">In case there is no failure or deterioration of the particulate filtering performance that could cause the particulate emissions of an engine to exceed the </w:t>
            </w:r>
            <w:r w:rsidR="002D78B5" w:rsidRPr="00BD076C">
              <w:rPr>
                <w:rFonts w:ascii="Verdana" w:hAnsi="Verdana"/>
                <w:sz w:val="16"/>
                <w:szCs w:val="16"/>
                <w:lang w:val="en-US"/>
              </w:rPr>
              <w:t>SDB/OBD</w:t>
            </w:r>
            <w:r w:rsidRPr="00BD076C">
              <w:rPr>
                <w:rFonts w:ascii="Verdana" w:hAnsi="Verdana"/>
                <w:sz w:val="16"/>
                <w:szCs w:val="16"/>
                <w:lang w:val="en-US"/>
              </w:rPr>
              <w:t xml:space="preserve"> limits of the established emissions;</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malfunctions when a detectable amount of particulate filtering does not occur;</w:t>
            </w:r>
            <w:r w:rsidRPr="00BD076C">
              <w:rPr>
                <w:lang w:val="en-US"/>
              </w:rPr>
              <w:t xml:space="preserve"> </w:t>
            </w:r>
          </w:p>
        </w:tc>
      </w:tr>
      <w:tr w:rsidR="008A0760" w:rsidRPr="00743A20" w14:paraId="04DDA8C8" w14:textId="77777777" w:rsidTr="00BD076C">
        <w:tc>
          <w:tcPr>
            <w:tcW w:w="4788" w:type="dxa"/>
            <w:shd w:val="clear" w:color="auto" w:fill="auto"/>
          </w:tcPr>
          <w:p w14:paraId="3DD2ABB3"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b/>
                <w:sz w:val="16"/>
                <w:szCs w:val="16"/>
                <w:lang w:val="es-ES_tradnl"/>
              </w:rPr>
              <w:tab/>
            </w:r>
            <w:r w:rsidRPr="00A57824">
              <w:rPr>
                <w:rFonts w:ascii="Verdana" w:hAnsi="Verdana"/>
                <w:sz w:val="16"/>
                <w:szCs w:val="16"/>
                <w:lang w:val="es-ES_tradnl"/>
              </w:rPr>
              <w:t>Frecuencia de regeneración del SFP/DPF. El sistema SDB/OBD deberá detectar problemas de funcionamiento cuando la frecuencia de regeneración del SFP/DPF aumente (es decir, se produce más de lo especificado por el fabricante) y a un nivel tal que ocasionaría que las emisiones HCNM del motor excedan los límites SDB/OBD de emisiones establecidos para el SFP/DPF en la Tabla A.3. De no existir tal frecuencia de regeneración, pudiera implicar que las emisiones de HCNM excedan los límites de emisión establecidos; el sistema SDB/OBD deberá detectar mal funcionamiento cuando la frecuencia de regeneración del SFP/DPF exceda los límites de diseño especificados por el fabricante para la frecuencia de regeneración permisible;</w:t>
            </w:r>
          </w:p>
        </w:tc>
        <w:tc>
          <w:tcPr>
            <w:tcW w:w="4788" w:type="dxa"/>
            <w:shd w:val="clear" w:color="auto" w:fill="auto"/>
          </w:tcPr>
          <w:p w14:paraId="5611D32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 xml:space="preserve">Regeneration frequency of the </w:t>
            </w:r>
            <w:r w:rsidR="00F75D61" w:rsidRPr="00BD076C">
              <w:rPr>
                <w:rFonts w:ascii="Verdana" w:hAnsi="Verdana"/>
                <w:sz w:val="16"/>
                <w:szCs w:val="16"/>
                <w:lang w:val="en-US"/>
              </w:rPr>
              <w:t>SFP/DPF</w:t>
            </w:r>
            <w:r w:rsidRPr="00BD076C">
              <w:rPr>
                <w:rFonts w:ascii="Verdana" w:hAnsi="Verdana"/>
                <w:sz w:val="16"/>
                <w:szCs w:val="16"/>
                <w:lang w:val="en-US"/>
              </w:rPr>
              <w:t>.</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operational problems when the regeneration frequency of the </w:t>
            </w:r>
            <w:r w:rsidR="00F75D61" w:rsidRPr="00BD076C">
              <w:rPr>
                <w:rFonts w:ascii="Verdana" w:hAnsi="Verdana"/>
                <w:sz w:val="16"/>
                <w:szCs w:val="16"/>
                <w:lang w:val="en-US"/>
              </w:rPr>
              <w:t>SFP/DPF</w:t>
            </w:r>
            <w:r w:rsidRPr="00BD076C">
              <w:rPr>
                <w:rFonts w:ascii="Verdana" w:hAnsi="Verdana"/>
                <w:sz w:val="16"/>
                <w:szCs w:val="16"/>
                <w:lang w:val="en-US"/>
              </w:rPr>
              <w:t xml:space="preserve"> increases (ie, it occurs more than specified by the manufacturer) and at a level that would cause the engine's HCNM emissions to exceed the SDB limits / OBD of emissions established for the </w:t>
            </w:r>
            <w:r w:rsidR="00F75D61" w:rsidRPr="00BD076C">
              <w:rPr>
                <w:rFonts w:ascii="Verdana" w:hAnsi="Verdana"/>
                <w:sz w:val="16"/>
                <w:szCs w:val="16"/>
                <w:lang w:val="en-US"/>
              </w:rPr>
              <w:t>SFP/DPF</w:t>
            </w:r>
            <w:r w:rsidRPr="00BD076C">
              <w:rPr>
                <w:rFonts w:ascii="Verdana" w:hAnsi="Verdana"/>
                <w:sz w:val="16"/>
                <w:szCs w:val="16"/>
                <w:lang w:val="en-US"/>
              </w:rPr>
              <w:t xml:space="preserve"> in Table A.3.</w:t>
            </w:r>
            <w:r w:rsidRPr="00BD076C">
              <w:rPr>
                <w:lang w:val="en-US"/>
              </w:rPr>
              <w:t xml:space="preserve"> </w:t>
            </w:r>
            <w:r w:rsidRPr="00BD076C">
              <w:rPr>
                <w:rFonts w:ascii="Verdana" w:hAnsi="Verdana"/>
                <w:sz w:val="16"/>
                <w:szCs w:val="16"/>
                <w:lang w:val="en-US"/>
              </w:rPr>
              <w:t>In the absence of such a frequency of regeneration, it could imply that the HCNM emissions exceed the established emission limits;</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malfunctions when the regeneration frequency of the </w:t>
            </w:r>
            <w:r w:rsidR="00F75D61" w:rsidRPr="00BD076C">
              <w:rPr>
                <w:rFonts w:ascii="Verdana" w:hAnsi="Verdana"/>
                <w:sz w:val="16"/>
                <w:szCs w:val="16"/>
                <w:lang w:val="en-US"/>
              </w:rPr>
              <w:t>SFP/DPF</w:t>
            </w:r>
            <w:r w:rsidRPr="00BD076C">
              <w:rPr>
                <w:rFonts w:ascii="Verdana" w:hAnsi="Verdana"/>
                <w:sz w:val="16"/>
                <w:szCs w:val="16"/>
                <w:lang w:val="en-US"/>
              </w:rPr>
              <w:t xml:space="preserve"> exceeds the design limits specified by the manufacturer for the allowable regeneration frequency;</w:t>
            </w:r>
            <w:r w:rsidRPr="00BD076C">
              <w:rPr>
                <w:lang w:val="en-US"/>
              </w:rPr>
              <w:t xml:space="preserve"> </w:t>
            </w:r>
          </w:p>
        </w:tc>
      </w:tr>
      <w:tr w:rsidR="008A0760" w:rsidRPr="00743A20" w14:paraId="4B93ABBB" w14:textId="77777777" w:rsidTr="00BD076C">
        <w:tc>
          <w:tcPr>
            <w:tcW w:w="4788" w:type="dxa"/>
            <w:shd w:val="clear" w:color="auto" w:fill="auto"/>
          </w:tcPr>
          <w:p w14:paraId="46A0A393"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b/>
                <w:sz w:val="16"/>
                <w:szCs w:val="16"/>
                <w:lang w:val="es-ES_tradnl"/>
              </w:rPr>
              <w:tab/>
            </w:r>
            <w:r w:rsidRPr="00A57824">
              <w:rPr>
                <w:rFonts w:ascii="Verdana" w:hAnsi="Verdana"/>
                <w:sz w:val="16"/>
                <w:szCs w:val="16"/>
                <w:lang w:val="es-ES_tradnl"/>
              </w:rPr>
              <w:t xml:space="preserve">Pérdida de sustrato en el SFP/DPF. El sistema SDB/OBD deberá detectar mal funcionamiento si el sustrato del SFP/DPF está completamente destruido, removido, eliminado o si el ensamblado del SFP/DPF ha </w:t>
            </w:r>
            <w:r w:rsidRPr="00A57824">
              <w:rPr>
                <w:rFonts w:ascii="Verdana" w:hAnsi="Verdana"/>
                <w:sz w:val="16"/>
                <w:szCs w:val="16"/>
                <w:lang w:val="es-ES_tradnl"/>
              </w:rPr>
              <w:lastRenderedPageBreak/>
              <w:t>sido reemplazado por un silenciador o una pieza de tubería, e</w:t>
            </w:r>
          </w:p>
        </w:tc>
        <w:tc>
          <w:tcPr>
            <w:tcW w:w="4788" w:type="dxa"/>
            <w:shd w:val="clear" w:color="auto" w:fill="auto"/>
          </w:tcPr>
          <w:p w14:paraId="1BB00A9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c.</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 xml:space="preserve">Loss of substrate in the </w:t>
            </w:r>
            <w:r w:rsidR="00F75D61" w:rsidRPr="00BD076C">
              <w:rPr>
                <w:rFonts w:ascii="Verdana" w:hAnsi="Verdana"/>
                <w:sz w:val="16"/>
                <w:szCs w:val="16"/>
                <w:lang w:val="en-US"/>
              </w:rPr>
              <w:t>SFP/DPF</w:t>
            </w:r>
            <w:r w:rsidRPr="00BD076C">
              <w:rPr>
                <w:rFonts w:ascii="Verdana" w:hAnsi="Verdana"/>
                <w:sz w:val="16"/>
                <w:szCs w:val="16"/>
                <w:lang w:val="en-US"/>
              </w:rPr>
              <w:t>.</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malfunction if the </w:t>
            </w:r>
            <w:r w:rsidR="00F75D61" w:rsidRPr="00BD076C">
              <w:rPr>
                <w:rFonts w:ascii="Verdana" w:hAnsi="Verdana"/>
                <w:sz w:val="16"/>
                <w:szCs w:val="16"/>
                <w:lang w:val="en-US"/>
              </w:rPr>
              <w:t>SFP/DPF</w:t>
            </w:r>
            <w:r w:rsidRPr="00BD076C">
              <w:rPr>
                <w:rFonts w:ascii="Verdana" w:hAnsi="Verdana"/>
                <w:sz w:val="16"/>
                <w:szCs w:val="16"/>
                <w:lang w:val="en-US"/>
              </w:rPr>
              <w:t xml:space="preserve"> substrate is completely destroyed, removed, </w:t>
            </w:r>
            <w:r w:rsidRPr="00BD076C">
              <w:rPr>
                <w:rFonts w:ascii="Verdana" w:hAnsi="Verdana"/>
                <w:sz w:val="16"/>
                <w:szCs w:val="16"/>
                <w:lang w:val="en-US"/>
              </w:rPr>
              <w:lastRenderedPageBreak/>
              <w:t xml:space="preserve">removed or if the assembly of the </w:t>
            </w:r>
            <w:r w:rsidR="00F75D61" w:rsidRPr="00BD076C">
              <w:rPr>
                <w:rFonts w:ascii="Verdana" w:hAnsi="Verdana"/>
                <w:sz w:val="16"/>
                <w:szCs w:val="16"/>
                <w:lang w:val="en-US"/>
              </w:rPr>
              <w:t>SFP/DPF</w:t>
            </w:r>
            <w:r w:rsidRPr="00BD076C">
              <w:rPr>
                <w:rFonts w:ascii="Verdana" w:hAnsi="Verdana"/>
                <w:sz w:val="16"/>
                <w:szCs w:val="16"/>
                <w:lang w:val="en-US"/>
              </w:rPr>
              <w:t xml:space="preserve"> has</w:t>
            </w:r>
            <w:r w:rsidRPr="00BD076C">
              <w:rPr>
                <w:lang w:val="en-US"/>
              </w:rPr>
              <w:t xml:space="preserve"> </w:t>
            </w:r>
            <w:r w:rsidRPr="00BD076C">
              <w:rPr>
                <w:rFonts w:ascii="Verdana" w:hAnsi="Verdana"/>
                <w:sz w:val="16"/>
                <w:szCs w:val="16"/>
                <w:lang w:val="en-US"/>
              </w:rPr>
              <w:t>been replaced by a silencer or piece of pipe, and</w:t>
            </w:r>
            <w:r w:rsidRPr="00BD076C">
              <w:rPr>
                <w:lang w:val="en-US"/>
              </w:rPr>
              <w:t xml:space="preserve"> </w:t>
            </w:r>
          </w:p>
        </w:tc>
      </w:tr>
      <w:tr w:rsidR="008A0760" w:rsidRPr="00743A20" w14:paraId="553FEE4F" w14:textId="77777777" w:rsidTr="00BD076C">
        <w:tc>
          <w:tcPr>
            <w:tcW w:w="4788" w:type="dxa"/>
            <w:shd w:val="clear" w:color="auto" w:fill="auto"/>
          </w:tcPr>
          <w:p w14:paraId="7B301373"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d.</w:t>
            </w:r>
            <w:r w:rsidRPr="00A57824">
              <w:rPr>
                <w:rFonts w:ascii="Verdana" w:hAnsi="Verdana"/>
                <w:b/>
                <w:sz w:val="16"/>
                <w:szCs w:val="16"/>
                <w:lang w:val="es-ES_tradnl"/>
              </w:rPr>
              <w:tab/>
            </w:r>
            <w:r w:rsidRPr="00A57824">
              <w:rPr>
                <w:rFonts w:ascii="Verdana" w:hAnsi="Verdana"/>
                <w:sz w:val="16"/>
                <w:szCs w:val="16"/>
                <w:lang w:val="es-ES_tradnl"/>
              </w:rPr>
              <w:t>Inyección activa en el sistema en el SFP/DPF. Para los sistemas que utilizan regeneración activa del SFP/DPF (por ejemplo, post-inyección de combustible en los cilindros o inyección de combustible asistida por aire en el escape), para lograr la regeneración, el sistema SDB/OBD deberá detectar mal funcionamiento, si existe cualquier falla o deterioro en la capacidad de regulación del sistema de inyección que haga que el sistema sea incapaz de lograr la regeneración del SFP/DPF.</w:t>
            </w:r>
          </w:p>
        </w:tc>
        <w:tc>
          <w:tcPr>
            <w:tcW w:w="4788" w:type="dxa"/>
            <w:shd w:val="clear" w:color="auto" w:fill="auto"/>
          </w:tcPr>
          <w:p w14:paraId="7E671FE7"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 xml:space="preserve">Active injection in the system in the </w:t>
            </w:r>
            <w:r w:rsidR="00F75D61" w:rsidRPr="00BD076C">
              <w:rPr>
                <w:rFonts w:ascii="Verdana" w:hAnsi="Verdana"/>
                <w:sz w:val="16"/>
                <w:szCs w:val="16"/>
                <w:lang w:val="en-US"/>
              </w:rPr>
              <w:t>SFP/DPF</w:t>
            </w:r>
            <w:r w:rsidRPr="00BD076C">
              <w:rPr>
                <w:rFonts w:ascii="Verdana" w:hAnsi="Verdana"/>
                <w:sz w:val="16"/>
                <w:szCs w:val="16"/>
                <w:lang w:val="en-US"/>
              </w:rPr>
              <w:t>.</w:t>
            </w:r>
            <w:r w:rsidRPr="00BD076C">
              <w:rPr>
                <w:lang w:val="en-US"/>
              </w:rPr>
              <w:t xml:space="preserve"> </w:t>
            </w:r>
            <w:r w:rsidRPr="00BD076C">
              <w:rPr>
                <w:rFonts w:ascii="Verdana" w:hAnsi="Verdana"/>
                <w:sz w:val="16"/>
                <w:szCs w:val="16"/>
                <w:lang w:val="en-US"/>
              </w:rPr>
              <w:t xml:space="preserve">For systems that use active regeneration of the </w:t>
            </w:r>
            <w:r w:rsidR="00F75D61" w:rsidRPr="00BD076C">
              <w:rPr>
                <w:rFonts w:ascii="Verdana" w:hAnsi="Verdana"/>
                <w:sz w:val="16"/>
                <w:szCs w:val="16"/>
                <w:lang w:val="en-US"/>
              </w:rPr>
              <w:t>SFP/DPF</w:t>
            </w:r>
            <w:r w:rsidRPr="00BD076C">
              <w:rPr>
                <w:rFonts w:ascii="Verdana" w:hAnsi="Verdana"/>
                <w:sz w:val="16"/>
                <w:szCs w:val="16"/>
                <w:lang w:val="en-US"/>
              </w:rPr>
              <w:t xml:space="preserve"> (for example, post-fuel injection in the cylinders or air-assisted fuel injection in the exhaust), to achieve regeneration, 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malfunction, if there is any failure or deterioration in the regulation capacity of the injection system that makes the system unable to achieve the regeneration of the </w:t>
            </w:r>
            <w:r w:rsidR="00F75D61" w:rsidRPr="00BD076C">
              <w:rPr>
                <w:rFonts w:ascii="Verdana" w:hAnsi="Verdana"/>
                <w:sz w:val="16"/>
                <w:szCs w:val="16"/>
                <w:lang w:val="en-US"/>
              </w:rPr>
              <w:t>SFP/DPF</w:t>
            </w:r>
            <w:r w:rsidRPr="00BD076C">
              <w:rPr>
                <w:rFonts w:ascii="Verdana" w:hAnsi="Verdana"/>
                <w:sz w:val="16"/>
                <w:szCs w:val="16"/>
                <w:lang w:val="en-US"/>
              </w:rPr>
              <w:t>.</w:t>
            </w:r>
            <w:r w:rsidRPr="00BD076C">
              <w:rPr>
                <w:lang w:val="en-US"/>
              </w:rPr>
              <w:t xml:space="preserve"> </w:t>
            </w:r>
          </w:p>
        </w:tc>
      </w:tr>
      <w:tr w:rsidR="008A0760" w:rsidRPr="00743A20" w14:paraId="1B9766C9" w14:textId="77777777" w:rsidTr="00BD076C">
        <w:tc>
          <w:tcPr>
            <w:tcW w:w="4788" w:type="dxa"/>
            <w:shd w:val="clear" w:color="auto" w:fill="auto"/>
          </w:tcPr>
          <w:p w14:paraId="10A61D40"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A.7.2.3.8.</w:t>
            </w:r>
            <w:r w:rsidRPr="00A57824">
              <w:rPr>
                <w:rFonts w:ascii="Verdana" w:hAnsi="Verdana"/>
                <w:sz w:val="16"/>
                <w:szCs w:val="16"/>
                <w:lang w:val="es-ES_tradnl"/>
              </w:rPr>
              <w:t xml:space="preserve"> Otros sensores de gases de escape.</w:t>
            </w:r>
          </w:p>
        </w:tc>
        <w:tc>
          <w:tcPr>
            <w:tcW w:w="4788" w:type="dxa"/>
            <w:shd w:val="clear" w:color="auto" w:fill="auto"/>
          </w:tcPr>
          <w:p w14:paraId="4FBCDDD7"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A.7.2.3.8.</w:t>
            </w:r>
            <w:r w:rsidRPr="00BD076C">
              <w:rPr>
                <w:lang w:val="en-US"/>
              </w:rPr>
              <w:t xml:space="preserve"> </w:t>
            </w:r>
            <w:r w:rsidRPr="00BD076C">
              <w:rPr>
                <w:rFonts w:ascii="Verdana" w:hAnsi="Verdana"/>
                <w:sz w:val="16"/>
                <w:szCs w:val="16"/>
                <w:lang w:val="en-US"/>
              </w:rPr>
              <w:t>Other exhaust gas sensors.</w:t>
            </w:r>
            <w:r w:rsidRPr="00BD076C">
              <w:rPr>
                <w:lang w:val="en-US"/>
              </w:rPr>
              <w:t xml:space="preserve"> </w:t>
            </w:r>
          </w:p>
        </w:tc>
      </w:tr>
      <w:tr w:rsidR="008A0760" w:rsidRPr="00743A20" w14:paraId="75BE925C" w14:textId="77777777" w:rsidTr="00BD076C">
        <w:tc>
          <w:tcPr>
            <w:tcW w:w="4788" w:type="dxa"/>
            <w:shd w:val="clear" w:color="auto" w:fill="auto"/>
          </w:tcPr>
          <w:p w14:paraId="1A4EF328"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sistema SDB/OBD deberá monitorear la señal de salida, la actividad, la tasa de respuesta y cualquier otro parámetro que pueda afectar las emisiones de todos los sensores de gases del escape (por ejemplo, el sensor de oxígeno, sensor de la relación de aire-combustible, sensor de NOx) utilizados para la retroalimentación del sistema de control de emisiones (por ejemplo, control/retroalimentación del SRG/EGR, control/retroalimentación del SRCS/SCR control/retroalimentación del catalizador NOx) o que funcionan como dispositivos de vigilancia. Para los motores y vehículos equipados con sensores con calefacción, el sistema SDB/OBD deberá supervisar el calentador para la correcta ejecución. La integridad del circuito y la función de retroalimentación se deben supervisar continuamente.</w:t>
            </w:r>
          </w:p>
        </w:tc>
        <w:tc>
          <w:tcPr>
            <w:tcW w:w="4788" w:type="dxa"/>
            <w:shd w:val="clear" w:color="auto" w:fill="auto"/>
          </w:tcPr>
          <w:p w14:paraId="61D2F99B"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monitor the output signal, the activity, the response rate and any other parameter that may affect the emissions of all the exhaust gas sensors (for example, the oxygen sensor, the sensor of the ratio of air-fuel, NOx sensor) used for emission control system feedback (eg, </w:t>
            </w:r>
            <w:r w:rsidR="00F75D61" w:rsidRPr="00BD076C">
              <w:rPr>
                <w:rFonts w:ascii="Verdana" w:hAnsi="Verdana"/>
                <w:sz w:val="16"/>
                <w:szCs w:val="16"/>
                <w:lang w:val="en-US"/>
              </w:rPr>
              <w:t>SRG/EGR</w:t>
            </w:r>
            <w:r w:rsidRPr="00BD076C">
              <w:rPr>
                <w:rFonts w:ascii="Verdana" w:hAnsi="Verdana"/>
                <w:sz w:val="16"/>
                <w:szCs w:val="16"/>
                <w:lang w:val="en-US"/>
              </w:rPr>
              <w:t xml:space="preserve"> control/feedback, SRCS control/feedback/SCR control/NOx catalyst feedback) or that function as emission control devices. </w:t>
            </w:r>
            <w:r w:rsidR="00A341BE" w:rsidRPr="00BD076C">
              <w:rPr>
                <w:rFonts w:ascii="Verdana" w:hAnsi="Verdana"/>
                <w:sz w:val="16"/>
                <w:szCs w:val="16"/>
                <w:lang w:val="en-US"/>
              </w:rPr>
              <w:t>oversight</w:t>
            </w:r>
            <w:r w:rsidRPr="00BD076C">
              <w:rPr>
                <w:rFonts w:ascii="Verdana" w:hAnsi="Verdana"/>
                <w:sz w:val="16"/>
                <w:szCs w:val="16"/>
                <w:lang w:val="en-US"/>
              </w:rPr>
              <w:t>.</w:t>
            </w:r>
            <w:r w:rsidRPr="00BD076C">
              <w:rPr>
                <w:lang w:val="en-US"/>
              </w:rPr>
              <w:t xml:space="preserve"> </w:t>
            </w:r>
            <w:r w:rsidRPr="00BD076C">
              <w:rPr>
                <w:rFonts w:ascii="Verdana" w:hAnsi="Verdana"/>
                <w:sz w:val="16"/>
                <w:szCs w:val="16"/>
                <w:lang w:val="en-US"/>
              </w:rPr>
              <w:t xml:space="preserve">For motors and vehicles equipped with heated sensors, 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supervise the heater for correct execution.</w:t>
            </w:r>
            <w:r w:rsidRPr="00BD076C">
              <w:rPr>
                <w:lang w:val="en-US"/>
              </w:rPr>
              <w:t xml:space="preserve"> </w:t>
            </w:r>
            <w:r w:rsidRPr="00BD076C">
              <w:rPr>
                <w:rFonts w:ascii="Verdana" w:hAnsi="Verdana"/>
                <w:sz w:val="16"/>
                <w:szCs w:val="16"/>
                <w:lang w:val="en-US"/>
              </w:rPr>
              <w:t>The integrity of the circuit and the feedback function must be monitored continuously.</w:t>
            </w:r>
            <w:r w:rsidRPr="00BD076C">
              <w:rPr>
                <w:lang w:val="en-US"/>
              </w:rPr>
              <w:t xml:space="preserve"> </w:t>
            </w:r>
          </w:p>
        </w:tc>
      </w:tr>
      <w:tr w:rsidR="008A0760" w:rsidRPr="00743A20" w14:paraId="660B0227" w14:textId="77777777" w:rsidTr="00BD076C">
        <w:tc>
          <w:tcPr>
            <w:tcW w:w="4788" w:type="dxa"/>
            <w:shd w:val="clear" w:color="auto" w:fill="auto"/>
          </w:tcPr>
          <w:p w14:paraId="2B01D892"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Para los sensores de la mezcla aire/combustible localizados antes y después de los sistemas de post-tratamiento, los requisitos de monitoreo son:</w:t>
            </w:r>
          </w:p>
        </w:tc>
        <w:tc>
          <w:tcPr>
            <w:tcW w:w="4788" w:type="dxa"/>
            <w:shd w:val="clear" w:color="auto" w:fill="auto"/>
          </w:tcPr>
          <w:p w14:paraId="00DE2A57"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For the air/fuel mixture sensors located before and after the post-treatment systems, the monitoring requirements are:</w:t>
            </w:r>
            <w:r w:rsidRPr="00BD076C">
              <w:rPr>
                <w:lang w:val="en-US"/>
              </w:rPr>
              <w:t xml:space="preserve"> </w:t>
            </w:r>
          </w:p>
        </w:tc>
      </w:tr>
      <w:tr w:rsidR="008A0760" w:rsidRPr="00743A20" w14:paraId="2EEC438A" w14:textId="77777777" w:rsidTr="00BD076C">
        <w:tc>
          <w:tcPr>
            <w:tcW w:w="4788" w:type="dxa"/>
            <w:shd w:val="clear" w:color="auto" w:fill="auto"/>
          </w:tcPr>
          <w:p w14:paraId="4F5E7500"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b/>
                <w:sz w:val="16"/>
                <w:szCs w:val="16"/>
                <w:lang w:val="es-ES_tradnl"/>
              </w:rPr>
              <w:tab/>
            </w:r>
            <w:r w:rsidRPr="00A57824">
              <w:rPr>
                <w:rFonts w:ascii="Verdana" w:hAnsi="Verdana"/>
                <w:sz w:val="16"/>
                <w:szCs w:val="16"/>
                <w:lang w:val="es-ES_tradnl"/>
              </w:rPr>
              <w:t>Desempeño del sensor. El sistema SDB/OBD deberá detectar mal funcionamiento antes de cualquier falla o deterioro en el voltaje, la resistencia, impedancia, corriente, tasa actual de respuesta, la amplitud u otra(s) característica(s) de los sensores que ocasionarían que las emisiones de un motor excedan los límites SDB/OBD correspondientes a “Otros Monitores de Límites SDB/OBD” en la Tabla A.3;</w:t>
            </w:r>
          </w:p>
        </w:tc>
        <w:tc>
          <w:tcPr>
            <w:tcW w:w="4788" w:type="dxa"/>
            <w:shd w:val="clear" w:color="auto" w:fill="auto"/>
          </w:tcPr>
          <w:p w14:paraId="75BB5657"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to.</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Sensor performance</w:t>
            </w:r>
            <w:r w:rsidR="00BE1219">
              <w:rPr>
                <w:rFonts w:ascii="Verdana" w:hAnsi="Verdana"/>
                <w:sz w:val="16"/>
                <w:szCs w:val="16"/>
                <w:lang w:val="en-US"/>
              </w:rPr>
              <w:t>.</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w:t>
            </w:r>
            <w:r w:rsidR="00BE1219">
              <w:rPr>
                <w:rFonts w:ascii="Verdana" w:hAnsi="Verdana"/>
                <w:sz w:val="16"/>
                <w:szCs w:val="16"/>
                <w:lang w:val="en-US"/>
              </w:rPr>
              <w:t xml:space="preserve">a </w:t>
            </w:r>
            <w:r w:rsidRPr="00BD076C">
              <w:rPr>
                <w:rFonts w:ascii="Verdana" w:hAnsi="Verdana"/>
                <w:sz w:val="16"/>
                <w:szCs w:val="16"/>
                <w:lang w:val="en-US"/>
              </w:rPr>
              <w:t xml:space="preserve">malfunction before any failure or deterioration in the voltage, resistance, impedance, current, current response rate, amplitude or other characteristic (s) of the sensors that would cause the emissions of one motor exceeds the </w:t>
            </w:r>
            <w:r w:rsidR="002D78B5" w:rsidRPr="00BD076C">
              <w:rPr>
                <w:rFonts w:ascii="Verdana" w:hAnsi="Verdana"/>
                <w:sz w:val="16"/>
                <w:szCs w:val="16"/>
                <w:lang w:val="en-US"/>
              </w:rPr>
              <w:t>SDB/OBD</w:t>
            </w:r>
            <w:r w:rsidRPr="00BD076C">
              <w:rPr>
                <w:rFonts w:ascii="Verdana" w:hAnsi="Verdana"/>
                <w:sz w:val="16"/>
                <w:szCs w:val="16"/>
                <w:lang w:val="en-US"/>
              </w:rPr>
              <w:t xml:space="preserve"> limits corresponding to "Other </w:t>
            </w:r>
            <w:r w:rsidR="002D78B5" w:rsidRPr="00BD076C">
              <w:rPr>
                <w:rFonts w:ascii="Verdana" w:hAnsi="Verdana"/>
                <w:sz w:val="16"/>
                <w:szCs w:val="16"/>
                <w:lang w:val="en-US"/>
              </w:rPr>
              <w:t>SDB/OBD</w:t>
            </w:r>
            <w:r w:rsidRPr="00BD076C">
              <w:rPr>
                <w:rFonts w:ascii="Verdana" w:hAnsi="Verdana"/>
                <w:sz w:val="16"/>
                <w:szCs w:val="16"/>
                <w:lang w:val="en-US"/>
              </w:rPr>
              <w:t xml:space="preserve"> Limit Monitors" in Table A.3;</w:t>
            </w:r>
            <w:r w:rsidRPr="00BD076C">
              <w:rPr>
                <w:lang w:val="en-US"/>
              </w:rPr>
              <w:t xml:space="preserve"> </w:t>
            </w:r>
          </w:p>
        </w:tc>
      </w:tr>
      <w:tr w:rsidR="008A0760" w:rsidRPr="00743A20" w14:paraId="5D1052DE" w14:textId="77777777" w:rsidTr="00BD076C">
        <w:tc>
          <w:tcPr>
            <w:tcW w:w="4788" w:type="dxa"/>
            <w:shd w:val="clear" w:color="auto" w:fill="auto"/>
          </w:tcPr>
          <w:p w14:paraId="38E7C965"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b/>
                <w:sz w:val="16"/>
                <w:szCs w:val="16"/>
                <w:lang w:val="es-ES_tradnl"/>
              </w:rPr>
              <w:tab/>
            </w:r>
            <w:r w:rsidRPr="00A57824">
              <w:rPr>
                <w:rFonts w:ascii="Verdana" w:hAnsi="Verdana"/>
                <w:sz w:val="16"/>
                <w:szCs w:val="16"/>
                <w:lang w:val="es-ES_tradnl"/>
              </w:rPr>
              <w:t>Integridad del circuito. El sistema SDB/OBD deberá detectar las fallas de funcionamiento del sensor en relación con la falta de continuidad de circuito o señal fuera de rango de valores;</w:t>
            </w:r>
          </w:p>
        </w:tc>
        <w:tc>
          <w:tcPr>
            <w:tcW w:w="4788" w:type="dxa"/>
            <w:shd w:val="clear" w:color="auto" w:fill="auto"/>
          </w:tcPr>
          <w:p w14:paraId="2F25ED6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Integrity of the circuit.</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the malfunctions of the sensor in relation to the lack of circuit continuity or signal outside the range of values;</w:t>
            </w:r>
            <w:r w:rsidRPr="00BD076C">
              <w:rPr>
                <w:lang w:val="en-US"/>
              </w:rPr>
              <w:t xml:space="preserve"> </w:t>
            </w:r>
          </w:p>
        </w:tc>
      </w:tr>
      <w:tr w:rsidR="008A0760" w:rsidRPr="00743A20" w14:paraId="26F6F879" w14:textId="77777777" w:rsidTr="00BD076C">
        <w:tc>
          <w:tcPr>
            <w:tcW w:w="4788" w:type="dxa"/>
            <w:shd w:val="clear" w:color="auto" w:fill="auto"/>
          </w:tcPr>
          <w:p w14:paraId="5647E411"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b/>
                <w:sz w:val="16"/>
                <w:szCs w:val="16"/>
                <w:lang w:val="es-ES_tradnl"/>
              </w:rPr>
              <w:tab/>
            </w:r>
            <w:r w:rsidRPr="00A57824">
              <w:rPr>
                <w:rFonts w:ascii="Verdana" w:hAnsi="Verdana"/>
                <w:sz w:val="16"/>
                <w:szCs w:val="16"/>
                <w:lang w:val="es-ES_tradnl"/>
              </w:rPr>
              <w:t xml:space="preserve">Función del lazo de retroalimentación: el sistema SDB/OBD deberá detectar mal funcionamiento del sensor, cuando el sistema de control de emisiones SRG/EGR sea incapaz de utilizar ese sensor como una entrada de retroalimentación (por ejemplo, provoca </w:t>
            </w:r>
            <w:r w:rsidRPr="00A57824">
              <w:rPr>
                <w:rFonts w:ascii="Verdana" w:hAnsi="Verdana"/>
                <w:sz w:val="16"/>
                <w:szCs w:val="16"/>
                <w:lang w:val="es-ES_tradnl"/>
              </w:rPr>
              <w:lastRenderedPageBreak/>
              <w:t>activación de modo de funcionamiento limitado “limp-home” o funcionamiento en circuito abierto), y</w:t>
            </w:r>
          </w:p>
        </w:tc>
        <w:tc>
          <w:tcPr>
            <w:tcW w:w="4788" w:type="dxa"/>
            <w:shd w:val="clear" w:color="auto" w:fill="auto"/>
          </w:tcPr>
          <w:p w14:paraId="1F053CB7"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c.</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 xml:space="preserve">Feedback loop function: 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sensor malfunction, when the </w:t>
            </w:r>
            <w:r w:rsidR="00F75D61" w:rsidRPr="00BD076C">
              <w:rPr>
                <w:rFonts w:ascii="Verdana" w:hAnsi="Verdana"/>
                <w:sz w:val="16"/>
                <w:szCs w:val="16"/>
                <w:lang w:val="en-US"/>
              </w:rPr>
              <w:t>SRG/EGR</w:t>
            </w:r>
            <w:r w:rsidRPr="00BD076C">
              <w:rPr>
                <w:rFonts w:ascii="Verdana" w:hAnsi="Verdana"/>
                <w:sz w:val="16"/>
                <w:szCs w:val="16"/>
                <w:lang w:val="en-US"/>
              </w:rPr>
              <w:t xml:space="preserve"> emission control system is unable to use that sensor as a feedback input (for example, it causes </w:t>
            </w:r>
            <w:r w:rsidRPr="00BD076C">
              <w:rPr>
                <w:rFonts w:ascii="Verdana" w:hAnsi="Verdana"/>
                <w:sz w:val="16"/>
                <w:szCs w:val="16"/>
                <w:lang w:val="en-US"/>
              </w:rPr>
              <w:lastRenderedPageBreak/>
              <w:t>activation of limited operating mode "Limp-home" or open circuit operation), and</w:t>
            </w:r>
            <w:r w:rsidRPr="00BD076C">
              <w:rPr>
                <w:lang w:val="en-US"/>
              </w:rPr>
              <w:t xml:space="preserve"> </w:t>
            </w:r>
          </w:p>
        </w:tc>
      </w:tr>
      <w:tr w:rsidR="008A0760" w:rsidRPr="00743A20" w14:paraId="1F0E9140" w14:textId="77777777" w:rsidTr="00BD076C">
        <w:tc>
          <w:tcPr>
            <w:tcW w:w="4788" w:type="dxa"/>
            <w:shd w:val="clear" w:color="auto" w:fill="auto"/>
          </w:tcPr>
          <w:p w14:paraId="6BA6F213"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d.</w:t>
            </w:r>
            <w:r w:rsidRPr="00A57824">
              <w:rPr>
                <w:rFonts w:ascii="Verdana" w:hAnsi="Verdana"/>
                <w:b/>
                <w:sz w:val="16"/>
                <w:szCs w:val="16"/>
                <w:lang w:val="es-ES_tradnl"/>
              </w:rPr>
              <w:tab/>
            </w:r>
            <w:r w:rsidRPr="00A57824">
              <w:rPr>
                <w:rFonts w:ascii="Verdana" w:hAnsi="Verdana"/>
                <w:sz w:val="16"/>
                <w:szCs w:val="16"/>
                <w:lang w:val="es-ES_tradnl"/>
              </w:rPr>
              <w:t>Funciones de monitoreo. En la medida de lo posible, el sistema SDB/OBD deberá detectar mal funcionamiento del sensor cuando el voltaje de salida, la resistencia, impedancia, corriente, amplitud, actividad, u otras características del sensor ya no son suficientes para su uso como dispositivo SDB/OBD de monitoreo del sistema (por ejemplo, para el catalizador, SRG/EGR, SRCS/SCR o un control de adsorción NOx).</w:t>
            </w:r>
          </w:p>
        </w:tc>
        <w:tc>
          <w:tcPr>
            <w:tcW w:w="4788" w:type="dxa"/>
            <w:shd w:val="clear" w:color="auto" w:fill="auto"/>
          </w:tcPr>
          <w:p w14:paraId="7EA1C4F9"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Monitoring functions.</w:t>
            </w:r>
            <w:r w:rsidRPr="00BD076C">
              <w:rPr>
                <w:lang w:val="en-US"/>
              </w:rPr>
              <w:t xml:space="preserve"> </w:t>
            </w:r>
            <w:r w:rsidRPr="00BD076C">
              <w:rPr>
                <w:rFonts w:ascii="Verdana" w:hAnsi="Verdana"/>
                <w:sz w:val="16"/>
                <w:szCs w:val="16"/>
                <w:lang w:val="en-US"/>
              </w:rPr>
              <w:t xml:space="preserve">As far as possible, 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sensor malfunction when the output voltage, resistance, impedance, current, amplitude,</w:t>
            </w:r>
            <w:r w:rsidRPr="00BD076C">
              <w:rPr>
                <w:lang w:val="en-US"/>
              </w:rPr>
              <w:t xml:space="preserve"> </w:t>
            </w:r>
            <w:r w:rsidRPr="00BD076C">
              <w:rPr>
                <w:rFonts w:ascii="Verdana" w:hAnsi="Verdana"/>
                <w:sz w:val="16"/>
                <w:szCs w:val="16"/>
                <w:lang w:val="en-US"/>
              </w:rPr>
              <w:t xml:space="preserve">activity, or other sensor characteristics are no longer sufficient for use as an SDB device/OBD system monitoring (for example, for the catalyst, </w:t>
            </w:r>
            <w:r w:rsidR="00F75D61" w:rsidRPr="00BD076C">
              <w:rPr>
                <w:rFonts w:ascii="Verdana" w:hAnsi="Verdana"/>
                <w:sz w:val="16"/>
                <w:szCs w:val="16"/>
                <w:lang w:val="en-US"/>
              </w:rPr>
              <w:t>SRG/EGR</w:t>
            </w:r>
            <w:r w:rsidRPr="00BD076C">
              <w:rPr>
                <w:rFonts w:ascii="Verdana" w:hAnsi="Verdana"/>
                <w:sz w:val="16"/>
                <w:szCs w:val="16"/>
                <w:lang w:val="en-US"/>
              </w:rPr>
              <w:t xml:space="preserve">, </w:t>
            </w:r>
            <w:r w:rsidR="00F75D61" w:rsidRPr="00BD076C">
              <w:rPr>
                <w:rFonts w:ascii="Verdana" w:hAnsi="Verdana"/>
                <w:sz w:val="16"/>
                <w:szCs w:val="16"/>
                <w:lang w:val="en-US"/>
              </w:rPr>
              <w:t>SRCS/SCR</w:t>
            </w:r>
            <w:r w:rsidRPr="00BD076C">
              <w:rPr>
                <w:rFonts w:ascii="Verdana" w:hAnsi="Verdana"/>
                <w:sz w:val="16"/>
                <w:szCs w:val="16"/>
                <w:lang w:val="en-US"/>
              </w:rPr>
              <w:t xml:space="preserve"> or a NOx adsorption control).</w:t>
            </w:r>
            <w:r w:rsidRPr="00BD076C">
              <w:rPr>
                <w:lang w:val="en-US"/>
              </w:rPr>
              <w:t xml:space="preserve"> </w:t>
            </w:r>
          </w:p>
        </w:tc>
      </w:tr>
      <w:tr w:rsidR="008A0760" w:rsidRPr="00743A20" w14:paraId="24BFE6DC" w14:textId="77777777" w:rsidTr="00BD076C">
        <w:tc>
          <w:tcPr>
            <w:tcW w:w="4788" w:type="dxa"/>
            <w:shd w:val="clear" w:color="auto" w:fill="auto"/>
          </w:tcPr>
          <w:p w14:paraId="0CE7036B"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Para los sensores de NOx, los requisitos de monitoreo son:</w:t>
            </w:r>
          </w:p>
        </w:tc>
        <w:tc>
          <w:tcPr>
            <w:tcW w:w="4788" w:type="dxa"/>
            <w:shd w:val="clear" w:color="auto" w:fill="auto"/>
          </w:tcPr>
          <w:p w14:paraId="157AD812"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For NOx sensors, the monitoring requirements are:</w:t>
            </w:r>
            <w:r w:rsidRPr="00BD076C">
              <w:rPr>
                <w:lang w:val="en-US"/>
              </w:rPr>
              <w:t xml:space="preserve"> </w:t>
            </w:r>
          </w:p>
        </w:tc>
      </w:tr>
      <w:tr w:rsidR="008A0760" w:rsidRPr="00743A20" w14:paraId="25D8A9AE" w14:textId="77777777" w:rsidTr="00BD076C">
        <w:tc>
          <w:tcPr>
            <w:tcW w:w="4788" w:type="dxa"/>
            <w:shd w:val="clear" w:color="auto" w:fill="auto"/>
          </w:tcPr>
          <w:p w14:paraId="710841DD"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b/>
                <w:sz w:val="16"/>
                <w:szCs w:val="16"/>
                <w:lang w:val="es-ES_tradnl"/>
              </w:rPr>
              <w:tab/>
            </w:r>
            <w:r w:rsidRPr="00A57824">
              <w:rPr>
                <w:rFonts w:ascii="Verdana" w:hAnsi="Verdana"/>
                <w:sz w:val="16"/>
                <w:szCs w:val="16"/>
                <w:lang w:val="es-ES_tradnl"/>
              </w:rPr>
              <w:t>Desempeño del sensor. El sistema SDB/OBD deberá detectar mal funcionamiento ante cualquier falla o deterioro en el voltaje, la resistencia, impedancia, tasa de respuesta actual, amplitud, offset u otra(s) característica(s) de los sensores, lo que ocasionaría que las emisiones del motor excedieran los límites SDB/OBD correspondientes a “Sensores de NOx” en la Tabla A.3;</w:t>
            </w:r>
          </w:p>
        </w:tc>
        <w:tc>
          <w:tcPr>
            <w:tcW w:w="4788" w:type="dxa"/>
            <w:shd w:val="clear" w:color="auto" w:fill="auto"/>
          </w:tcPr>
          <w:p w14:paraId="64D3A11C" w14:textId="77777777" w:rsidR="008A0760" w:rsidRPr="00BD076C" w:rsidRDefault="00BE1219"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Sensor performance</w:t>
            </w:r>
            <w:r>
              <w:rPr>
                <w:rFonts w:ascii="Verdana" w:hAnsi="Verdana"/>
                <w:sz w:val="16"/>
                <w:szCs w:val="16"/>
                <w:lang w:val="en-US"/>
              </w:rPr>
              <w:t>.</w:t>
            </w:r>
            <w:r w:rsidR="008A0760" w:rsidRPr="00BD076C">
              <w:rPr>
                <w:lang w:val="en-US"/>
              </w:rPr>
              <w:t xml:space="preserve"> </w:t>
            </w:r>
            <w:r w:rsidR="008A0760" w:rsidRPr="00BD076C">
              <w:rPr>
                <w:rFonts w:ascii="Verdana" w:hAnsi="Verdana"/>
                <w:sz w:val="16"/>
                <w:szCs w:val="16"/>
                <w:lang w:val="en-US"/>
              </w:rPr>
              <w:t xml:space="preserve">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must detect malfunction in the event of any failure or deterioration in the voltage, resistance, impedance, current response rate, amplitude, offset or other characteristic (s) of the sensors, which would cause the emissions of the motor exceeded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limits corresponding to "NOx sensors" in Table A.3;</w:t>
            </w:r>
            <w:r w:rsidR="008A0760" w:rsidRPr="00BD076C">
              <w:rPr>
                <w:lang w:val="en-US"/>
              </w:rPr>
              <w:t xml:space="preserve"> </w:t>
            </w:r>
          </w:p>
        </w:tc>
      </w:tr>
      <w:tr w:rsidR="008A0760" w:rsidRPr="00743A20" w14:paraId="6DE3D910" w14:textId="77777777" w:rsidTr="00BD076C">
        <w:tc>
          <w:tcPr>
            <w:tcW w:w="4788" w:type="dxa"/>
            <w:shd w:val="clear" w:color="auto" w:fill="auto"/>
          </w:tcPr>
          <w:p w14:paraId="03F25161"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b/>
                <w:sz w:val="16"/>
                <w:szCs w:val="16"/>
                <w:lang w:val="es-ES_tradnl"/>
              </w:rPr>
              <w:tab/>
            </w:r>
            <w:r w:rsidRPr="00A57824">
              <w:rPr>
                <w:rFonts w:ascii="Verdana" w:hAnsi="Verdana"/>
                <w:sz w:val="16"/>
                <w:szCs w:val="16"/>
                <w:lang w:val="es-ES_tradnl"/>
              </w:rPr>
              <w:t>Integridad del circuito. El sistema SDB/OBD deberá detectar mal funcionamiento del sensor, cuando exista falta de continuidad de circuito o señal fuera de rango de valores;</w:t>
            </w:r>
          </w:p>
        </w:tc>
        <w:tc>
          <w:tcPr>
            <w:tcW w:w="4788" w:type="dxa"/>
            <w:shd w:val="clear" w:color="auto" w:fill="auto"/>
          </w:tcPr>
          <w:p w14:paraId="0228AF9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Integrity of the circuit.</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sensor malfunction, when there is a lack of circuit continuity or signal outside the range of values;</w:t>
            </w:r>
            <w:r w:rsidRPr="00BD076C">
              <w:rPr>
                <w:lang w:val="en-US"/>
              </w:rPr>
              <w:t xml:space="preserve"> </w:t>
            </w:r>
          </w:p>
        </w:tc>
      </w:tr>
      <w:tr w:rsidR="008A0760" w:rsidRPr="00743A20" w14:paraId="02A3952F" w14:textId="77777777" w:rsidTr="00BD076C">
        <w:tc>
          <w:tcPr>
            <w:tcW w:w="4788" w:type="dxa"/>
            <w:shd w:val="clear" w:color="auto" w:fill="auto"/>
          </w:tcPr>
          <w:p w14:paraId="590B2C08"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b/>
                <w:sz w:val="16"/>
                <w:szCs w:val="16"/>
                <w:lang w:val="es-ES_tradnl"/>
              </w:rPr>
              <w:tab/>
            </w:r>
            <w:r w:rsidRPr="00A57824">
              <w:rPr>
                <w:rFonts w:ascii="Verdana" w:hAnsi="Verdana"/>
                <w:sz w:val="16"/>
                <w:szCs w:val="16"/>
                <w:lang w:val="es-ES_tradnl"/>
              </w:rPr>
              <w:t>Función del lazo de retroalimentación. El sistema SDB/OBD deberá detectar mal funcionamiento del sensor, cuando el sistema de control de emisiones (por ejemplo, SRG/EGR, SRCS/SCR o NOx adsorbente) sea incapaz de utilizar ese sensor como una entrada de retroalimentación (por ejemplo, provoca activación de modo de funcionamiento limitado “limp-home” o funcionamiento en circuito abierto), y</w:t>
            </w:r>
          </w:p>
        </w:tc>
        <w:tc>
          <w:tcPr>
            <w:tcW w:w="4788" w:type="dxa"/>
            <w:shd w:val="clear" w:color="auto" w:fill="auto"/>
          </w:tcPr>
          <w:p w14:paraId="1CA50AF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Function of the feedback loop.</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sensor malfunction, when the emission control system (for example, </w:t>
            </w:r>
            <w:r w:rsidR="00F75D61" w:rsidRPr="00BD076C">
              <w:rPr>
                <w:rFonts w:ascii="Verdana" w:hAnsi="Verdana"/>
                <w:sz w:val="16"/>
                <w:szCs w:val="16"/>
                <w:lang w:val="en-US"/>
              </w:rPr>
              <w:t>SRG/EGR</w:t>
            </w:r>
            <w:r w:rsidRPr="00BD076C">
              <w:rPr>
                <w:rFonts w:ascii="Verdana" w:hAnsi="Verdana"/>
                <w:sz w:val="16"/>
                <w:szCs w:val="16"/>
                <w:lang w:val="en-US"/>
              </w:rPr>
              <w:t xml:space="preserve">, </w:t>
            </w:r>
            <w:r w:rsidR="00F75D61" w:rsidRPr="00BD076C">
              <w:rPr>
                <w:rFonts w:ascii="Verdana" w:hAnsi="Verdana"/>
                <w:sz w:val="16"/>
                <w:szCs w:val="16"/>
                <w:lang w:val="en-US"/>
              </w:rPr>
              <w:t>SRCS/SCR</w:t>
            </w:r>
            <w:r w:rsidRPr="00BD076C">
              <w:rPr>
                <w:rFonts w:ascii="Verdana" w:hAnsi="Verdana"/>
                <w:sz w:val="16"/>
                <w:szCs w:val="16"/>
                <w:lang w:val="en-US"/>
              </w:rPr>
              <w:t xml:space="preserve"> or adsorbent NOx) is unable to use that sensor as a feedback input (for example, causes activation of limited operating mode "limp-home" or open circuit operation), and</w:t>
            </w:r>
            <w:r w:rsidRPr="00BD076C">
              <w:rPr>
                <w:lang w:val="en-US"/>
              </w:rPr>
              <w:t xml:space="preserve"> </w:t>
            </w:r>
          </w:p>
        </w:tc>
      </w:tr>
      <w:tr w:rsidR="008A0760" w:rsidRPr="00743A20" w14:paraId="0FCE9FB5" w14:textId="77777777" w:rsidTr="00BD076C">
        <w:tc>
          <w:tcPr>
            <w:tcW w:w="4788" w:type="dxa"/>
            <w:shd w:val="clear" w:color="auto" w:fill="auto"/>
          </w:tcPr>
          <w:p w14:paraId="589ED68F"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sz w:val="16"/>
                <w:szCs w:val="16"/>
                <w:lang w:val="es-ES_tradnl"/>
              </w:rPr>
              <w:tab/>
              <w:t>Funciones de monitoreo: En la medida de lo posible, el sistema SDB/OBD deberá detectar mal funcionamiento del sensor cuando el voltaje de salida, la resistencia, impedancia, corriente, amplitud, actividad u otras características del sensor, ya no sean suficientes para su uso como un dispositivo de monitoreo del sistema SDB/OBD (por ejemplo, para el catalizador, SRG/EGR, SRCS/SCR o un control de adsorción NOx).</w:t>
            </w:r>
          </w:p>
        </w:tc>
        <w:tc>
          <w:tcPr>
            <w:tcW w:w="4788" w:type="dxa"/>
            <w:shd w:val="clear" w:color="auto" w:fill="auto"/>
          </w:tcPr>
          <w:p w14:paraId="609A056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sz w:val="16"/>
                <w:szCs w:val="16"/>
                <w:lang w:val="en-US"/>
              </w:rPr>
              <w:t xml:space="preserve">              Monitoring functions: As far as possible, the </w:t>
            </w:r>
            <w:r w:rsidR="002D78B5" w:rsidRPr="00BD076C">
              <w:rPr>
                <w:rFonts w:ascii="Verdana" w:hAnsi="Verdana"/>
                <w:sz w:val="16"/>
                <w:szCs w:val="16"/>
                <w:lang w:val="en-US"/>
              </w:rPr>
              <w:t>SDB/OBD</w:t>
            </w:r>
            <w:r w:rsidRPr="00BD076C">
              <w:rPr>
                <w:rFonts w:ascii="Verdana" w:hAnsi="Verdana"/>
                <w:sz w:val="16"/>
                <w:szCs w:val="16"/>
                <w:lang w:val="en-US"/>
              </w:rPr>
              <w:t xml:space="preserve"> system should detect sensor malfunction when the output voltage, resistance, impedance, current, amplitude, activity or other characteristics of the sensor are no longer sufficient for its use as a monitoring device for the </w:t>
            </w:r>
            <w:r w:rsidR="002D78B5" w:rsidRPr="00BD076C">
              <w:rPr>
                <w:rFonts w:ascii="Verdana" w:hAnsi="Verdana"/>
                <w:sz w:val="16"/>
                <w:szCs w:val="16"/>
                <w:lang w:val="en-US"/>
              </w:rPr>
              <w:t>SDB/OBD</w:t>
            </w:r>
            <w:r w:rsidRPr="00BD076C">
              <w:rPr>
                <w:rFonts w:ascii="Verdana" w:hAnsi="Verdana"/>
                <w:sz w:val="16"/>
                <w:szCs w:val="16"/>
                <w:lang w:val="en-US"/>
              </w:rPr>
              <w:t xml:space="preserve"> system (for example, for the catalyst, </w:t>
            </w:r>
            <w:r w:rsidR="00F75D61" w:rsidRPr="00BD076C">
              <w:rPr>
                <w:rFonts w:ascii="Verdana" w:hAnsi="Verdana"/>
                <w:sz w:val="16"/>
                <w:szCs w:val="16"/>
                <w:lang w:val="en-US"/>
              </w:rPr>
              <w:t>SRG/EGR</w:t>
            </w:r>
            <w:r w:rsidRPr="00BD076C">
              <w:rPr>
                <w:rFonts w:ascii="Verdana" w:hAnsi="Verdana"/>
                <w:sz w:val="16"/>
                <w:szCs w:val="16"/>
                <w:lang w:val="en-US"/>
              </w:rPr>
              <w:t xml:space="preserve">, </w:t>
            </w:r>
            <w:r w:rsidR="00F75D61" w:rsidRPr="00BD076C">
              <w:rPr>
                <w:rFonts w:ascii="Verdana" w:hAnsi="Verdana"/>
                <w:sz w:val="16"/>
                <w:szCs w:val="16"/>
                <w:lang w:val="en-US"/>
              </w:rPr>
              <w:t>SRCS/SCR</w:t>
            </w:r>
            <w:r w:rsidRPr="00BD076C">
              <w:rPr>
                <w:rFonts w:ascii="Verdana" w:hAnsi="Verdana"/>
                <w:sz w:val="16"/>
                <w:szCs w:val="16"/>
                <w:lang w:val="en-US"/>
              </w:rPr>
              <w:t xml:space="preserve"> or a NOx adsorption control).</w:t>
            </w:r>
            <w:r w:rsidRPr="00BD076C">
              <w:rPr>
                <w:lang w:val="en-US"/>
              </w:rPr>
              <w:t xml:space="preserve"> </w:t>
            </w:r>
          </w:p>
        </w:tc>
      </w:tr>
      <w:tr w:rsidR="008A0760" w:rsidRPr="00743A20" w14:paraId="58074804" w14:textId="77777777" w:rsidTr="00BD076C">
        <w:tc>
          <w:tcPr>
            <w:tcW w:w="4788" w:type="dxa"/>
            <w:shd w:val="clear" w:color="auto" w:fill="auto"/>
          </w:tcPr>
          <w:p w14:paraId="04D1A153"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A.7.2.3.9.</w:t>
            </w:r>
            <w:r w:rsidRPr="00A57824">
              <w:rPr>
                <w:rFonts w:ascii="Verdana" w:hAnsi="Verdana"/>
                <w:sz w:val="16"/>
                <w:szCs w:val="16"/>
                <w:lang w:val="es-ES_tradnl"/>
              </w:rPr>
              <w:t xml:space="preserve"> Sistema de Temporizado Variable de Válvulas</w:t>
            </w:r>
            <w:r w:rsidRPr="00A57824">
              <w:rPr>
                <w:rFonts w:ascii="Verdana" w:hAnsi="Verdana"/>
                <w:b/>
                <w:sz w:val="16"/>
                <w:szCs w:val="16"/>
                <w:lang w:val="es-ES_tradnl"/>
              </w:rPr>
              <w:t xml:space="preserve"> </w:t>
            </w:r>
            <w:r w:rsidRPr="00A57824">
              <w:rPr>
                <w:rFonts w:ascii="Verdana" w:hAnsi="Verdana"/>
                <w:sz w:val="16"/>
                <w:szCs w:val="16"/>
                <w:lang w:val="es-ES_tradnl"/>
              </w:rPr>
              <w:t>(TVV o VVT, por sus siglas en inglés).</w:t>
            </w:r>
          </w:p>
        </w:tc>
        <w:tc>
          <w:tcPr>
            <w:tcW w:w="4788" w:type="dxa"/>
            <w:shd w:val="clear" w:color="auto" w:fill="auto"/>
          </w:tcPr>
          <w:p w14:paraId="792693F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A.7.2.3.9.</w:t>
            </w:r>
            <w:r w:rsidRPr="00BD076C">
              <w:rPr>
                <w:lang w:val="en-US"/>
              </w:rPr>
              <w:t xml:space="preserve"> </w:t>
            </w:r>
            <w:r w:rsidRPr="00BD076C">
              <w:rPr>
                <w:rFonts w:ascii="Verdana" w:hAnsi="Verdana"/>
                <w:sz w:val="16"/>
                <w:szCs w:val="16"/>
                <w:lang w:val="en-US"/>
              </w:rPr>
              <w:t>Variable Valve Timing System</w:t>
            </w:r>
            <w:r w:rsidRPr="00BD076C">
              <w:rPr>
                <w:lang w:val="en-US"/>
              </w:rPr>
              <w:t xml:space="preserve"> </w:t>
            </w:r>
            <w:r w:rsidRPr="00BD076C">
              <w:rPr>
                <w:rFonts w:ascii="Verdana" w:hAnsi="Verdana"/>
                <w:sz w:val="16"/>
                <w:szCs w:val="16"/>
                <w:lang w:val="en-US"/>
              </w:rPr>
              <w:t>(TVV or VVT, for its acronym in English).</w:t>
            </w:r>
            <w:r w:rsidRPr="00BD076C">
              <w:rPr>
                <w:lang w:val="en-US"/>
              </w:rPr>
              <w:t xml:space="preserve"> </w:t>
            </w:r>
          </w:p>
        </w:tc>
      </w:tr>
      <w:tr w:rsidR="008A0760" w:rsidRPr="00743A20" w14:paraId="1E3675AC" w14:textId="77777777" w:rsidTr="00BD076C">
        <w:tc>
          <w:tcPr>
            <w:tcW w:w="4788" w:type="dxa"/>
            <w:shd w:val="clear" w:color="auto" w:fill="auto"/>
          </w:tcPr>
          <w:p w14:paraId="2A62A0D7"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 xml:space="preserve">El sistema SDB/OBD deberá supervisar el sistema TVV/VVT en los motores equipados con este tipo de sistema, para identificar los errores y el mal funcionamiento. Los componentes electrónicos individuales (por ejemplo, actuadores, válvulas, sensores) que se utilizan en el sistema de TVV/VVT deberán ser monitoreados. El objetivo y la tasa de </w:t>
            </w:r>
            <w:r w:rsidRPr="00A57824">
              <w:rPr>
                <w:rFonts w:ascii="Verdana" w:hAnsi="Verdana"/>
                <w:sz w:val="16"/>
                <w:szCs w:val="16"/>
                <w:lang w:val="es-ES_tradnl"/>
              </w:rPr>
              <w:lastRenderedPageBreak/>
              <w:t>respuesta del monitoreo del sistema TVV/VVT serán definidos por el fabricante y los requisitos de monitoreo son:</w:t>
            </w:r>
          </w:p>
        </w:tc>
        <w:tc>
          <w:tcPr>
            <w:tcW w:w="4788" w:type="dxa"/>
            <w:shd w:val="clear" w:color="auto" w:fill="auto"/>
          </w:tcPr>
          <w:p w14:paraId="24C1145A"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lastRenderedPageBreak/>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supervise the </w:t>
            </w:r>
            <w:r w:rsidR="00BE1219">
              <w:rPr>
                <w:rFonts w:ascii="Verdana" w:hAnsi="Verdana"/>
                <w:sz w:val="16"/>
                <w:szCs w:val="16"/>
                <w:lang w:val="en-US"/>
              </w:rPr>
              <w:t>TVV/VVT</w:t>
            </w:r>
            <w:r w:rsidRPr="00BD076C">
              <w:rPr>
                <w:rFonts w:ascii="Verdana" w:hAnsi="Verdana"/>
                <w:sz w:val="16"/>
                <w:szCs w:val="16"/>
                <w:lang w:val="en-US"/>
              </w:rPr>
              <w:t xml:space="preserve"> system in motors equipped with this type of system, to identify errors and malfunction.</w:t>
            </w:r>
            <w:r w:rsidRPr="00BD076C">
              <w:rPr>
                <w:lang w:val="en-US"/>
              </w:rPr>
              <w:t xml:space="preserve"> </w:t>
            </w:r>
            <w:r w:rsidRPr="00BD076C">
              <w:rPr>
                <w:rFonts w:ascii="Verdana" w:hAnsi="Verdana"/>
                <w:sz w:val="16"/>
                <w:szCs w:val="16"/>
                <w:lang w:val="en-US"/>
              </w:rPr>
              <w:t>Individual electronic components (eg</w:t>
            </w:r>
            <w:r w:rsidR="00BE1219">
              <w:rPr>
                <w:rFonts w:ascii="Verdana" w:hAnsi="Verdana"/>
                <w:sz w:val="16"/>
                <w:szCs w:val="16"/>
                <w:lang w:val="en-US"/>
              </w:rPr>
              <w:t>.</w:t>
            </w:r>
            <w:r w:rsidRPr="00BD076C">
              <w:rPr>
                <w:rFonts w:ascii="Verdana" w:hAnsi="Verdana"/>
                <w:sz w:val="16"/>
                <w:szCs w:val="16"/>
                <w:lang w:val="en-US"/>
              </w:rPr>
              <w:t xml:space="preserve"> actuators, valves, sensors) that are used in the </w:t>
            </w:r>
            <w:r w:rsidR="00BE1219">
              <w:rPr>
                <w:rFonts w:ascii="Verdana" w:hAnsi="Verdana"/>
                <w:sz w:val="16"/>
                <w:szCs w:val="16"/>
                <w:lang w:val="en-US"/>
              </w:rPr>
              <w:t>TVV/VVT</w:t>
            </w:r>
            <w:r w:rsidRPr="00BD076C">
              <w:rPr>
                <w:rFonts w:ascii="Verdana" w:hAnsi="Verdana"/>
                <w:sz w:val="16"/>
                <w:szCs w:val="16"/>
                <w:lang w:val="en-US"/>
              </w:rPr>
              <w:t xml:space="preserve"> system should be monitored.</w:t>
            </w:r>
            <w:r w:rsidRPr="00BD076C">
              <w:rPr>
                <w:lang w:val="en-US"/>
              </w:rPr>
              <w:t xml:space="preserve"> </w:t>
            </w:r>
            <w:r w:rsidRPr="00BD076C">
              <w:rPr>
                <w:rFonts w:ascii="Verdana" w:hAnsi="Verdana"/>
                <w:sz w:val="16"/>
                <w:szCs w:val="16"/>
                <w:lang w:val="en-US"/>
              </w:rPr>
              <w:t xml:space="preserve">The objective and response rate of the </w:t>
            </w:r>
            <w:r w:rsidR="00BE1219">
              <w:rPr>
                <w:rFonts w:ascii="Verdana" w:hAnsi="Verdana"/>
                <w:sz w:val="16"/>
                <w:szCs w:val="16"/>
                <w:lang w:val="en-US"/>
              </w:rPr>
              <w:t>TVV/VVT</w:t>
            </w:r>
            <w:r w:rsidRPr="00BD076C">
              <w:rPr>
                <w:rFonts w:ascii="Verdana" w:hAnsi="Verdana"/>
                <w:sz w:val="16"/>
                <w:szCs w:val="16"/>
                <w:lang w:val="en-US"/>
              </w:rPr>
              <w:t xml:space="preserve"> system </w:t>
            </w:r>
            <w:r w:rsidRPr="00BD076C">
              <w:rPr>
                <w:rFonts w:ascii="Verdana" w:hAnsi="Verdana"/>
                <w:sz w:val="16"/>
                <w:szCs w:val="16"/>
                <w:lang w:val="en-US"/>
              </w:rPr>
              <w:lastRenderedPageBreak/>
              <w:t>monitoring will be defined by the manufacturer and the monitoring requirements are:</w:t>
            </w:r>
            <w:r w:rsidRPr="00BD076C">
              <w:rPr>
                <w:lang w:val="en-US"/>
              </w:rPr>
              <w:t xml:space="preserve"> </w:t>
            </w:r>
          </w:p>
        </w:tc>
      </w:tr>
      <w:tr w:rsidR="008A0760" w:rsidRPr="00743A20" w14:paraId="0A3A2485" w14:textId="77777777" w:rsidTr="00BD076C">
        <w:tc>
          <w:tcPr>
            <w:tcW w:w="4788" w:type="dxa"/>
            <w:shd w:val="clear" w:color="auto" w:fill="auto"/>
          </w:tcPr>
          <w:p w14:paraId="2A4D0B12"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a.</w:t>
            </w:r>
            <w:r w:rsidRPr="00A57824">
              <w:rPr>
                <w:rFonts w:ascii="Verdana" w:hAnsi="Verdana"/>
                <w:sz w:val="16"/>
                <w:szCs w:val="16"/>
                <w:lang w:val="es-ES_tradnl"/>
              </w:rPr>
              <w:tab/>
              <w:t>Error en el objetivo del sistema TVV/VVT. El sistema SDB/OBD deberá detectar mal funcionamiento antes de cualquier falla o deterioro de la capacidad del sistema TVV/VVT para alcanzar el objetivo de temporizado de válvulas o de ángulo dentro de una tolerancia predefinida de ángulo del cigüeñal o carrera de válvulas, lo cual ocasionaría que las emisiones del motor excedieran los límites SDB/OBD correspondientes a “Otros Monitores de Límites SDB/OBD” en la Tabla A.3., y</w:t>
            </w:r>
          </w:p>
        </w:tc>
        <w:tc>
          <w:tcPr>
            <w:tcW w:w="4788" w:type="dxa"/>
            <w:shd w:val="clear" w:color="auto" w:fill="auto"/>
          </w:tcPr>
          <w:p w14:paraId="68AE853B" w14:textId="77777777" w:rsidR="008A0760" w:rsidRPr="00BD076C" w:rsidRDefault="00BE1219"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xml:space="preserve">              Error in the </w:t>
            </w:r>
            <w:r>
              <w:rPr>
                <w:rFonts w:ascii="Verdana" w:hAnsi="Verdana"/>
                <w:sz w:val="16"/>
                <w:szCs w:val="16"/>
                <w:lang w:val="en-US"/>
              </w:rPr>
              <w:t>objective</w:t>
            </w:r>
            <w:r w:rsidR="008A0760" w:rsidRPr="00BD076C">
              <w:rPr>
                <w:rFonts w:ascii="Verdana" w:hAnsi="Verdana"/>
                <w:sz w:val="16"/>
                <w:szCs w:val="16"/>
                <w:lang w:val="en-US"/>
              </w:rPr>
              <w:t xml:space="preserve"> of the </w:t>
            </w:r>
            <w:r>
              <w:rPr>
                <w:rFonts w:ascii="Verdana" w:hAnsi="Verdana"/>
                <w:sz w:val="16"/>
                <w:szCs w:val="16"/>
                <w:lang w:val="en-US"/>
              </w:rPr>
              <w:t>TVV/VVT</w:t>
            </w:r>
            <w:r w:rsidR="008A0760" w:rsidRPr="00BD076C">
              <w:rPr>
                <w:rFonts w:ascii="Verdana" w:hAnsi="Verdana"/>
                <w:sz w:val="16"/>
                <w:szCs w:val="16"/>
                <w:lang w:val="en-US"/>
              </w:rPr>
              <w:t xml:space="preserve"> system.</w:t>
            </w:r>
            <w:r w:rsidR="008A0760" w:rsidRPr="00BD076C">
              <w:rPr>
                <w:lang w:val="en-US"/>
              </w:rPr>
              <w:t xml:space="preserve"> </w:t>
            </w:r>
            <w:r w:rsidR="008A0760" w:rsidRPr="00BD076C">
              <w:rPr>
                <w:rFonts w:ascii="Verdana" w:hAnsi="Verdana"/>
                <w:sz w:val="16"/>
                <w:szCs w:val="16"/>
                <w:lang w:val="en-US"/>
              </w:rPr>
              <w:t xml:space="preserve">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system must detect malfunction before any failure or deterioration of the </w:t>
            </w:r>
            <w:r>
              <w:rPr>
                <w:rFonts w:ascii="Verdana" w:hAnsi="Verdana"/>
                <w:sz w:val="16"/>
                <w:szCs w:val="16"/>
                <w:lang w:val="en-US"/>
              </w:rPr>
              <w:t>TVV/VVT</w:t>
            </w:r>
            <w:r w:rsidR="008A0760" w:rsidRPr="00BD076C">
              <w:rPr>
                <w:rFonts w:ascii="Verdana" w:hAnsi="Verdana"/>
                <w:sz w:val="16"/>
                <w:szCs w:val="16"/>
                <w:lang w:val="en-US"/>
              </w:rPr>
              <w:t xml:space="preserve"> system capacity to achieve the valve timing or angle objective within a predefined tolerance of crank angle or</w:t>
            </w:r>
            <w:r w:rsidR="008A0760" w:rsidRPr="00BD076C">
              <w:rPr>
                <w:lang w:val="en-US"/>
              </w:rPr>
              <w:t xml:space="preserve"> </w:t>
            </w:r>
            <w:r w:rsidR="008A0760" w:rsidRPr="00BD076C">
              <w:rPr>
                <w:rFonts w:ascii="Verdana" w:hAnsi="Verdana"/>
                <w:sz w:val="16"/>
                <w:szCs w:val="16"/>
                <w:lang w:val="en-US"/>
              </w:rPr>
              <w:t>valve</w:t>
            </w:r>
            <w:r w:rsidR="008A0760" w:rsidRPr="00BD076C">
              <w:rPr>
                <w:lang w:val="en-US"/>
              </w:rPr>
              <w:t xml:space="preserve"> </w:t>
            </w:r>
            <w:r w:rsidR="008A0760" w:rsidRPr="00BD076C">
              <w:rPr>
                <w:rFonts w:ascii="Verdana" w:hAnsi="Verdana"/>
                <w:sz w:val="16"/>
                <w:szCs w:val="16"/>
                <w:lang w:val="en-US"/>
              </w:rPr>
              <w:t xml:space="preserve">stroke, which would cause the engine emissions to exceed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limits corresponding to "Other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 Monitors" in Table A.3., and</w:t>
            </w:r>
            <w:r w:rsidR="008A0760" w:rsidRPr="00BD076C">
              <w:rPr>
                <w:lang w:val="en-US"/>
              </w:rPr>
              <w:t xml:space="preserve"> </w:t>
            </w:r>
          </w:p>
        </w:tc>
      </w:tr>
      <w:tr w:rsidR="008A0760" w:rsidRPr="00743A20" w14:paraId="660323C8" w14:textId="77777777" w:rsidTr="00BD076C">
        <w:tc>
          <w:tcPr>
            <w:tcW w:w="4788" w:type="dxa"/>
            <w:shd w:val="clear" w:color="auto" w:fill="auto"/>
          </w:tcPr>
          <w:p w14:paraId="7397ADFF"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Respuesta lenta del sistema TVV/VVT. El sistema SDB/OBD deberá detectar mal funcionamiento antes de cualquier falla o deterioro de la capacidad del sistema TVV/VVT para alcanzar el objetivo de temporizado de válvulas o de ángulo de un tiempo (especificado por el fabricante), lo cual ocasionaría que las emisiones del motor excedieran los límites de emisión.</w:t>
            </w:r>
          </w:p>
        </w:tc>
        <w:tc>
          <w:tcPr>
            <w:tcW w:w="4788" w:type="dxa"/>
            <w:shd w:val="clear" w:color="auto" w:fill="auto"/>
          </w:tcPr>
          <w:p w14:paraId="1CFB0BD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sz w:val="16"/>
                <w:szCs w:val="16"/>
                <w:lang w:val="en-US"/>
              </w:rPr>
              <w:t xml:space="preserve">              Slow response of the </w:t>
            </w:r>
            <w:r w:rsidR="00BE1219">
              <w:rPr>
                <w:rFonts w:ascii="Verdana" w:hAnsi="Verdana"/>
                <w:sz w:val="16"/>
                <w:szCs w:val="16"/>
                <w:lang w:val="en-US"/>
              </w:rPr>
              <w:t>TVV/VVT</w:t>
            </w:r>
            <w:r w:rsidRPr="00BD076C">
              <w:rPr>
                <w:rFonts w:ascii="Verdana" w:hAnsi="Verdana"/>
                <w:sz w:val="16"/>
                <w:szCs w:val="16"/>
                <w:lang w:val="en-US"/>
              </w:rPr>
              <w:t xml:space="preserve"> system.</w:t>
            </w:r>
            <w:r w:rsidRPr="00BD076C">
              <w:rPr>
                <w:lang w:val="en-US"/>
              </w:rPr>
              <w:t xml:space="preserve"> </w:t>
            </w:r>
            <w:r w:rsidRPr="00BD076C">
              <w:rPr>
                <w:rFonts w:ascii="Verdana" w:hAnsi="Verdana"/>
                <w:sz w:val="16"/>
                <w:szCs w:val="16"/>
                <w:lang w:val="en-US"/>
              </w:rPr>
              <w:t xml:space="preserve">The </w:t>
            </w:r>
            <w:r w:rsidR="002D78B5" w:rsidRPr="00BD076C">
              <w:rPr>
                <w:rFonts w:ascii="Verdana" w:hAnsi="Verdana"/>
                <w:sz w:val="16"/>
                <w:szCs w:val="16"/>
                <w:lang w:val="en-US"/>
              </w:rPr>
              <w:t>SDB/OBD</w:t>
            </w:r>
            <w:r w:rsidRPr="00BD076C">
              <w:rPr>
                <w:rFonts w:ascii="Verdana" w:hAnsi="Verdana"/>
                <w:sz w:val="16"/>
                <w:szCs w:val="16"/>
                <w:lang w:val="en-US"/>
              </w:rPr>
              <w:t xml:space="preserve"> system must detect malfunction before any failure or deterioration of the </w:t>
            </w:r>
            <w:r w:rsidR="00BE1219">
              <w:rPr>
                <w:rFonts w:ascii="Verdana" w:hAnsi="Verdana"/>
                <w:sz w:val="16"/>
                <w:szCs w:val="16"/>
                <w:lang w:val="en-US"/>
              </w:rPr>
              <w:t>TVV/VVT</w:t>
            </w:r>
            <w:r w:rsidRPr="00BD076C">
              <w:rPr>
                <w:rFonts w:ascii="Verdana" w:hAnsi="Verdana"/>
                <w:sz w:val="16"/>
                <w:szCs w:val="16"/>
                <w:lang w:val="en-US"/>
              </w:rPr>
              <w:t xml:space="preserve"> system capacity to achieve the valve timing or angle of time objective (specified by the manufacturer), which would cause the emissions of the engine exceeded the emission limits.</w:t>
            </w:r>
            <w:r w:rsidRPr="00BD076C">
              <w:rPr>
                <w:lang w:val="en-US"/>
              </w:rPr>
              <w:t xml:space="preserve"> </w:t>
            </w:r>
          </w:p>
        </w:tc>
      </w:tr>
      <w:tr w:rsidR="008A0760" w:rsidRPr="00743A20" w14:paraId="0257C814" w14:textId="77777777" w:rsidTr="00BE1219">
        <w:trPr>
          <w:trHeight w:val="1197"/>
        </w:trPr>
        <w:tc>
          <w:tcPr>
            <w:tcW w:w="4788" w:type="dxa"/>
            <w:shd w:val="clear" w:color="auto" w:fill="auto"/>
          </w:tcPr>
          <w:p w14:paraId="21808B39"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A.7.2.4. Requisitos de monitoreo para motores que se utilizarán para la propulsión de vehículos automotores con peso bruto vehicular menor a 6,350 kilogramos y vehículos automotores equipados con este tipo de motor</w:t>
            </w:r>
          </w:p>
        </w:tc>
        <w:tc>
          <w:tcPr>
            <w:tcW w:w="4788" w:type="dxa"/>
            <w:shd w:val="clear" w:color="auto" w:fill="auto"/>
          </w:tcPr>
          <w:p w14:paraId="5B69BBD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A.7.2.4.</w:t>
            </w:r>
            <w:r w:rsidRPr="00BD076C">
              <w:rPr>
                <w:lang w:val="en-US"/>
              </w:rPr>
              <w:t xml:space="preserve"> </w:t>
            </w:r>
            <w:r w:rsidRPr="00BD076C">
              <w:rPr>
                <w:rFonts w:ascii="Verdana" w:hAnsi="Verdana"/>
                <w:b/>
                <w:bCs/>
                <w:sz w:val="16"/>
                <w:szCs w:val="16"/>
                <w:lang w:val="en-US"/>
              </w:rPr>
              <w:t>Monitoring requirements for engines that will be used for the propulsion of automotive vehicles with gross vehicle weight less than 6,350 kilograms and motor vehicles equipped with this type of engine</w:t>
            </w:r>
            <w:r w:rsidRPr="00BD076C">
              <w:rPr>
                <w:lang w:val="en-US"/>
              </w:rPr>
              <w:t xml:space="preserve"> </w:t>
            </w:r>
          </w:p>
        </w:tc>
      </w:tr>
      <w:tr w:rsidR="008A0760" w:rsidRPr="00743A20" w14:paraId="7AD69D80" w14:textId="77777777" w:rsidTr="00BD076C">
        <w:tc>
          <w:tcPr>
            <w:tcW w:w="4788" w:type="dxa"/>
            <w:shd w:val="clear" w:color="auto" w:fill="auto"/>
          </w:tcPr>
          <w:p w14:paraId="7CA357BE"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Reducción de la eficiencia del catalizador o mal funcionamiento antes de que genere emisiones de NOx provenientes del escape que excedan los límites SDB/OBD correspondientes en la Tabla A.4;</w:t>
            </w:r>
          </w:p>
        </w:tc>
        <w:tc>
          <w:tcPr>
            <w:tcW w:w="4788" w:type="dxa"/>
            <w:shd w:val="clear" w:color="auto" w:fill="auto"/>
          </w:tcPr>
          <w:p w14:paraId="216A01DF" w14:textId="77777777" w:rsidR="008A0760" w:rsidRPr="00BD076C" w:rsidRDefault="00BE1219"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xml:space="preserve">              Reduction of catalyst efficiency or malfunction before it generates NOx emissions from the exhaust that exceed the corresponding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limits in Table A.4;</w:t>
            </w:r>
            <w:r w:rsidR="008A0760" w:rsidRPr="00BD076C">
              <w:rPr>
                <w:lang w:val="en-US"/>
              </w:rPr>
              <w:t xml:space="preserve"> </w:t>
            </w:r>
          </w:p>
        </w:tc>
      </w:tr>
      <w:tr w:rsidR="008A0760" w:rsidRPr="00743A20" w14:paraId="4A348919" w14:textId="77777777" w:rsidTr="00BD076C">
        <w:tc>
          <w:tcPr>
            <w:tcW w:w="4788" w:type="dxa"/>
            <w:shd w:val="clear" w:color="auto" w:fill="auto"/>
          </w:tcPr>
          <w:p w14:paraId="1665415F"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El deterioro o mal funcionamiento del Catalizador de oxidación antes de que genere emisiones de HCNM provenientes del escape que excedan los límites SDB/OBD</w:t>
            </w:r>
            <w:r w:rsidRPr="00A57824">
              <w:rPr>
                <w:rFonts w:ascii="Verdana" w:hAnsi="Verdana"/>
                <w:b/>
                <w:sz w:val="16"/>
                <w:szCs w:val="16"/>
                <w:lang w:val="es-ES_tradnl"/>
              </w:rPr>
              <w:t xml:space="preserve"> </w:t>
            </w:r>
            <w:r w:rsidRPr="00A57824">
              <w:rPr>
                <w:rFonts w:ascii="Verdana" w:hAnsi="Verdana"/>
                <w:sz w:val="16"/>
                <w:szCs w:val="16"/>
                <w:lang w:val="es-ES_tradnl"/>
              </w:rPr>
              <w:t>correspondientes en la Tabla A.4;</w:t>
            </w:r>
          </w:p>
        </w:tc>
        <w:tc>
          <w:tcPr>
            <w:tcW w:w="4788" w:type="dxa"/>
            <w:shd w:val="clear" w:color="auto" w:fill="auto"/>
          </w:tcPr>
          <w:p w14:paraId="4589956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sz w:val="16"/>
                <w:szCs w:val="16"/>
                <w:lang w:val="en-US"/>
              </w:rPr>
              <w:t xml:space="preserve">              The deterioration or malfunction of the Oxidation Catalyst before it generates HCNM emissions from the exhaust that exceed the </w:t>
            </w:r>
            <w:r w:rsidR="002D78B5" w:rsidRPr="00BD076C">
              <w:rPr>
                <w:rFonts w:ascii="Verdana" w:hAnsi="Verdana"/>
                <w:sz w:val="16"/>
                <w:szCs w:val="16"/>
                <w:lang w:val="en-US"/>
              </w:rPr>
              <w:t>SDB/OBD</w:t>
            </w:r>
            <w:r w:rsidRPr="00BD076C">
              <w:rPr>
                <w:rFonts w:ascii="Verdana" w:hAnsi="Verdana"/>
                <w:sz w:val="16"/>
                <w:szCs w:val="16"/>
                <w:lang w:val="en-US"/>
              </w:rPr>
              <w:t xml:space="preserve"> limits</w:t>
            </w:r>
            <w:r w:rsidRPr="00BD076C">
              <w:rPr>
                <w:lang w:val="en-US"/>
              </w:rPr>
              <w:t xml:space="preserve"> </w:t>
            </w:r>
            <w:r w:rsidRPr="00BD076C">
              <w:rPr>
                <w:rFonts w:ascii="Verdana" w:hAnsi="Verdana"/>
                <w:sz w:val="16"/>
                <w:szCs w:val="16"/>
                <w:lang w:val="en-US"/>
              </w:rPr>
              <w:t>corresponding in Table A.4;</w:t>
            </w:r>
            <w:r w:rsidRPr="00BD076C">
              <w:rPr>
                <w:lang w:val="en-US"/>
              </w:rPr>
              <w:t xml:space="preserve"> </w:t>
            </w:r>
          </w:p>
        </w:tc>
      </w:tr>
      <w:tr w:rsidR="008A0760" w:rsidRPr="00743A20" w14:paraId="79D86D93" w14:textId="77777777" w:rsidTr="00BD076C">
        <w:tc>
          <w:tcPr>
            <w:tcW w:w="4788" w:type="dxa"/>
            <w:shd w:val="clear" w:color="auto" w:fill="auto"/>
          </w:tcPr>
          <w:p w14:paraId="5C7C5C45"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sz w:val="16"/>
                <w:szCs w:val="16"/>
                <w:lang w:val="es-ES_tradnl"/>
              </w:rPr>
              <w:tab/>
              <w:t>Si está equipado con un SFP/DPF, el dispositivo deberá detectar el deterioro o mal funcionamiento del SFP/DPF antes de que las emisiones provenientes del escape, excedan los límites de las emisiones SDB/OBD de partículas establecidos en la Tabla A.4;</w:t>
            </w:r>
          </w:p>
        </w:tc>
        <w:tc>
          <w:tcPr>
            <w:tcW w:w="4788" w:type="dxa"/>
            <w:shd w:val="clear" w:color="auto" w:fill="auto"/>
          </w:tcPr>
          <w:p w14:paraId="29ECBB4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sz w:val="16"/>
                <w:szCs w:val="16"/>
                <w:lang w:val="en-US"/>
              </w:rPr>
              <w:t xml:space="preserve">              If equipped with an </w:t>
            </w:r>
            <w:r w:rsidR="00F75D61" w:rsidRPr="00BD076C">
              <w:rPr>
                <w:rFonts w:ascii="Verdana" w:hAnsi="Verdana"/>
                <w:sz w:val="16"/>
                <w:szCs w:val="16"/>
                <w:lang w:val="en-US"/>
              </w:rPr>
              <w:t>SFP/DPF</w:t>
            </w:r>
            <w:r w:rsidRPr="00BD076C">
              <w:rPr>
                <w:rFonts w:ascii="Verdana" w:hAnsi="Verdana"/>
                <w:sz w:val="16"/>
                <w:szCs w:val="16"/>
                <w:lang w:val="en-US"/>
              </w:rPr>
              <w:t xml:space="preserve">, the device should detect the deterioration or malfunction of the </w:t>
            </w:r>
            <w:r w:rsidR="00F75D61" w:rsidRPr="00BD076C">
              <w:rPr>
                <w:rFonts w:ascii="Verdana" w:hAnsi="Verdana"/>
                <w:sz w:val="16"/>
                <w:szCs w:val="16"/>
                <w:lang w:val="en-US"/>
              </w:rPr>
              <w:t>SFP/DPF</w:t>
            </w:r>
            <w:r w:rsidRPr="00BD076C">
              <w:rPr>
                <w:rFonts w:ascii="Verdana" w:hAnsi="Verdana"/>
                <w:sz w:val="16"/>
                <w:szCs w:val="16"/>
                <w:lang w:val="en-US"/>
              </w:rPr>
              <w:t xml:space="preserve"> before emissions from the exhaust exceed the limits of the </w:t>
            </w:r>
            <w:r w:rsidR="002D78B5" w:rsidRPr="00BD076C">
              <w:rPr>
                <w:rFonts w:ascii="Verdana" w:hAnsi="Verdana"/>
                <w:sz w:val="16"/>
                <w:szCs w:val="16"/>
                <w:lang w:val="en-US"/>
              </w:rPr>
              <w:t>SDB/OBD</w:t>
            </w:r>
            <w:r w:rsidRPr="00BD076C">
              <w:rPr>
                <w:rFonts w:ascii="Verdana" w:hAnsi="Verdana"/>
                <w:sz w:val="16"/>
                <w:szCs w:val="16"/>
                <w:lang w:val="en-US"/>
              </w:rPr>
              <w:t xml:space="preserve"> emission of particles set out in Table A.4;</w:t>
            </w:r>
            <w:r w:rsidRPr="00BD076C">
              <w:rPr>
                <w:lang w:val="en-US"/>
              </w:rPr>
              <w:t xml:space="preserve"> </w:t>
            </w:r>
          </w:p>
        </w:tc>
      </w:tr>
      <w:tr w:rsidR="008A0760" w:rsidRPr="00743A20" w14:paraId="5B1C385D" w14:textId="77777777" w:rsidTr="00BD076C">
        <w:tc>
          <w:tcPr>
            <w:tcW w:w="4788" w:type="dxa"/>
            <w:shd w:val="clear" w:color="auto" w:fill="auto"/>
          </w:tcPr>
          <w:p w14:paraId="7EF08CBF"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sz w:val="16"/>
                <w:szCs w:val="16"/>
                <w:lang w:val="es-ES_tradnl"/>
              </w:rPr>
              <w:tab/>
              <w:t>La falla de encendido del motor. La falta de combustión del cilindro deberá ser detectada;</w:t>
            </w:r>
          </w:p>
        </w:tc>
        <w:tc>
          <w:tcPr>
            <w:tcW w:w="4788" w:type="dxa"/>
            <w:shd w:val="clear" w:color="auto" w:fill="auto"/>
          </w:tcPr>
          <w:p w14:paraId="6D546E6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sz w:val="16"/>
                <w:szCs w:val="16"/>
                <w:lang w:val="en-US"/>
              </w:rPr>
              <w:t>              The ignition failure of the engine.</w:t>
            </w:r>
            <w:r w:rsidRPr="00BD076C">
              <w:rPr>
                <w:lang w:val="en-US"/>
              </w:rPr>
              <w:t xml:space="preserve"> </w:t>
            </w:r>
            <w:r w:rsidRPr="00BD076C">
              <w:rPr>
                <w:rFonts w:ascii="Verdana" w:hAnsi="Verdana"/>
                <w:sz w:val="16"/>
                <w:szCs w:val="16"/>
                <w:lang w:val="en-US"/>
              </w:rPr>
              <w:t>The lack of cylinder combustion must be detected;</w:t>
            </w:r>
            <w:r w:rsidRPr="00BD076C">
              <w:rPr>
                <w:lang w:val="en-US"/>
              </w:rPr>
              <w:t xml:space="preserve"> </w:t>
            </w:r>
          </w:p>
        </w:tc>
      </w:tr>
      <w:tr w:rsidR="008A0760" w:rsidRPr="00743A20" w14:paraId="29659F21" w14:textId="77777777" w:rsidTr="00BD076C">
        <w:tc>
          <w:tcPr>
            <w:tcW w:w="4788" w:type="dxa"/>
            <w:shd w:val="clear" w:color="auto" w:fill="auto"/>
          </w:tcPr>
          <w:p w14:paraId="64AB249F"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e.</w:t>
            </w:r>
            <w:r w:rsidRPr="00A57824">
              <w:rPr>
                <w:rFonts w:ascii="Verdana" w:hAnsi="Verdana"/>
                <w:sz w:val="16"/>
                <w:szCs w:val="16"/>
                <w:lang w:val="es-ES_tradnl"/>
              </w:rPr>
              <w:tab/>
              <w:t>Sensores de los gases de escape-Sensores de mezcla aire/combustible antes de dispositivos post-tratamiento. El deterioro o mal funcionamiento como resultado de las emisiones de escape que superen los límites SDB/OBD correspondientes en la Tabla A.4;</w:t>
            </w:r>
          </w:p>
        </w:tc>
        <w:tc>
          <w:tcPr>
            <w:tcW w:w="4788" w:type="dxa"/>
            <w:shd w:val="clear" w:color="auto" w:fill="auto"/>
          </w:tcPr>
          <w:p w14:paraId="14A8C3A0" w14:textId="77777777" w:rsidR="008A0760" w:rsidRPr="00BD076C" w:rsidRDefault="00BE1219" w:rsidP="00BD076C">
            <w:pPr>
              <w:spacing w:after="101" w:line="276" w:lineRule="auto"/>
              <w:jc w:val="both"/>
              <w:rPr>
                <w:lang w:val="en-US"/>
              </w:rPr>
            </w:pPr>
            <w:r>
              <w:rPr>
                <w:rFonts w:ascii="Verdana" w:hAnsi="Verdana"/>
                <w:b/>
                <w:bCs/>
                <w:sz w:val="16"/>
                <w:szCs w:val="16"/>
                <w:lang w:val="en-US"/>
              </w:rPr>
              <w:t>e</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Exhaust gas sensors-Air/fuel mixture sensors before post-treatment devices.</w:t>
            </w:r>
            <w:r w:rsidR="008A0760" w:rsidRPr="00BD076C">
              <w:rPr>
                <w:lang w:val="en-US"/>
              </w:rPr>
              <w:t xml:space="preserve"> </w:t>
            </w:r>
            <w:r w:rsidR="008A0760" w:rsidRPr="00BD076C">
              <w:rPr>
                <w:rFonts w:ascii="Verdana" w:hAnsi="Verdana"/>
                <w:sz w:val="16"/>
                <w:szCs w:val="16"/>
                <w:lang w:val="en-US"/>
              </w:rPr>
              <w:t xml:space="preserve">The deterioration or malfunction as a result of exhaust emissions exceeding the corresponding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limits in Table A.4;</w:t>
            </w:r>
            <w:r w:rsidR="008A0760" w:rsidRPr="00BD076C">
              <w:rPr>
                <w:lang w:val="en-US"/>
              </w:rPr>
              <w:t xml:space="preserve"> </w:t>
            </w:r>
          </w:p>
        </w:tc>
      </w:tr>
      <w:tr w:rsidR="008A0760" w:rsidRPr="00743A20" w14:paraId="07360A64" w14:textId="77777777" w:rsidTr="00BD076C">
        <w:tc>
          <w:tcPr>
            <w:tcW w:w="4788" w:type="dxa"/>
            <w:shd w:val="clear" w:color="auto" w:fill="auto"/>
          </w:tcPr>
          <w:p w14:paraId="3A966BD6"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f.</w:t>
            </w:r>
            <w:r w:rsidRPr="00A57824">
              <w:rPr>
                <w:rFonts w:ascii="Verdana" w:hAnsi="Verdana"/>
                <w:sz w:val="16"/>
                <w:szCs w:val="16"/>
                <w:lang w:val="es-ES_tradnl"/>
              </w:rPr>
              <w:tab/>
              <w:t>Sensor de NOx. Se deberá identificar el mal funcionamiento como resultado de las emisiones de escape que superen cualquiera de los límites SDB/OBD;</w:t>
            </w:r>
          </w:p>
        </w:tc>
        <w:tc>
          <w:tcPr>
            <w:tcW w:w="4788" w:type="dxa"/>
            <w:shd w:val="clear" w:color="auto" w:fill="auto"/>
          </w:tcPr>
          <w:p w14:paraId="37B3C915" w14:textId="77777777" w:rsidR="008A0760" w:rsidRPr="00BD076C" w:rsidRDefault="00BE1219" w:rsidP="00BD076C">
            <w:pPr>
              <w:spacing w:after="101" w:line="276" w:lineRule="auto"/>
              <w:jc w:val="both"/>
              <w:rPr>
                <w:lang w:val="en-US"/>
              </w:rPr>
            </w:pPr>
            <w:r>
              <w:rPr>
                <w:rFonts w:ascii="Verdana" w:hAnsi="Verdana"/>
                <w:b/>
                <w:bCs/>
                <w:sz w:val="16"/>
                <w:szCs w:val="16"/>
                <w:lang w:val="en-US"/>
              </w:rPr>
              <w:t>f</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NOx sensor.</w:t>
            </w:r>
            <w:r w:rsidR="008A0760" w:rsidRPr="00BD076C">
              <w:rPr>
                <w:lang w:val="en-US"/>
              </w:rPr>
              <w:t xml:space="preserve"> </w:t>
            </w:r>
            <w:r w:rsidR="008A0760" w:rsidRPr="00BD076C">
              <w:rPr>
                <w:rFonts w:ascii="Verdana" w:hAnsi="Verdana"/>
                <w:sz w:val="16"/>
                <w:szCs w:val="16"/>
                <w:lang w:val="en-US"/>
              </w:rPr>
              <w:t xml:space="preserve">Malfunction should be identified as a result of exhaust emissions exceeding any of the </w:t>
            </w:r>
            <w:r w:rsidR="002D78B5" w:rsidRPr="00BD076C">
              <w:rPr>
                <w:rFonts w:ascii="Verdana" w:hAnsi="Verdana"/>
                <w:sz w:val="16"/>
                <w:szCs w:val="16"/>
                <w:lang w:val="en-US"/>
              </w:rPr>
              <w:t>SDB/OBD</w:t>
            </w:r>
            <w:r w:rsidR="008A0760" w:rsidRPr="00BD076C">
              <w:rPr>
                <w:rFonts w:ascii="Verdana" w:hAnsi="Verdana"/>
                <w:sz w:val="16"/>
                <w:szCs w:val="16"/>
                <w:lang w:val="en-US"/>
              </w:rPr>
              <w:t xml:space="preserve"> limits;</w:t>
            </w:r>
            <w:r w:rsidR="008A0760" w:rsidRPr="00BD076C">
              <w:rPr>
                <w:lang w:val="en-US"/>
              </w:rPr>
              <w:t xml:space="preserve"> </w:t>
            </w:r>
          </w:p>
        </w:tc>
      </w:tr>
      <w:tr w:rsidR="008A0760" w:rsidRPr="00743A20" w14:paraId="012DD1F7" w14:textId="77777777" w:rsidTr="00BD076C">
        <w:tc>
          <w:tcPr>
            <w:tcW w:w="4788" w:type="dxa"/>
            <w:shd w:val="clear" w:color="auto" w:fill="auto"/>
          </w:tcPr>
          <w:p w14:paraId="3F39570D"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g.</w:t>
            </w:r>
            <w:r w:rsidRPr="00A57824">
              <w:rPr>
                <w:rFonts w:ascii="Verdana" w:hAnsi="Verdana"/>
                <w:b/>
                <w:sz w:val="16"/>
                <w:szCs w:val="16"/>
                <w:lang w:val="es-ES_tradnl"/>
              </w:rPr>
              <w:tab/>
            </w:r>
            <w:r w:rsidRPr="00A57824">
              <w:rPr>
                <w:rFonts w:ascii="Verdana" w:hAnsi="Verdana"/>
                <w:sz w:val="16"/>
                <w:szCs w:val="16"/>
                <w:lang w:val="es-ES_tradnl"/>
              </w:rPr>
              <w:t>Otros sistemas de control de emisiones y componentes-sistema SRG/EGR y sistema de inyección de combustible: Cualquier deterioro o mal funcionamiento que se produzca en un sistema o componente del motor destinado al control de las emisiones, incluyendo, pero sin limitarse a la recirculación de los gases de escape (SRG/EGR) y al sistema de control de combustible, que resulte en emisiones de escape que superen cualquiera de los límites SDB/OBD en la Tabla A.4, y</w:t>
            </w:r>
          </w:p>
        </w:tc>
        <w:tc>
          <w:tcPr>
            <w:tcW w:w="4788" w:type="dxa"/>
            <w:shd w:val="clear" w:color="auto" w:fill="auto"/>
          </w:tcPr>
          <w:p w14:paraId="15CD547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g.</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Other emission control systems and components-</w:t>
            </w:r>
            <w:r w:rsidR="00F75D61" w:rsidRPr="00BD076C">
              <w:rPr>
                <w:rFonts w:ascii="Verdana" w:hAnsi="Verdana"/>
                <w:sz w:val="16"/>
                <w:szCs w:val="16"/>
                <w:lang w:val="en-US"/>
              </w:rPr>
              <w:t>SRG/EGR</w:t>
            </w:r>
            <w:r w:rsidRPr="00BD076C">
              <w:rPr>
                <w:rFonts w:ascii="Verdana" w:hAnsi="Verdana"/>
                <w:sz w:val="16"/>
                <w:szCs w:val="16"/>
                <w:lang w:val="en-US"/>
              </w:rPr>
              <w:t xml:space="preserve"> system and fuel injection system: Any deterioration or malfunction that occurs in a system or component of the engine intended to control emissions, including, but not limited to recirculation of exhaust gas (</w:t>
            </w:r>
            <w:r w:rsidR="00F75D61" w:rsidRPr="00BD076C">
              <w:rPr>
                <w:rFonts w:ascii="Verdana" w:hAnsi="Verdana"/>
                <w:sz w:val="16"/>
                <w:szCs w:val="16"/>
                <w:lang w:val="en-US"/>
              </w:rPr>
              <w:t>SRG/EGR</w:t>
            </w:r>
            <w:r w:rsidRPr="00BD076C">
              <w:rPr>
                <w:rFonts w:ascii="Verdana" w:hAnsi="Verdana"/>
                <w:sz w:val="16"/>
                <w:szCs w:val="16"/>
                <w:lang w:val="en-US"/>
              </w:rPr>
              <w:t>) and the fuel control system, resulting in</w:t>
            </w:r>
            <w:r w:rsidRPr="00BD076C">
              <w:rPr>
                <w:lang w:val="en-US"/>
              </w:rPr>
              <w:t xml:space="preserve"> </w:t>
            </w:r>
            <w:r w:rsidRPr="00BD076C">
              <w:rPr>
                <w:rFonts w:ascii="Verdana" w:hAnsi="Verdana"/>
                <w:sz w:val="16"/>
                <w:szCs w:val="16"/>
                <w:lang w:val="en-US"/>
              </w:rPr>
              <w:t xml:space="preserve">exhaust emissions exceeding any of the </w:t>
            </w:r>
            <w:r w:rsidR="002D78B5" w:rsidRPr="00BD076C">
              <w:rPr>
                <w:rFonts w:ascii="Verdana" w:hAnsi="Verdana"/>
                <w:sz w:val="16"/>
                <w:szCs w:val="16"/>
                <w:lang w:val="en-US"/>
              </w:rPr>
              <w:t>SDB/OBD</w:t>
            </w:r>
            <w:r w:rsidRPr="00BD076C">
              <w:rPr>
                <w:rFonts w:ascii="Verdana" w:hAnsi="Verdana"/>
                <w:sz w:val="16"/>
                <w:szCs w:val="16"/>
                <w:lang w:val="en-US"/>
              </w:rPr>
              <w:t xml:space="preserve"> limits in Table A.4, and</w:t>
            </w:r>
            <w:r w:rsidRPr="00BD076C">
              <w:rPr>
                <w:lang w:val="en-US"/>
              </w:rPr>
              <w:t xml:space="preserve"> </w:t>
            </w:r>
          </w:p>
        </w:tc>
      </w:tr>
      <w:tr w:rsidR="008A0760" w:rsidRPr="00743A20" w14:paraId="317A4FA2" w14:textId="77777777" w:rsidTr="00BD076C">
        <w:tc>
          <w:tcPr>
            <w:tcW w:w="4788" w:type="dxa"/>
            <w:shd w:val="clear" w:color="auto" w:fill="auto"/>
          </w:tcPr>
          <w:p w14:paraId="55DCB2D1"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h.</w:t>
            </w:r>
            <w:r w:rsidRPr="00A57824">
              <w:rPr>
                <w:rFonts w:ascii="Verdana" w:hAnsi="Verdana"/>
                <w:sz w:val="16"/>
                <w:szCs w:val="16"/>
                <w:lang w:val="es-ES_tradnl"/>
              </w:rPr>
              <w:tab/>
              <w:t>Otros componentes del motor relacionados con las emisiones. Cualquier otro deterioro o mal funcionamiento en un sistema del motor relacionado con las emisiones y no indicado anteriormente o componente electrónico que proporcione señal de entrada o que reciba comandos desde la computadora a bordo y que tenga un impacto medible en las emisiones, deberán ser monitoreados mediante el empleo de pruebas de continuidad de circuitos eléctricos y los controles de racionalidad para componentes electrónicos de entrada (valores de entrada dentro de rangos basados en otros parámetros operativos disponibles especificados por el fabricante), así como monitoreos de funcionalidad de los componentes electrónicos de salida (respuesta funcional adecuada a los comandos de la computadora), excepto cuando dicha comprobación de racionalidad o funcionalidad sea demostrada como inviable, por el fabricante.</w:t>
            </w:r>
          </w:p>
        </w:tc>
        <w:tc>
          <w:tcPr>
            <w:tcW w:w="4788" w:type="dxa"/>
            <w:shd w:val="clear" w:color="auto" w:fill="auto"/>
          </w:tcPr>
          <w:p w14:paraId="0EC4DDB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h.</w:t>
            </w:r>
            <w:r w:rsidRPr="00BD076C">
              <w:rPr>
                <w:lang w:val="en-US"/>
              </w:rPr>
              <w:t xml:space="preserve"> </w:t>
            </w:r>
            <w:r w:rsidRPr="00BD076C">
              <w:rPr>
                <w:rFonts w:ascii="Verdana" w:hAnsi="Verdana"/>
                <w:sz w:val="16"/>
                <w:szCs w:val="16"/>
                <w:lang w:val="en-US"/>
              </w:rPr>
              <w:t>              Other engine components related to emissions.</w:t>
            </w:r>
            <w:r w:rsidRPr="00BD076C">
              <w:rPr>
                <w:lang w:val="en-US"/>
              </w:rPr>
              <w:t xml:space="preserve"> </w:t>
            </w:r>
            <w:r w:rsidRPr="00BD076C">
              <w:rPr>
                <w:rFonts w:ascii="Verdana" w:hAnsi="Verdana"/>
                <w:sz w:val="16"/>
                <w:szCs w:val="16"/>
                <w:lang w:val="en-US"/>
              </w:rPr>
              <w:t xml:space="preserve">Any other deterioration or malfunction in an engine system related to the emissions and not indicated above or electronic component that provides input signal or that receives commands from the on-board computer and that has a measurable impact on emissions, should be monitored by means of the use of continuity tests of electrical circuits and rationality controls for electronic input components (input values </w:t>
            </w:r>
            <w:r w:rsidRPr="00BD076C">
              <w:rPr>
                <w:rFonts w:ascii="Arial" w:hAnsi="Arial" w:cs="Arial"/>
                <w:sz w:val="16"/>
                <w:szCs w:val="16"/>
                <w:lang w:val="en-US"/>
              </w:rPr>
              <w:t>​​</w:t>
            </w:r>
            <w:r w:rsidRPr="00BD076C">
              <w:rPr>
                <w:rFonts w:ascii="Verdana" w:hAnsi="Verdana"/>
                <w:sz w:val="16"/>
                <w:szCs w:val="16"/>
                <w:lang w:val="en-US"/>
              </w:rPr>
              <w:t>within ranges based on other available operating parameters specified by the manufacturer), as well as functionality monitoring of electronic output components (adequate functional response to the commands of the computer), except when said verification of rationality or functionality is proved unfeasible, by the manufacturer.</w:t>
            </w:r>
            <w:r w:rsidRPr="00BD076C">
              <w:rPr>
                <w:lang w:val="en-US"/>
              </w:rPr>
              <w:t xml:space="preserve"> </w:t>
            </w:r>
          </w:p>
        </w:tc>
      </w:tr>
      <w:tr w:rsidR="008A0760" w:rsidRPr="00A57824" w14:paraId="12BDCBDA" w14:textId="77777777" w:rsidTr="00BD076C">
        <w:tc>
          <w:tcPr>
            <w:tcW w:w="4788" w:type="dxa"/>
            <w:shd w:val="clear" w:color="auto" w:fill="auto"/>
          </w:tcPr>
          <w:p w14:paraId="3C4DBC63" w14:textId="77777777" w:rsidR="008A0760" w:rsidRPr="00A57824" w:rsidRDefault="008A0760" w:rsidP="00BD076C">
            <w:pPr>
              <w:pStyle w:val="ANOTACION"/>
              <w:spacing w:line="276" w:lineRule="auto"/>
              <w:rPr>
                <w:rFonts w:ascii="Verdana" w:hAnsi="Verdana"/>
                <w:sz w:val="16"/>
                <w:szCs w:val="16"/>
              </w:rPr>
            </w:pPr>
            <w:r w:rsidRPr="00A57824">
              <w:rPr>
                <w:rFonts w:ascii="Verdana" w:hAnsi="Verdana"/>
                <w:sz w:val="16"/>
                <w:szCs w:val="16"/>
              </w:rPr>
              <w:t>APÉNDICE B</w:t>
            </w:r>
          </w:p>
        </w:tc>
        <w:tc>
          <w:tcPr>
            <w:tcW w:w="4788" w:type="dxa"/>
            <w:shd w:val="clear" w:color="auto" w:fill="auto"/>
          </w:tcPr>
          <w:p w14:paraId="0D410732" w14:textId="77777777" w:rsidR="008A0760" w:rsidRPr="00BD076C" w:rsidRDefault="008A0760" w:rsidP="00BD076C">
            <w:pPr>
              <w:spacing w:before="101" w:after="101" w:line="276" w:lineRule="auto"/>
              <w:jc w:val="center"/>
              <w:rPr>
                <w:lang w:val="en-US"/>
              </w:rPr>
            </w:pPr>
            <w:r w:rsidRPr="00BD076C">
              <w:rPr>
                <w:rFonts w:ascii="Verdana" w:hAnsi="Verdana"/>
                <w:b/>
                <w:bCs/>
                <w:sz w:val="16"/>
                <w:szCs w:val="16"/>
                <w:lang w:val="en-US"/>
              </w:rPr>
              <w:t>APPENDIX B</w:t>
            </w:r>
            <w:r w:rsidRPr="00BD076C">
              <w:rPr>
                <w:lang w:val="en-US"/>
              </w:rPr>
              <w:t xml:space="preserve"> </w:t>
            </w:r>
          </w:p>
        </w:tc>
      </w:tr>
      <w:tr w:rsidR="008A0760" w:rsidRPr="00A57824" w14:paraId="37F1A3F7" w14:textId="77777777" w:rsidTr="00BD076C">
        <w:tc>
          <w:tcPr>
            <w:tcW w:w="4788" w:type="dxa"/>
            <w:shd w:val="clear" w:color="auto" w:fill="auto"/>
          </w:tcPr>
          <w:p w14:paraId="16423700" w14:textId="77777777" w:rsidR="008A0760" w:rsidRPr="00A57824" w:rsidRDefault="008A0760" w:rsidP="00BD076C">
            <w:pPr>
              <w:pStyle w:val="ANOTACION"/>
              <w:spacing w:line="276" w:lineRule="auto"/>
              <w:rPr>
                <w:rFonts w:ascii="Verdana" w:hAnsi="Verdana"/>
                <w:sz w:val="16"/>
                <w:szCs w:val="16"/>
              </w:rPr>
            </w:pPr>
            <w:r w:rsidRPr="00A57824">
              <w:rPr>
                <w:rFonts w:ascii="Verdana" w:hAnsi="Verdana"/>
                <w:sz w:val="16"/>
                <w:szCs w:val="16"/>
              </w:rPr>
              <w:t>NORMATIVO</w:t>
            </w:r>
          </w:p>
        </w:tc>
        <w:tc>
          <w:tcPr>
            <w:tcW w:w="4788" w:type="dxa"/>
            <w:shd w:val="clear" w:color="auto" w:fill="auto"/>
          </w:tcPr>
          <w:p w14:paraId="0544B573" w14:textId="77777777" w:rsidR="008A0760" w:rsidRPr="00BD076C" w:rsidRDefault="00A341BE" w:rsidP="00BD076C">
            <w:pPr>
              <w:spacing w:before="101" w:after="101" w:line="276" w:lineRule="auto"/>
              <w:jc w:val="center"/>
              <w:rPr>
                <w:lang w:val="en-US"/>
              </w:rPr>
            </w:pPr>
            <w:r w:rsidRPr="00BD076C">
              <w:rPr>
                <w:rFonts w:ascii="Verdana" w:hAnsi="Verdana"/>
                <w:b/>
                <w:bCs/>
                <w:sz w:val="16"/>
                <w:szCs w:val="16"/>
                <w:lang w:val="en-US"/>
              </w:rPr>
              <w:t>MANDATORY</w:t>
            </w:r>
            <w:r w:rsidR="008A0760" w:rsidRPr="00BD076C">
              <w:rPr>
                <w:lang w:val="en-US"/>
              </w:rPr>
              <w:t xml:space="preserve"> </w:t>
            </w:r>
          </w:p>
        </w:tc>
      </w:tr>
      <w:tr w:rsidR="008A0760" w:rsidRPr="00743A20" w14:paraId="7448139D" w14:textId="77777777" w:rsidTr="00BD076C">
        <w:tc>
          <w:tcPr>
            <w:tcW w:w="4788" w:type="dxa"/>
            <w:shd w:val="clear" w:color="auto" w:fill="auto"/>
          </w:tcPr>
          <w:p w14:paraId="4C2C147F" w14:textId="77777777" w:rsidR="008A0760" w:rsidRPr="00A57824" w:rsidRDefault="008A0760" w:rsidP="00BD076C">
            <w:pPr>
              <w:pStyle w:val="Texto"/>
              <w:spacing w:line="276" w:lineRule="auto"/>
              <w:ind w:firstLine="0"/>
              <w:jc w:val="center"/>
              <w:rPr>
                <w:rFonts w:ascii="Verdana" w:hAnsi="Verdana"/>
                <w:sz w:val="16"/>
                <w:szCs w:val="16"/>
                <w:lang w:val="es-ES_tradnl"/>
              </w:rPr>
            </w:pPr>
            <w:r w:rsidRPr="00A57824">
              <w:rPr>
                <w:rFonts w:ascii="Verdana" w:hAnsi="Verdana"/>
                <w:b/>
                <w:sz w:val="16"/>
                <w:szCs w:val="16"/>
                <w:lang w:val="es-ES_tradnl"/>
              </w:rPr>
              <w:t>Características técnicas para el Sistema de Control de NOx</w:t>
            </w:r>
          </w:p>
        </w:tc>
        <w:tc>
          <w:tcPr>
            <w:tcW w:w="4788" w:type="dxa"/>
            <w:shd w:val="clear" w:color="auto" w:fill="auto"/>
          </w:tcPr>
          <w:p w14:paraId="521B16D7" w14:textId="77777777" w:rsidR="008A0760" w:rsidRPr="00BD076C" w:rsidRDefault="008A0760" w:rsidP="00BD076C">
            <w:pPr>
              <w:spacing w:after="101" w:line="276" w:lineRule="auto"/>
              <w:jc w:val="center"/>
              <w:rPr>
                <w:lang w:val="en-US"/>
              </w:rPr>
            </w:pPr>
            <w:r w:rsidRPr="00BD076C">
              <w:rPr>
                <w:rFonts w:ascii="Verdana" w:hAnsi="Verdana"/>
                <w:b/>
                <w:bCs/>
                <w:sz w:val="16"/>
                <w:szCs w:val="16"/>
                <w:lang w:val="en-US"/>
              </w:rPr>
              <w:t>Technical characteristics for the NOx Control System</w:t>
            </w:r>
            <w:r w:rsidRPr="00BD076C">
              <w:rPr>
                <w:lang w:val="en-US"/>
              </w:rPr>
              <w:t xml:space="preserve"> </w:t>
            </w:r>
          </w:p>
        </w:tc>
      </w:tr>
      <w:tr w:rsidR="008A0760" w:rsidRPr="00743A20" w14:paraId="061ED523" w14:textId="77777777" w:rsidTr="00BD076C">
        <w:tc>
          <w:tcPr>
            <w:tcW w:w="4788" w:type="dxa"/>
            <w:shd w:val="clear" w:color="auto" w:fill="auto"/>
          </w:tcPr>
          <w:p w14:paraId="0C256241"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 Sistema de post-tratamiento de emisiones y limitación del funcionamiento normal del motor</w:t>
            </w:r>
          </w:p>
        </w:tc>
        <w:tc>
          <w:tcPr>
            <w:tcW w:w="4788" w:type="dxa"/>
            <w:shd w:val="clear" w:color="auto" w:fill="auto"/>
          </w:tcPr>
          <w:p w14:paraId="1137009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w:t>
            </w:r>
            <w:r w:rsidRPr="00BD076C">
              <w:rPr>
                <w:lang w:val="en-US"/>
              </w:rPr>
              <w:t xml:space="preserve"> </w:t>
            </w:r>
            <w:r w:rsidRPr="00BD076C">
              <w:rPr>
                <w:rFonts w:ascii="Verdana" w:hAnsi="Verdana"/>
                <w:b/>
                <w:bCs/>
                <w:sz w:val="16"/>
                <w:szCs w:val="16"/>
                <w:lang w:val="en-US"/>
              </w:rPr>
              <w:t>Post-treatment system of emissions and limitation of the normal operation of the engine</w:t>
            </w:r>
            <w:r w:rsidRPr="00BD076C">
              <w:rPr>
                <w:lang w:val="en-US"/>
              </w:rPr>
              <w:t xml:space="preserve"> </w:t>
            </w:r>
          </w:p>
        </w:tc>
      </w:tr>
      <w:tr w:rsidR="008A0760" w:rsidRPr="00743A20" w14:paraId="4A24D5D1" w14:textId="77777777" w:rsidTr="00BD076C">
        <w:tc>
          <w:tcPr>
            <w:tcW w:w="4788" w:type="dxa"/>
            <w:shd w:val="clear" w:color="auto" w:fill="auto"/>
          </w:tcPr>
          <w:p w14:paraId="67E3543D"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En esta sección se presentan los requisitos para vigilar el funcionamiento correcto de las medidas de control de NOx. Asimismo, se incluyen los requisitos aplicables a los vehículos automotores nuevos que recurren al uso de los reactivos para reducir las emisiones.</w:t>
            </w:r>
          </w:p>
        </w:tc>
        <w:tc>
          <w:tcPr>
            <w:tcW w:w="4788" w:type="dxa"/>
            <w:shd w:val="clear" w:color="auto" w:fill="auto"/>
          </w:tcPr>
          <w:p w14:paraId="17238EAA"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This section presents the requirements to monitor the correct operation of NOx control measures.</w:t>
            </w:r>
            <w:r w:rsidRPr="00BD076C">
              <w:rPr>
                <w:lang w:val="en-US"/>
              </w:rPr>
              <w:t xml:space="preserve"> </w:t>
            </w:r>
            <w:r w:rsidRPr="00BD076C">
              <w:rPr>
                <w:rFonts w:ascii="Verdana" w:hAnsi="Verdana"/>
                <w:sz w:val="16"/>
                <w:szCs w:val="16"/>
                <w:lang w:val="en-US"/>
              </w:rPr>
              <w:t>The requirements applicable to new motor vehicles that use reagents to reduce emissions are also included.</w:t>
            </w:r>
            <w:r w:rsidRPr="00BD076C">
              <w:rPr>
                <w:lang w:val="en-US"/>
              </w:rPr>
              <w:t xml:space="preserve"> </w:t>
            </w:r>
          </w:p>
        </w:tc>
      </w:tr>
      <w:tr w:rsidR="008A0760" w:rsidRPr="00743A20" w14:paraId="6DCD9E0F" w14:textId="77777777" w:rsidTr="00BD076C">
        <w:tc>
          <w:tcPr>
            <w:tcW w:w="4788" w:type="dxa"/>
            <w:shd w:val="clear" w:color="auto" w:fill="auto"/>
          </w:tcPr>
          <w:p w14:paraId="022B8666"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 xml:space="preserve">B.1.1. </w:t>
            </w:r>
            <w:r w:rsidRPr="00A57824">
              <w:rPr>
                <w:rFonts w:ascii="Verdana" w:hAnsi="Verdana"/>
                <w:sz w:val="16"/>
                <w:szCs w:val="16"/>
                <w:lang w:val="es-ES_tradnl"/>
              </w:rPr>
              <w:t>El fabricante deberá proporcionar la información que describa de manera completa las características de funcionamiento del motor y del sistema de post-tratamiento.</w:t>
            </w:r>
          </w:p>
        </w:tc>
        <w:tc>
          <w:tcPr>
            <w:tcW w:w="4788" w:type="dxa"/>
            <w:shd w:val="clear" w:color="auto" w:fill="auto"/>
          </w:tcPr>
          <w:p w14:paraId="5ACFB7D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B.1.1.</w:t>
            </w:r>
            <w:r w:rsidRPr="00BD076C">
              <w:rPr>
                <w:lang w:val="en-US"/>
              </w:rPr>
              <w:t xml:space="preserve"> </w:t>
            </w:r>
            <w:r w:rsidRPr="00BD076C">
              <w:rPr>
                <w:rFonts w:ascii="Verdana" w:hAnsi="Verdana"/>
                <w:sz w:val="16"/>
                <w:szCs w:val="16"/>
                <w:lang w:val="en-US"/>
              </w:rPr>
              <w:t>The manufacturer shall provide the information that fully describes the performance characteristics of the engine and the post-treatment system.</w:t>
            </w:r>
            <w:r w:rsidRPr="00BD076C">
              <w:rPr>
                <w:lang w:val="en-US"/>
              </w:rPr>
              <w:t xml:space="preserve"> </w:t>
            </w:r>
          </w:p>
        </w:tc>
      </w:tr>
      <w:tr w:rsidR="008A0760" w:rsidRPr="00743A20" w14:paraId="00C7BB97" w14:textId="77777777" w:rsidTr="00BD076C">
        <w:tc>
          <w:tcPr>
            <w:tcW w:w="4788" w:type="dxa"/>
            <w:shd w:val="clear" w:color="auto" w:fill="auto"/>
          </w:tcPr>
          <w:p w14:paraId="04359133"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B.1.2.</w:t>
            </w:r>
            <w:r w:rsidRPr="00A57824">
              <w:rPr>
                <w:rFonts w:ascii="Verdana" w:hAnsi="Verdana"/>
                <w:sz w:val="16"/>
                <w:szCs w:val="16"/>
                <w:lang w:val="es-ES_tradnl"/>
              </w:rPr>
              <w:t xml:space="preserve"> El fabricante deberá especificar las características de todos los reactivos consumidos por cualquier sistema de control de emisiones. La especificación deberá incluir las sustancias y las concentraciones, las condiciones de funcionamiento relativas a la temperatura ambiente.</w:t>
            </w:r>
          </w:p>
        </w:tc>
        <w:tc>
          <w:tcPr>
            <w:tcW w:w="4788" w:type="dxa"/>
            <w:shd w:val="clear" w:color="auto" w:fill="auto"/>
          </w:tcPr>
          <w:p w14:paraId="16100CCC"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B.1.2.</w:t>
            </w:r>
            <w:r w:rsidRPr="00BD076C">
              <w:rPr>
                <w:lang w:val="en-US"/>
              </w:rPr>
              <w:t xml:space="preserve"> </w:t>
            </w:r>
            <w:r w:rsidRPr="00BD076C">
              <w:rPr>
                <w:rFonts w:ascii="Verdana" w:hAnsi="Verdana"/>
                <w:sz w:val="16"/>
                <w:szCs w:val="16"/>
                <w:lang w:val="en-US"/>
              </w:rPr>
              <w:t>The manufacturer must specify the characteristics of all reagents consumed by any emission control system.</w:t>
            </w:r>
            <w:r w:rsidRPr="00BD076C">
              <w:rPr>
                <w:lang w:val="en-US"/>
              </w:rPr>
              <w:t xml:space="preserve"> </w:t>
            </w:r>
            <w:r w:rsidRPr="00BD076C">
              <w:rPr>
                <w:rFonts w:ascii="Verdana" w:hAnsi="Verdana"/>
                <w:sz w:val="16"/>
                <w:szCs w:val="16"/>
                <w:lang w:val="en-US"/>
              </w:rPr>
              <w:t>The specification shall include the substances and concentrations, the operating conditions relative to the ambient temperature.</w:t>
            </w:r>
            <w:r w:rsidRPr="00BD076C">
              <w:rPr>
                <w:lang w:val="en-US"/>
              </w:rPr>
              <w:t xml:space="preserve"> </w:t>
            </w:r>
          </w:p>
        </w:tc>
      </w:tr>
      <w:tr w:rsidR="008A0760" w:rsidRPr="00743A20" w14:paraId="7F635563" w14:textId="77777777" w:rsidTr="00BD076C">
        <w:tc>
          <w:tcPr>
            <w:tcW w:w="4788" w:type="dxa"/>
            <w:shd w:val="clear" w:color="auto" w:fill="auto"/>
          </w:tcPr>
          <w:p w14:paraId="09743C4B"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B.1.3.</w:t>
            </w:r>
            <w:r w:rsidRPr="00A57824">
              <w:rPr>
                <w:rFonts w:ascii="Verdana" w:hAnsi="Verdana"/>
                <w:sz w:val="16"/>
                <w:szCs w:val="16"/>
                <w:lang w:val="es-ES_tradnl"/>
              </w:rPr>
              <w:t xml:space="preserve"> El fabricante deberá proporcionar la información detallada sobre las características funcionales del sistema de alerta al conductor, y del sistema de inducción del conductor como se describe en este Apéndice B.</w:t>
            </w:r>
          </w:p>
        </w:tc>
        <w:tc>
          <w:tcPr>
            <w:tcW w:w="4788" w:type="dxa"/>
            <w:shd w:val="clear" w:color="auto" w:fill="auto"/>
          </w:tcPr>
          <w:p w14:paraId="4B39B1B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B.1.3.</w:t>
            </w:r>
            <w:r w:rsidRPr="00BD076C">
              <w:rPr>
                <w:lang w:val="en-US"/>
              </w:rPr>
              <w:t xml:space="preserve"> </w:t>
            </w:r>
            <w:r w:rsidRPr="00BD076C">
              <w:rPr>
                <w:rFonts w:ascii="Verdana" w:hAnsi="Verdana"/>
                <w:sz w:val="16"/>
                <w:szCs w:val="16"/>
                <w:lang w:val="en-US"/>
              </w:rPr>
              <w:t>The manufacturer shall provide detailed information on the functional characteristics of the driver alert system and the driver's induction system as described in this Appendix B.</w:t>
            </w:r>
            <w:r w:rsidRPr="00BD076C">
              <w:rPr>
                <w:lang w:val="en-US"/>
              </w:rPr>
              <w:t xml:space="preserve"> </w:t>
            </w:r>
          </w:p>
        </w:tc>
      </w:tr>
      <w:tr w:rsidR="008A0760" w:rsidRPr="00743A20" w14:paraId="3415314E" w14:textId="77777777" w:rsidTr="00BD076C">
        <w:tc>
          <w:tcPr>
            <w:tcW w:w="4788" w:type="dxa"/>
            <w:shd w:val="clear" w:color="auto" w:fill="auto"/>
          </w:tcPr>
          <w:p w14:paraId="20CFBD63"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 xml:space="preserve">B.1.4. </w:t>
            </w:r>
            <w:r w:rsidRPr="00A57824">
              <w:rPr>
                <w:rFonts w:ascii="Verdana" w:hAnsi="Verdana"/>
                <w:sz w:val="16"/>
                <w:szCs w:val="16"/>
                <w:lang w:val="es-ES_tradnl"/>
              </w:rPr>
              <w:t>El sistema de motor deberá conservar el funcionamiento de control de emisiones en condiciones normales de operación, las cuales se mencionan en el siguiente inciso.</w:t>
            </w:r>
          </w:p>
        </w:tc>
        <w:tc>
          <w:tcPr>
            <w:tcW w:w="4788" w:type="dxa"/>
            <w:shd w:val="clear" w:color="auto" w:fill="auto"/>
          </w:tcPr>
          <w:p w14:paraId="5CA153B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B.1.4.</w:t>
            </w:r>
            <w:r w:rsidRPr="00BD076C">
              <w:rPr>
                <w:lang w:val="en-US"/>
              </w:rPr>
              <w:t xml:space="preserve"> </w:t>
            </w:r>
            <w:r w:rsidRPr="00BD076C">
              <w:rPr>
                <w:rFonts w:ascii="Verdana" w:hAnsi="Verdana"/>
                <w:sz w:val="16"/>
                <w:szCs w:val="16"/>
                <w:lang w:val="en-US"/>
              </w:rPr>
              <w:t>The engine system must maintain the operation of emissions control under normal operating conditions, which are mentioned in the following subsection.</w:t>
            </w:r>
            <w:r w:rsidRPr="00BD076C">
              <w:rPr>
                <w:lang w:val="en-US"/>
              </w:rPr>
              <w:t xml:space="preserve"> </w:t>
            </w:r>
          </w:p>
        </w:tc>
      </w:tr>
      <w:tr w:rsidR="008A0760" w:rsidRPr="00743A20" w14:paraId="38CF7BC9" w14:textId="77777777" w:rsidTr="00BD076C">
        <w:tc>
          <w:tcPr>
            <w:tcW w:w="4788" w:type="dxa"/>
            <w:shd w:val="clear" w:color="auto" w:fill="auto"/>
          </w:tcPr>
          <w:p w14:paraId="2C113C0D"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B.1.5.</w:t>
            </w:r>
            <w:r w:rsidRPr="00A57824">
              <w:rPr>
                <w:rFonts w:ascii="Verdana" w:hAnsi="Verdana"/>
                <w:sz w:val="16"/>
                <w:szCs w:val="16"/>
                <w:lang w:val="es-ES_tradnl"/>
              </w:rPr>
              <w:t xml:space="preserve"> El sistema de control de emisiones deberá operar:</w:t>
            </w:r>
          </w:p>
        </w:tc>
        <w:tc>
          <w:tcPr>
            <w:tcW w:w="4788" w:type="dxa"/>
            <w:shd w:val="clear" w:color="auto" w:fill="auto"/>
          </w:tcPr>
          <w:p w14:paraId="2C3999D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B.1.5.</w:t>
            </w:r>
            <w:r w:rsidRPr="00BD076C">
              <w:rPr>
                <w:lang w:val="en-US"/>
              </w:rPr>
              <w:t xml:space="preserve"> </w:t>
            </w:r>
            <w:r w:rsidRPr="00BD076C">
              <w:rPr>
                <w:rFonts w:ascii="Verdana" w:hAnsi="Verdana"/>
                <w:sz w:val="16"/>
                <w:szCs w:val="16"/>
                <w:lang w:val="en-US"/>
              </w:rPr>
              <w:t>The emission control system must operate:</w:t>
            </w:r>
            <w:r w:rsidRPr="00BD076C">
              <w:rPr>
                <w:lang w:val="en-US"/>
              </w:rPr>
              <w:t xml:space="preserve"> </w:t>
            </w:r>
          </w:p>
        </w:tc>
      </w:tr>
      <w:tr w:rsidR="008A0760" w:rsidRPr="00743A20" w14:paraId="326A1989" w14:textId="77777777" w:rsidTr="00BD076C">
        <w:tc>
          <w:tcPr>
            <w:tcW w:w="4788" w:type="dxa"/>
            <w:shd w:val="clear" w:color="auto" w:fill="auto"/>
          </w:tcPr>
          <w:p w14:paraId="0ACCAE15"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A temperatura ambiente entre - 7°C y 35°C (266 K y 308 K);</w:t>
            </w:r>
          </w:p>
        </w:tc>
        <w:tc>
          <w:tcPr>
            <w:tcW w:w="4788" w:type="dxa"/>
            <w:shd w:val="clear" w:color="auto" w:fill="auto"/>
          </w:tcPr>
          <w:p w14:paraId="693F09DC"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to.</w:t>
            </w:r>
            <w:r w:rsidRPr="00BD076C">
              <w:rPr>
                <w:lang w:val="en-US"/>
              </w:rPr>
              <w:t xml:space="preserve"> </w:t>
            </w:r>
            <w:r w:rsidRPr="00BD076C">
              <w:rPr>
                <w:rFonts w:ascii="Verdana" w:hAnsi="Verdana"/>
                <w:sz w:val="16"/>
                <w:szCs w:val="16"/>
                <w:lang w:val="en-US"/>
              </w:rPr>
              <w:t>              At room temperature between -7 °C and 35 °C (266 K and 308 K);</w:t>
            </w:r>
            <w:r w:rsidRPr="00BD076C">
              <w:rPr>
                <w:lang w:val="en-US"/>
              </w:rPr>
              <w:t xml:space="preserve"> </w:t>
            </w:r>
          </w:p>
        </w:tc>
      </w:tr>
      <w:tr w:rsidR="008A0760" w:rsidRPr="00743A20" w14:paraId="14C89CEA" w14:textId="77777777" w:rsidTr="00BD076C">
        <w:tc>
          <w:tcPr>
            <w:tcW w:w="4788" w:type="dxa"/>
            <w:shd w:val="clear" w:color="auto" w:fill="auto"/>
          </w:tcPr>
          <w:p w14:paraId="2B6263BA"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A cualquier altitud por debajo de los 1,600 m.s.n.m., y</w:t>
            </w:r>
          </w:p>
        </w:tc>
        <w:tc>
          <w:tcPr>
            <w:tcW w:w="4788" w:type="dxa"/>
            <w:shd w:val="clear" w:color="auto" w:fill="auto"/>
          </w:tcPr>
          <w:p w14:paraId="7898B0E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sz w:val="16"/>
                <w:szCs w:val="16"/>
                <w:lang w:val="en-US"/>
              </w:rPr>
              <w:t xml:space="preserve">              At any altitude below 1,600 </w:t>
            </w:r>
            <w:r w:rsidR="00BE1219">
              <w:rPr>
                <w:rFonts w:ascii="Verdana" w:hAnsi="Verdana"/>
                <w:sz w:val="16"/>
                <w:szCs w:val="16"/>
                <w:lang w:val="en-US"/>
              </w:rPr>
              <w:t>meters above sea level</w:t>
            </w:r>
            <w:r w:rsidRPr="00BD076C">
              <w:rPr>
                <w:rFonts w:ascii="Verdana" w:hAnsi="Verdana"/>
                <w:sz w:val="16"/>
                <w:szCs w:val="16"/>
                <w:lang w:val="en-US"/>
              </w:rPr>
              <w:t>, and</w:t>
            </w:r>
            <w:r w:rsidRPr="00BD076C">
              <w:rPr>
                <w:lang w:val="en-US"/>
              </w:rPr>
              <w:t xml:space="preserve"> </w:t>
            </w:r>
          </w:p>
        </w:tc>
      </w:tr>
      <w:tr w:rsidR="008A0760" w:rsidRPr="00743A20" w14:paraId="3A42E0E5" w14:textId="77777777" w:rsidTr="00BD076C">
        <w:tc>
          <w:tcPr>
            <w:tcW w:w="4788" w:type="dxa"/>
            <w:shd w:val="clear" w:color="auto" w:fill="auto"/>
          </w:tcPr>
          <w:p w14:paraId="6F38799F"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sz w:val="16"/>
                <w:szCs w:val="16"/>
                <w:lang w:val="es-ES_tradnl"/>
              </w:rPr>
              <w:tab/>
              <w:t>A temperaturas del refrigerante del motor superiores a 70°C (343 K).</w:t>
            </w:r>
          </w:p>
        </w:tc>
        <w:tc>
          <w:tcPr>
            <w:tcW w:w="4788" w:type="dxa"/>
            <w:shd w:val="clear" w:color="auto" w:fill="auto"/>
          </w:tcPr>
          <w:p w14:paraId="649EC6F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sz w:val="16"/>
                <w:szCs w:val="16"/>
                <w:lang w:val="en-US"/>
              </w:rPr>
              <w:t>              At engine coolant temperatures above 70 °C (343 K).</w:t>
            </w:r>
            <w:r w:rsidRPr="00BD076C">
              <w:rPr>
                <w:lang w:val="en-US"/>
              </w:rPr>
              <w:t xml:space="preserve"> </w:t>
            </w:r>
          </w:p>
        </w:tc>
      </w:tr>
      <w:tr w:rsidR="008A0760" w:rsidRPr="00743A20" w14:paraId="383B0A63" w14:textId="77777777" w:rsidTr="00BD076C">
        <w:tc>
          <w:tcPr>
            <w:tcW w:w="4788" w:type="dxa"/>
            <w:shd w:val="clear" w:color="auto" w:fill="auto"/>
          </w:tcPr>
          <w:p w14:paraId="32BA86C3"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rPr>
              <w:t xml:space="preserve">Los numerales B.1.4 y B.1.5 no aplican </w:t>
            </w:r>
            <w:r w:rsidRPr="00A57824">
              <w:rPr>
                <w:rFonts w:ascii="Verdana" w:hAnsi="Verdana"/>
                <w:sz w:val="16"/>
                <w:szCs w:val="16"/>
                <w:lang w:val="es-ES_tradnl"/>
              </w:rPr>
              <w:t>en caso del monitoreo del nivel de reactivo (solución acuosa de urea) en su tanque de almacenamiento, donde el monitoreo debe ser conducido bajo todas las condiciones donde la medición sea técnicamente posible.</w:t>
            </w:r>
          </w:p>
        </w:tc>
        <w:tc>
          <w:tcPr>
            <w:tcW w:w="4788" w:type="dxa"/>
            <w:shd w:val="clear" w:color="auto" w:fill="auto"/>
          </w:tcPr>
          <w:p w14:paraId="38D0AAF3"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The numerals B.1.4 and B.1.5 do not apply</w:t>
            </w:r>
            <w:r w:rsidRPr="00BD076C">
              <w:rPr>
                <w:lang w:val="en-US"/>
              </w:rPr>
              <w:t xml:space="preserve"> </w:t>
            </w:r>
            <w:r w:rsidRPr="00BD076C">
              <w:rPr>
                <w:rFonts w:ascii="Verdana" w:hAnsi="Verdana"/>
                <w:sz w:val="16"/>
                <w:szCs w:val="16"/>
                <w:lang w:val="en-US"/>
              </w:rPr>
              <w:t>in the case of monitoring the level of reagent (aqueous urea solution) in your storage tank, where the monitoring must be conducted under all conditions where the measurement is technically possible.</w:t>
            </w:r>
            <w:r w:rsidRPr="00BD076C">
              <w:rPr>
                <w:lang w:val="en-US"/>
              </w:rPr>
              <w:t xml:space="preserve"> </w:t>
            </w:r>
          </w:p>
        </w:tc>
      </w:tr>
      <w:tr w:rsidR="008A0760" w:rsidRPr="00743A20" w14:paraId="3AD3A5BF" w14:textId="77777777" w:rsidTr="00BD076C">
        <w:tc>
          <w:tcPr>
            <w:tcW w:w="4788" w:type="dxa"/>
            <w:shd w:val="clear" w:color="auto" w:fill="auto"/>
          </w:tcPr>
          <w:p w14:paraId="4C0A5733" w14:textId="77777777" w:rsidR="008A0760" w:rsidRPr="00A57824" w:rsidRDefault="008A0760" w:rsidP="00BD076C">
            <w:pPr>
              <w:pStyle w:val="Texto"/>
              <w:spacing w:line="276" w:lineRule="auto"/>
              <w:ind w:firstLine="0"/>
              <w:rPr>
                <w:rFonts w:ascii="Verdana" w:hAnsi="Verdana"/>
                <w:sz w:val="16"/>
                <w:szCs w:val="16"/>
                <w:lang w:val="es-ES"/>
              </w:rPr>
            </w:pPr>
            <w:r w:rsidRPr="00A57824">
              <w:rPr>
                <w:rFonts w:ascii="Verdana" w:hAnsi="Verdana"/>
                <w:b/>
                <w:sz w:val="16"/>
                <w:szCs w:val="16"/>
                <w:lang w:val="es-ES_tradnl"/>
              </w:rPr>
              <w:t>B.1.6.</w:t>
            </w:r>
            <w:r w:rsidRPr="00A57824">
              <w:rPr>
                <w:rFonts w:ascii="Verdana" w:hAnsi="Verdana"/>
                <w:sz w:val="16"/>
                <w:szCs w:val="16"/>
                <w:lang w:val="es-ES_tradnl"/>
              </w:rPr>
              <w:t xml:space="preserve"> Los requisitos de mantenimiento, alertas, inducciones al conductor, monitoreo al consumo de reactivo y manipulación del sistema de control de NOx presentados en la Secciones B.2 hasta B.9, serán aplicables a los motores y vehículos nuevos, certificados bajo los estándares establecidos por el Parlamento Europeo y por la Comisión Económica Europea para las Naciones Unidas.</w:t>
            </w:r>
          </w:p>
        </w:tc>
        <w:tc>
          <w:tcPr>
            <w:tcW w:w="4788" w:type="dxa"/>
            <w:shd w:val="clear" w:color="auto" w:fill="auto"/>
          </w:tcPr>
          <w:p w14:paraId="43C0143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B.1.6.</w:t>
            </w:r>
            <w:r w:rsidRPr="00BD076C">
              <w:rPr>
                <w:lang w:val="en-US"/>
              </w:rPr>
              <w:t xml:space="preserve"> </w:t>
            </w:r>
            <w:r w:rsidRPr="00BD076C">
              <w:rPr>
                <w:rFonts w:ascii="Verdana" w:hAnsi="Verdana"/>
                <w:sz w:val="16"/>
                <w:szCs w:val="16"/>
                <w:lang w:val="en-US"/>
              </w:rPr>
              <w:t>The maintenance requirements, alerts, driver inductions, reagent consumption monitoring and handling of the NOx control system presented in Sections B.2 through B.9, will be applicable to new engines and vehicles, certified under the established standards. for the European Parliament and for the European Economic Commission for the United Nations.</w:t>
            </w:r>
            <w:r w:rsidRPr="00BD076C">
              <w:rPr>
                <w:lang w:val="en-US"/>
              </w:rPr>
              <w:t xml:space="preserve"> </w:t>
            </w:r>
          </w:p>
        </w:tc>
      </w:tr>
      <w:tr w:rsidR="008A0760" w:rsidRPr="00743A20" w14:paraId="1BC3C9FB" w14:textId="77777777" w:rsidTr="00BD076C">
        <w:tc>
          <w:tcPr>
            <w:tcW w:w="4788" w:type="dxa"/>
            <w:shd w:val="clear" w:color="auto" w:fill="auto"/>
          </w:tcPr>
          <w:p w14:paraId="648A5339"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B.1.7.</w:t>
            </w:r>
            <w:r w:rsidRPr="00A57824">
              <w:rPr>
                <w:rFonts w:ascii="Verdana" w:hAnsi="Verdana"/>
                <w:sz w:val="16"/>
                <w:szCs w:val="16"/>
                <w:lang w:val="es-ES_tradnl"/>
              </w:rPr>
              <w:t xml:space="preserve"> Los requisitos de mantenimiento, alertas, inducciones al conductor, monitoreo al consumo de reactivo, y manipulación del sistema de control de NOx presentados en la Secciones B.10 hasta B.14, serán aplicables a los motores y vehículos nuevos, certificados bajo los estándares establecidos por la Agencia de Protección Ambiental de los Estados Unidos de América.</w:t>
            </w:r>
          </w:p>
        </w:tc>
        <w:tc>
          <w:tcPr>
            <w:tcW w:w="4788" w:type="dxa"/>
            <w:shd w:val="clear" w:color="auto" w:fill="auto"/>
          </w:tcPr>
          <w:p w14:paraId="29A78C7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B.1.7.</w:t>
            </w:r>
            <w:r w:rsidRPr="00BD076C">
              <w:rPr>
                <w:lang w:val="en-US"/>
              </w:rPr>
              <w:t xml:space="preserve"> </w:t>
            </w:r>
            <w:r w:rsidRPr="00BD076C">
              <w:rPr>
                <w:rFonts w:ascii="Verdana" w:hAnsi="Verdana"/>
                <w:sz w:val="16"/>
                <w:szCs w:val="16"/>
                <w:lang w:val="en-US"/>
              </w:rPr>
              <w:t>Maintenance requirements, alerts, driver inductions, monitoring of reagent consumption, and manipulation of the NOx control system presented in Sections B.10 through B.14, will be applicable to new engines and vehicles, certified under the standards established by the Environmental Protection Agency of the United States of America.</w:t>
            </w:r>
            <w:r w:rsidRPr="00BD076C">
              <w:rPr>
                <w:lang w:val="en-US"/>
              </w:rPr>
              <w:t xml:space="preserve"> </w:t>
            </w:r>
          </w:p>
        </w:tc>
      </w:tr>
      <w:tr w:rsidR="008A0760" w:rsidRPr="00743A20" w14:paraId="324CA86C" w14:textId="77777777" w:rsidTr="00BD076C">
        <w:tc>
          <w:tcPr>
            <w:tcW w:w="4788" w:type="dxa"/>
            <w:shd w:val="clear" w:color="auto" w:fill="auto"/>
          </w:tcPr>
          <w:p w14:paraId="4128707C"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B.2.</w:t>
            </w:r>
            <w:r w:rsidRPr="00A57824">
              <w:rPr>
                <w:rFonts w:ascii="Verdana" w:hAnsi="Verdana"/>
                <w:sz w:val="16"/>
                <w:szCs w:val="16"/>
                <w:lang w:val="es-ES_tradnl"/>
              </w:rPr>
              <w:t xml:space="preserve"> </w:t>
            </w:r>
            <w:r w:rsidRPr="00A57824">
              <w:rPr>
                <w:rFonts w:ascii="Verdana" w:hAnsi="Verdana"/>
                <w:b/>
                <w:sz w:val="16"/>
                <w:szCs w:val="16"/>
                <w:lang w:val="es-ES_tradnl"/>
              </w:rPr>
              <w:t>Requisitos de mantenimiento bajo el programa europeo UN/CEPE</w:t>
            </w:r>
          </w:p>
        </w:tc>
        <w:tc>
          <w:tcPr>
            <w:tcW w:w="4788" w:type="dxa"/>
            <w:shd w:val="clear" w:color="auto" w:fill="auto"/>
          </w:tcPr>
          <w:p w14:paraId="477017C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B.2.</w:t>
            </w:r>
            <w:r w:rsidRPr="00BD076C">
              <w:rPr>
                <w:lang w:val="en-US"/>
              </w:rPr>
              <w:t xml:space="preserve"> </w:t>
            </w:r>
            <w:r w:rsidRPr="00BD076C">
              <w:rPr>
                <w:rFonts w:ascii="Verdana" w:hAnsi="Verdana"/>
                <w:b/>
                <w:bCs/>
                <w:sz w:val="16"/>
                <w:szCs w:val="16"/>
                <w:lang w:val="en-US"/>
              </w:rPr>
              <w:t>Maintenance requirements under the European UN/CEPE program</w:t>
            </w:r>
            <w:r w:rsidRPr="00BD076C">
              <w:rPr>
                <w:lang w:val="en-US"/>
              </w:rPr>
              <w:t xml:space="preserve"> </w:t>
            </w:r>
          </w:p>
        </w:tc>
      </w:tr>
      <w:tr w:rsidR="008A0760" w:rsidRPr="00743A20" w14:paraId="2F7AEEF8" w14:textId="77777777" w:rsidTr="00BD076C">
        <w:tc>
          <w:tcPr>
            <w:tcW w:w="4788" w:type="dxa"/>
            <w:shd w:val="clear" w:color="auto" w:fill="auto"/>
          </w:tcPr>
          <w:p w14:paraId="41E6187E"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B.2.1.</w:t>
            </w:r>
            <w:r w:rsidRPr="00A57824">
              <w:rPr>
                <w:rFonts w:ascii="Verdana" w:hAnsi="Verdana"/>
                <w:sz w:val="16"/>
                <w:szCs w:val="16"/>
                <w:lang w:val="es-ES_tradnl"/>
              </w:rPr>
              <w:t xml:space="preserve"> El fabricante deberá proporcionar a los propietarios de los motores nuevos a diésel o de los </w:t>
            </w:r>
            <w:r w:rsidRPr="00A57824">
              <w:rPr>
                <w:rFonts w:ascii="Verdana" w:hAnsi="Verdana"/>
                <w:sz w:val="16"/>
                <w:szCs w:val="16"/>
                <w:lang w:val="es-ES_tradnl"/>
              </w:rPr>
              <w:lastRenderedPageBreak/>
              <w:t>vehículos nuevos que incorporen este tipo de motores, la información documental donde se describa el correcto funcionamiento del sistema de control de emisiones. Esta información deberá contener las instrucciones donde se establezca que si el sistema de control de emisiones del vehículo no está funcionando correctamente, el conductor deberá ser informado del problema, mediante un sistema de alarmas (SAC o DWS, por sus siglas en idioma inglés) y que la activación del sistema de inducción al conductor (SIAC o DIS, por sus siglas en idioma inglés), como consecuencia de haber ignorado las alarmas vehículo, resultará en que el vehículo será incapaz de conducir su misión efectivamente.</w:t>
            </w:r>
          </w:p>
        </w:tc>
        <w:tc>
          <w:tcPr>
            <w:tcW w:w="4788" w:type="dxa"/>
            <w:shd w:val="clear" w:color="auto" w:fill="auto"/>
          </w:tcPr>
          <w:p w14:paraId="33466AC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B.2.1.</w:t>
            </w:r>
            <w:r w:rsidRPr="00BD076C">
              <w:rPr>
                <w:lang w:val="en-US"/>
              </w:rPr>
              <w:t xml:space="preserve"> </w:t>
            </w:r>
            <w:r w:rsidRPr="00BD076C">
              <w:rPr>
                <w:rFonts w:ascii="Verdana" w:hAnsi="Verdana"/>
                <w:sz w:val="16"/>
                <w:szCs w:val="16"/>
                <w:lang w:val="en-US"/>
              </w:rPr>
              <w:t xml:space="preserve">The manufacturer must provide owners of new diesel engines or new vehicles that incorporate this type </w:t>
            </w:r>
            <w:r w:rsidRPr="00BD076C">
              <w:rPr>
                <w:rFonts w:ascii="Verdana" w:hAnsi="Verdana"/>
                <w:sz w:val="16"/>
                <w:szCs w:val="16"/>
                <w:lang w:val="en-US"/>
              </w:rPr>
              <w:lastRenderedPageBreak/>
              <w:t>of engine, documentary information describing the proper functioning of the emission control system.</w:t>
            </w:r>
            <w:r w:rsidRPr="00BD076C">
              <w:rPr>
                <w:lang w:val="en-US"/>
              </w:rPr>
              <w:t xml:space="preserve"> </w:t>
            </w:r>
            <w:r w:rsidRPr="00BD076C">
              <w:rPr>
                <w:rFonts w:ascii="Verdana" w:hAnsi="Verdana"/>
                <w:sz w:val="16"/>
                <w:szCs w:val="16"/>
                <w:lang w:val="en-US"/>
              </w:rPr>
              <w:t>This information should contain the instructions stating that if the vehicle emission control system is not working properly, the driver must be informed of the problem, by means of an alarm system (SAC or</w:t>
            </w:r>
            <w:r w:rsidRPr="00BD076C">
              <w:rPr>
                <w:lang w:val="en-US"/>
              </w:rPr>
              <w:t xml:space="preserve"> </w:t>
            </w:r>
            <w:r w:rsidRPr="00BD076C">
              <w:rPr>
                <w:rFonts w:ascii="Verdana" w:hAnsi="Verdana"/>
                <w:sz w:val="16"/>
                <w:szCs w:val="16"/>
                <w:lang w:val="en-US"/>
              </w:rPr>
              <w:t>DWS, for its acronym in English) and that the activation of the driver induction system (SIAC or DIS, for its acronym in English), as a result of having ignored vehicle alarms, will result in the vehicle being unable to conduct its mission effectively.</w:t>
            </w:r>
            <w:r w:rsidRPr="00BD076C">
              <w:rPr>
                <w:lang w:val="en-US"/>
              </w:rPr>
              <w:t xml:space="preserve"> </w:t>
            </w:r>
          </w:p>
        </w:tc>
      </w:tr>
      <w:tr w:rsidR="008A0760" w:rsidRPr="00743A20" w14:paraId="41599755" w14:textId="77777777" w:rsidTr="00BD076C">
        <w:tc>
          <w:tcPr>
            <w:tcW w:w="4788" w:type="dxa"/>
            <w:shd w:val="clear" w:color="auto" w:fill="auto"/>
          </w:tcPr>
          <w:p w14:paraId="1A2E6D0C"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B.2.2.</w:t>
            </w:r>
            <w:r w:rsidRPr="00A57824">
              <w:rPr>
                <w:rFonts w:ascii="Verdana" w:hAnsi="Verdana"/>
                <w:sz w:val="16"/>
                <w:szCs w:val="16"/>
                <w:lang w:val="es-ES_tradnl"/>
              </w:rPr>
              <w:t xml:space="preserve"> Las instrucciones incluirán, además, los requisitos para la utilización y el mantenimiento correcto de los vehículos automotores nuevos, a fin de mantener su rendimiento en materia de emisiones, incluido el uso adecuado de reactivos consumibles (solución acuosa de urea).</w:t>
            </w:r>
          </w:p>
        </w:tc>
        <w:tc>
          <w:tcPr>
            <w:tcW w:w="4788" w:type="dxa"/>
            <w:shd w:val="clear" w:color="auto" w:fill="auto"/>
          </w:tcPr>
          <w:p w14:paraId="021A2DB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B.2.2.</w:t>
            </w:r>
            <w:r w:rsidRPr="00BD076C">
              <w:rPr>
                <w:lang w:val="en-US"/>
              </w:rPr>
              <w:t xml:space="preserve"> </w:t>
            </w:r>
            <w:r w:rsidRPr="00BD076C">
              <w:rPr>
                <w:rFonts w:ascii="Verdana" w:hAnsi="Verdana"/>
                <w:sz w:val="16"/>
                <w:szCs w:val="16"/>
                <w:lang w:val="en-US"/>
              </w:rPr>
              <w:t>The instructions shall also include the requirements for the proper use and maintenance of new automotive vehicles in order to maintain their performance on emissions, including the proper use of consumable reagents (aqueous urea solution).</w:t>
            </w:r>
            <w:r w:rsidRPr="00BD076C">
              <w:rPr>
                <w:lang w:val="en-US"/>
              </w:rPr>
              <w:t xml:space="preserve"> </w:t>
            </w:r>
          </w:p>
        </w:tc>
      </w:tr>
      <w:tr w:rsidR="008A0760" w:rsidRPr="00743A20" w14:paraId="2A1DDFA8" w14:textId="77777777" w:rsidTr="00BD076C">
        <w:tc>
          <w:tcPr>
            <w:tcW w:w="4788" w:type="dxa"/>
            <w:shd w:val="clear" w:color="auto" w:fill="auto"/>
          </w:tcPr>
          <w:p w14:paraId="250F7266"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B.2.3.</w:t>
            </w:r>
            <w:r w:rsidRPr="00A57824">
              <w:rPr>
                <w:rFonts w:ascii="Verdana" w:hAnsi="Verdana"/>
                <w:sz w:val="16"/>
                <w:szCs w:val="16"/>
                <w:lang w:val="es-ES_tradnl"/>
              </w:rPr>
              <w:t xml:space="preserve"> Las instrucciones estarán redactadas en idioma español, de manera clara y en un lenguaje no técnico.</w:t>
            </w:r>
          </w:p>
        </w:tc>
        <w:tc>
          <w:tcPr>
            <w:tcW w:w="4788" w:type="dxa"/>
            <w:shd w:val="clear" w:color="auto" w:fill="auto"/>
          </w:tcPr>
          <w:p w14:paraId="5CA4675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B.2.3. </w:t>
            </w:r>
            <w:r w:rsidRPr="00BD076C">
              <w:rPr>
                <w:rFonts w:ascii="Verdana" w:hAnsi="Verdana"/>
                <w:sz w:val="16"/>
                <w:szCs w:val="16"/>
                <w:lang w:val="en-US"/>
              </w:rPr>
              <w:t>The instructions will be written in Spanish, clearly and in non-technical language.</w:t>
            </w:r>
            <w:r w:rsidRPr="00BD076C">
              <w:rPr>
                <w:lang w:val="en-US"/>
              </w:rPr>
              <w:t xml:space="preserve"> </w:t>
            </w:r>
          </w:p>
        </w:tc>
      </w:tr>
      <w:tr w:rsidR="008A0760" w:rsidRPr="00743A20" w14:paraId="05B5FCCB" w14:textId="77777777" w:rsidTr="00BD076C">
        <w:tc>
          <w:tcPr>
            <w:tcW w:w="4788" w:type="dxa"/>
            <w:shd w:val="clear" w:color="auto" w:fill="auto"/>
          </w:tcPr>
          <w:p w14:paraId="571A0274"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B.2.4.</w:t>
            </w:r>
            <w:r w:rsidRPr="00A57824">
              <w:rPr>
                <w:rFonts w:ascii="Verdana" w:hAnsi="Verdana"/>
                <w:sz w:val="16"/>
                <w:szCs w:val="16"/>
                <w:lang w:val="es-ES_tradnl"/>
              </w:rPr>
              <w:t xml:space="preserve"> Las instrucciones especificarán si el operador del vehículo debe reponer los reactivos consumibles (Solución acuosa de urea), entre los intervalos normales de mantenimiento, además de especificar la calidad de los reactivos requerida, conforme a lo establecido en la NMX-D-316-IMNC-2016. Asimismo, indicarán el modo en que el operador deberá rellenar el depósito del reactivo. La información deberá indicar el consumo probable de reactivo para el tipo de vehículo y la frecuencia recomendada de reposición.</w:t>
            </w:r>
          </w:p>
        </w:tc>
        <w:tc>
          <w:tcPr>
            <w:tcW w:w="4788" w:type="dxa"/>
            <w:shd w:val="clear" w:color="auto" w:fill="auto"/>
          </w:tcPr>
          <w:p w14:paraId="1BDCEE7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B.2.4. </w:t>
            </w:r>
            <w:r w:rsidRPr="00BD076C">
              <w:rPr>
                <w:rFonts w:ascii="Verdana" w:hAnsi="Verdana"/>
                <w:sz w:val="16"/>
                <w:szCs w:val="16"/>
                <w:lang w:val="en-US"/>
              </w:rPr>
              <w:t xml:space="preserve">The instructions will specify </w:t>
            </w:r>
            <w:r w:rsidR="00BE1219">
              <w:rPr>
                <w:rFonts w:ascii="Verdana" w:hAnsi="Verdana"/>
                <w:sz w:val="16"/>
                <w:szCs w:val="16"/>
                <w:lang w:val="en-US"/>
              </w:rPr>
              <w:t xml:space="preserve">whether </w:t>
            </w:r>
            <w:r w:rsidRPr="00BD076C">
              <w:rPr>
                <w:rFonts w:ascii="Verdana" w:hAnsi="Verdana"/>
                <w:sz w:val="16"/>
                <w:szCs w:val="16"/>
                <w:lang w:val="en-US"/>
              </w:rPr>
              <w:t>the operator of the vehicle must replace the consumable reagents (aqueous solution of urea), between the normal maintenance intervals, in addition to specifying the quality of the reagents required, in accordance with the provisions of the NMX-D-316-IMNC -2016. They will also indicate the way in which the operator must fill the reagent tank. The information should indicate the probable reagent consumption for the type of vehicle and the recommended replacement frequency.</w:t>
            </w:r>
            <w:r w:rsidRPr="00BD076C">
              <w:rPr>
                <w:lang w:val="en-US"/>
              </w:rPr>
              <w:t xml:space="preserve"> </w:t>
            </w:r>
          </w:p>
        </w:tc>
      </w:tr>
      <w:tr w:rsidR="008A0760" w:rsidRPr="00743A20" w14:paraId="74BCFCB7" w14:textId="77777777" w:rsidTr="00BD076C">
        <w:tc>
          <w:tcPr>
            <w:tcW w:w="4788" w:type="dxa"/>
            <w:shd w:val="clear" w:color="auto" w:fill="auto"/>
          </w:tcPr>
          <w:p w14:paraId="31AFA0E2"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B.2.5</w:t>
            </w:r>
            <w:r w:rsidRPr="00A57824">
              <w:rPr>
                <w:rFonts w:ascii="Verdana" w:hAnsi="Verdana"/>
                <w:sz w:val="16"/>
                <w:szCs w:val="16"/>
                <w:lang w:val="es-ES_tradnl"/>
              </w:rPr>
              <w:t>. Las instrucciones especificarán que la utilización y la reposición de un reactivo que cumpla las especificaciones correctas, son esenciales para que el vehículo cumpla con los límites máximos permisibles, establecidos en la presente norma.</w:t>
            </w:r>
          </w:p>
        </w:tc>
        <w:tc>
          <w:tcPr>
            <w:tcW w:w="4788" w:type="dxa"/>
            <w:shd w:val="clear" w:color="auto" w:fill="auto"/>
          </w:tcPr>
          <w:p w14:paraId="39BBCD3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B.2.5</w:t>
            </w:r>
            <w:r w:rsidRPr="00BD076C">
              <w:rPr>
                <w:rFonts w:ascii="Verdana" w:hAnsi="Verdana"/>
                <w:sz w:val="16"/>
                <w:szCs w:val="16"/>
                <w:lang w:val="en-US"/>
              </w:rPr>
              <w:t>. The instructions will specify that the use and replacement of a reagent that meets the correct specifications are essential for the vehicle to comply with the maximum permissible limits established in this standard.</w:t>
            </w:r>
            <w:r w:rsidRPr="00BD076C">
              <w:rPr>
                <w:lang w:val="en-US"/>
              </w:rPr>
              <w:t xml:space="preserve"> </w:t>
            </w:r>
          </w:p>
        </w:tc>
      </w:tr>
      <w:tr w:rsidR="008A0760" w:rsidRPr="00743A20" w14:paraId="315F036E" w14:textId="77777777" w:rsidTr="00BD076C">
        <w:tc>
          <w:tcPr>
            <w:tcW w:w="4788" w:type="dxa"/>
            <w:shd w:val="clear" w:color="auto" w:fill="auto"/>
          </w:tcPr>
          <w:p w14:paraId="1137DFBC"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B.2.6.</w:t>
            </w:r>
            <w:r w:rsidRPr="00A57824">
              <w:rPr>
                <w:rFonts w:ascii="Verdana" w:hAnsi="Verdana"/>
                <w:sz w:val="16"/>
                <w:szCs w:val="16"/>
                <w:lang w:val="es-ES_tradnl"/>
              </w:rPr>
              <w:t xml:space="preserve"> Las instrucciones deberán explicar el funcionamiento del sistema de alerta y el sistema de inducción del conductor, en términos del desempeño del vehículo y el memorizado de las fallas, las consecuencias que puede tener el ignorar los sistemas de alerta y la no reposición del reactivo o rectificación del problema.</w:t>
            </w:r>
          </w:p>
        </w:tc>
        <w:tc>
          <w:tcPr>
            <w:tcW w:w="4788" w:type="dxa"/>
            <w:shd w:val="clear" w:color="auto" w:fill="auto"/>
          </w:tcPr>
          <w:p w14:paraId="278EEE77"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B.2.6. </w:t>
            </w:r>
            <w:r w:rsidRPr="00BD076C">
              <w:rPr>
                <w:rFonts w:ascii="Verdana" w:hAnsi="Verdana"/>
                <w:sz w:val="16"/>
                <w:szCs w:val="16"/>
                <w:lang w:val="en-US"/>
              </w:rPr>
              <w:t>The instructions must explain the operation of the warning system and the driver's induction system, in terms of the performance of the vehicle and the memorized of the faults, the consequences that may have to ignore the warning systems and the non-replacement of the reagent or rectification of the problem.</w:t>
            </w:r>
            <w:r w:rsidRPr="00BD076C">
              <w:rPr>
                <w:lang w:val="en-US"/>
              </w:rPr>
              <w:t xml:space="preserve"> </w:t>
            </w:r>
          </w:p>
        </w:tc>
      </w:tr>
      <w:tr w:rsidR="008A0760" w:rsidRPr="00743A20" w14:paraId="3EFC59E9" w14:textId="77777777" w:rsidTr="00BD076C">
        <w:tc>
          <w:tcPr>
            <w:tcW w:w="4788" w:type="dxa"/>
            <w:shd w:val="clear" w:color="auto" w:fill="auto"/>
          </w:tcPr>
          <w:p w14:paraId="25134F48"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B.3. Sistema de alerta al conductor bajo el programa europeo UN/CEPE</w:t>
            </w:r>
          </w:p>
        </w:tc>
        <w:tc>
          <w:tcPr>
            <w:tcW w:w="4788" w:type="dxa"/>
            <w:shd w:val="clear" w:color="auto" w:fill="auto"/>
          </w:tcPr>
          <w:p w14:paraId="70D53919"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B.3. Driver alert system under the European UN / CEPE program</w:t>
            </w:r>
            <w:r w:rsidRPr="00BD076C">
              <w:rPr>
                <w:lang w:val="en-US"/>
              </w:rPr>
              <w:t xml:space="preserve"> </w:t>
            </w:r>
          </w:p>
        </w:tc>
      </w:tr>
      <w:tr w:rsidR="008A0760" w:rsidRPr="00743A20" w14:paraId="7577ABB1" w14:textId="77777777" w:rsidTr="00BD076C">
        <w:tc>
          <w:tcPr>
            <w:tcW w:w="4788" w:type="dxa"/>
            <w:shd w:val="clear" w:color="auto" w:fill="auto"/>
          </w:tcPr>
          <w:p w14:paraId="721213C9"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B.3.1.</w:t>
            </w:r>
            <w:r w:rsidRPr="00A57824">
              <w:rPr>
                <w:rFonts w:ascii="Verdana" w:hAnsi="Verdana"/>
                <w:sz w:val="16"/>
                <w:szCs w:val="16"/>
                <w:lang w:val="es-ES_tradnl"/>
              </w:rPr>
              <w:t xml:space="preserve"> El vehículo deberá incluir un sistema de alerta al conductor que utilice alarmas visuales que informen al conductor cuando se haya detectado un nivel de reactivo bajo, calidad de reactivo incorrecta, consumo </w:t>
            </w:r>
            <w:r w:rsidRPr="00A57824">
              <w:rPr>
                <w:rFonts w:ascii="Verdana" w:hAnsi="Verdana"/>
                <w:sz w:val="16"/>
                <w:szCs w:val="16"/>
                <w:lang w:val="es-ES_tradnl"/>
              </w:rPr>
              <w:lastRenderedPageBreak/>
              <w:t>de reactivo demasiado bajo, o mal funcionamiento que pueda deberse a la manipulación y que activará el sistema de inducción del conductor si no se rectifica oportunamente. El sistema de alerta también permanecerá activo cuando se haya activado el sistema de inducción del conductor.</w:t>
            </w:r>
          </w:p>
        </w:tc>
        <w:tc>
          <w:tcPr>
            <w:tcW w:w="4788" w:type="dxa"/>
            <w:shd w:val="clear" w:color="auto" w:fill="auto"/>
          </w:tcPr>
          <w:p w14:paraId="3A8E058C"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 xml:space="preserve">B.3.1. </w:t>
            </w:r>
            <w:r w:rsidRPr="00BD076C">
              <w:rPr>
                <w:rFonts w:ascii="Verdana" w:hAnsi="Verdana"/>
                <w:sz w:val="16"/>
                <w:szCs w:val="16"/>
                <w:lang w:val="en-US"/>
              </w:rPr>
              <w:t xml:space="preserve">The vehicle shall include a driver alert system that uses visual alarms that inform the driver when a low reagent level has been detected, incorrect reagent quality, reagent consumption too low, or malfunction </w:t>
            </w:r>
            <w:r w:rsidRPr="00BD076C">
              <w:rPr>
                <w:rFonts w:ascii="Verdana" w:hAnsi="Verdana"/>
                <w:sz w:val="16"/>
                <w:szCs w:val="16"/>
                <w:lang w:val="en-US"/>
              </w:rPr>
              <w:lastRenderedPageBreak/>
              <w:t>that may be due to tampering and will activate the driver's induction system if it is not rectified in a timely manner. The alert system will also remain active when the driver's induction system has been activated.</w:t>
            </w:r>
            <w:r w:rsidRPr="00BD076C">
              <w:rPr>
                <w:lang w:val="en-US"/>
              </w:rPr>
              <w:t xml:space="preserve"> </w:t>
            </w:r>
          </w:p>
        </w:tc>
      </w:tr>
      <w:tr w:rsidR="008A0760" w:rsidRPr="00743A20" w14:paraId="195F2010" w14:textId="77777777" w:rsidTr="00BD076C">
        <w:tc>
          <w:tcPr>
            <w:tcW w:w="4788" w:type="dxa"/>
            <w:shd w:val="clear" w:color="auto" w:fill="auto"/>
          </w:tcPr>
          <w:p w14:paraId="0B028B5B"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B.3.2.</w:t>
            </w:r>
            <w:r w:rsidRPr="00A57824">
              <w:rPr>
                <w:rFonts w:ascii="Verdana" w:hAnsi="Verdana"/>
                <w:sz w:val="16"/>
                <w:szCs w:val="16"/>
                <w:lang w:val="es-ES_tradnl"/>
              </w:rPr>
              <w:t xml:space="preserve"> El sistema de visualización de diagnóstico a bordo (SDB/OBD) conocido como luces indicadoras de fallas, no se utilizará para mostrar las alarmas visuales. La advertencia será distinta a las utilizadas, con fines del sistema SDB/OBD (es decir, el indicador de mal funcionamiento) u otros fines de mantenimiento del motor. No se podrá apagar el sistema de alerta ni las alarmas visuales mediante una herramienta de exploración, si la causa de la activación de la alerta no se ha rectificado.</w:t>
            </w:r>
          </w:p>
        </w:tc>
        <w:tc>
          <w:tcPr>
            <w:tcW w:w="4788" w:type="dxa"/>
            <w:shd w:val="clear" w:color="auto" w:fill="auto"/>
          </w:tcPr>
          <w:p w14:paraId="7BA8E4D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B.3.2. </w:t>
            </w:r>
            <w:r w:rsidRPr="00BD076C">
              <w:rPr>
                <w:rFonts w:ascii="Verdana" w:hAnsi="Verdana"/>
                <w:sz w:val="16"/>
                <w:szCs w:val="16"/>
                <w:lang w:val="en-US"/>
              </w:rPr>
              <w:t>The onboard diagnostic display system (</w:t>
            </w:r>
            <w:r w:rsidR="002D78B5" w:rsidRPr="00BD076C">
              <w:rPr>
                <w:rFonts w:ascii="Verdana" w:hAnsi="Verdana"/>
                <w:sz w:val="16"/>
                <w:szCs w:val="16"/>
                <w:lang w:val="en-US"/>
              </w:rPr>
              <w:t>SDB/OBD</w:t>
            </w:r>
            <w:r w:rsidRPr="00BD076C">
              <w:rPr>
                <w:rFonts w:ascii="Verdana" w:hAnsi="Verdana"/>
                <w:sz w:val="16"/>
                <w:szCs w:val="16"/>
                <w:lang w:val="en-US"/>
              </w:rPr>
              <w:t xml:space="preserve">) known as fault indicator lights will not be used to display visual alarms. The warning will be different from those used, for </w:t>
            </w:r>
            <w:r w:rsidR="002D78B5" w:rsidRPr="00BD076C">
              <w:rPr>
                <w:rFonts w:ascii="Verdana" w:hAnsi="Verdana"/>
                <w:sz w:val="16"/>
                <w:szCs w:val="16"/>
                <w:lang w:val="en-US"/>
              </w:rPr>
              <w:t>SDB/OBD</w:t>
            </w:r>
            <w:r w:rsidRPr="00BD076C">
              <w:rPr>
                <w:rFonts w:ascii="Verdana" w:hAnsi="Verdana"/>
                <w:sz w:val="16"/>
                <w:szCs w:val="16"/>
                <w:lang w:val="en-US"/>
              </w:rPr>
              <w:t xml:space="preserve"> system purposes (ie</w:t>
            </w:r>
            <w:r w:rsidR="00BE1219">
              <w:rPr>
                <w:rFonts w:ascii="Verdana" w:hAnsi="Verdana"/>
                <w:sz w:val="16"/>
                <w:szCs w:val="16"/>
                <w:lang w:val="en-US"/>
              </w:rPr>
              <w:t>.</w:t>
            </w:r>
            <w:r w:rsidRPr="00BD076C">
              <w:rPr>
                <w:rFonts w:ascii="Verdana" w:hAnsi="Verdana"/>
                <w:sz w:val="16"/>
                <w:szCs w:val="16"/>
                <w:lang w:val="en-US"/>
              </w:rPr>
              <w:t xml:space="preserve"> the malfunction indicator) or other engine maintenance purposes. The alert system and visual alarms cannot be turned off by means of a scan tool, if the cause of the activation of the alert has not been rectified.</w:t>
            </w:r>
            <w:r w:rsidRPr="00BD076C">
              <w:rPr>
                <w:lang w:val="en-US"/>
              </w:rPr>
              <w:t xml:space="preserve"> </w:t>
            </w:r>
          </w:p>
        </w:tc>
      </w:tr>
      <w:tr w:rsidR="008A0760" w:rsidRPr="00743A20" w14:paraId="756D35C0" w14:textId="77777777" w:rsidTr="00BD076C">
        <w:tc>
          <w:tcPr>
            <w:tcW w:w="4788" w:type="dxa"/>
            <w:shd w:val="clear" w:color="auto" w:fill="auto"/>
          </w:tcPr>
          <w:p w14:paraId="715DBC48"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B.3.3.</w:t>
            </w:r>
            <w:r w:rsidRPr="00A57824">
              <w:rPr>
                <w:rFonts w:ascii="Verdana" w:hAnsi="Verdana"/>
                <w:sz w:val="16"/>
                <w:szCs w:val="16"/>
                <w:lang w:val="es-ES_tradnl"/>
              </w:rPr>
              <w:t xml:space="preserve"> El sistema de alerta al conductor podrá mostrar mensajes breves, que indiquen entre otras cosas:</w:t>
            </w:r>
          </w:p>
        </w:tc>
        <w:tc>
          <w:tcPr>
            <w:tcW w:w="4788" w:type="dxa"/>
            <w:shd w:val="clear" w:color="auto" w:fill="auto"/>
          </w:tcPr>
          <w:p w14:paraId="340D186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B.3.3. </w:t>
            </w:r>
            <w:r w:rsidRPr="00BD076C">
              <w:rPr>
                <w:rFonts w:ascii="Verdana" w:hAnsi="Verdana"/>
                <w:sz w:val="16"/>
                <w:szCs w:val="16"/>
                <w:lang w:val="en-US"/>
              </w:rPr>
              <w:t>The driver alert system may show brief messages, indicating among other things:</w:t>
            </w:r>
            <w:r w:rsidRPr="00BD076C">
              <w:rPr>
                <w:lang w:val="en-US"/>
              </w:rPr>
              <w:t xml:space="preserve"> </w:t>
            </w:r>
          </w:p>
        </w:tc>
      </w:tr>
      <w:tr w:rsidR="008A0760" w:rsidRPr="00743A20" w14:paraId="3617AAFE" w14:textId="77777777" w:rsidTr="00BD076C">
        <w:tc>
          <w:tcPr>
            <w:tcW w:w="4788" w:type="dxa"/>
            <w:shd w:val="clear" w:color="auto" w:fill="auto"/>
          </w:tcPr>
          <w:p w14:paraId="79B3F1E5"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 xml:space="preserve"> La distancia o el tiempo restantes antes de la activación de las inducciones de bajo nivel o general;</w:t>
            </w:r>
          </w:p>
        </w:tc>
        <w:tc>
          <w:tcPr>
            <w:tcW w:w="4788" w:type="dxa"/>
            <w:shd w:val="clear" w:color="auto" w:fill="auto"/>
          </w:tcPr>
          <w:p w14:paraId="0753D4C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to.</w:t>
            </w:r>
            <w:r w:rsidRPr="00BD076C">
              <w:rPr>
                <w:lang w:val="en-US"/>
              </w:rPr>
              <w:t xml:space="preserve"> </w:t>
            </w:r>
            <w:r w:rsidRPr="00BD076C">
              <w:rPr>
                <w:rFonts w:ascii="Verdana" w:hAnsi="Verdana"/>
                <w:sz w:val="16"/>
                <w:szCs w:val="16"/>
                <w:lang w:val="en-US"/>
              </w:rPr>
              <w:t>The distance or time remaining before the activation of the low level or general inductions;</w:t>
            </w:r>
            <w:r w:rsidRPr="00BD076C">
              <w:rPr>
                <w:lang w:val="en-US"/>
              </w:rPr>
              <w:t xml:space="preserve"> </w:t>
            </w:r>
          </w:p>
        </w:tc>
      </w:tr>
      <w:tr w:rsidR="008A0760" w:rsidRPr="00743A20" w14:paraId="04482321" w14:textId="77777777" w:rsidTr="00BD076C">
        <w:tc>
          <w:tcPr>
            <w:tcW w:w="4788" w:type="dxa"/>
            <w:shd w:val="clear" w:color="auto" w:fill="auto"/>
          </w:tcPr>
          <w:p w14:paraId="4507A90A"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 xml:space="preserve"> El nivel de reducción de torque, y</w:t>
            </w:r>
          </w:p>
        </w:tc>
        <w:tc>
          <w:tcPr>
            <w:tcW w:w="4788" w:type="dxa"/>
            <w:shd w:val="clear" w:color="auto" w:fill="auto"/>
          </w:tcPr>
          <w:p w14:paraId="51ECCB8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sz w:val="16"/>
                <w:szCs w:val="16"/>
                <w:lang w:val="en-US"/>
              </w:rPr>
              <w:t>The level of torque reduction, and</w:t>
            </w:r>
            <w:r w:rsidRPr="00BD076C">
              <w:rPr>
                <w:lang w:val="en-US"/>
              </w:rPr>
              <w:t xml:space="preserve"> </w:t>
            </w:r>
          </w:p>
        </w:tc>
      </w:tr>
      <w:tr w:rsidR="008A0760" w:rsidRPr="00743A20" w14:paraId="2830E0B1" w14:textId="77777777" w:rsidTr="00BD076C">
        <w:tc>
          <w:tcPr>
            <w:tcW w:w="4788" w:type="dxa"/>
            <w:shd w:val="clear" w:color="auto" w:fill="auto"/>
          </w:tcPr>
          <w:p w14:paraId="5E7867DA"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sz w:val="16"/>
                <w:szCs w:val="16"/>
                <w:lang w:val="es-ES_tradnl"/>
              </w:rPr>
              <w:t xml:space="preserve"> Las condiciones en las que se pueda borrar la puesta fuera de servicio del vehículo.</w:t>
            </w:r>
          </w:p>
        </w:tc>
        <w:tc>
          <w:tcPr>
            <w:tcW w:w="4788" w:type="dxa"/>
            <w:shd w:val="clear" w:color="auto" w:fill="auto"/>
          </w:tcPr>
          <w:p w14:paraId="4C34FF3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sz w:val="16"/>
                <w:szCs w:val="16"/>
                <w:lang w:val="en-US"/>
              </w:rPr>
              <w:t>The conditions in which the putting out of service of the vehicle can be erased.</w:t>
            </w:r>
            <w:r w:rsidRPr="00BD076C">
              <w:rPr>
                <w:lang w:val="en-US"/>
              </w:rPr>
              <w:t xml:space="preserve"> </w:t>
            </w:r>
          </w:p>
        </w:tc>
      </w:tr>
      <w:tr w:rsidR="008A0760" w:rsidRPr="00A57824" w14:paraId="434AAD07" w14:textId="77777777" w:rsidTr="00BD076C">
        <w:tc>
          <w:tcPr>
            <w:tcW w:w="4788" w:type="dxa"/>
            <w:shd w:val="clear" w:color="auto" w:fill="auto"/>
          </w:tcPr>
          <w:p w14:paraId="7628A0BE"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B.3.4.</w:t>
            </w:r>
            <w:r w:rsidRPr="00A57824">
              <w:rPr>
                <w:rFonts w:ascii="Verdana" w:hAnsi="Verdana"/>
                <w:sz w:val="16"/>
                <w:szCs w:val="16"/>
                <w:lang w:val="es-ES_tradnl"/>
              </w:rPr>
              <w:t xml:space="preserve"> A elección del fabricante, el sistema de alerta podrá incluir también un componente auditivo que alerte al conductor. Se permitirá que el conductor pueda suprimir las alertas auditivas.</w:t>
            </w:r>
          </w:p>
        </w:tc>
        <w:tc>
          <w:tcPr>
            <w:tcW w:w="4788" w:type="dxa"/>
            <w:shd w:val="clear" w:color="auto" w:fill="auto"/>
          </w:tcPr>
          <w:p w14:paraId="0FAB8CF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B.3.4. </w:t>
            </w:r>
            <w:r w:rsidRPr="00BD076C">
              <w:rPr>
                <w:rFonts w:ascii="Verdana" w:hAnsi="Verdana"/>
                <w:sz w:val="16"/>
                <w:szCs w:val="16"/>
                <w:lang w:val="en-US"/>
              </w:rPr>
              <w:t>At the choice of the manufacturer, the warning system may also include an auditory component that alerts the driver. The driver will be allowed to suppress auditory alerts.</w:t>
            </w:r>
            <w:r w:rsidRPr="00BD076C">
              <w:rPr>
                <w:lang w:val="en-US"/>
              </w:rPr>
              <w:t xml:space="preserve"> </w:t>
            </w:r>
          </w:p>
        </w:tc>
      </w:tr>
      <w:tr w:rsidR="008A0760" w:rsidRPr="00743A20" w14:paraId="6E9514BC" w14:textId="77777777" w:rsidTr="00BD076C">
        <w:tc>
          <w:tcPr>
            <w:tcW w:w="4788" w:type="dxa"/>
            <w:shd w:val="clear" w:color="auto" w:fill="auto"/>
          </w:tcPr>
          <w:p w14:paraId="22DCB738"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B.3.5.</w:t>
            </w:r>
            <w:r w:rsidRPr="00A57824">
              <w:rPr>
                <w:rFonts w:ascii="Verdana" w:hAnsi="Verdana"/>
                <w:sz w:val="16"/>
                <w:szCs w:val="16"/>
                <w:lang w:val="es-ES_tradnl"/>
              </w:rPr>
              <w:t xml:space="preserve"> El sistema de alerta al conductor se desactivará cuando las condiciones que provocaron su activación hayan dejado de existir. El sistema de alerta al conductor no se desactivará automáticamente si no se han corregido las circunstancias que motivaron su activación.</w:t>
            </w:r>
          </w:p>
        </w:tc>
        <w:tc>
          <w:tcPr>
            <w:tcW w:w="4788" w:type="dxa"/>
            <w:shd w:val="clear" w:color="auto" w:fill="auto"/>
          </w:tcPr>
          <w:p w14:paraId="086D926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B.3.5. </w:t>
            </w:r>
            <w:r w:rsidRPr="00BD076C">
              <w:rPr>
                <w:rFonts w:ascii="Verdana" w:hAnsi="Verdana"/>
                <w:sz w:val="16"/>
                <w:szCs w:val="16"/>
                <w:lang w:val="en-US"/>
              </w:rPr>
              <w:t>The driver alert system will be deactivated when the conditions that triggered its activation have ceased to exist. The driver alert system will not be automatically deactivated if the circumstances that led to its activation have not been corrected.</w:t>
            </w:r>
            <w:r w:rsidRPr="00BD076C">
              <w:rPr>
                <w:lang w:val="en-US"/>
              </w:rPr>
              <w:t xml:space="preserve"> </w:t>
            </w:r>
          </w:p>
        </w:tc>
      </w:tr>
      <w:tr w:rsidR="008A0760" w:rsidRPr="00743A20" w14:paraId="63597DCC" w14:textId="77777777" w:rsidTr="00BD076C">
        <w:tc>
          <w:tcPr>
            <w:tcW w:w="4788" w:type="dxa"/>
            <w:shd w:val="clear" w:color="auto" w:fill="auto"/>
          </w:tcPr>
          <w:p w14:paraId="68496269"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B.3.6.</w:t>
            </w:r>
            <w:r w:rsidRPr="00A57824">
              <w:rPr>
                <w:rFonts w:ascii="Verdana" w:hAnsi="Verdana"/>
                <w:sz w:val="16"/>
                <w:szCs w:val="16"/>
                <w:lang w:val="es-ES_tradnl"/>
              </w:rPr>
              <w:t xml:space="preserve"> La señal del sistema de alerta podrá ser interrumpida temporalmente por otras señales de advertencia que emitan mensajes importantes relacionados con la seguridad.</w:t>
            </w:r>
          </w:p>
        </w:tc>
        <w:tc>
          <w:tcPr>
            <w:tcW w:w="4788" w:type="dxa"/>
            <w:shd w:val="clear" w:color="auto" w:fill="auto"/>
          </w:tcPr>
          <w:p w14:paraId="6251488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B.3.6. </w:t>
            </w:r>
            <w:r w:rsidRPr="00BD076C">
              <w:rPr>
                <w:rFonts w:ascii="Verdana" w:hAnsi="Verdana"/>
                <w:sz w:val="16"/>
                <w:szCs w:val="16"/>
                <w:lang w:val="en-US"/>
              </w:rPr>
              <w:t>The alert system signal may be temporarily interrupted by other warning signals that issue important safety-related messages.</w:t>
            </w:r>
            <w:r w:rsidRPr="00BD076C">
              <w:rPr>
                <w:lang w:val="en-US"/>
              </w:rPr>
              <w:t xml:space="preserve"> </w:t>
            </w:r>
          </w:p>
        </w:tc>
      </w:tr>
      <w:tr w:rsidR="008A0760" w:rsidRPr="00743A20" w14:paraId="2A7ED077" w14:textId="77777777" w:rsidTr="00BD076C">
        <w:tc>
          <w:tcPr>
            <w:tcW w:w="4788" w:type="dxa"/>
            <w:shd w:val="clear" w:color="auto" w:fill="auto"/>
          </w:tcPr>
          <w:p w14:paraId="7B3BF1DE"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B.4.</w:t>
            </w:r>
            <w:r w:rsidRPr="00A57824">
              <w:rPr>
                <w:rFonts w:ascii="Verdana" w:hAnsi="Verdana"/>
                <w:sz w:val="16"/>
                <w:szCs w:val="16"/>
                <w:lang w:val="es-ES_tradnl"/>
              </w:rPr>
              <w:t xml:space="preserve"> </w:t>
            </w:r>
            <w:r w:rsidRPr="00A57824">
              <w:rPr>
                <w:rFonts w:ascii="Verdana" w:hAnsi="Verdana"/>
                <w:b/>
                <w:sz w:val="16"/>
                <w:szCs w:val="16"/>
                <w:lang w:val="es-ES_tradnl"/>
              </w:rPr>
              <w:t>Sistema de Inducción al conductor bajo el programa europeo UN/CEPE</w:t>
            </w:r>
          </w:p>
        </w:tc>
        <w:tc>
          <w:tcPr>
            <w:tcW w:w="4788" w:type="dxa"/>
            <w:shd w:val="clear" w:color="auto" w:fill="auto"/>
          </w:tcPr>
          <w:p w14:paraId="45BACE08"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B.4. Induction system to the driver under the European UN/CEPE program</w:t>
            </w:r>
            <w:r w:rsidRPr="00BD076C">
              <w:rPr>
                <w:rFonts w:ascii="Verdana" w:hAnsi="Verdana"/>
                <w:sz w:val="16"/>
                <w:szCs w:val="16"/>
                <w:lang w:val="en-US"/>
              </w:rPr>
              <w:t xml:space="preserve"> </w:t>
            </w:r>
          </w:p>
        </w:tc>
      </w:tr>
      <w:tr w:rsidR="008A0760" w:rsidRPr="00743A20" w14:paraId="7E7D6FDA" w14:textId="77777777" w:rsidTr="00BD076C">
        <w:tc>
          <w:tcPr>
            <w:tcW w:w="4788" w:type="dxa"/>
            <w:shd w:val="clear" w:color="auto" w:fill="auto"/>
          </w:tcPr>
          <w:p w14:paraId="5E102A9D"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B.4.1.</w:t>
            </w:r>
            <w:r w:rsidRPr="00A57824">
              <w:rPr>
                <w:rFonts w:ascii="Verdana" w:hAnsi="Verdana"/>
                <w:sz w:val="16"/>
                <w:szCs w:val="16"/>
                <w:lang w:val="es-ES_tradnl"/>
              </w:rPr>
              <w:t xml:space="preserve"> El vehículo deberá incorporar un sistema de inducción del conductor en dos fases que comience con una inducción de bajo nivel (una restricción en el rendimiento) a la que seguirá una inducción general (desactivación efectiva del funcionamiento del vehículo).</w:t>
            </w:r>
          </w:p>
        </w:tc>
        <w:tc>
          <w:tcPr>
            <w:tcW w:w="4788" w:type="dxa"/>
            <w:shd w:val="clear" w:color="auto" w:fill="auto"/>
          </w:tcPr>
          <w:p w14:paraId="2D3FAA8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B.4.1. </w:t>
            </w:r>
            <w:r w:rsidRPr="00BD076C">
              <w:rPr>
                <w:rFonts w:ascii="Verdana" w:hAnsi="Verdana"/>
                <w:sz w:val="16"/>
                <w:szCs w:val="16"/>
                <w:lang w:val="en-US"/>
              </w:rPr>
              <w:t>The vehicle must incorporate a two-phase driver induction system that starts with a low-level induction (a performance restriction) that will be followed by a general induction (effective deactivation of vehicle operation).</w:t>
            </w:r>
            <w:r w:rsidRPr="00BD076C">
              <w:rPr>
                <w:lang w:val="en-US"/>
              </w:rPr>
              <w:t xml:space="preserve"> </w:t>
            </w:r>
          </w:p>
        </w:tc>
      </w:tr>
      <w:tr w:rsidR="008A0760" w:rsidRPr="00743A20" w14:paraId="1BE91715" w14:textId="77777777" w:rsidTr="00BD076C">
        <w:tc>
          <w:tcPr>
            <w:tcW w:w="4788" w:type="dxa"/>
            <w:shd w:val="clear" w:color="auto" w:fill="auto"/>
          </w:tcPr>
          <w:p w14:paraId="2D38FF99"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B.4.2.</w:t>
            </w:r>
            <w:r w:rsidRPr="00A57824">
              <w:rPr>
                <w:rFonts w:ascii="Verdana" w:hAnsi="Verdana"/>
                <w:sz w:val="16"/>
                <w:szCs w:val="16"/>
                <w:lang w:val="es-ES_tradnl"/>
              </w:rPr>
              <w:t xml:space="preserve"> El requerimiento de un sistema de inducción al conductor no será aplicable, para aquellos motores o vehículos destinados a ser usados en operaciones de </w:t>
            </w:r>
            <w:r w:rsidRPr="00A57824">
              <w:rPr>
                <w:rFonts w:ascii="Verdana" w:hAnsi="Verdana"/>
                <w:sz w:val="16"/>
                <w:szCs w:val="16"/>
                <w:lang w:val="es-ES_tradnl"/>
              </w:rPr>
              <w:lastRenderedPageBreak/>
              <w:t>rescate (Bomberos, ambulancias) o destinados a ser usados por las fuerzas de orden público (policía, militares).</w:t>
            </w:r>
          </w:p>
        </w:tc>
        <w:tc>
          <w:tcPr>
            <w:tcW w:w="4788" w:type="dxa"/>
            <w:shd w:val="clear" w:color="auto" w:fill="auto"/>
          </w:tcPr>
          <w:p w14:paraId="7EB25EB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 xml:space="preserve">B.4.2. </w:t>
            </w:r>
            <w:r w:rsidRPr="00BD076C">
              <w:rPr>
                <w:rFonts w:ascii="Verdana" w:hAnsi="Verdana"/>
                <w:sz w:val="16"/>
                <w:szCs w:val="16"/>
                <w:lang w:val="en-US"/>
              </w:rPr>
              <w:t xml:space="preserve">The requirement of an induction system to the driver will not be applicable, for those engines or vehicles destined to be used in rescue operations </w:t>
            </w:r>
            <w:r w:rsidRPr="00BD076C">
              <w:rPr>
                <w:rFonts w:ascii="Verdana" w:hAnsi="Verdana"/>
                <w:sz w:val="16"/>
                <w:szCs w:val="16"/>
                <w:lang w:val="en-US"/>
              </w:rPr>
              <w:lastRenderedPageBreak/>
              <w:t>(firemen, ambulances) or destined to be used by the forces of public order (police, military).</w:t>
            </w:r>
            <w:r w:rsidRPr="00BD076C">
              <w:rPr>
                <w:lang w:val="en-US"/>
              </w:rPr>
              <w:t xml:space="preserve"> </w:t>
            </w:r>
          </w:p>
        </w:tc>
      </w:tr>
      <w:tr w:rsidR="008A0760" w:rsidRPr="00743A20" w14:paraId="4ED83B16" w14:textId="77777777" w:rsidTr="00BD076C">
        <w:tc>
          <w:tcPr>
            <w:tcW w:w="4788" w:type="dxa"/>
            <w:shd w:val="clear" w:color="auto" w:fill="auto"/>
          </w:tcPr>
          <w:p w14:paraId="582750E0"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B.4.3.</w:t>
            </w:r>
            <w:r w:rsidRPr="00A57824">
              <w:rPr>
                <w:rFonts w:ascii="Verdana" w:hAnsi="Verdana"/>
                <w:sz w:val="16"/>
                <w:szCs w:val="16"/>
                <w:lang w:val="es-ES_tradnl"/>
              </w:rPr>
              <w:t xml:space="preserve"> Sistema de inducción de bajo nivel. El sistema de inducción de nivel bajo reducirá el torque máximo disponible del motor en un 25%, a través del rango de velocidad del motor cubriendo desde el torque pico (Peak Torque, en idioma inglés) hasta el torque máximo en el punto de ruptura del regulador. El sistema de inducción de nivel bajo se activará cuando el vehículo se encuentre parado por primera vez después de que se hayan producido las condiciones establecidas en los numerales B.6.3, B.7.3, B.8.5.</w:t>
            </w:r>
          </w:p>
        </w:tc>
        <w:tc>
          <w:tcPr>
            <w:tcW w:w="4788" w:type="dxa"/>
            <w:shd w:val="clear" w:color="auto" w:fill="auto"/>
          </w:tcPr>
          <w:p w14:paraId="77568FD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B.4.3. </w:t>
            </w:r>
            <w:r w:rsidRPr="00BD076C">
              <w:rPr>
                <w:rFonts w:ascii="Verdana" w:hAnsi="Verdana"/>
                <w:sz w:val="16"/>
                <w:szCs w:val="16"/>
                <w:lang w:val="en-US"/>
              </w:rPr>
              <w:t>Low level induction system. The low level induction system will reduce the maximum available torque of the engine by 25%, through the engine speed range covering from the peak torque (Peak Torque, in English) to the maximum torque at the breakpoint of the engine. regulator. The low level induction system will activate when the vehicle is stopped for the first time after the conditions established in numerals B.6.3, B.7.3, B.8.5 have occurred.</w:t>
            </w:r>
            <w:r w:rsidRPr="00BD076C">
              <w:rPr>
                <w:lang w:val="en-US"/>
              </w:rPr>
              <w:t xml:space="preserve"> </w:t>
            </w:r>
          </w:p>
        </w:tc>
      </w:tr>
      <w:tr w:rsidR="008A0760" w:rsidRPr="00743A20" w14:paraId="10EFCBF8" w14:textId="77777777" w:rsidTr="00BD076C">
        <w:tc>
          <w:tcPr>
            <w:tcW w:w="4788" w:type="dxa"/>
            <w:shd w:val="clear" w:color="auto" w:fill="auto"/>
          </w:tcPr>
          <w:p w14:paraId="585FA610"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B.5. Sistema de inducción general bajo el programa europeo UN/CEPE</w:t>
            </w:r>
          </w:p>
        </w:tc>
        <w:tc>
          <w:tcPr>
            <w:tcW w:w="4788" w:type="dxa"/>
            <w:shd w:val="clear" w:color="auto" w:fill="auto"/>
          </w:tcPr>
          <w:p w14:paraId="6872A34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B.5. General induction system under the European UN/CEPE program</w:t>
            </w:r>
            <w:r w:rsidRPr="00BD076C">
              <w:rPr>
                <w:lang w:val="en-US"/>
              </w:rPr>
              <w:t xml:space="preserve"> </w:t>
            </w:r>
          </w:p>
        </w:tc>
      </w:tr>
      <w:tr w:rsidR="008A0760" w:rsidRPr="00743A20" w14:paraId="28CB46AE" w14:textId="77777777" w:rsidTr="00BD076C">
        <w:tc>
          <w:tcPr>
            <w:tcW w:w="4788" w:type="dxa"/>
            <w:shd w:val="clear" w:color="auto" w:fill="auto"/>
          </w:tcPr>
          <w:p w14:paraId="5A709A65"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B.5.1.</w:t>
            </w:r>
            <w:r w:rsidRPr="00A57824">
              <w:rPr>
                <w:rFonts w:ascii="Verdana" w:hAnsi="Verdana"/>
                <w:sz w:val="16"/>
                <w:szCs w:val="16"/>
                <w:lang w:val="es-ES_tradnl"/>
              </w:rPr>
              <w:t xml:space="preserve"> El fabricante del motor a diésel o del vehículo automotor nuevo deberá incorporar, como mínimo, uno de los sistemas de inducción general que se describen a continuación:</w:t>
            </w:r>
          </w:p>
        </w:tc>
        <w:tc>
          <w:tcPr>
            <w:tcW w:w="4788" w:type="dxa"/>
            <w:shd w:val="clear" w:color="auto" w:fill="auto"/>
          </w:tcPr>
          <w:p w14:paraId="2CE0027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B.5.1. </w:t>
            </w:r>
            <w:r w:rsidRPr="00BD076C">
              <w:rPr>
                <w:rFonts w:ascii="Verdana" w:hAnsi="Verdana"/>
                <w:sz w:val="16"/>
                <w:szCs w:val="16"/>
                <w:lang w:val="en-US"/>
              </w:rPr>
              <w:t>The manufacturer of the diesel engine or the new motor vehicle shall incorporate, as a minimum, one of the general induction systems described below:</w:t>
            </w:r>
            <w:r w:rsidRPr="00BD076C">
              <w:rPr>
                <w:lang w:val="en-US"/>
              </w:rPr>
              <w:t xml:space="preserve"> </w:t>
            </w:r>
          </w:p>
        </w:tc>
      </w:tr>
      <w:tr w:rsidR="008A0760" w:rsidRPr="00743A20" w14:paraId="143E8BE3" w14:textId="77777777" w:rsidTr="00BD076C">
        <w:tc>
          <w:tcPr>
            <w:tcW w:w="4788" w:type="dxa"/>
            <w:shd w:val="clear" w:color="auto" w:fill="auto"/>
          </w:tcPr>
          <w:p w14:paraId="19634493"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B.5.1.1.</w:t>
            </w:r>
            <w:r w:rsidRPr="00A57824">
              <w:rPr>
                <w:rFonts w:ascii="Verdana" w:hAnsi="Verdana"/>
                <w:sz w:val="16"/>
                <w:szCs w:val="16"/>
                <w:lang w:val="es-ES_tradnl"/>
              </w:rPr>
              <w:t xml:space="preserve"> Un sistema de desactivación después de volver a arrancar, el cual limitará la velocidad del vehículo a 20 km/h (modo de marcha lenta) una vez que se haya apagado el motor por obra del conductor (llave de contacto en posición off).</w:t>
            </w:r>
          </w:p>
        </w:tc>
        <w:tc>
          <w:tcPr>
            <w:tcW w:w="4788" w:type="dxa"/>
            <w:shd w:val="clear" w:color="auto" w:fill="auto"/>
          </w:tcPr>
          <w:p w14:paraId="104A7A3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B.5.1.1. </w:t>
            </w:r>
            <w:r w:rsidRPr="00BD076C">
              <w:rPr>
                <w:rFonts w:ascii="Verdana" w:hAnsi="Verdana"/>
                <w:sz w:val="16"/>
                <w:szCs w:val="16"/>
                <w:lang w:val="en-US"/>
              </w:rPr>
              <w:t xml:space="preserve">A deactivation system after restarting, which will limit the speed of the vehicle to 20 </w:t>
            </w:r>
            <w:r w:rsidR="00141651" w:rsidRPr="00BD076C">
              <w:rPr>
                <w:rFonts w:ascii="Verdana" w:hAnsi="Verdana"/>
                <w:sz w:val="16"/>
                <w:szCs w:val="16"/>
                <w:lang w:val="en-US"/>
              </w:rPr>
              <w:t>km/h</w:t>
            </w:r>
            <w:r w:rsidRPr="00BD076C">
              <w:rPr>
                <w:rFonts w:ascii="Verdana" w:hAnsi="Verdana"/>
                <w:sz w:val="16"/>
                <w:szCs w:val="16"/>
                <w:lang w:val="en-US"/>
              </w:rPr>
              <w:t xml:space="preserve"> (idle mode) once the engine has been switched off by the driver (ignition key in off position).</w:t>
            </w:r>
            <w:r w:rsidRPr="00BD076C">
              <w:rPr>
                <w:lang w:val="en-US"/>
              </w:rPr>
              <w:t xml:space="preserve"> </w:t>
            </w:r>
          </w:p>
        </w:tc>
      </w:tr>
      <w:tr w:rsidR="008A0760" w:rsidRPr="00743A20" w14:paraId="2D34641C" w14:textId="77777777" w:rsidTr="00BD076C">
        <w:tc>
          <w:tcPr>
            <w:tcW w:w="4788" w:type="dxa"/>
            <w:shd w:val="clear" w:color="auto" w:fill="auto"/>
          </w:tcPr>
          <w:p w14:paraId="3E892E06"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B.5.1.2.</w:t>
            </w:r>
            <w:r w:rsidRPr="00A57824">
              <w:rPr>
                <w:rFonts w:ascii="Verdana" w:hAnsi="Verdana"/>
                <w:sz w:val="16"/>
                <w:szCs w:val="16"/>
                <w:lang w:val="es-ES_tradnl"/>
              </w:rPr>
              <w:t xml:space="preserve"> Un sistema de desactivación después de repostar, el cual limitará la velocidad del vehículo a 20 km/h (modo de marcha lenta) una vez que el nivel del depósito de combustible haya subido en una cantidad medible, que no deberá ser superior al 10% de la capacidad del depósito de combustible y deberá ser aprobada por la autoridad de certificación basándose en las capacidades técnicas del medidor del nivel de combustible y en una declaración del fabricante.</w:t>
            </w:r>
          </w:p>
        </w:tc>
        <w:tc>
          <w:tcPr>
            <w:tcW w:w="4788" w:type="dxa"/>
            <w:shd w:val="clear" w:color="auto" w:fill="auto"/>
          </w:tcPr>
          <w:p w14:paraId="2FB77C9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B.5.1.2. </w:t>
            </w:r>
            <w:r w:rsidRPr="00BD076C">
              <w:rPr>
                <w:rFonts w:ascii="Verdana" w:hAnsi="Verdana"/>
                <w:sz w:val="16"/>
                <w:szCs w:val="16"/>
                <w:lang w:val="en-US"/>
              </w:rPr>
              <w:t xml:space="preserve">A system of deactivation after refueling, which will limit the speed of the vehicle to 20 </w:t>
            </w:r>
            <w:r w:rsidR="00141651" w:rsidRPr="00BD076C">
              <w:rPr>
                <w:rFonts w:ascii="Verdana" w:hAnsi="Verdana"/>
                <w:sz w:val="16"/>
                <w:szCs w:val="16"/>
                <w:lang w:val="en-US"/>
              </w:rPr>
              <w:t>km/h</w:t>
            </w:r>
            <w:r w:rsidRPr="00BD076C">
              <w:rPr>
                <w:rFonts w:ascii="Verdana" w:hAnsi="Verdana"/>
                <w:sz w:val="16"/>
                <w:szCs w:val="16"/>
                <w:lang w:val="en-US"/>
              </w:rPr>
              <w:t xml:space="preserve"> (slow-motion mode) once the level of the fuel tank has risen by a measurable amount, which should not exceed 10% of fuel tank capacity and shall be approved by the certification authority based on the technical capabilities of the fuel level gauge and in a manufacturer's declaration.</w:t>
            </w:r>
            <w:r w:rsidRPr="00BD076C">
              <w:rPr>
                <w:lang w:val="en-US"/>
              </w:rPr>
              <w:t xml:space="preserve"> </w:t>
            </w:r>
          </w:p>
        </w:tc>
      </w:tr>
      <w:tr w:rsidR="008A0760" w:rsidRPr="00743A20" w14:paraId="6801B440" w14:textId="77777777" w:rsidTr="00BD076C">
        <w:tc>
          <w:tcPr>
            <w:tcW w:w="4788" w:type="dxa"/>
            <w:shd w:val="clear" w:color="auto" w:fill="auto"/>
          </w:tcPr>
          <w:p w14:paraId="4DF14E2D"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B.5.1.3.</w:t>
            </w:r>
            <w:r w:rsidRPr="00A57824">
              <w:rPr>
                <w:rFonts w:ascii="Verdana" w:hAnsi="Verdana"/>
                <w:sz w:val="16"/>
                <w:szCs w:val="16"/>
                <w:lang w:val="es-ES_tradnl"/>
              </w:rPr>
              <w:t xml:space="preserve"> Un sistema de desactivación después de estacionarse, el cual limitará la velocidad del vehículo a 20 km/h (modo de marcha lenta) cuando el vehículo lleve más de una hora parado.</w:t>
            </w:r>
          </w:p>
        </w:tc>
        <w:tc>
          <w:tcPr>
            <w:tcW w:w="4788" w:type="dxa"/>
            <w:shd w:val="clear" w:color="auto" w:fill="auto"/>
          </w:tcPr>
          <w:p w14:paraId="3D51038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B.5.1.3. </w:t>
            </w:r>
            <w:r w:rsidRPr="00BD076C">
              <w:rPr>
                <w:rFonts w:ascii="Verdana" w:hAnsi="Verdana"/>
                <w:sz w:val="16"/>
                <w:szCs w:val="16"/>
                <w:lang w:val="en-US"/>
              </w:rPr>
              <w:t xml:space="preserve">A system of deactivation after parking, which will limit the speed of the vehicle to 20 </w:t>
            </w:r>
            <w:r w:rsidR="00141651" w:rsidRPr="00BD076C">
              <w:rPr>
                <w:rFonts w:ascii="Verdana" w:hAnsi="Verdana"/>
                <w:sz w:val="16"/>
                <w:szCs w:val="16"/>
                <w:lang w:val="en-US"/>
              </w:rPr>
              <w:t>km/h</w:t>
            </w:r>
            <w:r w:rsidRPr="00BD076C">
              <w:rPr>
                <w:rFonts w:ascii="Verdana" w:hAnsi="Verdana"/>
                <w:sz w:val="16"/>
                <w:szCs w:val="16"/>
                <w:lang w:val="en-US"/>
              </w:rPr>
              <w:t xml:space="preserve"> (slow driving mode) when the vehicle has been stopped for more than one hour.</w:t>
            </w:r>
            <w:r w:rsidRPr="00BD076C">
              <w:rPr>
                <w:lang w:val="en-US"/>
              </w:rPr>
              <w:t xml:space="preserve"> </w:t>
            </w:r>
          </w:p>
        </w:tc>
      </w:tr>
      <w:tr w:rsidR="008A0760" w:rsidRPr="00743A20" w14:paraId="7E4BD80C" w14:textId="77777777" w:rsidTr="00BD076C">
        <w:tc>
          <w:tcPr>
            <w:tcW w:w="4788" w:type="dxa"/>
            <w:shd w:val="clear" w:color="auto" w:fill="auto"/>
          </w:tcPr>
          <w:p w14:paraId="246CE367"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B.5.1.4.</w:t>
            </w:r>
            <w:r w:rsidRPr="00A57824">
              <w:rPr>
                <w:rFonts w:ascii="Verdana" w:hAnsi="Verdana"/>
                <w:sz w:val="16"/>
                <w:szCs w:val="16"/>
                <w:lang w:val="es-ES_tradnl"/>
              </w:rPr>
              <w:t xml:space="preserve"> Un sistema de desactivación al llegar al límite temporal, el cual limitará la velocidad del vehículo a 20 km/h (modo de marcha lenta) en la primera ocasión en que se pare el vehículo después de ocho horas de funcionamiento del motor si ninguno de los sistemas descritos en las secciones B.5.1.1, B.5.1.2 y B.5.1.3 se ha activado previamente.</w:t>
            </w:r>
          </w:p>
        </w:tc>
        <w:tc>
          <w:tcPr>
            <w:tcW w:w="4788" w:type="dxa"/>
            <w:shd w:val="clear" w:color="auto" w:fill="auto"/>
          </w:tcPr>
          <w:p w14:paraId="005CAC5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B.5.1.4. </w:t>
            </w:r>
            <w:r w:rsidRPr="00BD076C">
              <w:rPr>
                <w:rFonts w:ascii="Verdana" w:hAnsi="Verdana"/>
                <w:sz w:val="16"/>
                <w:szCs w:val="16"/>
                <w:lang w:val="en-US"/>
              </w:rPr>
              <w:t xml:space="preserve">A deactivation system upon reaching the time limit, which will limit the vehicle's speed to 20 </w:t>
            </w:r>
            <w:r w:rsidR="00141651" w:rsidRPr="00BD076C">
              <w:rPr>
                <w:rFonts w:ascii="Verdana" w:hAnsi="Verdana"/>
                <w:sz w:val="16"/>
                <w:szCs w:val="16"/>
                <w:lang w:val="en-US"/>
              </w:rPr>
              <w:t>km/h</w:t>
            </w:r>
            <w:r w:rsidRPr="00BD076C">
              <w:rPr>
                <w:rFonts w:ascii="Verdana" w:hAnsi="Verdana"/>
                <w:sz w:val="16"/>
                <w:szCs w:val="16"/>
                <w:lang w:val="en-US"/>
              </w:rPr>
              <w:t xml:space="preserve"> (slow-motion mode) the first time the vehicle is stopped after eight hours of engine operation if none of the systems described in sections B.5.1.1, B.5.1.2 and B.5.1.3 have been previously activated.</w:t>
            </w:r>
            <w:r w:rsidRPr="00BD076C">
              <w:rPr>
                <w:lang w:val="en-US"/>
              </w:rPr>
              <w:t xml:space="preserve"> </w:t>
            </w:r>
          </w:p>
        </w:tc>
      </w:tr>
      <w:tr w:rsidR="008A0760" w:rsidRPr="00743A20" w14:paraId="35B2D178" w14:textId="77777777" w:rsidTr="00BD076C">
        <w:tc>
          <w:tcPr>
            <w:tcW w:w="4788" w:type="dxa"/>
            <w:shd w:val="clear" w:color="auto" w:fill="auto"/>
          </w:tcPr>
          <w:p w14:paraId="3EAC33C8"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B.5.2.</w:t>
            </w:r>
            <w:r w:rsidRPr="00A57824">
              <w:rPr>
                <w:rFonts w:ascii="Verdana" w:hAnsi="Verdana"/>
                <w:sz w:val="16"/>
                <w:szCs w:val="16"/>
                <w:lang w:val="es-ES_tradnl"/>
              </w:rPr>
              <w:t xml:space="preserve"> Cuando el sistema de inducción del conductor haya determinado que el sistema de inducción general estará activado, el sistema de inducción de bajo nivel permanecerá activado hasta que la velocidad del </w:t>
            </w:r>
            <w:r w:rsidRPr="00A57824">
              <w:rPr>
                <w:rFonts w:ascii="Verdana" w:hAnsi="Verdana"/>
                <w:sz w:val="16"/>
                <w:szCs w:val="16"/>
                <w:lang w:val="es-ES_tradnl"/>
              </w:rPr>
              <w:lastRenderedPageBreak/>
              <w:t>vehículo se haya limitado a 20 km/h (modo de marcha lenta).</w:t>
            </w:r>
          </w:p>
        </w:tc>
        <w:tc>
          <w:tcPr>
            <w:tcW w:w="4788" w:type="dxa"/>
            <w:shd w:val="clear" w:color="auto" w:fill="auto"/>
          </w:tcPr>
          <w:p w14:paraId="6F4B4569"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 xml:space="preserve">B.5.2. </w:t>
            </w:r>
            <w:r w:rsidRPr="00BD076C">
              <w:rPr>
                <w:rFonts w:ascii="Verdana" w:hAnsi="Verdana"/>
                <w:sz w:val="16"/>
                <w:szCs w:val="16"/>
                <w:lang w:val="en-US"/>
              </w:rPr>
              <w:t xml:space="preserve">When the driver's induction system has determined that the general induction system will be activated, the low level induction system will remain activated until the vehicle speed has been limited to 20 </w:t>
            </w:r>
            <w:r w:rsidR="00141651" w:rsidRPr="00BD076C">
              <w:rPr>
                <w:rFonts w:ascii="Verdana" w:hAnsi="Verdana"/>
                <w:sz w:val="16"/>
                <w:szCs w:val="16"/>
                <w:lang w:val="en-US"/>
              </w:rPr>
              <w:t>km/h</w:t>
            </w:r>
            <w:r w:rsidRPr="00BD076C">
              <w:rPr>
                <w:rFonts w:ascii="Verdana" w:hAnsi="Verdana"/>
                <w:sz w:val="16"/>
                <w:szCs w:val="16"/>
                <w:lang w:val="en-US"/>
              </w:rPr>
              <w:t xml:space="preserve"> (idle mode).</w:t>
            </w:r>
            <w:r w:rsidRPr="00BD076C">
              <w:rPr>
                <w:lang w:val="en-US"/>
              </w:rPr>
              <w:t xml:space="preserve"> </w:t>
            </w:r>
          </w:p>
        </w:tc>
      </w:tr>
      <w:tr w:rsidR="008A0760" w:rsidRPr="00743A20" w14:paraId="1165D546" w14:textId="77777777" w:rsidTr="00BD076C">
        <w:tc>
          <w:tcPr>
            <w:tcW w:w="4788" w:type="dxa"/>
            <w:shd w:val="clear" w:color="auto" w:fill="auto"/>
          </w:tcPr>
          <w:p w14:paraId="281ABA0B"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B.5.3.</w:t>
            </w:r>
            <w:r w:rsidRPr="00A57824">
              <w:rPr>
                <w:rFonts w:ascii="Verdana" w:hAnsi="Verdana"/>
                <w:sz w:val="16"/>
                <w:szCs w:val="16"/>
                <w:lang w:val="es-ES_tradnl"/>
              </w:rPr>
              <w:t xml:space="preserve"> El sistema de inducción del conductor se desactivará cuando las condiciones que provocaron su activación hayan dejado de existir. Mientras que no se desactivará automáticamente, si no se han corregido las circunstancias que motivaron su activación.</w:t>
            </w:r>
          </w:p>
        </w:tc>
        <w:tc>
          <w:tcPr>
            <w:tcW w:w="4788" w:type="dxa"/>
            <w:shd w:val="clear" w:color="auto" w:fill="auto"/>
          </w:tcPr>
          <w:p w14:paraId="245FFC7C"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B.5.3. </w:t>
            </w:r>
            <w:r w:rsidRPr="00BD076C">
              <w:rPr>
                <w:rFonts w:ascii="Verdana" w:hAnsi="Verdana"/>
                <w:sz w:val="16"/>
                <w:szCs w:val="16"/>
                <w:lang w:val="en-US"/>
              </w:rPr>
              <w:t>The driver's induction system will be deactivated when the conditions that caused its activation have ceased to exist. While it will not be automatically deactivated, if the circumstances that motivated its activation have not been corrected.</w:t>
            </w:r>
            <w:r w:rsidRPr="00BD076C">
              <w:rPr>
                <w:lang w:val="en-US"/>
              </w:rPr>
              <w:t xml:space="preserve"> </w:t>
            </w:r>
          </w:p>
        </w:tc>
      </w:tr>
      <w:tr w:rsidR="008A0760" w:rsidRPr="00743A20" w14:paraId="4EA0343F" w14:textId="77777777" w:rsidTr="00BD076C">
        <w:tc>
          <w:tcPr>
            <w:tcW w:w="4788" w:type="dxa"/>
            <w:shd w:val="clear" w:color="auto" w:fill="auto"/>
          </w:tcPr>
          <w:p w14:paraId="0AB3A910"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B.6. Disponibilidad de reactivo bajo el programa europeo UN/CEPE</w:t>
            </w:r>
          </w:p>
        </w:tc>
        <w:tc>
          <w:tcPr>
            <w:tcW w:w="4788" w:type="dxa"/>
            <w:shd w:val="clear" w:color="auto" w:fill="auto"/>
          </w:tcPr>
          <w:p w14:paraId="29697AF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B.6. Reagent availability under the European UN / CEPE program</w:t>
            </w:r>
            <w:r w:rsidRPr="00BD076C">
              <w:rPr>
                <w:lang w:val="en-US"/>
              </w:rPr>
              <w:t xml:space="preserve"> </w:t>
            </w:r>
          </w:p>
        </w:tc>
      </w:tr>
      <w:tr w:rsidR="008A0760" w:rsidRPr="00A57824" w14:paraId="1BDF2AE1" w14:textId="77777777" w:rsidTr="00BD076C">
        <w:tc>
          <w:tcPr>
            <w:tcW w:w="4788" w:type="dxa"/>
            <w:shd w:val="clear" w:color="auto" w:fill="auto"/>
          </w:tcPr>
          <w:p w14:paraId="730123C9"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B.6.1. Indicador de Reactivo</w:t>
            </w:r>
          </w:p>
        </w:tc>
        <w:tc>
          <w:tcPr>
            <w:tcW w:w="4788" w:type="dxa"/>
            <w:shd w:val="clear" w:color="auto" w:fill="auto"/>
          </w:tcPr>
          <w:p w14:paraId="0DC6BA2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B.6.1. Reactive Indicator</w:t>
            </w:r>
            <w:r w:rsidRPr="00BD076C">
              <w:rPr>
                <w:lang w:val="en-US"/>
              </w:rPr>
              <w:t xml:space="preserve"> </w:t>
            </w:r>
          </w:p>
        </w:tc>
      </w:tr>
      <w:tr w:rsidR="008A0760" w:rsidRPr="00743A20" w14:paraId="65DEA6DC" w14:textId="77777777" w:rsidTr="00BD076C">
        <w:tc>
          <w:tcPr>
            <w:tcW w:w="4788" w:type="dxa"/>
            <w:shd w:val="clear" w:color="auto" w:fill="auto"/>
          </w:tcPr>
          <w:p w14:paraId="5B7CB7A1"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vehículo estará equipado con un indicador específico, que informe al conductor sobre el nivel de reactivo en el depósito de almacenamiento del mismo. Para que el nivel mínimo de funcionamiento del indicador de reactivo sea aceptable deberá indicar continuamente el nivel de reactivo mientras el sistema de alerta al conductor contemplado en la sección B.3 esté activado para indicar los problemas de disponibilidad de reactivo. El indicador de reactivo podrá ser analógico o digital y podrá mostrar el nivel en proporción de la capacidad total del depósito, la cantidad de reactivo restante o la distancia de conducción restante estimada.</w:t>
            </w:r>
          </w:p>
        </w:tc>
        <w:tc>
          <w:tcPr>
            <w:tcW w:w="4788" w:type="dxa"/>
            <w:shd w:val="clear" w:color="auto" w:fill="auto"/>
          </w:tcPr>
          <w:p w14:paraId="5A9D76AD"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The vehicle will be equipped with a specific indicator, which informs the driver about the level of reagent in the storage tank of the same. In order for the minimum operating level of the reagent indicator to be acceptable, it must continuously indicate the reagent level while the driver alert system referred to in section B.3 is activated to indicate reagent availability problems. The reagent indicator may be analogue or digital and may show the level in proportion to the total capacity of the tank, the amount of remaining reagent or the estimated remaining driving distance.</w:t>
            </w:r>
            <w:r w:rsidRPr="00BD076C">
              <w:rPr>
                <w:lang w:val="en-US"/>
              </w:rPr>
              <w:t xml:space="preserve"> </w:t>
            </w:r>
          </w:p>
        </w:tc>
      </w:tr>
      <w:tr w:rsidR="008A0760" w:rsidRPr="00743A20" w14:paraId="20E508EC" w14:textId="77777777" w:rsidTr="00BD076C">
        <w:tc>
          <w:tcPr>
            <w:tcW w:w="4788" w:type="dxa"/>
            <w:shd w:val="clear" w:color="auto" w:fill="auto"/>
          </w:tcPr>
          <w:p w14:paraId="29B421DC"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B.6.2. Activación del sistema de alerta al conductor</w:t>
            </w:r>
          </w:p>
        </w:tc>
        <w:tc>
          <w:tcPr>
            <w:tcW w:w="4788" w:type="dxa"/>
            <w:shd w:val="clear" w:color="auto" w:fill="auto"/>
          </w:tcPr>
          <w:p w14:paraId="7E83C9E3"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B.6.2. Activation of the driver alert system</w:t>
            </w:r>
            <w:r w:rsidRPr="00BD076C">
              <w:rPr>
                <w:lang w:val="en-US"/>
              </w:rPr>
              <w:t xml:space="preserve"> </w:t>
            </w:r>
          </w:p>
        </w:tc>
      </w:tr>
      <w:tr w:rsidR="008A0760" w:rsidRPr="00743A20" w14:paraId="33704BCE" w14:textId="77777777" w:rsidTr="00BD076C">
        <w:tc>
          <w:tcPr>
            <w:tcW w:w="4788" w:type="dxa"/>
            <w:shd w:val="clear" w:color="auto" w:fill="auto"/>
          </w:tcPr>
          <w:p w14:paraId="0D93F82A"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B.6.2.1.</w:t>
            </w:r>
            <w:r w:rsidRPr="00A57824">
              <w:rPr>
                <w:rFonts w:ascii="Verdana" w:hAnsi="Verdana"/>
                <w:sz w:val="16"/>
                <w:szCs w:val="16"/>
                <w:lang w:val="es-ES_tradnl"/>
              </w:rPr>
              <w:t xml:space="preserve"> El sistema de alerta al conductor deberá activarse cuando el nivel de reactivo sea inferior al 10% de la capacidad del depósito de reactivo, o a un porcentaje más alto que determine el fabricante.</w:t>
            </w:r>
          </w:p>
        </w:tc>
        <w:tc>
          <w:tcPr>
            <w:tcW w:w="4788" w:type="dxa"/>
            <w:shd w:val="clear" w:color="auto" w:fill="auto"/>
          </w:tcPr>
          <w:p w14:paraId="00A4201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B.6.2.1. </w:t>
            </w:r>
            <w:r w:rsidRPr="00BD076C">
              <w:rPr>
                <w:rFonts w:ascii="Verdana" w:hAnsi="Verdana"/>
                <w:sz w:val="16"/>
                <w:szCs w:val="16"/>
                <w:lang w:val="en-US"/>
              </w:rPr>
              <w:t>The driver alert system should be activated when the reagent level is less than 10% of the capacity of the reagent reservoir, or a higher percentage determined by the manufacturer.</w:t>
            </w:r>
            <w:r w:rsidRPr="00BD076C">
              <w:rPr>
                <w:lang w:val="en-US"/>
              </w:rPr>
              <w:t xml:space="preserve"> </w:t>
            </w:r>
          </w:p>
        </w:tc>
      </w:tr>
      <w:tr w:rsidR="008A0760" w:rsidRPr="00743A20" w14:paraId="3F32E791" w14:textId="77777777" w:rsidTr="00BD076C">
        <w:tc>
          <w:tcPr>
            <w:tcW w:w="4788" w:type="dxa"/>
            <w:shd w:val="clear" w:color="auto" w:fill="auto"/>
          </w:tcPr>
          <w:p w14:paraId="7618E6D0"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B.6.2.2.</w:t>
            </w:r>
            <w:r w:rsidRPr="00A57824">
              <w:rPr>
                <w:rFonts w:ascii="Verdana" w:hAnsi="Verdana"/>
                <w:sz w:val="16"/>
                <w:szCs w:val="16"/>
                <w:lang w:val="es-ES_tradnl"/>
              </w:rPr>
              <w:t xml:space="preserve"> La alerta deberá ser lo suficientemente clara para que el conductor comprenda que el nivel de reactivo es bajo. Cuando el sistema de alerta incluya un sistema de visualización de mensajes, la alerta visual mostrará un mensaje que indique un bajo nivel de reactivo.</w:t>
            </w:r>
          </w:p>
        </w:tc>
        <w:tc>
          <w:tcPr>
            <w:tcW w:w="4788" w:type="dxa"/>
            <w:shd w:val="clear" w:color="auto" w:fill="auto"/>
          </w:tcPr>
          <w:p w14:paraId="345BC21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B.6.2.2. </w:t>
            </w:r>
            <w:r w:rsidRPr="00BD076C">
              <w:rPr>
                <w:rFonts w:ascii="Verdana" w:hAnsi="Verdana"/>
                <w:sz w:val="16"/>
                <w:szCs w:val="16"/>
                <w:lang w:val="en-US"/>
              </w:rPr>
              <w:t>The alert should be clear enough for the driver to understand that the level of reagent is low. When the alert system includes a message display system, the visual alert will show a message indicating a low level of reagent.</w:t>
            </w:r>
            <w:r w:rsidRPr="00BD076C">
              <w:rPr>
                <w:lang w:val="en-US"/>
              </w:rPr>
              <w:t xml:space="preserve"> </w:t>
            </w:r>
          </w:p>
        </w:tc>
      </w:tr>
      <w:tr w:rsidR="008A0760" w:rsidRPr="00743A20" w14:paraId="697519A9" w14:textId="77777777" w:rsidTr="00BD076C">
        <w:tc>
          <w:tcPr>
            <w:tcW w:w="4788" w:type="dxa"/>
            <w:shd w:val="clear" w:color="auto" w:fill="auto"/>
          </w:tcPr>
          <w:p w14:paraId="1EEA8A62"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B.6.2.3.</w:t>
            </w:r>
            <w:r w:rsidRPr="00A57824">
              <w:rPr>
                <w:rFonts w:ascii="Verdana" w:hAnsi="Verdana"/>
                <w:sz w:val="16"/>
                <w:szCs w:val="16"/>
                <w:lang w:val="es-ES_tradnl"/>
              </w:rPr>
              <w:t xml:space="preserve"> Inicialmente no será necesario que el sistema de alerta al conductor esté continuamente activado; sin embargo, la intensidad de la advertencia irá en aumento hasta convertirse en continua, en el momento en que el nivel del reactivo se aproxime a una proporción muy baja de la capacidad del depósito de reactivo y se aproxime al punto en el que se ponga en marcha el sistema de inducción del conductor. El sistema de alerta al conductor deberá culminar con una notificación al conductor del nivel que decida el fabricante, pero deberá ser considerablemente más perceptible que la alerta inicial.</w:t>
            </w:r>
          </w:p>
        </w:tc>
        <w:tc>
          <w:tcPr>
            <w:tcW w:w="4788" w:type="dxa"/>
            <w:shd w:val="clear" w:color="auto" w:fill="auto"/>
          </w:tcPr>
          <w:p w14:paraId="26CB89E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B.6.2.3. </w:t>
            </w:r>
            <w:r w:rsidRPr="00BD076C">
              <w:rPr>
                <w:rFonts w:ascii="Verdana" w:hAnsi="Verdana"/>
                <w:sz w:val="16"/>
                <w:szCs w:val="16"/>
                <w:lang w:val="en-US"/>
              </w:rPr>
              <w:t>Initially it will not be necessary for the driver alert system to be continuously activated; however, the intensity of the warning will increase until it becomes continuous, at the moment when the level of the reagent approaches a very low proportion of the capacity of the reagent tank and approaches the point where it is placed in Run the driver's induction system. The driver alert system should end with a notification to the driver of the level decided by the manufacturer but should be considerably more noticeable than the initial alert.</w:t>
            </w:r>
            <w:r w:rsidRPr="00BD076C">
              <w:rPr>
                <w:lang w:val="en-US"/>
              </w:rPr>
              <w:t xml:space="preserve"> </w:t>
            </w:r>
          </w:p>
        </w:tc>
      </w:tr>
      <w:tr w:rsidR="008A0760" w:rsidRPr="00743A20" w14:paraId="63BCD7A4" w14:textId="77777777" w:rsidTr="00BD076C">
        <w:tc>
          <w:tcPr>
            <w:tcW w:w="4788" w:type="dxa"/>
            <w:shd w:val="clear" w:color="auto" w:fill="auto"/>
          </w:tcPr>
          <w:p w14:paraId="4C664694"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B.6.2.4.</w:t>
            </w:r>
            <w:r w:rsidRPr="00A57824">
              <w:rPr>
                <w:rFonts w:ascii="Verdana" w:hAnsi="Verdana"/>
                <w:sz w:val="16"/>
                <w:szCs w:val="16"/>
                <w:lang w:val="es-ES_tradnl"/>
              </w:rPr>
              <w:t xml:space="preserve"> La alerta continua no podrá desactivarse o ignorarse fácilmente. Cuando el sistema de alerta incluya un sistema de visualización de mensajes, se </w:t>
            </w:r>
            <w:r w:rsidRPr="00A57824">
              <w:rPr>
                <w:rFonts w:ascii="Verdana" w:hAnsi="Verdana"/>
                <w:sz w:val="16"/>
                <w:szCs w:val="16"/>
                <w:lang w:val="es-ES_tradnl"/>
              </w:rPr>
              <w:lastRenderedPageBreak/>
              <w:t>mostrará una advertencia explícita (por ejemplo, reponga solución de acuosa de urea, o reponga reactivo). El sistema de alerta continua podrá ser interrumpido temporalmente por otras señales de alerta que emitan mensajes importantes relacionados con la seguridad.</w:t>
            </w:r>
          </w:p>
        </w:tc>
        <w:tc>
          <w:tcPr>
            <w:tcW w:w="4788" w:type="dxa"/>
            <w:shd w:val="clear" w:color="auto" w:fill="auto"/>
          </w:tcPr>
          <w:p w14:paraId="0AAE81F9"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 xml:space="preserve">B.6.2.4. </w:t>
            </w:r>
            <w:r w:rsidRPr="00BD076C">
              <w:rPr>
                <w:rFonts w:ascii="Verdana" w:hAnsi="Verdana"/>
                <w:sz w:val="16"/>
                <w:szCs w:val="16"/>
                <w:lang w:val="en-US"/>
              </w:rPr>
              <w:t xml:space="preserve">The continuous alert cannot be easily deactivated or ignored. When the warning system includes a message display system, an explicit warning </w:t>
            </w:r>
            <w:r w:rsidRPr="00BD076C">
              <w:rPr>
                <w:rFonts w:ascii="Verdana" w:hAnsi="Verdana"/>
                <w:sz w:val="16"/>
                <w:szCs w:val="16"/>
                <w:lang w:val="en-US"/>
              </w:rPr>
              <w:lastRenderedPageBreak/>
              <w:t>will be displayed (for example, replace aqueous urea solution, or reagent reagent). The continuous alert system may be interrupted temporarily by other warning signals that issue important messages related to security.</w:t>
            </w:r>
            <w:r w:rsidRPr="00BD076C">
              <w:rPr>
                <w:lang w:val="en-US"/>
              </w:rPr>
              <w:t xml:space="preserve"> </w:t>
            </w:r>
          </w:p>
        </w:tc>
      </w:tr>
      <w:tr w:rsidR="008A0760" w:rsidRPr="00743A20" w14:paraId="589E7F20" w14:textId="77777777" w:rsidTr="00BD076C">
        <w:tc>
          <w:tcPr>
            <w:tcW w:w="4788" w:type="dxa"/>
            <w:shd w:val="clear" w:color="auto" w:fill="auto"/>
          </w:tcPr>
          <w:p w14:paraId="5EA99288"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B.6.2.5.</w:t>
            </w:r>
            <w:r w:rsidRPr="00A57824">
              <w:rPr>
                <w:rFonts w:ascii="Verdana" w:hAnsi="Verdana"/>
                <w:sz w:val="16"/>
                <w:szCs w:val="16"/>
                <w:lang w:val="es-ES_tradnl"/>
              </w:rPr>
              <w:t xml:space="preserve"> No será posible apagar el sistema de alerta al conductor, mientras no se haya repuesto el reactivo hasta un nivel en el que ya no se active.</w:t>
            </w:r>
          </w:p>
        </w:tc>
        <w:tc>
          <w:tcPr>
            <w:tcW w:w="4788" w:type="dxa"/>
            <w:shd w:val="clear" w:color="auto" w:fill="auto"/>
          </w:tcPr>
          <w:p w14:paraId="2A67511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B.6.2.5. </w:t>
            </w:r>
            <w:r w:rsidRPr="00BD076C">
              <w:rPr>
                <w:rFonts w:ascii="Verdana" w:hAnsi="Verdana"/>
                <w:sz w:val="16"/>
                <w:szCs w:val="16"/>
                <w:lang w:val="en-US"/>
              </w:rPr>
              <w:t>It will not be possible to switch off the warning system to the driver, until the reagent has been replaced to a level where it is no longer activated.</w:t>
            </w:r>
            <w:r w:rsidRPr="00BD076C">
              <w:rPr>
                <w:lang w:val="en-US"/>
              </w:rPr>
              <w:t xml:space="preserve"> </w:t>
            </w:r>
          </w:p>
        </w:tc>
      </w:tr>
      <w:tr w:rsidR="008A0760" w:rsidRPr="00743A20" w14:paraId="12251C70" w14:textId="77777777" w:rsidTr="00BD076C">
        <w:tc>
          <w:tcPr>
            <w:tcW w:w="4788" w:type="dxa"/>
            <w:shd w:val="clear" w:color="auto" w:fill="auto"/>
          </w:tcPr>
          <w:p w14:paraId="537FC910"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B.6.3. Activación del sistema de inducción del conductor</w:t>
            </w:r>
          </w:p>
        </w:tc>
        <w:tc>
          <w:tcPr>
            <w:tcW w:w="4788" w:type="dxa"/>
            <w:shd w:val="clear" w:color="auto" w:fill="auto"/>
          </w:tcPr>
          <w:p w14:paraId="68514DD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B.6.3. Activation of the driver's induction system</w:t>
            </w:r>
            <w:r w:rsidRPr="00BD076C">
              <w:rPr>
                <w:lang w:val="en-US"/>
              </w:rPr>
              <w:t xml:space="preserve"> </w:t>
            </w:r>
          </w:p>
        </w:tc>
      </w:tr>
      <w:tr w:rsidR="008A0760" w:rsidRPr="00743A20" w14:paraId="3CF4066D" w14:textId="77777777" w:rsidTr="00BD076C">
        <w:tc>
          <w:tcPr>
            <w:tcW w:w="4788" w:type="dxa"/>
            <w:shd w:val="clear" w:color="auto" w:fill="auto"/>
          </w:tcPr>
          <w:p w14:paraId="34C09F8C"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B.6.3.1.</w:t>
            </w:r>
            <w:r w:rsidRPr="00A57824">
              <w:rPr>
                <w:rFonts w:ascii="Verdana" w:hAnsi="Verdana"/>
                <w:sz w:val="16"/>
                <w:szCs w:val="16"/>
                <w:lang w:val="es-ES_tradnl"/>
              </w:rPr>
              <w:t xml:space="preserve"> El sistema de inducción del conductor de bajo nivel descrito en la sección B.4, se activará cuando el nivel de reactivo del depósito sea inferior al 2.5% de su capacidad total nominal o a un porcentaje más alto que decida el fabricante.</w:t>
            </w:r>
          </w:p>
        </w:tc>
        <w:tc>
          <w:tcPr>
            <w:tcW w:w="4788" w:type="dxa"/>
            <w:shd w:val="clear" w:color="auto" w:fill="auto"/>
          </w:tcPr>
          <w:p w14:paraId="5CB593C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B.6.3.1. </w:t>
            </w:r>
            <w:r w:rsidRPr="00BD076C">
              <w:rPr>
                <w:rFonts w:ascii="Verdana" w:hAnsi="Verdana"/>
                <w:sz w:val="16"/>
                <w:szCs w:val="16"/>
                <w:lang w:val="en-US"/>
              </w:rPr>
              <w:t>The low level driver induction system described in section B.4 will be activated when the level of reagent in the tank is less than 2.5% of its nominal total capacity or a higher percentage as decided by the manufacturer.</w:t>
            </w:r>
            <w:r w:rsidRPr="00BD076C">
              <w:rPr>
                <w:lang w:val="en-US"/>
              </w:rPr>
              <w:t xml:space="preserve"> </w:t>
            </w:r>
          </w:p>
        </w:tc>
      </w:tr>
      <w:tr w:rsidR="008A0760" w:rsidRPr="00743A20" w14:paraId="1FD26DA6" w14:textId="77777777" w:rsidTr="00BD076C">
        <w:tc>
          <w:tcPr>
            <w:tcW w:w="4788" w:type="dxa"/>
            <w:shd w:val="clear" w:color="auto" w:fill="auto"/>
          </w:tcPr>
          <w:p w14:paraId="78A74D19"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B.6.3.2.</w:t>
            </w:r>
            <w:r w:rsidRPr="00A57824">
              <w:rPr>
                <w:rFonts w:ascii="Verdana" w:hAnsi="Verdana"/>
                <w:sz w:val="16"/>
                <w:szCs w:val="16"/>
                <w:lang w:val="es-ES_tradnl"/>
              </w:rPr>
              <w:t xml:space="preserve"> El sistema de inducción general descrito en la sección B.5, se activará cuando el nivel de reactivo del depósito esté vacío (es decir, si el sistema de dosificación es incapaz de extraer más reactivo del depósito) o a un nivel inferior al 2.5% de su capacidad total nominal, si el fabricante así lo decide.</w:t>
            </w:r>
          </w:p>
        </w:tc>
        <w:tc>
          <w:tcPr>
            <w:tcW w:w="4788" w:type="dxa"/>
            <w:shd w:val="clear" w:color="auto" w:fill="auto"/>
          </w:tcPr>
          <w:p w14:paraId="4545BF8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B.6.3.2. </w:t>
            </w:r>
            <w:r w:rsidRPr="00BD076C">
              <w:rPr>
                <w:rFonts w:ascii="Verdana" w:hAnsi="Verdana"/>
                <w:sz w:val="16"/>
                <w:szCs w:val="16"/>
                <w:lang w:val="en-US"/>
              </w:rPr>
              <w:t>The general induction system described in section B.5 will be activated when the reagent level of the reservoir is empty (ie, if the dosing system is unable to extract more reagent from the reservoir) or at a level lower than 2.5% its total nominal capacity, if the manufacturer so decides.</w:t>
            </w:r>
            <w:r w:rsidRPr="00BD076C">
              <w:rPr>
                <w:lang w:val="en-US"/>
              </w:rPr>
              <w:t xml:space="preserve"> </w:t>
            </w:r>
          </w:p>
        </w:tc>
      </w:tr>
      <w:tr w:rsidR="008A0760" w:rsidRPr="00743A20" w14:paraId="43F6BC17" w14:textId="77777777" w:rsidTr="00BD076C">
        <w:tc>
          <w:tcPr>
            <w:tcW w:w="4788" w:type="dxa"/>
            <w:shd w:val="clear" w:color="auto" w:fill="auto"/>
          </w:tcPr>
          <w:p w14:paraId="66C54295"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B.6.3.3.</w:t>
            </w:r>
            <w:r w:rsidRPr="00A57824">
              <w:rPr>
                <w:rFonts w:ascii="Verdana" w:hAnsi="Verdana"/>
                <w:sz w:val="16"/>
                <w:szCs w:val="16"/>
                <w:lang w:val="es-ES_tradnl"/>
              </w:rPr>
              <w:t xml:space="preserve"> No será posible apagar el sistema de inducción del conductor de bajo nivel o general, mientras no se haya repuesto el reactivo hasta un nivel en que no se produzca su activación respectiva.</w:t>
            </w:r>
          </w:p>
        </w:tc>
        <w:tc>
          <w:tcPr>
            <w:tcW w:w="4788" w:type="dxa"/>
            <w:shd w:val="clear" w:color="auto" w:fill="auto"/>
          </w:tcPr>
          <w:p w14:paraId="389840B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B.6.3.3. </w:t>
            </w:r>
            <w:r w:rsidRPr="00BD076C">
              <w:rPr>
                <w:rFonts w:ascii="Verdana" w:hAnsi="Verdana"/>
                <w:sz w:val="16"/>
                <w:szCs w:val="16"/>
                <w:lang w:val="en-US"/>
              </w:rPr>
              <w:t>It will not be possible to switch off the induction system of the low level or general driver, until the reagent has been replenished to a level where its respective activation does not occur.</w:t>
            </w:r>
            <w:r w:rsidRPr="00BD076C">
              <w:rPr>
                <w:lang w:val="en-US"/>
              </w:rPr>
              <w:t xml:space="preserve"> </w:t>
            </w:r>
          </w:p>
        </w:tc>
      </w:tr>
      <w:tr w:rsidR="008A0760" w:rsidRPr="00743A20" w14:paraId="52F75816" w14:textId="77777777" w:rsidTr="00BD076C">
        <w:tc>
          <w:tcPr>
            <w:tcW w:w="4788" w:type="dxa"/>
            <w:shd w:val="clear" w:color="auto" w:fill="auto"/>
          </w:tcPr>
          <w:p w14:paraId="6B9A8682"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B.7. Supervisión de la calidad del reactivo bajo el programa europeo UN/CEPE</w:t>
            </w:r>
          </w:p>
        </w:tc>
        <w:tc>
          <w:tcPr>
            <w:tcW w:w="4788" w:type="dxa"/>
            <w:shd w:val="clear" w:color="auto" w:fill="auto"/>
          </w:tcPr>
          <w:p w14:paraId="2227265C"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B.7. Reagent quality monitoring under the European UN/CEPE program</w:t>
            </w:r>
            <w:r w:rsidRPr="00BD076C">
              <w:rPr>
                <w:lang w:val="en-US"/>
              </w:rPr>
              <w:t xml:space="preserve"> </w:t>
            </w:r>
          </w:p>
        </w:tc>
      </w:tr>
      <w:tr w:rsidR="008A0760" w:rsidRPr="00743A20" w14:paraId="6F8E85DA" w14:textId="77777777" w:rsidTr="00BD076C">
        <w:tc>
          <w:tcPr>
            <w:tcW w:w="4788" w:type="dxa"/>
            <w:shd w:val="clear" w:color="auto" w:fill="auto"/>
          </w:tcPr>
          <w:p w14:paraId="75FB1476"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B.7.1.</w:t>
            </w:r>
            <w:r w:rsidRPr="00A57824">
              <w:rPr>
                <w:rFonts w:ascii="Verdana" w:hAnsi="Verdana"/>
                <w:sz w:val="16"/>
                <w:szCs w:val="16"/>
                <w:lang w:val="es-ES_tradnl"/>
              </w:rPr>
              <w:t xml:space="preserve"> El vehículo incluirá un medio que permita determinar la presencia del reactivo incorrecto a bordo de un vehículo.</w:t>
            </w:r>
          </w:p>
        </w:tc>
        <w:tc>
          <w:tcPr>
            <w:tcW w:w="4788" w:type="dxa"/>
            <w:shd w:val="clear" w:color="auto" w:fill="auto"/>
          </w:tcPr>
          <w:p w14:paraId="3C4CF638"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B.7.1. </w:t>
            </w:r>
            <w:r w:rsidRPr="00BD076C">
              <w:rPr>
                <w:rFonts w:ascii="Verdana" w:hAnsi="Verdana"/>
                <w:sz w:val="16"/>
                <w:szCs w:val="16"/>
                <w:lang w:val="en-US"/>
              </w:rPr>
              <w:t>The vehicle shall include a means to determine the presence of the incorrect reagent on board a vehicle.</w:t>
            </w:r>
            <w:r w:rsidRPr="00BD076C">
              <w:rPr>
                <w:lang w:val="en-US"/>
              </w:rPr>
              <w:t xml:space="preserve"> </w:t>
            </w:r>
          </w:p>
        </w:tc>
      </w:tr>
      <w:tr w:rsidR="008A0760" w:rsidRPr="00743A20" w14:paraId="05E2A419" w14:textId="77777777" w:rsidTr="00BD076C">
        <w:tc>
          <w:tcPr>
            <w:tcW w:w="4788" w:type="dxa"/>
            <w:shd w:val="clear" w:color="auto" w:fill="auto"/>
          </w:tcPr>
          <w:p w14:paraId="49B1EF49"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B.7.2. Activación del sistema de alerta al conductor</w:t>
            </w:r>
          </w:p>
        </w:tc>
        <w:tc>
          <w:tcPr>
            <w:tcW w:w="4788" w:type="dxa"/>
            <w:shd w:val="clear" w:color="auto" w:fill="auto"/>
          </w:tcPr>
          <w:p w14:paraId="4A359D5C"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B.7.2. Activation of the driver alert system</w:t>
            </w:r>
            <w:r w:rsidRPr="00BD076C">
              <w:rPr>
                <w:lang w:val="en-US"/>
              </w:rPr>
              <w:t xml:space="preserve"> </w:t>
            </w:r>
          </w:p>
        </w:tc>
      </w:tr>
      <w:tr w:rsidR="008A0760" w:rsidRPr="00743A20" w14:paraId="41E9CACF" w14:textId="77777777" w:rsidTr="00BD076C">
        <w:tc>
          <w:tcPr>
            <w:tcW w:w="4788" w:type="dxa"/>
            <w:shd w:val="clear" w:color="auto" w:fill="auto"/>
          </w:tcPr>
          <w:p w14:paraId="62BE061B"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Cuando el sistema de supervisión detecte o, si procede, confirme que la calidad del reactivo es incorrecta, se activará el sistema de alerta. Cuando el sistema de alerta incluya un sistema de visualización de mensajes, mostrará un mensaje que indique el motivo de la alerta (por ejemplo, detectada urea incorrecta, o detectado reactivo incorrecto).</w:t>
            </w:r>
          </w:p>
        </w:tc>
        <w:tc>
          <w:tcPr>
            <w:tcW w:w="4788" w:type="dxa"/>
            <w:shd w:val="clear" w:color="auto" w:fill="auto"/>
          </w:tcPr>
          <w:p w14:paraId="2EFD2E66"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When the monitoring system detects or, if applicable, confirms that the quality of the reagent is incorrect, the alert system will be activated. When the alert system includes a message display system, it will display a message indicating the reason for the alert (for example, detected incorrect urea, or detected incorrect reagent).</w:t>
            </w:r>
            <w:r w:rsidRPr="00BD076C">
              <w:rPr>
                <w:lang w:val="en-US"/>
              </w:rPr>
              <w:t xml:space="preserve"> </w:t>
            </w:r>
          </w:p>
        </w:tc>
      </w:tr>
      <w:tr w:rsidR="008A0760" w:rsidRPr="00743A20" w14:paraId="65E579F3" w14:textId="77777777" w:rsidTr="00BD076C">
        <w:tc>
          <w:tcPr>
            <w:tcW w:w="4788" w:type="dxa"/>
            <w:shd w:val="clear" w:color="auto" w:fill="auto"/>
          </w:tcPr>
          <w:p w14:paraId="4116332D"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B.7.3. Activación del sistema de inducción del conductor</w:t>
            </w:r>
          </w:p>
        </w:tc>
        <w:tc>
          <w:tcPr>
            <w:tcW w:w="4788" w:type="dxa"/>
            <w:shd w:val="clear" w:color="auto" w:fill="auto"/>
          </w:tcPr>
          <w:p w14:paraId="0BB6263C"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B.7.3. Activation of the driver's induction system</w:t>
            </w:r>
            <w:r w:rsidRPr="00BD076C">
              <w:rPr>
                <w:lang w:val="en-US"/>
              </w:rPr>
              <w:t xml:space="preserve"> </w:t>
            </w:r>
          </w:p>
        </w:tc>
      </w:tr>
      <w:tr w:rsidR="008A0760" w:rsidRPr="00743A20" w14:paraId="639F2992" w14:textId="77777777" w:rsidTr="00BD076C">
        <w:tc>
          <w:tcPr>
            <w:tcW w:w="4788" w:type="dxa"/>
            <w:shd w:val="clear" w:color="auto" w:fill="auto"/>
          </w:tcPr>
          <w:p w14:paraId="2F845B49"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B.7.3.1.</w:t>
            </w:r>
            <w:r w:rsidRPr="00A57824">
              <w:rPr>
                <w:rFonts w:ascii="Verdana" w:hAnsi="Verdana"/>
                <w:sz w:val="16"/>
                <w:szCs w:val="16"/>
                <w:lang w:val="es-ES_tradnl"/>
              </w:rPr>
              <w:t xml:space="preserve"> El sistema de inducción de bajo nivel descrito en la sección B.4. Se activará si la calidad del reactivo no se rectifica en 10 horas de funcionamiento del motor tras la activación del sistema de alerta al conductor descrito en la sección B.7.2.</w:t>
            </w:r>
          </w:p>
        </w:tc>
        <w:tc>
          <w:tcPr>
            <w:tcW w:w="4788" w:type="dxa"/>
            <w:shd w:val="clear" w:color="auto" w:fill="auto"/>
          </w:tcPr>
          <w:p w14:paraId="03AECA9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B.7.3.1. </w:t>
            </w:r>
            <w:r w:rsidRPr="00BD076C">
              <w:rPr>
                <w:rFonts w:ascii="Verdana" w:hAnsi="Verdana"/>
                <w:sz w:val="16"/>
                <w:szCs w:val="16"/>
                <w:lang w:val="en-US"/>
              </w:rPr>
              <w:t>The low level induction system described in section B.4. It will be activated if the quality of the reagent is not rectified within 10 hours of engine operation after activation of the driver alert system described in section B.7.2.</w:t>
            </w:r>
            <w:r w:rsidRPr="00BD076C">
              <w:rPr>
                <w:lang w:val="en-US"/>
              </w:rPr>
              <w:t xml:space="preserve"> </w:t>
            </w:r>
          </w:p>
        </w:tc>
      </w:tr>
      <w:tr w:rsidR="008A0760" w:rsidRPr="00743A20" w14:paraId="5B420B30" w14:textId="77777777" w:rsidTr="00BD076C">
        <w:tc>
          <w:tcPr>
            <w:tcW w:w="4788" w:type="dxa"/>
            <w:shd w:val="clear" w:color="auto" w:fill="auto"/>
          </w:tcPr>
          <w:p w14:paraId="6C0AA5A5"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B.7.3.2.</w:t>
            </w:r>
            <w:r w:rsidRPr="00A57824">
              <w:rPr>
                <w:rFonts w:ascii="Verdana" w:hAnsi="Verdana"/>
                <w:sz w:val="16"/>
                <w:szCs w:val="16"/>
                <w:lang w:val="es-ES_tradnl"/>
              </w:rPr>
              <w:t xml:space="preserve"> El sistema de inducción general descrito en la sección B.5, se activará si la calidad del reactivo no se rectifica en 20 horas de funcionamiento del motor tras la activación del sistema de alerta al conductor descrito en la sección B.7.2.</w:t>
            </w:r>
          </w:p>
        </w:tc>
        <w:tc>
          <w:tcPr>
            <w:tcW w:w="4788" w:type="dxa"/>
            <w:shd w:val="clear" w:color="auto" w:fill="auto"/>
          </w:tcPr>
          <w:p w14:paraId="6F81A273"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B.7.3.2. </w:t>
            </w:r>
            <w:r w:rsidRPr="00BD076C">
              <w:rPr>
                <w:rFonts w:ascii="Verdana" w:hAnsi="Verdana"/>
                <w:sz w:val="16"/>
                <w:szCs w:val="16"/>
                <w:lang w:val="en-US"/>
              </w:rPr>
              <w:t>The general induction system described in section B.5 will be activated if the quality of the reagent is not rectified within 20 hours of engine operation after activation of the driver alert system described in section B.7.2.</w:t>
            </w:r>
            <w:r w:rsidRPr="00BD076C">
              <w:rPr>
                <w:lang w:val="en-US"/>
              </w:rPr>
              <w:t xml:space="preserve"> </w:t>
            </w:r>
          </w:p>
        </w:tc>
      </w:tr>
      <w:tr w:rsidR="008A0760" w:rsidRPr="00743A20" w14:paraId="34DE0E32" w14:textId="77777777" w:rsidTr="00BD076C">
        <w:tc>
          <w:tcPr>
            <w:tcW w:w="4788" w:type="dxa"/>
            <w:shd w:val="clear" w:color="auto" w:fill="auto"/>
          </w:tcPr>
          <w:p w14:paraId="0FB4228E"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B.8. Supervisión del consumo de reactivo bajo el programa europeo UN/CEPE</w:t>
            </w:r>
          </w:p>
        </w:tc>
        <w:tc>
          <w:tcPr>
            <w:tcW w:w="4788" w:type="dxa"/>
            <w:shd w:val="clear" w:color="auto" w:fill="auto"/>
          </w:tcPr>
          <w:p w14:paraId="0C9E6D9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B.8. Reagent consumption monitoring under the European UN/CEPE program</w:t>
            </w:r>
            <w:r w:rsidRPr="00BD076C">
              <w:rPr>
                <w:lang w:val="en-US"/>
              </w:rPr>
              <w:t xml:space="preserve"> </w:t>
            </w:r>
          </w:p>
        </w:tc>
      </w:tr>
      <w:tr w:rsidR="008A0760" w:rsidRPr="00743A20" w14:paraId="43444A6C" w14:textId="77777777" w:rsidTr="00BD076C">
        <w:tc>
          <w:tcPr>
            <w:tcW w:w="4788" w:type="dxa"/>
            <w:shd w:val="clear" w:color="auto" w:fill="auto"/>
          </w:tcPr>
          <w:p w14:paraId="45D368AF"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B.8.1.</w:t>
            </w:r>
            <w:r w:rsidRPr="00A57824">
              <w:rPr>
                <w:rFonts w:ascii="Verdana" w:hAnsi="Verdana"/>
                <w:sz w:val="16"/>
                <w:szCs w:val="16"/>
                <w:lang w:val="es-ES_tradnl"/>
              </w:rPr>
              <w:t xml:space="preserve"> El vehículo incluirá un medio que permita determinar el consumo de reactivo y facilitar el acceso externo a la información sobre el consumo.</w:t>
            </w:r>
          </w:p>
        </w:tc>
        <w:tc>
          <w:tcPr>
            <w:tcW w:w="4788" w:type="dxa"/>
            <w:shd w:val="clear" w:color="auto" w:fill="auto"/>
          </w:tcPr>
          <w:p w14:paraId="5A63D737"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B.8.1. </w:t>
            </w:r>
            <w:r w:rsidRPr="00BD076C">
              <w:rPr>
                <w:rFonts w:ascii="Verdana" w:hAnsi="Verdana"/>
                <w:sz w:val="16"/>
                <w:szCs w:val="16"/>
                <w:lang w:val="en-US"/>
              </w:rPr>
              <w:t>The vehicle will include a means to determine the consumption of reagent and facilitate external access to information on consumption.</w:t>
            </w:r>
            <w:r w:rsidRPr="00BD076C">
              <w:rPr>
                <w:lang w:val="en-US"/>
              </w:rPr>
              <w:t xml:space="preserve"> </w:t>
            </w:r>
          </w:p>
        </w:tc>
      </w:tr>
      <w:tr w:rsidR="008A0760" w:rsidRPr="00743A20" w14:paraId="3832F993" w14:textId="77777777" w:rsidTr="00BD076C">
        <w:tc>
          <w:tcPr>
            <w:tcW w:w="4788" w:type="dxa"/>
            <w:shd w:val="clear" w:color="auto" w:fill="auto"/>
          </w:tcPr>
          <w:p w14:paraId="2DE7EB3A"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B.8.2. Consumo de reactivo y contadores de dosificación del reactivo</w:t>
            </w:r>
          </w:p>
        </w:tc>
        <w:tc>
          <w:tcPr>
            <w:tcW w:w="4788" w:type="dxa"/>
            <w:shd w:val="clear" w:color="auto" w:fill="auto"/>
          </w:tcPr>
          <w:p w14:paraId="3537C95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B.8.2. Reagent consumption and reagent dosing counters</w:t>
            </w:r>
            <w:r w:rsidRPr="00BD076C">
              <w:rPr>
                <w:lang w:val="en-US"/>
              </w:rPr>
              <w:t xml:space="preserve"> </w:t>
            </w:r>
          </w:p>
        </w:tc>
      </w:tr>
      <w:tr w:rsidR="008A0760" w:rsidRPr="00743A20" w14:paraId="58690F68" w14:textId="77777777" w:rsidTr="00BD076C">
        <w:tc>
          <w:tcPr>
            <w:tcW w:w="4788" w:type="dxa"/>
            <w:shd w:val="clear" w:color="auto" w:fill="auto"/>
          </w:tcPr>
          <w:p w14:paraId="169D4B61"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Se asignará un medidor específico para el consumo de reactivo (medidor del consumo de reactivo) y otro para la dosificación del reactivo (medidor de dosificación del reactivo). Estos medidores contarán el número de horas de funcionamiento del motor que se producen con un consumo de reactivos incorrecto y, respectivamente, cualquier interrupción de la actividad de dosificación del reactivo.</w:t>
            </w:r>
          </w:p>
        </w:tc>
        <w:tc>
          <w:tcPr>
            <w:tcW w:w="4788" w:type="dxa"/>
            <w:shd w:val="clear" w:color="auto" w:fill="auto"/>
          </w:tcPr>
          <w:p w14:paraId="2B618CF3"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A specific meter will be assigned for the reagent consumption (reagent consumption meter) and another for the reagent dosage (reagent dosage meter). These meters will count the number of hours of engine operation that occur with incorrect reagent consumption and, respectively, any interruption of the reagent dosing activity.</w:t>
            </w:r>
            <w:r w:rsidRPr="00BD076C">
              <w:rPr>
                <w:lang w:val="en-US"/>
              </w:rPr>
              <w:t xml:space="preserve"> </w:t>
            </w:r>
          </w:p>
        </w:tc>
      </w:tr>
      <w:tr w:rsidR="008A0760" w:rsidRPr="00A57824" w14:paraId="32926EF8" w14:textId="77777777" w:rsidTr="00BD076C">
        <w:tc>
          <w:tcPr>
            <w:tcW w:w="4788" w:type="dxa"/>
            <w:shd w:val="clear" w:color="auto" w:fill="auto"/>
          </w:tcPr>
          <w:p w14:paraId="5180ED69"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B.8.3. Condiciones de supervisión</w:t>
            </w:r>
          </w:p>
        </w:tc>
        <w:tc>
          <w:tcPr>
            <w:tcW w:w="4788" w:type="dxa"/>
            <w:shd w:val="clear" w:color="auto" w:fill="auto"/>
          </w:tcPr>
          <w:p w14:paraId="5A20ACC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B.8.3. Supervision conditions</w:t>
            </w:r>
            <w:r w:rsidRPr="00BD076C">
              <w:rPr>
                <w:lang w:val="en-US"/>
              </w:rPr>
              <w:t xml:space="preserve"> </w:t>
            </w:r>
          </w:p>
        </w:tc>
      </w:tr>
      <w:tr w:rsidR="008A0760" w:rsidRPr="00743A20" w14:paraId="18B228BC" w14:textId="77777777" w:rsidTr="00BD076C">
        <w:tc>
          <w:tcPr>
            <w:tcW w:w="4788" w:type="dxa"/>
            <w:shd w:val="clear" w:color="auto" w:fill="auto"/>
          </w:tcPr>
          <w:p w14:paraId="36B7FDE8"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B.8.3.1.</w:t>
            </w:r>
            <w:r w:rsidRPr="00A57824">
              <w:rPr>
                <w:rFonts w:ascii="Verdana" w:hAnsi="Verdana"/>
                <w:sz w:val="16"/>
                <w:szCs w:val="16"/>
                <w:lang w:val="es-ES_tradnl"/>
              </w:rPr>
              <w:t xml:space="preserve"> El período máximo de detección para un consumo de reactivo insuficiente será de 48 horas, o bien, el período equivalente a un consumo de reactivo solicitado de por lo menos 15 litros (el período que sea más largo).</w:t>
            </w:r>
          </w:p>
        </w:tc>
        <w:tc>
          <w:tcPr>
            <w:tcW w:w="4788" w:type="dxa"/>
            <w:shd w:val="clear" w:color="auto" w:fill="auto"/>
          </w:tcPr>
          <w:p w14:paraId="4B9470A4"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B.8.3.1. </w:t>
            </w:r>
            <w:r w:rsidRPr="00BD076C">
              <w:rPr>
                <w:rFonts w:ascii="Verdana" w:hAnsi="Verdana"/>
                <w:sz w:val="16"/>
                <w:szCs w:val="16"/>
                <w:lang w:val="en-US"/>
              </w:rPr>
              <w:t>The maximum detection period for insufficient reagent consumption will be 48 hours, or the period equivalent to a requested reagent consumption of at least 15 liters (whichever is the longest period).</w:t>
            </w:r>
            <w:r w:rsidRPr="00BD076C">
              <w:rPr>
                <w:lang w:val="en-US"/>
              </w:rPr>
              <w:t xml:space="preserve"> </w:t>
            </w:r>
          </w:p>
        </w:tc>
      </w:tr>
      <w:tr w:rsidR="008A0760" w:rsidRPr="00743A20" w14:paraId="2DD7B54F" w14:textId="77777777" w:rsidTr="00BD076C">
        <w:tc>
          <w:tcPr>
            <w:tcW w:w="4788" w:type="dxa"/>
            <w:shd w:val="clear" w:color="auto" w:fill="auto"/>
          </w:tcPr>
          <w:p w14:paraId="05D17005"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B.8.3.2.</w:t>
            </w:r>
            <w:r w:rsidRPr="00A57824">
              <w:rPr>
                <w:rFonts w:ascii="Verdana" w:hAnsi="Verdana"/>
                <w:sz w:val="16"/>
                <w:szCs w:val="16"/>
                <w:lang w:val="es-ES_tradnl"/>
              </w:rPr>
              <w:t xml:space="preserve"> A fin de supervisar el consumo de reactivo, se supervisará, como mínimo, uno de los siguientes parámetros en el vehículo o del motor:</w:t>
            </w:r>
          </w:p>
        </w:tc>
        <w:tc>
          <w:tcPr>
            <w:tcW w:w="4788" w:type="dxa"/>
            <w:shd w:val="clear" w:color="auto" w:fill="auto"/>
          </w:tcPr>
          <w:p w14:paraId="4EC31A6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B.8.3.2. </w:t>
            </w:r>
            <w:r w:rsidRPr="00BD076C">
              <w:rPr>
                <w:rFonts w:ascii="Verdana" w:hAnsi="Verdana"/>
                <w:sz w:val="16"/>
                <w:szCs w:val="16"/>
                <w:lang w:val="en-US"/>
              </w:rPr>
              <w:t>In order to monitor reagent consumption, at least one of the following parameters on the vehicle or engine will be monitored:</w:t>
            </w:r>
            <w:r w:rsidRPr="00BD076C">
              <w:rPr>
                <w:lang w:val="en-US"/>
              </w:rPr>
              <w:t xml:space="preserve"> </w:t>
            </w:r>
          </w:p>
        </w:tc>
      </w:tr>
      <w:tr w:rsidR="008A0760" w:rsidRPr="00743A20" w14:paraId="72F32F04" w14:textId="77777777" w:rsidTr="00BD076C">
        <w:tc>
          <w:tcPr>
            <w:tcW w:w="4788" w:type="dxa"/>
            <w:shd w:val="clear" w:color="auto" w:fill="auto"/>
          </w:tcPr>
          <w:p w14:paraId="475368C6"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sz w:val="16"/>
                <w:szCs w:val="16"/>
                <w:lang w:val="es-ES_tradnl"/>
              </w:rPr>
              <w:t>a.</w:t>
            </w:r>
            <w:r w:rsidRPr="00A57824">
              <w:rPr>
                <w:rFonts w:ascii="Verdana" w:hAnsi="Verdana"/>
                <w:sz w:val="16"/>
                <w:szCs w:val="16"/>
                <w:lang w:val="es-ES_tradnl"/>
              </w:rPr>
              <w:tab/>
              <w:t>El nivel de reactivo en el depósito de almacenamiento instalado en el vehículo; o</w:t>
            </w:r>
          </w:p>
        </w:tc>
        <w:tc>
          <w:tcPr>
            <w:tcW w:w="4788" w:type="dxa"/>
            <w:shd w:val="clear" w:color="auto" w:fill="auto"/>
          </w:tcPr>
          <w:p w14:paraId="65E73BEF" w14:textId="77777777" w:rsidR="008A0760" w:rsidRPr="00BD076C" w:rsidRDefault="00BE1219" w:rsidP="00BD076C">
            <w:pPr>
              <w:spacing w:after="101" w:line="276" w:lineRule="auto"/>
              <w:jc w:val="both"/>
              <w:rPr>
                <w:lang w:val="en-US"/>
              </w:rPr>
            </w:pPr>
            <w:r>
              <w:rPr>
                <w:rFonts w:ascii="Verdana" w:hAnsi="Verdana"/>
                <w:sz w:val="16"/>
                <w:szCs w:val="16"/>
                <w:lang w:val="en-US"/>
              </w:rPr>
              <w:t>a</w:t>
            </w:r>
            <w:r w:rsidR="008A0760" w:rsidRPr="00BD076C">
              <w:rPr>
                <w:rFonts w:ascii="Verdana" w:hAnsi="Verdana"/>
                <w:sz w:val="16"/>
                <w:szCs w:val="16"/>
                <w:lang w:val="en-US"/>
              </w:rPr>
              <w:t>.</w:t>
            </w:r>
            <w:r w:rsidR="008A0760" w:rsidRPr="00BD076C">
              <w:rPr>
                <w:lang w:val="en-US"/>
              </w:rPr>
              <w:t xml:space="preserve"> </w:t>
            </w:r>
            <w:r w:rsidR="008A0760" w:rsidRPr="00BD076C">
              <w:rPr>
                <w:rFonts w:ascii="Verdana" w:hAnsi="Verdana"/>
                <w:sz w:val="16"/>
                <w:szCs w:val="16"/>
                <w:lang w:val="en-US"/>
              </w:rPr>
              <w:t>              The level of reagent in the storage tank installed in the vehicle;</w:t>
            </w:r>
            <w:r w:rsidR="008A0760" w:rsidRPr="00BD076C">
              <w:rPr>
                <w:lang w:val="en-US"/>
              </w:rPr>
              <w:t xml:space="preserve"> </w:t>
            </w:r>
            <w:r w:rsidR="008A0760" w:rsidRPr="00BD076C">
              <w:rPr>
                <w:rFonts w:ascii="Verdana" w:hAnsi="Verdana"/>
                <w:sz w:val="16"/>
                <w:szCs w:val="16"/>
                <w:lang w:val="en-US"/>
              </w:rPr>
              <w:t>or</w:t>
            </w:r>
            <w:r w:rsidR="008A0760" w:rsidRPr="00BD076C">
              <w:rPr>
                <w:lang w:val="en-US"/>
              </w:rPr>
              <w:t xml:space="preserve"> </w:t>
            </w:r>
          </w:p>
        </w:tc>
      </w:tr>
      <w:tr w:rsidR="008A0760" w:rsidRPr="00743A20" w14:paraId="4C0FB5A7" w14:textId="77777777" w:rsidTr="00BD076C">
        <w:tc>
          <w:tcPr>
            <w:tcW w:w="4788" w:type="dxa"/>
            <w:shd w:val="clear" w:color="auto" w:fill="auto"/>
          </w:tcPr>
          <w:p w14:paraId="765F9B92"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sz w:val="16"/>
                <w:szCs w:val="16"/>
                <w:lang w:val="es-ES_tradnl"/>
              </w:rPr>
              <w:t>b.</w:t>
            </w:r>
            <w:r w:rsidRPr="00A57824">
              <w:rPr>
                <w:rFonts w:ascii="Verdana" w:hAnsi="Verdana"/>
                <w:sz w:val="16"/>
                <w:szCs w:val="16"/>
                <w:lang w:val="es-ES_tradnl"/>
              </w:rPr>
              <w:tab/>
              <w:t>El caudal de reactivo o la cantidad de reactivo inyectado lo más cerca técnicamente posible del punto de inyección en un sistema de post-tratamiento de los gases de escape.</w:t>
            </w:r>
          </w:p>
        </w:tc>
        <w:tc>
          <w:tcPr>
            <w:tcW w:w="4788" w:type="dxa"/>
            <w:shd w:val="clear" w:color="auto" w:fill="auto"/>
          </w:tcPr>
          <w:p w14:paraId="4CE01844"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b.</w:t>
            </w:r>
            <w:r w:rsidRPr="00BD076C">
              <w:rPr>
                <w:lang w:val="en-US"/>
              </w:rPr>
              <w:t xml:space="preserve"> </w:t>
            </w:r>
            <w:r w:rsidRPr="00BD076C">
              <w:rPr>
                <w:rFonts w:ascii="Verdana" w:hAnsi="Verdana"/>
                <w:sz w:val="16"/>
                <w:szCs w:val="16"/>
                <w:lang w:val="en-US"/>
              </w:rPr>
              <w:t>              The reagent flow rate or the quantity of reagent injected as close as technically possible to the injection point in an exhaust gas post-treatment system.</w:t>
            </w:r>
            <w:r w:rsidRPr="00BD076C">
              <w:rPr>
                <w:lang w:val="en-US"/>
              </w:rPr>
              <w:t xml:space="preserve"> </w:t>
            </w:r>
          </w:p>
        </w:tc>
      </w:tr>
      <w:tr w:rsidR="008A0760" w:rsidRPr="00743A20" w14:paraId="47C3BD70" w14:textId="77777777" w:rsidTr="00BD076C">
        <w:tc>
          <w:tcPr>
            <w:tcW w:w="4788" w:type="dxa"/>
            <w:shd w:val="clear" w:color="auto" w:fill="auto"/>
          </w:tcPr>
          <w:p w14:paraId="11B8B66A"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B.8.4. Activación del sistema de alerta al conductor</w:t>
            </w:r>
          </w:p>
        </w:tc>
        <w:tc>
          <w:tcPr>
            <w:tcW w:w="4788" w:type="dxa"/>
            <w:shd w:val="clear" w:color="auto" w:fill="auto"/>
          </w:tcPr>
          <w:p w14:paraId="763AC5D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B.8.4. Activation of the driver alert system</w:t>
            </w:r>
            <w:r w:rsidRPr="00BD076C">
              <w:rPr>
                <w:lang w:val="en-US"/>
              </w:rPr>
              <w:t xml:space="preserve"> </w:t>
            </w:r>
          </w:p>
        </w:tc>
      </w:tr>
      <w:tr w:rsidR="008A0760" w:rsidRPr="00743A20" w14:paraId="0BB3DD42" w14:textId="77777777" w:rsidTr="00BD076C">
        <w:tc>
          <w:tcPr>
            <w:tcW w:w="4788" w:type="dxa"/>
            <w:shd w:val="clear" w:color="auto" w:fill="auto"/>
          </w:tcPr>
          <w:p w14:paraId="3B475BB6"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B.8.4.1.</w:t>
            </w:r>
            <w:r w:rsidRPr="00A57824">
              <w:rPr>
                <w:rFonts w:ascii="Verdana" w:hAnsi="Verdana"/>
                <w:sz w:val="16"/>
                <w:szCs w:val="16"/>
                <w:lang w:val="es-ES_tradnl"/>
              </w:rPr>
              <w:t xml:space="preserve"> El sistema de alerta al conductor se activará si se detecta una desviación superior al 50% entre el consumo de reactivo medio y el consumo medio de reactivo solicitado por el sistema de motor durante el periodo que establezca el fabricante y que no será superior al periodo máximo definido en la sección B.8.3.1. Cuando el sistema de alerta incluya un sistema de visualización de mensajes, mostrará un mensaje que indique el motivo de la alerta tales como: mal funcionamiento de la dosificación de urea, mal </w:t>
            </w:r>
            <w:r w:rsidRPr="00A57824">
              <w:rPr>
                <w:rFonts w:ascii="Verdana" w:hAnsi="Verdana"/>
                <w:sz w:val="16"/>
                <w:szCs w:val="16"/>
                <w:lang w:val="es-ES_tradnl"/>
              </w:rPr>
              <w:lastRenderedPageBreak/>
              <w:t>funcionamiento de la dosificación de reactivo o mal funcionamiento de la dosificación del reactivo.</w:t>
            </w:r>
          </w:p>
        </w:tc>
        <w:tc>
          <w:tcPr>
            <w:tcW w:w="4788" w:type="dxa"/>
            <w:shd w:val="clear" w:color="auto" w:fill="auto"/>
          </w:tcPr>
          <w:p w14:paraId="3B962FC8"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 xml:space="preserve">B.8.4.1. </w:t>
            </w:r>
            <w:r w:rsidRPr="00BD076C">
              <w:rPr>
                <w:rFonts w:ascii="Verdana" w:hAnsi="Verdana"/>
                <w:sz w:val="16"/>
                <w:szCs w:val="16"/>
                <w:lang w:val="en-US"/>
              </w:rPr>
              <w:t xml:space="preserve">The driver alert system will be activated if a deviation of more than 50% is detected between the average reagent consumption and the average reagent consumption requested by the engine system during the period established by the manufacturer and which will not exceed the maximum period defined in section B.8.3.1. When the alert system includes a message display system, it will display a message indicating the reason for the alert such as: malfunction of the urea </w:t>
            </w:r>
            <w:r w:rsidRPr="00BD076C">
              <w:rPr>
                <w:rFonts w:ascii="Verdana" w:hAnsi="Verdana"/>
                <w:sz w:val="16"/>
                <w:szCs w:val="16"/>
                <w:lang w:val="en-US"/>
              </w:rPr>
              <w:lastRenderedPageBreak/>
              <w:t>dosage, malfunction of the reagent dosage or malfunction of the reagent dosage.</w:t>
            </w:r>
            <w:r w:rsidRPr="00BD076C">
              <w:rPr>
                <w:lang w:val="en-US"/>
              </w:rPr>
              <w:t xml:space="preserve"> </w:t>
            </w:r>
          </w:p>
        </w:tc>
      </w:tr>
      <w:tr w:rsidR="008A0760" w:rsidRPr="00743A20" w14:paraId="4CDE78C7" w14:textId="77777777" w:rsidTr="00BD076C">
        <w:tc>
          <w:tcPr>
            <w:tcW w:w="4788" w:type="dxa"/>
            <w:shd w:val="clear" w:color="auto" w:fill="auto"/>
          </w:tcPr>
          <w:p w14:paraId="0E3BD90A"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B.8.4.2.</w:t>
            </w:r>
            <w:r w:rsidRPr="00A57824">
              <w:rPr>
                <w:rFonts w:ascii="Verdana" w:hAnsi="Verdana"/>
                <w:sz w:val="16"/>
                <w:szCs w:val="16"/>
                <w:lang w:val="es-ES_tradnl"/>
              </w:rPr>
              <w:t xml:space="preserve"> El sistema de alerta al conductor se activará en caso de que se interrumpa la dosificación del reactivo. Cuando el sistema de alerta incluya un sistema de visualización de mensajes, éste mostrará un mensaje que indique una advertencia adecuada. Ello no será necesario si la interrupción es solicitada por la UCEV/ECU del motor, debido a que las condiciones de funcionamiento del vehículo son tales que su rendimiento en materia de emisiones no requiere la dosificación del reactivo.</w:t>
            </w:r>
          </w:p>
        </w:tc>
        <w:tc>
          <w:tcPr>
            <w:tcW w:w="4788" w:type="dxa"/>
            <w:shd w:val="clear" w:color="auto" w:fill="auto"/>
          </w:tcPr>
          <w:p w14:paraId="2902009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B.8.4.2. </w:t>
            </w:r>
            <w:r w:rsidRPr="00BD076C">
              <w:rPr>
                <w:rFonts w:ascii="Verdana" w:hAnsi="Verdana"/>
                <w:sz w:val="16"/>
                <w:szCs w:val="16"/>
                <w:lang w:val="en-US"/>
              </w:rPr>
              <w:t>The driver alert system will be activated in case the reagent dosing is interrupted. When the alert system includes a message display system, it will display a message indicating an appropriate warning. This will not be necessary if the interruption is requested by the UCEV/ECU of the engine, because the operating conditions of the vehicle are such that its performance in terms of emissions does not require the dosing of the reagent.</w:t>
            </w:r>
            <w:r w:rsidRPr="00BD076C">
              <w:rPr>
                <w:lang w:val="en-US"/>
              </w:rPr>
              <w:t xml:space="preserve"> </w:t>
            </w:r>
          </w:p>
        </w:tc>
      </w:tr>
      <w:tr w:rsidR="008A0760" w:rsidRPr="00743A20" w14:paraId="06EC10A9" w14:textId="77777777" w:rsidTr="00BD076C">
        <w:tc>
          <w:tcPr>
            <w:tcW w:w="4788" w:type="dxa"/>
            <w:shd w:val="clear" w:color="auto" w:fill="auto"/>
          </w:tcPr>
          <w:p w14:paraId="0DCC39CC"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B.8.5.</w:t>
            </w:r>
            <w:r w:rsidRPr="00A57824">
              <w:rPr>
                <w:rFonts w:ascii="Verdana" w:hAnsi="Verdana"/>
                <w:sz w:val="16"/>
                <w:szCs w:val="16"/>
                <w:lang w:val="es-ES_tradnl"/>
              </w:rPr>
              <w:t xml:space="preserve"> </w:t>
            </w:r>
            <w:r w:rsidRPr="00A57824">
              <w:rPr>
                <w:rFonts w:ascii="Verdana" w:hAnsi="Verdana"/>
                <w:b/>
                <w:sz w:val="16"/>
                <w:szCs w:val="16"/>
                <w:lang w:val="es-ES_tradnl"/>
              </w:rPr>
              <w:t>Activación del sistema de inducción del conductor</w:t>
            </w:r>
          </w:p>
        </w:tc>
        <w:tc>
          <w:tcPr>
            <w:tcW w:w="4788" w:type="dxa"/>
            <w:shd w:val="clear" w:color="auto" w:fill="auto"/>
          </w:tcPr>
          <w:p w14:paraId="6ED1EFD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B.8.5. Activation of the driver's induction system</w:t>
            </w:r>
            <w:r w:rsidRPr="00BD076C">
              <w:rPr>
                <w:rFonts w:ascii="Verdana" w:hAnsi="Verdana"/>
                <w:sz w:val="16"/>
                <w:szCs w:val="16"/>
                <w:lang w:val="en-US"/>
              </w:rPr>
              <w:t xml:space="preserve"> </w:t>
            </w:r>
          </w:p>
        </w:tc>
      </w:tr>
      <w:tr w:rsidR="008A0760" w:rsidRPr="00743A20" w14:paraId="7DC25948" w14:textId="77777777" w:rsidTr="00BD076C">
        <w:tc>
          <w:tcPr>
            <w:tcW w:w="4788" w:type="dxa"/>
            <w:shd w:val="clear" w:color="auto" w:fill="auto"/>
          </w:tcPr>
          <w:p w14:paraId="2947E45C"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B.8.5.1.</w:t>
            </w:r>
            <w:r w:rsidRPr="00A57824">
              <w:rPr>
                <w:rFonts w:ascii="Verdana" w:hAnsi="Verdana"/>
                <w:sz w:val="16"/>
                <w:szCs w:val="16"/>
                <w:lang w:val="es-ES_tradnl"/>
              </w:rPr>
              <w:t xml:space="preserve"> El sistema de alerta al conductor descrito en la sección B.4., se activará si un error en el consumo de reactivo no se rectifica en 10 horas de funcionamiento del motor tras la activación del sistema de alerta al conductor que se especifica en la sección B.8.4.</w:t>
            </w:r>
          </w:p>
        </w:tc>
        <w:tc>
          <w:tcPr>
            <w:tcW w:w="4788" w:type="dxa"/>
            <w:shd w:val="clear" w:color="auto" w:fill="auto"/>
          </w:tcPr>
          <w:p w14:paraId="46106368"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B.8.5.1. </w:t>
            </w:r>
            <w:r w:rsidRPr="00BD076C">
              <w:rPr>
                <w:rFonts w:ascii="Verdana" w:hAnsi="Verdana"/>
                <w:sz w:val="16"/>
                <w:szCs w:val="16"/>
                <w:lang w:val="en-US"/>
              </w:rPr>
              <w:t>The driver alert system described in section B.4., Will be activated if an error in the reagent consumption is not rectified in 10 hours of engine operation after activation of the driver alert system specified in the section B.8.4.</w:t>
            </w:r>
            <w:r w:rsidRPr="00BD076C">
              <w:rPr>
                <w:lang w:val="en-US"/>
              </w:rPr>
              <w:t xml:space="preserve"> </w:t>
            </w:r>
          </w:p>
        </w:tc>
      </w:tr>
      <w:tr w:rsidR="008A0760" w:rsidRPr="00743A20" w14:paraId="6922B09C" w14:textId="77777777" w:rsidTr="00BD076C">
        <w:tc>
          <w:tcPr>
            <w:tcW w:w="4788" w:type="dxa"/>
            <w:shd w:val="clear" w:color="auto" w:fill="auto"/>
          </w:tcPr>
          <w:p w14:paraId="23E80A75"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B.8.5.2.</w:t>
            </w:r>
            <w:r w:rsidRPr="00A57824">
              <w:rPr>
                <w:rFonts w:ascii="Verdana" w:hAnsi="Verdana"/>
                <w:sz w:val="16"/>
                <w:szCs w:val="16"/>
                <w:lang w:val="es-ES_tradnl"/>
              </w:rPr>
              <w:t xml:space="preserve"> El sistema de inducción general descrito en la sección B.5 se activará si un error en el consumo de reactivo o si una interrupción en la dosificación del reactivo no se rectifica en 20 horas de funcionamiento del motor tras la activación del sistema de alerta al conductor que se especifica en la sección B.8.4.</w:t>
            </w:r>
          </w:p>
        </w:tc>
        <w:tc>
          <w:tcPr>
            <w:tcW w:w="4788" w:type="dxa"/>
            <w:shd w:val="clear" w:color="auto" w:fill="auto"/>
          </w:tcPr>
          <w:p w14:paraId="17E5E22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B.8.5.2. </w:t>
            </w:r>
            <w:r w:rsidRPr="00BD076C">
              <w:rPr>
                <w:rFonts w:ascii="Verdana" w:hAnsi="Verdana"/>
                <w:sz w:val="16"/>
                <w:szCs w:val="16"/>
                <w:lang w:val="en-US"/>
              </w:rPr>
              <w:t>The general induction system described in section B.5 will be activated if an error in the reagent consumption or if an interruption in the reagent dosage is not rectified in 20 hours of engine operation after activation of the driver alert system which is specified in section B.8.4.</w:t>
            </w:r>
            <w:r w:rsidRPr="00BD076C">
              <w:rPr>
                <w:lang w:val="en-US"/>
              </w:rPr>
              <w:t xml:space="preserve"> </w:t>
            </w:r>
          </w:p>
        </w:tc>
      </w:tr>
      <w:tr w:rsidR="008A0760" w:rsidRPr="00743A20" w14:paraId="575DA247" w14:textId="77777777" w:rsidTr="00BD076C">
        <w:tc>
          <w:tcPr>
            <w:tcW w:w="4788" w:type="dxa"/>
            <w:shd w:val="clear" w:color="auto" w:fill="auto"/>
          </w:tcPr>
          <w:p w14:paraId="72DE4FD3"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B.9. Supervisión de fallas atribuibles a la manipulación bajo el programa europeo UN/CEPE</w:t>
            </w:r>
          </w:p>
        </w:tc>
        <w:tc>
          <w:tcPr>
            <w:tcW w:w="4788" w:type="dxa"/>
            <w:shd w:val="clear" w:color="auto" w:fill="auto"/>
          </w:tcPr>
          <w:p w14:paraId="55A934D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B.9. Supervision of failures attributable to handling under the European UN / CEPE program</w:t>
            </w:r>
            <w:r w:rsidRPr="00BD076C">
              <w:rPr>
                <w:lang w:val="en-US"/>
              </w:rPr>
              <w:t xml:space="preserve"> </w:t>
            </w:r>
          </w:p>
        </w:tc>
      </w:tr>
      <w:tr w:rsidR="008A0760" w:rsidRPr="00743A20" w14:paraId="5B39ABB0" w14:textId="77777777" w:rsidTr="00BD076C">
        <w:tc>
          <w:tcPr>
            <w:tcW w:w="4788" w:type="dxa"/>
            <w:shd w:val="clear" w:color="auto" w:fill="auto"/>
          </w:tcPr>
          <w:p w14:paraId="3E276D23"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B.9.1.</w:t>
            </w:r>
            <w:r w:rsidRPr="00A57824">
              <w:rPr>
                <w:rFonts w:ascii="Verdana" w:hAnsi="Verdana"/>
                <w:sz w:val="16"/>
                <w:szCs w:val="16"/>
                <w:lang w:val="es-ES_tradnl"/>
              </w:rPr>
              <w:t xml:space="preserve"> Además del nivel de reactivo en el depósito de reactivo, la calidad del reactivo y el consumo de reactivo, el sistema anti-manipulación supervisará los siguientes fallos, mismos que pueden atribuirse a la manipulación:</w:t>
            </w:r>
          </w:p>
        </w:tc>
        <w:tc>
          <w:tcPr>
            <w:tcW w:w="4788" w:type="dxa"/>
            <w:shd w:val="clear" w:color="auto" w:fill="auto"/>
          </w:tcPr>
          <w:p w14:paraId="0992AE69"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B.9.1. </w:t>
            </w:r>
            <w:r w:rsidRPr="00BD076C">
              <w:rPr>
                <w:rFonts w:ascii="Verdana" w:hAnsi="Verdana"/>
                <w:sz w:val="16"/>
                <w:szCs w:val="16"/>
                <w:lang w:val="en-US"/>
              </w:rPr>
              <w:t>In addition to the reagent level in the reagent tank, the quality of the reagent and the reagent consumption, the anti-tampering system will monitor the following faults, which can be attributed to handling:</w:t>
            </w:r>
            <w:r w:rsidRPr="00BD076C">
              <w:rPr>
                <w:lang w:val="en-US"/>
              </w:rPr>
              <w:t xml:space="preserve"> </w:t>
            </w:r>
          </w:p>
        </w:tc>
      </w:tr>
      <w:tr w:rsidR="008A0760" w:rsidRPr="00743A20" w14:paraId="28E41022" w14:textId="77777777" w:rsidTr="00BD076C">
        <w:tc>
          <w:tcPr>
            <w:tcW w:w="4788" w:type="dxa"/>
            <w:shd w:val="clear" w:color="auto" w:fill="auto"/>
          </w:tcPr>
          <w:p w14:paraId="4E7C6BF5"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a. Dificultar el funcionamiento de la válvula SRG/EGR, y</w:t>
            </w:r>
          </w:p>
        </w:tc>
        <w:tc>
          <w:tcPr>
            <w:tcW w:w="4788" w:type="dxa"/>
            <w:shd w:val="clear" w:color="auto" w:fill="auto"/>
          </w:tcPr>
          <w:p w14:paraId="16467ADC"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to.</w:t>
            </w:r>
            <w:r w:rsidRPr="00BD076C">
              <w:rPr>
                <w:lang w:val="en-US"/>
              </w:rPr>
              <w:t xml:space="preserve"> </w:t>
            </w:r>
            <w:r w:rsidRPr="00BD076C">
              <w:rPr>
                <w:rFonts w:ascii="Verdana" w:hAnsi="Verdana"/>
                <w:sz w:val="16"/>
                <w:szCs w:val="16"/>
                <w:lang w:val="en-US"/>
              </w:rPr>
              <w:t xml:space="preserve">Difficulty the operation of the </w:t>
            </w:r>
            <w:r w:rsidR="00F75D61" w:rsidRPr="00BD076C">
              <w:rPr>
                <w:rFonts w:ascii="Verdana" w:hAnsi="Verdana"/>
                <w:sz w:val="16"/>
                <w:szCs w:val="16"/>
                <w:lang w:val="en-US"/>
              </w:rPr>
              <w:t>SRG/EGR</w:t>
            </w:r>
            <w:r w:rsidRPr="00BD076C">
              <w:rPr>
                <w:rFonts w:ascii="Verdana" w:hAnsi="Verdana"/>
                <w:sz w:val="16"/>
                <w:szCs w:val="16"/>
                <w:lang w:val="en-US"/>
              </w:rPr>
              <w:t xml:space="preserve"> valve, and</w:t>
            </w:r>
            <w:r w:rsidRPr="00BD076C">
              <w:rPr>
                <w:lang w:val="en-US"/>
              </w:rPr>
              <w:t xml:space="preserve"> </w:t>
            </w:r>
          </w:p>
        </w:tc>
      </w:tr>
      <w:tr w:rsidR="008A0760" w:rsidRPr="00743A20" w14:paraId="1C313149" w14:textId="77777777" w:rsidTr="00BD076C">
        <w:tc>
          <w:tcPr>
            <w:tcW w:w="4788" w:type="dxa"/>
            <w:shd w:val="clear" w:color="auto" w:fill="auto"/>
          </w:tcPr>
          <w:p w14:paraId="504BA365"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b. Fallos del sistema de supervisión anti-manipulación, tal como se describe en la sección B.9.2.</w:t>
            </w:r>
          </w:p>
        </w:tc>
        <w:tc>
          <w:tcPr>
            <w:tcW w:w="4788" w:type="dxa"/>
            <w:shd w:val="clear" w:color="auto" w:fill="auto"/>
          </w:tcPr>
          <w:p w14:paraId="00C838A1"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b.</w:t>
            </w:r>
            <w:r w:rsidRPr="00BD076C">
              <w:rPr>
                <w:lang w:val="en-US"/>
              </w:rPr>
              <w:t xml:space="preserve"> </w:t>
            </w:r>
            <w:r w:rsidRPr="00BD076C">
              <w:rPr>
                <w:rFonts w:ascii="Verdana" w:hAnsi="Verdana"/>
                <w:sz w:val="16"/>
                <w:szCs w:val="16"/>
                <w:lang w:val="en-US"/>
              </w:rPr>
              <w:t>Failures of the anti-tampering supervision system, as described in section B.9.2.</w:t>
            </w:r>
            <w:r w:rsidRPr="00BD076C">
              <w:rPr>
                <w:lang w:val="en-US"/>
              </w:rPr>
              <w:t xml:space="preserve"> </w:t>
            </w:r>
          </w:p>
        </w:tc>
      </w:tr>
      <w:tr w:rsidR="008A0760" w:rsidRPr="00A57824" w14:paraId="09F489F9" w14:textId="77777777" w:rsidTr="00BD076C">
        <w:tc>
          <w:tcPr>
            <w:tcW w:w="4788" w:type="dxa"/>
            <w:shd w:val="clear" w:color="auto" w:fill="auto"/>
          </w:tcPr>
          <w:p w14:paraId="263C8B39"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B.9.2. Requisitos de supervisión</w:t>
            </w:r>
          </w:p>
        </w:tc>
        <w:tc>
          <w:tcPr>
            <w:tcW w:w="4788" w:type="dxa"/>
            <w:shd w:val="clear" w:color="auto" w:fill="auto"/>
          </w:tcPr>
          <w:p w14:paraId="7BB5D68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B.9.2. Supervision requirements</w:t>
            </w:r>
            <w:r w:rsidRPr="00BD076C">
              <w:rPr>
                <w:lang w:val="en-US"/>
              </w:rPr>
              <w:t xml:space="preserve"> </w:t>
            </w:r>
          </w:p>
        </w:tc>
      </w:tr>
      <w:tr w:rsidR="008A0760" w:rsidRPr="00743A20" w14:paraId="4D48104F" w14:textId="77777777" w:rsidTr="00BD076C">
        <w:tc>
          <w:tcPr>
            <w:tcW w:w="4788" w:type="dxa"/>
            <w:shd w:val="clear" w:color="auto" w:fill="auto"/>
          </w:tcPr>
          <w:p w14:paraId="055DCDE2"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B.9.2.1.</w:t>
            </w:r>
            <w:r w:rsidRPr="00A57824">
              <w:rPr>
                <w:rFonts w:ascii="Verdana" w:hAnsi="Verdana"/>
                <w:sz w:val="16"/>
                <w:szCs w:val="16"/>
                <w:lang w:val="es-ES_tradnl"/>
              </w:rPr>
              <w:t xml:space="preserve"> El sistema de supervisión anti-manipulación será supervisado para detectar fallas eléctricas y retirar o desactivar cualquier sensor que le impida diagnosticar cualquiera de las fallas contempladas en las secciones B.6 a B.8 (supervisión de los componentes).</w:t>
            </w:r>
          </w:p>
        </w:tc>
        <w:tc>
          <w:tcPr>
            <w:tcW w:w="4788" w:type="dxa"/>
            <w:shd w:val="clear" w:color="auto" w:fill="auto"/>
          </w:tcPr>
          <w:p w14:paraId="7AB001F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B.9.2.1. </w:t>
            </w:r>
            <w:r w:rsidRPr="00BD076C">
              <w:rPr>
                <w:rFonts w:ascii="Verdana" w:hAnsi="Verdana"/>
                <w:sz w:val="16"/>
                <w:szCs w:val="16"/>
                <w:lang w:val="en-US"/>
              </w:rPr>
              <w:t>The anti-tampering supervision system shall be supervised to detect electrical faults and to remove or deactivate any sensor that prevents it from diagnosing any of the faults referred to in sections B.6 to B.8 (supervision of the components).</w:t>
            </w:r>
            <w:r w:rsidRPr="00BD076C">
              <w:rPr>
                <w:lang w:val="en-US"/>
              </w:rPr>
              <w:t xml:space="preserve"> </w:t>
            </w:r>
          </w:p>
        </w:tc>
      </w:tr>
      <w:tr w:rsidR="008A0760" w:rsidRPr="00743A20" w14:paraId="0ED427FC" w14:textId="77777777" w:rsidTr="00BD076C">
        <w:tc>
          <w:tcPr>
            <w:tcW w:w="4788" w:type="dxa"/>
            <w:shd w:val="clear" w:color="auto" w:fill="auto"/>
          </w:tcPr>
          <w:p w14:paraId="60A68DB9"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 xml:space="preserve">En una lista no exhaustiva de sensores que afectan a la capacidad de diagnóstico figurarán los que miden directamente la concentración de NOx, los sensores de la calidad de la solución acuosa de urea, los sensores de ambiente y los sensores utilizados para supervisar la </w:t>
            </w:r>
            <w:r w:rsidRPr="00A57824">
              <w:rPr>
                <w:rFonts w:ascii="Verdana" w:hAnsi="Verdana"/>
                <w:sz w:val="16"/>
                <w:szCs w:val="16"/>
                <w:lang w:val="es-ES_tradnl"/>
              </w:rPr>
              <w:lastRenderedPageBreak/>
              <w:t>actividad de dosificación del reactivo, el nivel de reactivo y el consumo de reactivo.</w:t>
            </w:r>
          </w:p>
        </w:tc>
        <w:tc>
          <w:tcPr>
            <w:tcW w:w="4788" w:type="dxa"/>
            <w:shd w:val="clear" w:color="auto" w:fill="auto"/>
          </w:tcPr>
          <w:p w14:paraId="7097E90A"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lastRenderedPageBreak/>
              <w:t xml:space="preserve">A non-exhaustive list of sensors that affect the diagnostic capacity will include those that directly measure the concentration of NOx, the sensors of the quality of the aqueous urea solution, the environmental sensors and the sensors used to monitor the dosing </w:t>
            </w:r>
            <w:r w:rsidRPr="00BD076C">
              <w:rPr>
                <w:rFonts w:ascii="Verdana" w:hAnsi="Verdana"/>
                <w:sz w:val="16"/>
                <w:szCs w:val="16"/>
                <w:lang w:val="en-US"/>
              </w:rPr>
              <w:lastRenderedPageBreak/>
              <w:t>activity. of the reagent, the reagent level and the reagent consumption.</w:t>
            </w:r>
            <w:r w:rsidRPr="00BD076C">
              <w:rPr>
                <w:lang w:val="en-US"/>
              </w:rPr>
              <w:t xml:space="preserve"> </w:t>
            </w:r>
          </w:p>
        </w:tc>
      </w:tr>
      <w:tr w:rsidR="008A0760" w:rsidRPr="00743A20" w14:paraId="3A46B630" w14:textId="77777777" w:rsidTr="00BD076C">
        <w:tc>
          <w:tcPr>
            <w:tcW w:w="4788" w:type="dxa"/>
            <w:shd w:val="clear" w:color="auto" w:fill="auto"/>
          </w:tcPr>
          <w:p w14:paraId="7C0EB20E"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B.9.2.2.</w:t>
            </w:r>
            <w:r w:rsidRPr="00A57824">
              <w:rPr>
                <w:rFonts w:ascii="Verdana" w:hAnsi="Verdana"/>
                <w:sz w:val="16"/>
                <w:szCs w:val="16"/>
                <w:lang w:val="es-ES_tradnl"/>
              </w:rPr>
              <w:t xml:space="preserve"> Contador de la válvula SRG/EGR</w:t>
            </w:r>
          </w:p>
        </w:tc>
        <w:tc>
          <w:tcPr>
            <w:tcW w:w="4788" w:type="dxa"/>
            <w:shd w:val="clear" w:color="auto" w:fill="auto"/>
          </w:tcPr>
          <w:p w14:paraId="5AD1B62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B.9.2.2. </w:t>
            </w:r>
            <w:r w:rsidR="00F75D61" w:rsidRPr="00BD076C">
              <w:rPr>
                <w:rFonts w:ascii="Verdana" w:hAnsi="Verdana"/>
                <w:sz w:val="16"/>
                <w:szCs w:val="16"/>
                <w:lang w:val="en-US"/>
              </w:rPr>
              <w:t>SRG/EGR</w:t>
            </w:r>
            <w:r w:rsidRPr="00BD076C">
              <w:rPr>
                <w:rFonts w:ascii="Verdana" w:hAnsi="Verdana"/>
                <w:sz w:val="16"/>
                <w:szCs w:val="16"/>
                <w:lang w:val="en-US"/>
              </w:rPr>
              <w:t xml:space="preserve"> valve counter</w:t>
            </w:r>
            <w:r w:rsidRPr="00BD076C">
              <w:rPr>
                <w:lang w:val="en-US"/>
              </w:rPr>
              <w:t xml:space="preserve"> </w:t>
            </w:r>
          </w:p>
        </w:tc>
      </w:tr>
      <w:tr w:rsidR="008A0760" w:rsidRPr="00743A20" w14:paraId="21744A8A" w14:textId="77777777" w:rsidTr="00BD076C">
        <w:tc>
          <w:tcPr>
            <w:tcW w:w="4788" w:type="dxa"/>
            <w:shd w:val="clear" w:color="auto" w:fill="auto"/>
          </w:tcPr>
          <w:p w14:paraId="45C8211C"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B.9.2.2.1.</w:t>
            </w:r>
            <w:r w:rsidRPr="00A57824">
              <w:rPr>
                <w:rFonts w:ascii="Verdana" w:hAnsi="Verdana"/>
                <w:sz w:val="16"/>
                <w:szCs w:val="16"/>
                <w:lang w:val="es-ES_tradnl"/>
              </w:rPr>
              <w:t xml:space="preserve"> Se atribuirá un contador específico a una válvula SRG/EGR obstruida. El contador de la válvula SRG/EGR contará el número de horas de funcionamiento del motor cuando se confirme que el DCF/DTC asociado a una válvula SRG/EGR obstruida está activo.</w:t>
            </w:r>
          </w:p>
        </w:tc>
        <w:tc>
          <w:tcPr>
            <w:tcW w:w="4788" w:type="dxa"/>
            <w:shd w:val="clear" w:color="auto" w:fill="auto"/>
          </w:tcPr>
          <w:p w14:paraId="29AB089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B.9.2.2.1. </w:t>
            </w:r>
            <w:r w:rsidRPr="00BD076C">
              <w:rPr>
                <w:rFonts w:ascii="Verdana" w:hAnsi="Verdana"/>
                <w:sz w:val="16"/>
                <w:szCs w:val="16"/>
                <w:lang w:val="en-US"/>
              </w:rPr>
              <w:t xml:space="preserve">A specific counter will be attributed to a clogged </w:t>
            </w:r>
            <w:r w:rsidR="00F75D61" w:rsidRPr="00BD076C">
              <w:rPr>
                <w:rFonts w:ascii="Verdana" w:hAnsi="Verdana"/>
                <w:sz w:val="16"/>
                <w:szCs w:val="16"/>
                <w:lang w:val="en-US"/>
              </w:rPr>
              <w:t>SRG/EGR</w:t>
            </w:r>
            <w:r w:rsidRPr="00BD076C">
              <w:rPr>
                <w:rFonts w:ascii="Verdana" w:hAnsi="Verdana"/>
                <w:sz w:val="16"/>
                <w:szCs w:val="16"/>
                <w:lang w:val="en-US"/>
              </w:rPr>
              <w:t xml:space="preserve"> valve. The </w:t>
            </w:r>
            <w:r w:rsidR="00F75D61" w:rsidRPr="00BD076C">
              <w:rPr>
                <w:rFonts w:ascii="Verdana" w:hAnsi="Verdana"/>
                <w:sz w:val="16"/>
                <w:szCs w:val="16"/>
                <w:lang w:val="en-US"/>
              </w:rPr>
              <w:t>SRG/EGR</w:t>
            </w:r>
            <w:r w:rsidRPr="00BD076C">
              <w:rPr>
                <w:rFonts w:ascii="Verdana" w:hAnsi="Verdana"/>
                <w:sz w:val="16"/>
                <w:szCs w:val="16"/>
                <w:lang w:val="en-US"/>
              </w:rPr>
              <w:t xml:space="preserve"> valve counter will count the number of engine running hours when it is confirmed that the DCF / DTC associated with an obstructed </w:t>
            </w:r>
            <w:r w:rsidR="00F75D61" w:rsidRPr="00BD076C">
              <w:rPr>
                <w:rFonts w:ascii="Verdana" w:hAnsi="Verdana"/>
                <w:sz w:val="16"/>
                <w:szCs w:val="16"/>
                <w:lang w:val="en-US"/>
              </w:rPr>
              <w:t>SRG/EGR</w:t>
            </w:r>
            <w:r w:rsidRPr="00BD076C">
              <w:rPr>
                <w:rFonts w:ascii="Verdana" w:hAnsi="Verdana"/>
                <w:sz w:val="16"/>
                <w:szCs w:val="16"/>
                <w:lang w:val="en-US"/>
              </w:rPr>
              <w:t xml:space="preserve"> valve is active.</w:t>
            </w:r>
            <w:r w:rsidRPr="00BD076C">
              <w:rPr>
                <w:lang w:val="en-US"/>
              </w:rPr>
              <w:t xml:space="preserve"> </w:t>
            </w:r>
          </w:p>
        </w:tc>
      </w:tr>
      <w:tr w:rsidR="008A0760" w:rsidRPr="00743A20" w14:paraId="37B1D2EF" w14:textId="77777777" w:rsidTr="00BD076C">
        <w:tc>
          <w:tcPr>
            <w:tcW w:w="4788" w:type="dxa"/>
            <w:shd w:val="clear" w:color="auto" w:fill="auto"/>
          </w:tcPr>
          <w:p w14:paraId="055C5BE4"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B.9.2.3.</w:t>
            </w:r>
            <w:r w:rsidRPr="00A57824">
              <w:rPr>
                <w:rFonts w:ascii="Verdana" w:hAnsi="Verdana"/>
                <w:sz w:val="16"/>
                <w:szCs w:val="16"/>
                <w:lang w:val="es-ES_tradnl"/>
              </w:rPr>
              <w:t xml:space="preserve"> Contadores de los sistemas de supervisión</w:t>
            </w:r>
          </w:p>
        </w:tc>
        <w:tc>
          <w:tcPr>
            <w:tcW w:w="4788" w:type="dxa"/>
            <w:shd w:val="clear" w:color="auto" w:fill="auto"/>
          </w:tcPr>
          <w:p w14:paraId="433DDF7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B.9.2.3. </w:t>
            </w:r>
            <w:r w:rsidRPr="00BD076C">
              <w:rPr>
                <w:rFonts w:ascii="Verdana" w:hAnsi="Verdana"/>
                <w:sz w:val="16"/>
                <w:szCs w:val="16"/>
                <w:lang w:val="en-US"/>
              </w:rPr>
              <w:t>Accountants of supervisory systems</w:t>
            </w:r>
            <w:r w:rsidRPr="00BD076C">
              <w:rPr>
                <w:lang w:val="en-US"/>
              </w:rPr>
              <w:t xml:space="preserve"> </w:t>
            </w:r>
          </w:p>
        </w:tc>
      </w:tr>
      <w:tr w:rsidR="008A0760" w:rsidRPr="00743A20" w14:paraId="46E1CA1D" w14:textId="77777777" w:rsidTr="00BD076C">
        <w:tc>
          <w:tcPr>
            <w:tcW w:w="4788" w:type="dxa"/>
            <w:shd w:val="clear" w:color="auto" w:fill="auto"/>
          </w:tcPr>
          <w:p w14:paraId="3BF5EF58"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B.9.2.3.1.</w:t>
            </w:r>
            <w:r w:rsidRPr="00A57824">
              <w:rPr>
                <w:rFonts w:ascii="Verdana" w:hAnsi="Verdana"/>
                <w:sz w:val="16"/>
                <w:szCs w:val="16"/>
                <w:lang w:val="es-ES_tradnl"/>
              </w:rPr>
              <w:t xml:space="preserve"> Se asignará un contador específico a cada una de las fallas de supervisión consideradas en el punto B.9.1. Los contadores del sistema de supervisión contarán el número de horas de funcionamiento del motor cuando se confirme que el DCF/DTC asociado al mal funcionamiento de una válvula SRG/EGR obstruida está activo. Se permitirá el agrupamiento de varias fallas en un contador único.</w:t>
            </w:r>
          </w:p>
        </w:tc>
        <w:tc>
          <w:tcPr>
            <w:tcW w:w="4788" w:type="dxa"/>
            <w:shd w:val="clear" w:color="auto" w:fill="auto"/>
          </w:tcPr>
          <w:p w14:paraId="64EBD89C"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B.9.2.3.1. </w:t>
            </w:r>
            <w:r w:rsidRPr="00BD076C">
              <w:rPr>
                <w:rFonts w:ascii="Verdana" w:hAnsi="Verdana"/>
                <w:sz w:val="16"/>
                <w:szCs w:val="16"/>
                <w:lang w:val="en-US"/>
              </w:rPr>
              <w:t xml:space="preserve">A specific counter will be assigned to each of the supervisory failures considered in point B.9.1. The monitoring system counters will count the number of engine running hours when it is confirmed that the DCF / DTC associated with the malfunction of an obstructed </w:t>
            </w:r>
            <w:r w:rsidR="00F75D61" w:rsidRPr="00BD076C">
              <w:rPr>
                <w:rFonts w:ascii="Verdana" w:hAnsi="Verdana"/>
                <w:sz w:val="16"/>
                <w:szCs w:val="16"/>
                <w:lang w:val="en-US"/>
              </w:rPr>
              <w:t>SRG/EGR</w:t>
            </w:r>
            <w:r w:rsidRPr="00BD076C">
              <w:rPr>
                <w:rFonts w:ascii="Verdana" w:hAnsi="Verdana"/>
                <w:sz w:val="16"/>
                <w:szCs w:val="16"/>
                <w:lang w:val="en-US"/>
              </w:rPr>
              <w:t xml:space="preserve"> valve is active. It will allow the grouping of several faults in a single counter.</w:t>
            </w:r>
            <w:r w:rsidRPr="00BD076C">
              <w:rPr>
                <w:lang w:val="en-US"/>
              </w:rPr>
              <w:t xml:space="preserve"> </w:t>
            </w:r>
          </w:p>
        </w:tc>
      </w:tr>
      <w:tr w:rsidR="008A0760" w:rsidRPr="00743A20" w14:paraId="60EBC007" w14:textId="77777777" w:rsidTr="00BD076C">
        <w:tc>
          <w:tcPr>
            <w:tcW w:w="4788" w:type="dxa"/>
            <w:shd w:val="clear" w:color="auto" w:fill="auto"/>
          </w:tcPr>
          <w:p w14:paraId="5F139486"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B.9.3.</w:t>
            </w:r>
            <w:r w:rsidRPr="00A57824">
              <w:rPr>
                <w:rFonts w:ascii="Verdana" w:hAnsi="Verdana"/>
                <w:sz w:val="16"/>
                <w:szCs w:val="16"/>
                <w:lang w:val="es-ES_tradnl"/>
              </w:rPr>
              <w:t xml:space="preserve"> </w:t>
            </w:r>
            <w:r w:rsidRPr="00A57824">
              <w:rPr>
                <w:rFonts w:ascii="Verdana" w:hAnsi="Verdana"/>
                <w:b/>
                <w:sz w:val="16"/>
                <w:szCs w:val="16"/>
                <w:lang w:val="es-ES_tradnl"/>
              </w:rPr>
              <w:t>Activación del sistema de alerta al conductor</w:t>
            </w:r>
          </w:p>
        </w:tc>
        <w:tc>
          <w:tcPr>
            <w:tcW w:w="4788" w:type="dxa"/>
            <w:shd w:val="clear" w:color="auto" w:fill="auto"/>
          </w:tcPr>
          <w:p w14:paraId="0D35B84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B.9.3. Activation of the driver alert system</w:t>
            </w:r>
            <w:r w:rsidRPr="00BD076C">
              <w:rPr>
                <w:rFonts w:ascii="Verdana" w:hAnsi="Verdana"/>
                <w:sz w:val="16"/>
                <w:szCs w:val="16"/>
                <w:lang w:val="en-US"/>
              </w:rPr>
              <w:t xml:space="preserve"> </w:t>
            </w:r>
          </w:p>
        </w:tc>
      </w:tr>
      <w:tr w:rsidR="008A0760" w:rsidRPr="00743A20" w14:paraId="0D7F57B2" w14:textId="77777777" w:rsidTr="00BD076C">
        <w:tc>
          <w:tcPr>
            <w:tcW w:w="4788" w:type="dxa"/>
            <w:shd w:val="clear" w:color="auto" w:fill="auto"/>
          </w:tcPr>
          <w:p w14:paraId="4F32C1E1"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sistema de alerta al conductor se deberá activar en caso de que se produzca cualquiera de las fallas especificadas en la sección B.9.1, y deberá indicar que es necesaria una reparación urgente. Cuando el sistema de alerta incluya un sistema de visualización de mensajes, mostrará un mensaje que indique el motivo de la alerta (por ejemplo, «válvula de dosificación del reactivo desconectada», o «fallo de emisiones crítico»).</w:t>
            </w:r>
          </w:p>
        </w:tc>
        <w:tc>
          <w:tcPr>
            <w:tcW w:w="4788" w:type="dxa"/>
            <w:shd w:val="clear" w:color="auto" w:fill="auto"/>
          </w:tcPr>
          <w:p w14:paraId="6944BFCF"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xml:space="preserve">The driver alert system shall be activated in the event of any of the faults specified in section B.9.1 and </w:t>
            </w:r>
            <w:r w:rsidR="00BE1219">
              <w:rPr>
                <w:rFonts w:ascii="Verdana" w:hAnsi="Verdana"/>
                <w:sz w:val="16"/>
                <w:szCs w:val="16"/>
                <w:lang w:val="en-US"/>
              </w:rPr>
              <w:t>must</w:t>
            </w:r>
            <w:r w:rsidRPr="00BD076C">
              <w:rPr>
                <w:rFonts w:ascii="Verdana" w:hAnsi="Verdana"/>
                <w:sz w:val="16"/>
                <w:szCs w:val="16"/>
                <w:lang w:val="en-US"/>
              </w:rPr>
              <w:t xml:space="preserve"> indicate that an urgent repair is necessary. When the alert system includes a message display system, it will display a message indicating the reason for the alert (for example, "discharged reagent metering valve", or "critical emission failure").</w:t>
            </w:r>
            <w:r w:rsidRPr="00BD076C">
              <w:rPr>
                <w:lang w:val="en-US"/>
              </w:rPr>
              <w:t xml:space="preserve"> </w:t>
            </w:r>
          </w:p>
        </w:tc>
      </w:tr>
      <w:tr w:rsidR="008A0760" w:rsidRPr="00743A20" w14:paraId="24A5E066" w14:textId="77777777" w:rsidTr="00BD076C">
        <w:tc>
          <w:tcPr>
            <w:tcW w:w="4788" w:type="dxa"/>
            <w:shd w:val="clear" w:color="auto" w:fill="auto"/>
          </w:tcPr>
          <w:p w14:paraId="695405ED"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B.9.4.</w:t>
            </w:r>
            <w:r w:rsidRPr="00A57824">
              <w:rPr>
                <w:rFonts w:ascii="Verdana" w:hAnsi="Verdana"/>
                <w:sz w:val="16"/>
                <w:szCs w:val="16"/>
                <w:lang w:val="es-ES_tradnl"/>
              </w:rPr>
              <w:t xml:space="preserve"> </w:t>
            </w:r>
            <w:r w:rsidRPr="00A57824">
              <w:rPr>
                <w:rFonts w:ascii="Verdana" w:hAnsi="Verdana"/>
                <w:b/>
                <w:sz w:val="16"/>
                <w:szCs w:val="16"/>
                <w:lang w:val="es-ES_tradnl"/>
              </w:rPr>
              <w:t>Activación del sistema de inducción del conductor</w:t>
            </w:r>
          </w:p>
        </w:tc>
        <w:tc>
          <w:tcPr>
            <w:tcW w:w="4788" w:type="dxa"/>
            <w:shd w:val="clear" w:color="auto" w:fill="auto"/>
          </w:tcPr>
          <w:p w14:paraId="5774532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B.9.4. Activation of the driver's induction system</w:t>
            </w:r>
            <w:r w:rsidRPr="00BD076C">
              <w:rPr>
                <w:rFonts w:ascii="Verdana" w:hAnsi="Verdana"/>
                <w:sz w:val="16"/>
                <w:szCs w:val="16"/>
                <w:lang w:val="en-US"/>
              </w:rPr>
              <w:t xml:space="preserve"> </w:t>
            </w:r>
          </w:p>
        </w:tc>
      </w:tr>
      <w:tr w:rsidR="008A0760" w:rsidRPr="00743A20" w14:paraId="1C8787DD" w14:textId="77777777" w:rsidTr="00BD076C">
        <w:tc>
          <w:tcPr>
            <w:tcW w:w="4788" w:type="dxa"/>
            <w:shd w:val="clear" w:color="auto" w:fill="auto"/>
          </w:tcPr>
          <w:p w14:paraId="0A9E6081"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B.9.4.1.</w:t>
            </w:r>
            <w:r w:rsidRPr="00A57824">
              <w:rPr>
                <w:rFonts w:ascii="Verdana" w:hAnsi="Verdana"/>
                <w:sz w:val="16"/>
                <w:szCs w:val="16"/>
                <w:lang w:val="es-ES_tradnl"/>
              </w:rPr>
              <w:t xml:space="preserve"> El sistema de inducción de bajo nivel descrito en la sección B.4, se activará si una falla especificada en la sección B.9.1 no se rectifica en 36 horas de funcionamiento del motor a partir de la activación del sistema de alerta al conductor descrita en la sección B.9.3.</w:t>
            </w:r>
          </w:p>
        </w:tc>
        <w:tc>
          <w:tcPr>
            <w:tcW w:w="4788" w:type="dxa"/>
            <w:shd w:val="clear" w:color="auto" w:fill="auto"/>
          </w:tcPr>
          <w:p w14:paraId="78E8F838"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B.9.4.1. </w:t>
            </w:r>
            <w:r w:rsidRPr="00BD076C">
              <w:rPr>
                <w:rFonts w:ascii="Verdana" w:hAnsi="Verdana"/>
                <w:sz w:val="16"/>
                <w:szCs w:val="16"/>
                <w:lang w:val="en-US"/>
              </w:rPr>
              <w:t>The low level induction system described in section B.4 will be activated if a failure specified in section B.9.1 is not rectified within 36 hours of engine operation from activation of the driver alert system described in section B.9.3.</w:t>
            </w:r>
            <w:r w:rsidRPr="00BD076C">
              <w:rPr>
                <w:lang w:val="en-US"/>
              </w:rPr>
              <w:t xml:space="preserve"> </w:t>
            </w:r>
          </w:p>
        </w:tc>
      </w:tr>
      <w:tr w:rsidR="008A0760" w:rsidRPr="00743A20" w14:paraId="44142CBC" w14:textId="77777777" w:rsidTr="00BD076C">
        <w:tc>
          <w:tcPr>
            <w:tcW w:w="4788" w:type="dxa"/>
            <w:shd w:val="clear" w:color="auto" w:fill="auto"/>
          </w:tcPr>
          <w:p w14:paraId="1673E528"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B.9.4.2.</w:t>
            </w:r>
            <w:r w:rsidRPr="00A57824">
              <w:rPr>
                <w:rFonts w:ascii="Verdana" w:hAnsi="Verdana"/>
                <w:sz w:val="16"/>
                <w:szCs w:val="16"/>
                <w:lang w:val="es-ES_tradnl"/>
              </w:rPr>
              <w:t xml:space="preserve"> El sistema de inducción general descrito en la sección B.5, se activará si una falla especificada en la sección B.9.1 no se rectifica en 100 horas de funcionamiento del motor a partir de la activación del sistema de alerta al conductor descrita en la sección B.9.3.</w:t>
            </w:r>
          </w:p>
        </w:tc>
        <w:tc>
          <w:tcPr>
            <w:tcW w:w="4788" w:type="dxa"/>
            <w:shd w:val="clear" w:color="auto" w:fill="auto"/>
          </w:tcPr>
          <w:p w14:paraId="772AE80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B.9.4.2. </w:t>
            </w:r>
            <w:r w:rsidRPr="00BD076C">
              <w:rPr>
                <w:rFonts w:ascii="Verdana" w:hAnsi="Verdana"/>
                <w:sz w:val="16"/>
                <w:szCs w:val="16"/>
                <w:lang w:val="en-US"/>
              </w:rPr>
              <w:t>The general induction system described in section B.5 will be activated if a failure specified in section B.9.1 is not rectified within 100 hours of engine operation from the activation of the driver alert system described in the section B.9.3.</w:t>
            </w:r>
            <w:r w:rsidRPr="00BD076C">
              <w:rPr>
                <w:lang w:val="en-US"/>
              </w:rPr>
              <w:t xml:space="preserve"> </w:t>
            </w:r>
          </w:p>
        </w:tc>
      </w:tr>
      <w:tr w:rsidR="008A0760" w:rsidRPr="00743A20" w14:paraId="674C38F1" w14:textId="77777777" w:rsidTr="00BD076C">
        <w:tc>
          <w:tcPr>
            <w:tcW w:w="4788" w:type="dxa"/>
            <w:shd w:val="clear" w:color="auto" w:fill="auto"/>
          </w:tcPr>
          <w:p w14:paraId="5504FA31"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B.10. Alerta al conductor por bajo nivel de reactivo bajo el programa estadounidense EPA</w:t>
            </w:r>
          </w:p>
        </w:tc>
        <w:tc>
          <w:tcPr>
            <w:tcW w:w="4788" w:type="dxa"/>
            <w:shd w:val="clear" w:color="auto" w:fill="auto"/>
          </w:tcPr>
          <w:p w14:paraId="3AFF1819"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B.10. Alerts the driver for low level of reagent under the US EPA program</w:t>
            </w:r>
            <w:r w:rsidRPr="00BD076C">
              <w:rPr>
                <w:lang w:val="en-US"/>
              </w:rPr>
              <w:t xml:space="preserve"> </w:t>
            </w:r>
          </w:p>
        </w:tc>
      </w:tr>
      <w:tr w:rsidR="008A0760" w:rsidRPr="00743A20" w14:paraId="1D02EF67" w14:textId="77777777" w:rsidTr="00BD076C">
        <w:tc>
          <w:tcPr>
            <w:tcW w:w="4788" w:type="dxa"/>
            <w:shd w:val="clear" w:color="auto" w:fill="auto"/>
          </w:tcPr>
          <w:p w14:paraId="723168CA"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B.10.1.</w:t>
            </w:r>
            <w:r w:rsidRPr="00A57824">
              <w:rPr>
                <w:rFonts w:ascii="Verdana" w:hAnsi="Verdana"/>
                <w:sz w:val="16"/>
                <w:szCs w:val="16"/>
                <w:lang w:val="es-ES_tradnl"/>
              </w:rPr>
              <w:t xml:space="preserve"> El sistema de alerta al conductor debe incorporar alarmas visuales y auditivas que informen al operador del vehículo cuando el nivel de reactivo es bajo y que debe ser llenado pronto. El sistema de alerta </w:t>
            </w:r>
            <w:r w:rsidRPr="00A57824">
              <w:rPr>
                <w:rFonts w:ascii="Verdana" w:hAnsi="Verdana"/>
                <w:sz w:val="16"/>
                <w:szCs w:val="16"/>
                <w:lang w:val="es-ES_tradnl"/>
              </w:rPr>
              <w:lastRenderedPageBreak/>
              <w:t>debe activarse anticipando que el depósito de reactivo sea llenado antes de que el reactivo se agote por completo.</w:t>
            </w:r>
          </w:p>
        </w:tc>
        <w:tc>
          <w:tcPr>
            <w:tcW w:w="4788" w:type="dxa"/>
            <w:shd w:val="clear" w:color="auto" w:fill="auto"/>
          </w:tcPr>
          <w:p w14:paraId="6C8DF528"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 xml:space="preserve">B.10.1. </w:t>
            </w:r>
            <w:r w:rsidRPr="00BD076C">
              <w:rPr>
                <w:rFonts w:ascii="Verdana" w:hAnsi="Verdana"/>
                <w:sz w:val="16"/>
                <w:szCs w:val="16"/>
                <w:lang w:val="en-US"/>
              </w:rPr>
              <w:t xml:space="preserve">The driver alert system must incorporate visual and auditory alarms that inform the operator of the vehicle when the reagent level is low and that must be filled soon. The warning system must be activated in </w:t>
            </w:r>
            <w:r w:rsidRPr="00BD076C">
              <w:rPr>
                <w:rFonts w:ascii="Verdana" w:hAnsi="Verdana"/>
                <w:sz w:val="16"/>
                <w:szCs w:val="16"/>
                <w:lang w:val="en-US"/>
              </w:rPr>
              <w:lastRenderedPageBreak/>
              <w:t>anticipation that the reagent tank is filled before the reagent runs out completely.</w:t>
            </w:r>
            <w:r w:rsidRPr="00BD076C">
              <w:rPr>
                <w:lang w:val="en-US"/>
              </w:rPr>
              <w:t xml:space="preserve"> </w:t>
            </w:r>
          </w:p>
        </w:tc>
      </w:tr>
      <w:tr w:rsidR="008A0760" w:rsidRPr="00743A20" w14:paraId="764537F5" w14:textId="77777777" w:rsidTr="00BD076C">
        <w:tc>
          <w:tcPr>
            <w:tcW w:w="4788" w:type="dxa"/>
            <w:shd w:val="clear" w:color="auto" w:fill="auto"/>
          </w:tcPr>
          <w:p w14:paraId="14A6FD3D"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lastRenderedPageBreak/>
              <w:t>B.10.2.</w:t>
            </w:r>
            <w:r w:rsidRPr="00A57824">
              <w:rPr>
                <w:rFonts w:ascii="Verdana" w:hAnsi="Verdana"/>
                <w:sz w:val="16"/>
                <w:szCs w:val="16"/>
                <w:lang w:val="es-ES_tradnl"/>
              </w:rPr>
              <w:t xml:space="preserve"> El sistema de alerta debe incrementar su intensidad en la medida que el reactivo se agote.</w:t>
            </w:r>
          </w:p>
        </w:tc>
        <w:tc>
          <w:tcPr>
            <w:tcW w:w="4788" w:type="dxa"/>
            <w:shd w:val="clear" w:color="auto" w:fill="auto"/>
          </w:tcPr>
          <w:p w14:paraId="654DD730"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B.10.2. </w:t>
            </w:r>
            <w:r w:rsidRPr="00BD076C">
              <w:rPr>
                <w:rFonts w:ascii="Verdana" w:hAnsi="Verdana"/>
                <w:sz w:val="16"/>
                <w:szCs w:val="16"/>
                <w:lang w:val="en-US"/>
              </w:rPr>
              <w:t>The warning system should increase its intensity as the reagent runs out.</w:t>
            </w:r>
            <w:r w:rsidRPr="00BD076C">
              <w:rPr>
                <w:lang w:val="en-US"/>
              </w:rPr>
              <w:t xml:space="preserve"> </w:t>
            </w:r>
          </w:p>
        </w:tc>
      </w:tr>
      <w:tr w:rsidR="008A0760" w:rsidRPr="00743A20" w14:paraId="16532295" w14:textId="77777777" w:rsidTr="00BD076C">
        <w:tc>
          <w:tcPr>
            <w:tcW w:w="4788" w:type="dxa"/>
            <w:shd w:val="clear" w:color="auto" w:fill="auto"/>
          </w:tcPr>
          <w:p w14:paraId="5880A4F1"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B.10.3.</w:t>
            </w:r>
            <w:r w:rsidRPr="00A57824">
              <w:rPr>
                <w:rFonts w:ascii="Verdana" w:hAnsi="Verdana"/>
                <w:sz w:val="16"/>
                <w:szCs w:val="16"/>
                <w:lang w:val="es-ES_tradnl"/>
              </w:rPr>
              <w:t xml:space="preserve"> El sistema de alerta visual debe incluir como mínimo uno de los siguientes elementos:</w:t>
            </w:r>
          </w:p>
        </w:tc>
        <w:tc>
          <w:tcPr>
            <w:tcW w:w="4788" w:type="dxa"/>
            <w:shd w:val="clear" w:color="auto" w:fill="auto"/>
          </w:tcPr>
          <w:p w14:paraId="5A44A3F7"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B.10.3. </w:t>
            </w:r>
            <w:r w:rsidRPr="00BD076C">
              <w:rPr>
                <w:rFonts w:ascii="Verdana" w:hAnsi="Verdana"/>
                <w:sz w:val="16"/>
                <w:szCs w:val="16"/>
                <w:lang w:val="en-US"/>
              </w:rPr>
              <w:t>The visual alert system must include at least one of the following elements:</w:t>
            </w:r>
            <w:r w:rsidRPr="00BD076C">
              <w:rPr>
                <w:lang w:val="en-US"/>
              </w:rPr>
              <w:t xml:space="preserve"> </w:t>
            </w:r>
          </w:p>
        </w:tc>
      </w:tr>
      <w:tr w:rsidR="008A0760" w:rsidRPr="00743A20" w14:paraId="62F3485E" w14:textId="77777777" w:rsidTr="00BD076C">
        <w:tc>
          <w:tcPr>
            <w:tcW w:w="4788" w:type="dxa"/>
            <w:shd w:val="clear" w:color="auto" w:fill="auto"/>
          </w:tcPr>
          <w:p w14:paraId="0E627E88"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Un nivel de indicador de reactivo;</w:t>
            </w:r>
          </w:p>
        </w:tc>
        <w:tc>
          <w:tcPr>
            <w:tcW w:w="4788" w:type="dxa"/>
            <w:shd w:val="clear" w:color="auto" w:fill="auto"/>
          </w:tcPr>
          <w:p w14:paraId="739CD70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to.</w:t>
            </w:r>
            <w:r w:rsidRPr="00BD076C">
              <w:rPr>
                <w:lang w:val="en-US"/>
              </w:rPr>
              <w:t xml:space="preserve"> </w:t>
            </w:r>
            <w:r w:rsidRPr="00BD076C">
              <w:rPr>
                <w:rFonts w:ascii="Verdana" w:hAnsi="Verdana"/>
                <w:sz w:val="16"/>
                <w:szCs w:val="16"/>
                <w:lang w:val="en-US"/>
              </w:rPr>
              <w:t>              One level of reagent indicator;</w:t>
            </w:r>
            <w:r w:rsidRPr="00BD076C">
              <w:rPr>
                <w:lang w:val="en-US"/>
              </w:rPr>
              <w:t xml:space="preserve"> </w:t>
            </w:r>
          </w:p>
        </w:tc>
      </w:tr>
      <w:tr w:rsidR="008A0760" w:rsidRPr="00743A20" w14:paraId="38EF7147" w14:textId="77777777" w:rsidTr="00BD076C">
        <w:tc>
          <w:tcPr>
            <w:tcW w:w="4788" w:type="dxa"/>
            <w:shd w:val="clear" w:color="auto" w:fill="auto"/>
          </w:tcPr>
          <w:p w14:paraId="2A2C29F9"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Un símbolo indicador de reactivo, y</w:t>
            </w:r>
          </w:p>
        </w:tc>
        <w:tc>
          <w:tcPr>
            <w:tcW w:w="4788" w:type="dxa"/>
            <w:shd w:val="clear" w:color="auto" w:fill="auto"/>
          </w:tcPr>
          <w:p w14:paraId="7B52F78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sz w:val="16"/>
                <w:szCs w:val="16"/>
                <w:lang w:val="en-US"/>
              </w:rPr>
              <w:t>              A reagent indicator symbol, and</w:t>
            </w:r>
            <w:r w:rsidRPr="00BD076C">
              <w:rPr>
                <w:lang w:val="en-US"/>
              </w:rPr>
              <w:t xml:space="preserve"> </w:t>
            </w:r>
          </w:p>
        </w:tc>
      </w:tr>
      <w:tr w:rsidR="008A0760" w:rsidRPr="00743A20" w14:paraId="22E719AA" w14:textId="77777777" w:rsidTr="00BD076C">
        <w:tc>
          <w:tcPr>
            <w:tcW w:w="4788" w:type="dxa"/>
            <w:shd w:val="clear" w:color="auto" w:fill="auto"/>
          </w:tcPr>
          <w:p w14:paraId="54D98C48"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sz w:val="16"/>
                <w:szCs w:val="16"/>
                <w:lang w:val="es-ES_tradnl"/>
              </w:rPr>
              <w:tab/>
              <w:t>Un mensaje indicando bajo nivel de reactivo.</w:t>
            </w:r>
          </w:p>
        </w:tc>
        <w:tc>
          <w:tcPr>
            <w:tcW w:w="4788" w:type="dxa"/>
            <w:shd w:val="clear" w:color="auto" w:fill="auto"/>
          </w:tcPr>
          <w:p w14:paraId="38E777A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sz w:val="16"/>
                <w:szCs w:val="16"/>
                <w:lang w:val="en-US"/>
              </w:rPr>
              <w:t>              A message indicating low reagent level.</w:t>
            </w:r>
            <w:r w:rsidRPr="00BD076C">
              <w:rPr>
                <w:lang w:val="en-US"/>
              </w:rPr>
              <w:t xml:space="preserve"> </w:t>
            </w:r>
          </w:p>
        </w:tc>
      </w:tr>
      <w:tr w:rsidR="008A0760" w:rsidRPr="00743A20" w14:paraId="417604EC" w14:textId="77777777" w:rsidTr="00BD076C">
        <w:tc>
          <w:tcPr>
            <w:tcW w:w="4788" w:type="dxa"/>
            <w:shd w:val="clear" w:color="auto" w:fill="auto"/>
          </w:tcPr>
          <w:p w14:paraId="16D0653A"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sz w:val="16"/>
                <w:szCs w:val="16"/>
                <w:lang w:val="es-ES_tradnl"/>
              </w:rPr>
              <w:t>El nivel, símbolo o mensaje debe ser diferente al usado por el sistema SDB/OBD &lt;&lt;Check Engine&gt;&gt; o por otro tipo de señales de mantenimiento del vehículo.</w:t>
            </w:r>
          </w:p>
        </w:tc>
        <w:tc>
          <w:tcPr>
            <w:tcW w:w="4788" w:type="dxa"/>
            <w:shd w:val="clear" w:color="auto" w:fill="auto"/>
          </w:tcPr>
          <w:p w14:paraId="53C82D13"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xml:space="preserve">The level, symbol or message must be different from the one used by the </w:t>
            </w:r>
            <w:r w:rsidR="002D78B5" w:rsidRPr="00BD076C">
              <w:rPr>
                <w:rFonts w:ascii="Verdana" w:hAnsi="Verdana"/>
                <w:sz w:val="16"/>
                <w:szCs w:val="16"/>
                <w:lang w:val="en-US"/>
              </w:rPr>
              <w:t>SDB/OBD</w:t>
            </w:r>
            <w:r w:rsidRPr="00BD076C">
              <w:rPr>
                <w:rFonts w:ascii="Verdana" w:hAnsi="Verdana"/>
                <w:sz w:val="16"/>
                <w:szCs w:val="16"/>
                <w:lang w:val="en-US"/>
              </w:rPr>
              <w:t xml:space="preserve"> &lt;&lt; Check Engine &gt;&gt; system or by other types of vehicle maintenance signals.</w:t>
            </w:r>
            <w:r w:rsidRPr="00BD076C">
              <w:rPr>
                <w:lang w:val="en-US"/>
              </w:rPr>
              <w:t xml:space="preserve"> </w:t>
            </w:r>
          </w:p>
        </w:tc>
      </w:tr>
      <w:tr w:rsidR="008A0760" w:rsidRPr="00743A20" w14:paraId="402163DC" w14:textId="77777777" w:rsidTr="00BD076C">
        <w:tc>
          <w:tcPr>
            <w:tcW w:w="4788" w:type="dxa"/>
            <w:shd w:val="clear" w:color="auto" w:fill="auto"/>
          </w:tcPr>
          <w:p w14:paraId="67A7B576"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B.10.4.</w:t>
            </w:r>
            <w:r w:rsidRPr="00A57824">
              <w:rPr>
                <w:rFonts w:ascii="Verdana" w:hAnsi="Verdana"/>
                <w:sz w:val="16"/>
                <w:szCs w:val="16"/>
                <w:lang w:val="es-ES_tradnl"/>
              </w:rPr>
              <w:t xml:space="preserve"> El nivel símbolo o mensaje indicadores de bajo nivel deberán estar localizados en el tablero de control del vehículo, o en un centro de mensajes del vehículo.</w:t>
            </w:r>
          </w:p>
        </w:tc>
        <w:tc>
          <w:tcPr>
            <w:tcW w:w="4788" w:type="dxa"/>
            <w:shd w:val="clear" w:color="auto" w:fill="auto"/>
          </w:tcPr>
          <w:p w14:paraId="27E9670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B.10.4. </w:t>
            </w:r>
            <w:r w:rsidRPr="00BD076C">
              <w:rPr>
                <w:rFonts w:ascii="Verdana" w:hAnsi="Verdana"/>
                <w:sz w:val="16"/>
                <w:szCs w:val="16"/>
                <w:lang w:val="en-US"/>
              </w:rPr>
              <w:t>The symbol level or low level indicator message should be located on the vehicle's control panel, or in a message center of the vehicle.</w:t>
            </w:r>
            <w:r w:rsidRPr="00BD076C">
              <w:rPr>
                <w:lang w:val="en-US"/>
              </w:rPr>
              <w:t xml:space="preserve"> </w:t>
            </w:r>
          </w:p>
        </w:tc>
      </w:tr>
      <w:tr w:rsidR="008A0760" w:rsidRPr="00743A20" w14:paraId="3B3A3FBF" w14:textId="77777777" w:rsidTr="00BD076C">
        <w:tc>
          <w:tcPr>
            <w:tcW w:w="4788" w:type="dxa"/>
            <w:shd w:val="clear" w:color="auto" w:fill="auto"/>
          </w:tcPr>
          <w:p w14:paraId="5C00C83C"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B.11. Inducciones al conductor por bajo nivel de reactivo bajo el programa estadounidense EPA</w:t>
            </w:r>
          </w:p>
        </w:tc>
        <w:tc>
          <w:tcPr>
            <w:tcW w:w="4788" w:type="dxa"/>
            <w:shd w:val="clear" w:color="auto" w:fill="auto"/>
          </w:tcPr>
          <w:p w14:paraId="250E936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B.11. Induction to driver for low level of reagent under the US EPA program</w:t>
            </w:r>
            <w:r w:rsidRPr="00BD076C">
              <w:rPr>
                <w:lang w:val="en-US"/>
              </w:rPr>
              <w:t xml:space="preserve"> </w:t>
            </w:r>
          </w:p>
        </w:tc>
      </w:tr>
      <w:tr w:rsidR="008A0760" w:rsidRPr="00743A20" w14:paraId="1A433131" w14:textId="77777777" w:rsidTr="00BD076C">
        <w:tc>
          <w:tcPr>
            <w:tcW w:w="4788" w:type="dxa"/>
            <w:shd w:val="clear" w:color="auto" w:fill="auto"/>
          </w:tcPr>
          <w:p w14:paraId="44AC4DFD"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B.11.1.</w:t>
            </w:r>
            <w:r w:rsidRPr="00A57824">
              <w:rPr>
                <w:rFonts w:ascii="Verdana" w:hAnsi="Verdana"/>
                <w:sz w:val="16"/>
                <w:szCs w:val="16"/>
                <w:lang w:val="es-ES_tradnl"/>
              </w:rPr>
              <w:t xml:space="preserve"> El sistema de inducción al conductor se activará cuando el tanque de reactivo se encuentre vacío o cuando el sistema de inyección de reactivo sea incapaz de dosificarlo de forma adecuada. El sistema de inducción al conductor se manifestará en dos etapas, como inducción severa y como inducción final.</w:t>
            </w:r>
          </w:p>
        </w:tc>
        <w:tc>
          <w:tcPr>
            <w:tcW w:w="4788" w:type="dxa"/>
            <w:shd w:val="clear" w:color="auto" w:fill="auto"/>
          </w:tcPr>
          <w:p w14:paraId="2138C75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B.11.1. </w:t>
            </w:r>
            <w:r w:rsidRPr="00BD076C">
              <w:rPr>
                <w:rFonts w:ascii="Verdana" w:hAnsi="Verdana"/>
                <w:sz w:val="16"/>
                <w:szCs w:val="16"/>
                <w:lang w:val="en-US"/>
              </w:rPr>
              <w:t>The driver induction system will be activated when the reagent tank is empty or when the reagent injection system is unable to dose it properly. The induction system to the driver will be manifested in two stages, as severe induction and as final induction.</w:t>
            </w:r>
            <w:r w:rsidRPr="00BD076C">
              <w:rPr>
                <w:lang w:val="en-US"/>
              </w:rPr>
              <w:t xml:space="preserve"> </w:t>
            </w:r>
          </w:p>
        </w:tc>
      </w:tr>
      <w:tr w:rsidR="008A0760" w:rsidRPr="00743A20" w14:paraId="322E467A" w14:textId="77777777" w:rsidTr="00BD076C">
        <w:tc>
          <w:tcPr>
            <w:tcW w:w="4788" w:type="dxa"/>
            <w:shd w:val="clear" w:color="auto" w:fill="auto"/>
          </w:tcPr>
          <w:p w14:paraId="1EC2D236"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B.11.2.</w:t>
            </w:r>
            <w:r w:rsidRPr="00A57824">
              <w:rPr>
                <w:rFonts w:ascii="Verdana" w:hAnsi="Verdana"/>
                <w:sz w:val="16"/>
                <w:szCs w:val="16"/>
                <w:lang w:val="es-ES_tradnl"/>
              </w:rPr>
              <w:t xml:space="preserve"> La inducción severa hace la operación del vehículo inaceptable y consiste en una reducción en el torque de salida del motor, una reducción en la velocidad del vehículo, o una limitación en el número de arranques del motor.</w:t>
            </w:r>
          </w:p>
        </w:tc>
        <w:tc>
          <w:tcPr>
            <w:tcW w:w="4788" w:type="dxa"/>
            <w:shd w:val="clear" w:color="auto" w:fill="auto"/>
          </w:tcPr>
          <w:p w14:paraId="330717F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B.11.2. </w:t>
            </w:r>
            <w:r w:rsidRPr="00BD076C">
              <w:rPr>
                <w:rFonts w:ascii="Verdana" w:hAnsi="Verdana"/>
                <w:sz w:val="16"/>
                <w:szCs w:val="16"/>
                <w:lang w:val="en-US"/>
              </w:rPr>
              <w:t>Severe induction makes vehicle operation unacceptable and consists of a reduction in engine output torque, a reduction in vehicle speed, or a limitation in the number of engine starts.</w:t>
            </w:r>
            <w:r w:rsidRPr="00BD076C">
              <w:rPr>
                <w:lang w:val="en-US"/>
              </w:rPr>
              <w:t xml:space="preserve"> </w:t>
            </w:r>
          </w:p>
        </w:tc>
      </w:tr>
      <w:tr w:rsidR="008A0760" w:rsidRPr="00743A20" w14:paraId="0D792751" w14:textId="77777777" w:rsidTr="00BD076C">
        <w:tc>
          <w:tcPr>
            <w:tcW w:w="4788" w:type="dxa"/>
            <w:shd w:val="clear" w:color="auto" w:fill="auto"/>
          </w:tcPr>
          <w:p w14:paraId="34528C90"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B.11.3.</w:t>
            </w:r>
            <w:r w:rsidRPr="00A57824">
              <w:rPr>
                <w:rFonts w:ascii="Verdana" w:hAnsi="Verdana"/>
                <w:sz w:val="16"/>
                <w:szCs w:val="16"/>
                <w:lang w:val="es-ES_tradnl"/>
              </w:rPr>
              <w:t xml:space="preserve"> El sistema de inducción final al conductor se activará cuando el tanque de reactivo se encuentre vacío o cuando el sistema de inyección de reactivo sea incapaz de dosificarlo de forma adecuada y cuando el vehículo haya estado detenido, con el motor apagado por un tiempo determinado, o durante el llenado del tanque de combustible del vehículo. Las acciones activadas y que limitan la operación del vehículo son:</w:t>
            </w:r>
          </w:p>
        </w:tc>
        <w:tc>
          <w:tcPr>
            <w:tcW w:w="4788" w:type="dxa"/>
            <w:shd w:val="clear" w:color="auto" w:fill="auto"/>
          </w:tcPr>
          <w:p w14:paraId="5DE74CC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B.11.3. </w:t>
            </w:r>
            <w:r w:rsidRPr="00BD076C">
              <w:rPr>
                <w:rFonts w:ascii="Verdana" w:hAnsi="Verdana"/>
                <w:sz w:val="16"/>
                <w:szCs w:val="16"/>
                <w:lang w:val="en-US"/>
              </w:rPr>
              <w:t>The final induction system to the driver will be activated when the reagent tank is empty or when the reagent injection system is unable to dose it properly and when the vehicle has been stopped, with the engine turned off for a certain time, or during the filling of the vehicle's fuel tank. The actions activated and that limit the operation of the vehicle are:</w:t>
            </w:r>
            <w:r w:rsidRPr="00BD076C">
              <w:rPr>
                <w:lang w:val="en-US"/>
              </w:rPr>
              <w:t xml:space="preserve"> </w:t>
            </w:r>
          </w:p>
        </w:tc>
      </w:tr>
      <w:tr w:rsidR="008A0760" w:rsidRPr="00743A20" w14:paraId="415AFB87" w14:textId="77777777" w:rsidTr="00BD076C">
        <w:tc>
          <w:tcPr>
            <w:tcW w:w="4788" w:type="dxa"/>
            <w:shd w:val="clear" w:color="auto" w:fill="auto"/>
          </w:tcPr>
          <w:p w14:paraId="7BE60AAA"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sz w:val="16"/>
                <w:szCs w:val="16"/>
                <w:lang w:val="es-ES_tradnl"/>
              </w:rPr>
              <w:tab/>
              <w:t>La máxima velocidad del vehículo se reducirá a 8 km/h (5 mph) una vez que el vehículo se ha detenido; o</w:t>
            </w:r>
          </w:p>
        </w:tc>
        <w:tc>
          <w:tcPr>
            <w:tcW w:w="4788" w:type="dxa"/>
            <w:shd w:val="clear" w:color="auto" w:fill="auto"/>
          </w:tcPr>
          <w:p w14:paraId="43341D75" w14:textId="77777777" w:rsidR="008A0760" w:rsidRPr="00BD076C" w:rsidRDefault="00BE1219"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sz w:val="16"/>
                <w:szCs w:val="16"/>
                <w:lang w:val="en-US"/>
              </w:rPr>
              <w:t xml:space="preserve">              The maximum speed of the vehicle will be reduced to 8 </w:t>
            </w:r>
            <w:r w:rsidR="00141651" w:rsidRPr="00BD076C">
              <w:rPr>
                <w:rFonts w:ascii="Verdana" w:hAnsi="Verdana"/>
                <w:sz w:val="16"/>
                <w:szCs w:val="16"/>
                <w:lang w:val="en-US"/>
              </w:rPr>
              <w:t>km/h</w:t>
            </w:r>
            <w:r w:rsidR="008A0760" w:rsidRPr="00BD076C">
              <w:rPr>
                <w:rFonts w:ascii="Verdana" w:hAnsi="Verdana"/>
                <w:sz w:val="16"/>
                <w:szCs w:val="16"/>
                <w:lang w:val="en-US"/>
              </w:rPr>
              <w:t xml:space="preserve"> (5 mph) once the vehicle has stopped;</w:t>
            </w:r>
            <w:r w:rsidR="008A0760" w:rsidRPr="00BD076C">
              <w:rPr>
                <w:lang w:val="en-US"/>
              </w:rPr>
              <w:t xml:space="preserve"> </w:t>
            </w:r>
            <w:r w:rsidR="008A0760" w:rsidRPr="00BD076C">
              <w:rPr>
                <w:rFonts w:ascii="Verdana" w:hAnsi="Verdana"/>
                <w:sz w:val="16"/>
                <w:szCs w:val="16"/>
                <w:lang w:val="en-US"/>
              </w:rPr>
              <w:t>or</w:t>
            </w:r>
            <w:r w:rsidR="008A0760" w:rsidRPr="00BD076C">
              <w:rPr>
                <w:lang w:val="en-US"/>
              </w:rPr>
              <w:t xml:space="preserve"> </w:t>
            </w:r>
          </w:p>
        </w:tc>
      </w:tr>
      <w:tr w:rsidR="008A0760" w:rsidRPr="00743A20" w14:paraId="06BC401F" w14:textId="77777777" w:rsidTr="00BD076C">
        <w:tc>
          <w:tcPr>
            <w:tcW w:w="4788" w:type="dxa"/>
            <w:shd w:val="clear" w:color="auto" w:fill="auto"/>
          </w:tcPr>
          <w:p w14:paraId="5A7044B4"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sz w:val="16"/>
                <w:szCs w:val="16"/>
                <w:lang w:val="es-ES_tradnl"/>
              </w:rPr>
              <w:tab/>
              <w:t>El torque máximo y la velocidad de rotación del motor se reducirán una vez que el vehículo se ha detenido, resultando en operación en vacío (o ralentí) o apagado del motor.</w:t>
            </w:r>
          </w:p>
        </w:tc>
        <w:tc>
          <w:tcPr>
            <w:tcW w:w="4788" w:type="dxa"/>
            <w:shd w:val="clear" w:color="auto" w:fill="auto"/>
          </w:tcPr>
          <w:p w14:paraId="2008A55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sz w:val="16"/>
                <w:szCs w:val="16"/>
                <w:lang w:val="en-US"/>
              </w:rPr>
              <w:t>              The maximum torque and the speed of rotation of the engine will be reduced once the vehicle has stopped, resulting in idling (or idle) or engine shutdown.</w:t>
            </w:r>
            <w:r w:rsidRPr="00BD076C">
              <w:rPr>
                <w:lang w:val="en-US"/>
              </w:rPr>
              <w:t xml:space="preserve"> </w:t>
            </w:r>
          </w:p>
        </w:tc>
      </w:tr>
      <w:tr w:rsidR="008A0760" w:rsidRPr="00743A20" w14:paraId="2B25A55A" w14:textId="77777777" w:rsidTr="00BD076C">
        <w:tc>
          <w:tcPr>
            <w:tcW w:w="4788" w:type="dxa"/>
            <w:shd w:val="clear" w:color="auto" w:fill="auto"/>
          </w:tcPr>
          <w:p w14:paraId="7EF4913E"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lastRenderedPageBreak/>
              <w:t>B.12. Alerta al conductor por calidad incorrecta de reactivo bajo el programa estadounidense EPA</w:t>
            </w:r>
          </w:p>
        </w:tc>
        <w:tc>
          <w:tcPr>
            <w:tcW w:w="4788" w:type="dxa"/>
            <w:shd w:val="clear" w:color="auto" w:fill="auto"/>
          </w:tcPr>
          <w:p w14:paraId="0774E94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B.12. Alerts the driver for incorrect quality of reagent under the US EPA program</w:t>
            </w:r>
            <w:r w:rsidRPr="00BD076C">
              <w:rPr>
                <w:lang w:val="en-US"/>
              </w:rPr>
              <w:t xml:space="preserve"> </w:t>
            </w:r>
          </w:p>
        </w:tc>
      </w:tr>
      <w:tr w:rsidR="008A0760" w:rsidRPr="00743A20" w14:paraId="1214A5BE" w14:textId="77777777" w:rsidTr="00BD076C">
        <w:tc>
          <w:tcPr>
            <w:tcW w:w="4788" w:type="dxa"/>
            <w:shd w:val="clear" w:color="auto" w:fill="auto"/>
          </w:tcPr>
          <w:p w14:paraId="5E454AC1"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B.12.1.</w:t>
            </w:r>
            <w:r w:rsidRPr="00A57824">
              <w:rPr>
                <w:rFonts w:ascii="Verdana" w:hAnsi="Verdana"/>
                <w:sz w:val="16"/>
                <w:szCs w:val="16"/>
                <w:lang w:val="es-ES_tradnl"/>
              </w:rPr>
              <w:t xml:space="preserve"> El sistema de alerta al conductor deberá incorporar alarmas visuales y auditivas que informen al operador del vehículo cuando la calidad de reactivo es inadecuada. El sistema de alerta debe seguir los requerimientos listados en la sección B.10.</w:t>
            </w:r>
          </w:p>
        </w:tc>
        <w:tc>
          <w:tcPr>
            <w:tcW w:w="4788" w:type="dxa"/>
            <w:shd w:val="clear" w:color="auto" w:fill="auto"/>
          </w:tcPr>
          <w:p w14:paraId="2351BEE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B.12.1. </w:t>
            </w:r>
            <w:r w:rsidRPr="00BD076C">
              <w:rPr>
                <w:rFonts w:ascii="Verdana" w:hAnsi="Verdana"/>
                <w:sz w:val="16"/>
                <w:szCs w:val="16"/>
                <w:lang w:val="en-US"/>
              </w:rPr>
              <w:t>The driver alert system should incorporate visual and auditory alarms that inform the operator of the vehicle when the quality of the reagent is inadequate. The alert system must follow the requirements listed in section B.10.</w:t>
            </w:r>
            <w:r w:rsidRPr="00BD076C">
              <w:rPr>
                <w:lang w:val="en-US"/>
              </w:rPr>
              <w:t xml:space="preserve"> </w:t>
            </w:r>
          </w:p>
        </w:tc>
      </w:tr>
      <w:tr w:rsidR="008A0760" w:rsidRPr="00743A20" w14:paraId="155307D1" w14:textId="77777777" w:rsidTr="00BD076C">
        <w:tc>
          <w:tcPr>
            <w:tcW w:w="4788" w:type="dxa"/>
            <w:shd w:val="clear" w:color="auto" w:fill="auto"/>
          </w:tcPr>
          <w:p w14:paraId="3D2721FF"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B.13. Inducciones al conductor por calidad incorrecta de reactivo bajo el programa estadounidense EPA</w:t>
            </w:r>
          </w:p>
        </w:tc>
        <w:tc>
          <w:tcPr>
            <w:tcW w:w="4788" w:type="dxa"/>
            <w:shd w:val="clear" w:color="auto" w:fill="auto"/>
          </w:tcPr>
          <w:p w14:paraId="2150016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B.13. Inductions to the driver due to incorrect quality of reagent under the US EPA program</w:t>
            </w:r>
            <w:r w:rsidRPr="00BD076C">
              <w:rPr>
                <w:lang w:val="en-US"/>
              </w:rPr>
              <w:t xml:space="preserve"> </w:t>
            </w:r>
          </w:p>
        </w:tc>
      </w:tr>
      <w:tr w:rsidR="008A0760" w:rsidRPr="00743A20" w14:paraId="3933F2E4" w14:textId="77777777" w:rsidTr="00BD076C">
        <w:tc>
          <w:tcPr>
            <w:tcW w:w="4788" w:type="dxa"/>
            <w:shd w:val="clear" w:color="auto" w:fill="auto"/>
          </w:tcPr>
          <w:p w14:paraId="2D5F9B45"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B.13.1.</w:t>
            </w:r>
            <w:r w:rsidRPr="00A57824">
              <w:rPr>
                <w:rFonts w:ascii="Verdana" w:hAnsi="Verdana"/>
                <w:sz w:val="16"/>
                <w:szCs w:val="16"/>
                <w:lang w:val="es-ES_tradnl"/>
              </w:rPr>
              <w:t xml:space="preserve"> El sistema de inducción al conductor se activará dentro de las 4 horas de haber detectado una calidad incorrecta del reactivo. El sistema de inducción al conductor se manifestará en dos etapas, como inducción severa y como inducción final.</w:t>
            </w:r>
          </w:p>
        </w:tc>
        <w:tc>
          <w:tcPr>
            <w:tcW w:w="4788" w:type="dxa"/>
            <w:shd w:val="clear" w:color="auto" w:fill="auto"/>
          </w:tcPr>
          <w:p w14:paraId="47D45E5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B.13.1. </w:t>
            </w:r>
            <w:r w:rsidRPr="00BD076C">
              <w:rPr>
                <w:rFonts w:ascii="Verdana" w:hAnsi="Verdana"/>
                <w:sz w:val="16"/>
                <w:szCs w:val="16"/>
                <w:lang w:val="en-US"/>
              </w:rPr>
              <w:t>The driver induction system will be activated within 4 hours of having detected an incorrect quality of the reagent. The induction system to the driver will be manifested in two stages, as severe induction and as final induction.</w:t>
            </w:r>
            <w:r w:rsidRPr="00BD076C">
              <w:rPr>
                <w:lang w:val="en-US"/>
              </w:rPr>
              <w:t xml:space="preserve"> </w:t>
            </w:r>
          </w:p>
        </w:tc>
      </w:tr>
      <w:tr w:rsidR="008A0760" w:rsidRPr="00743A20" w14:paraId="5BCE2DCB" w14:textId="77777777" w:rsidTr="00BD076C">
        <w:tc>
          <w:tcPr>
            <w:tcW w:w="4788" w:type="dxa"/>
            <w:shd w:val="clear" w:color="auto" w:fill="auto"/>
          </w:tcPr>
          <w:p w14:paraId="18F9F304"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B.13.2.</w:t>
            </w:r>
            <w:r w:rsidRPr="00A57824">
              <w:rPr>
                <w:rFonts w:ascii="Verdana" w:hAnsi="Verdana"/>
                <w:sz w:val="16"/>
                <w:szCs w:val="16"/>
                <w:lang w:val="es-ES_tradnl"/>
              </w:rPr>
              <w:t xml:space="preserve"> El nivel de reducciones al torque de salida del vehículo y a la velocidad máxima que se aplican durante inducciones debido al bajo nivel de reactivo señalados en el numeral B.11., se aplicarán en este numeral.</w:t>
            </w:r>
          </w:p>
        </w:tc>
        <w:tc>
          <w:tcPr>
            <w:tcW w:w="4788" w:type="dxa"/>
            <w:shd w:val="clear" w:color="auto" w:fill="auto"/>
          </w:tcPr>
          <w:p w14:paraId="47ECA04B"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B.13.2. </w:t>
            </w:r>
            <w:r w:rsidRPr="00BD076C">
              <w:rPr>
                <w:rFonts w:ascii="Verdana" w:hAnsi="Verdana"/>
                <w:sz w:val="16"/>
                <w:szCs w:val="16"/>
                <w:lang w:val="en-US"/>
              </w:rPr>
              <w:t>The level of reductions to the output torque of the vehicle and the maximum speed applied during inductions due to the low level of reagent indicated in section B.11., Will be applied in this section.</w:t>
            </w:r>
            <w:r w:rsidRPr="00BD076C">
              <w:rPr>
                <w:lang w:val="en-US"/>
              </w:rPr>
              <w:t xml:space="preserve"> </w:t>
            </w:r>
          </w:p>
        </w:tc>
      </w:tr>
      <w:tr w:rsidR="008A0760" w:rsidRPr="00743A20" w14:paraId="1268A5E4" w14:textId="77777777" w:rsidTr="00BD076C">
        <w:tc>
          <w:tcPr>
            <w:tcW w:w="4788" w:type="dxa"/>
            <w:shd w:val="clear" w:color="auto" w:fill="auto"/>
          </w:tcPr>
          <w:p w14:paraId="0FBFA8B4"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B.13.3.</w:t>
            </w:r>
            <w:r w:rsidRPr="00A57824">
              <w:rPr>
                <w:rFonts w:ascii="Verdana" w:hAnsi="Verdana"/>
                <w:sz w:val="16"/>
                <w:szCs w:val="16"/>
                <w:lang w:val="es-ES_tradnl"/>
              </w:rPr>
              <w:t xml:space="preserve"> El sistema monitoreará la calidad de reactivo por 40 horas desde el momento en que se corrige el problema que activó las alarmas e inducciones por calidad del reactivo. Si dentro de estas 40 horas se detectan de nuevo problemas en la calidad del reactivo, la secuencia de inducciones se activará de inmediato.</w:t>
            </w:r>
          </w:p>
        </w:tc>
        <w:tc>
          <w:tcPr>
            <w:tcW w:w="4788" w:type="dxa"/>
            <w:shd w:val="clear" w:color="auto" w:fill="auto"/>
          </w:tcPr>
          <w:p w14:paraId="46B7C0B4"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B.13.3. </w:t>
            </w:r>
            <w:r w:rsidRPr="00BD076C">
              <w:rPr>
                <w:rFonts w:ascii="Verdana" w:hAnsi="Verdana"/>
                <w:sz w:val="16"/>
                <w:szCs w:val="16"/>
                <w:lang w:val="en-US"/>
              </w:rPr>
              <w:t>The system will monitor the quality of the reagent for 40 hours from the moment in which the problem that activated the alarms and inductions due to the quality of the reagent is corrected. If, within these 40 hours, problems in reagent quality are detected again, the sequence of inductions will be activated immediately.</w:t>
            </w:r>
            <w:r w:rsidRPr="00BD076C">
              <w:rPr>
                <w:lang w:val="en-US"/>
              </w:rPr>
              <w:t xml:space="preserve"> </w:t>
            </w:r>
          </w:p>
        </w:tc>
      </w:tr>
      <w:tr w:rsidR="008A0760" w:rsidRPr="00743A20" w14:paraId="3819363E" w14:textId="77777777" w:rsidTr="00BD076C">
        <w:tc>
          <w:tcPr>
            <w:tcW w:w="4788" w:type="dxa"/>
            <w:shd w:val="clear" w:color="auto" w:fill="auto"/>
          </w:tcPr>
          <w:p w14:paraId="53B0CFE7" w14:textId="77777777" w:rsidR="008A0760" w:rsidRPr="00A57824" w:rsidRDefault="008A0760" w:rsidP="00BD076C">
            <w:pPr>
              <w:pStyle w:val="Texto"/>
              <w:spacing w:line="276" w:lineRule="auto"/>
              <w:ind w:firstLine="0"/>
              <w:rPr>
                <w:rFonts w:ascii="Verdana" w:hAnsi="Verdana"/>
                <w:b/>
                <w:sz w:val="16"/>
                <w:szCs w:val="16"/>
                <w:lang w:val="es-ES_tradnl"/>
              </w:rPr>
            </w:pPr>
            <w:r w:rsidRPr="00A57824">
              <w:rPr>
                <w:rFonts w:ascii="Verdana" w:hAnsi="Verdana"/>
                <w:b/>
                <w:sz w:val="16"/>
                <w:szCs w:val="16"/>
                <w:lang w:val="es-ES_tradnl"/>
              </w:rPr>
              <w:t>B.14.</w:t>
            </w:r>
            <w:r w:rsidRPr="00A57824">
              <w:rPr>
                <w:rFonts w:ascii="Verdana" w:hAnsi="Verdana"/>
                <w:sz w:val="16"/>
                <w:szCs w:val="16"/>
                <w:lang w:val="es-ES_tradnl"/>
              </w:rPr>
              <w:t xml:space="preserve"> </w:t>
            </w:r>
            <w:r w:rsidRPr="00A57824">
              <w:rPr>
                <w:rFonts w:ascii="Verdana" w:hAnsi="Verdana"/>
                <w:b/>
                <w:sz w:val="16"/>
                <w:szCs w:val="16"/>
                <w:lang w:val="es-ES_tradnl"/>
              </w:rPr>
              <w:t>Diseño Resistente a la Alteración bajo el programa estadounidense EPA</w:t>
            </w:r>
          </w:p>
        </w:tc>
        <w:tc>
          <w:tcPr>
            <w:tcW w:w="4788" w:type="dxa"/>
            <w:shd w:val="clear" w:color="auto" w:fill="auto"/>
          </w:tcPr>
          <w:p w14:paraId="4124B3F9"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B.14. Design Resistant to Alteration under the US EPA program</w:t>
            </w:r>
            <w:r w:rsidRPr="00BD076C">
              <w:rPr>
                <w:rFonts w:ascii="Verdana" w:hAnsi="Verdana"/>
                <w:sz w:val="16"/>
                <w:szCs w:val="16"/>
                <w:lang w:val="en-US"/>
              </w:rPr>
              <w:t xml:space="preserve"> </w:t>
            </w:r>
          </w:p>
        </w:tc>
      </w:tr>
      <w:tr w:rsidR="008A0760" w:rsidRPr="00743A20" w14:paraId="287F3F78" w14:textId="77777777" w:rsidTr="00BD076C">
        <w:tc>
          <w:tcPr>
            <w:tcW w:w="4788" w:type="dxa"/>
            <w:shd w:val="clear" w:color="auto" w:fill="auto"/>
          </w:tcPr>
          <w:p w14:paraId="3A42B9BF"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B.14.1.</w:t>
            </w:r>
            <w:r w:rsidRPr="00A57824">
              <w:rPr>
                <w:rFonts w:ascii="Verdana" w:hAnsi="Verdana"/>
                <w:sz w:val="16"/>
                <w:szCs w:val="16"/>
                <w:lang w:val="es-ES_tradnl"/>
              </w:rPr>
              <w:t xml:space="preserve"> Los sistemas de reducción catalítica selectiva de NOx deberán ser diseñados de tal forma que prevengan la manipulación o alteración de los parámetros de operación del mismo. Los componentes que deben ser diseñados con estas medidas anti-alteración son:</w:t>
            </w:r>
          </w:p>
        </w:tc>
        <w:tc>
          <w:tcPr>
            <w:tcW w:w="4788" w:type="dxa"/>
            <w:shd w:val="clear" w:color="auto" w:fill="auto"/>
          </w:tcPr>
          <w:p w14:paraId="2CDCAA5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 xml:space="preserve">B.14.1. </w:t>
            </w:r>
            <w:r w:rsidRPr="00BD076C">
              <w:rPr>
                <w:rFonts w:ascii="Verdana" w:hAnsi="Verdana"/>
                <w:sz w:val="16"/>
                <w:szCs w:val="16"/>
                <w:lang w:val="en-US"/>
              </w:rPr>
              <w:t>Selective NOx catalytic reduction systems should be designed in such a way as to prevent manipulation or alteration of the operation parameters of the same. The components that must be designed with these anti-alteration measures are:</w:t>
            </w:r>
            <w:r w:rsidRPr="00BD076C">
              <w:rPr>
                <w:lang w:val="en-US"/>
              </w:rPr>
              <w:t xml:space="preserve"> </w:t>
            </w:r>
          </w:p>
        </w:tc>
      </w:tr>
      <w:tr w:rsidR="008A0760" w:rsidRPr="00743A20" w14:paraId="062C22DE" w14:textId="77777777" w:rsidTr="00BD076C">
        <w:tc>
          <w:tcPr>
            <w:tcW w:w="4788" w:type="dxa"/>
            <w:shd w:val="clear" w:color="auto" w:fill="auto"/>
          </w:tcPr>
          <w:p w14:paraId="34B2A819"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b/>
                <w:sz w:val="16"/>
                <w:szCs w:val="16"/>
                <w:lang w:val="es-ES_tradnl"/>
              </w:rPr>
              <w:tab/>
            </w:r>
            <w:r w:rsidRPr="00A57824">
              <w:rPr>
                <w:rFonts w:ascii="Verdana" w:hAnsi="Verdana"/>
                <w:sz w:val="16"/>
                <w:szCs w:val="16"/>
                <w:lang w:val="es-ES_tradnl"/>
              </w:rPr>
              <w:t>Bloqueo de la línea de reactivo o del inyector de reactivo;</w:t>
            </w:r>
          </w:p>
        </w:tc>
        <w:tc>
          <w:tcPr>
            <w:tcW w:w="4788" w:type="dxa"/>
            <w:shd w:val="clear" w:color="auto" w:fill="auto"/>
          </w:tcPr>
          <w:p w14:paraId="44E7A830" w14:textId="77777777" w:rsidR="008A0760" w:rsidRPr="00BD076C" w:rsidRDefault="00BE1219"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Blocking of reagent line or reagent injector;</w:t>
            </w:r>
            <w:r w:rsidR="008A0760" w:rsidRPr="00BD076C">
              <w:rPr>
                <w:lang w:val="en-US"/>
              </w:rPr>
              <w:t xml:space="preserve"> </w:t>
            </w:r>
          </w:p>
        </w:tc>
      </w:tr>
      <w:tr w:rsidR="008A0760" w:rsidRPr="00743A20" w14:paraId="499F3E29" w14:textId="77777777" w:rsidTr="00BD076C">
        <w:tc>
          <w:tcPr>
            <w:tcW w:w="4788" w:type="dxa"/>
            <w:shd w:val="clear" w:color="auto" w:fill="auto"/>
          </w:tcPr>
          <w:p w14:paraId="66424190"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b/>
                <w:sz w:val="16"/>
                <w:szCs w:val="16"/>
                <w:lang w:val="es-ES_tradnl"/>
              </w:rPr>
              <w:tab/>
            </w:r>
            <w:r w:rsidRPr="00A57824">
              <w:rPr>
                <w:rFonts w:ascii="Verdana" w:hAnsi="Verdana"/>
                <w:sz w:val="16"/>
                <w:szCs w:val="16"/>
                <w:lang w:val="es-ES_tradnl"/>
              </w:rPr>
              <w:t>Desconexión del inyector de reactivo;</w:t>
            </w:r>
          </w:p>
        </w:tc>
        <w:tc>
          <w:tcPr>
            <w:tcW w:w="4788" w:type="dxa"/>
            <w:shd w:val="clear" w:color="auto" w:fill="auto"/>
          </w:tcPr>
          <w:p w14:paraId="16DA23E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Disconnection of the reagent injector;</w:t>
            </w:r>
            <w:r w:rsidRPr="00BD076C">
              <w:rPr>
                <w:lang w:val="en-US"/>
              </w:rPr>
              <w:t xml:space="preserve"> </w:t>
            </w:r>
          </w:p>
        </w:tc>
      </w:tr>
      <w:tr w:rsidR="008A0760" w:rsidRPr="00743A20" w14:paraId="2E89BA75" w14:textId="77777777" w:rsidTr="00BD076C">
        <w:tc>
          <w:tcPr>
            <w:tcW w:w="4788" w:type="dxa"/>
            <w:shd w:val="clear" w:color="auto" w:fill="auto"/>
          </w:tcPr>
          <w:p w14:paraId="7D209969"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b/>
                <w:sz w:val="16"/>
                <w:szCs w:val="16"/>
                <w:lang w:val="es-ES_tradnl"/>
              </w:rPr>
              <w:tab/>
            </w:r>
            <w:r w:rsidRPr="00A57824">
              <w:rPr>
                <w:rFonts w:ascii="Verdana" w:hAnsi="Verdana"/>
                <w:sz w:val="16"/>
                <w:szCs w:val="16"/>
                <w:lang w:val="es-ES_tradnl"/>
              </w:rPr>
              <w:t>Desconexión de la bomba de suministro de reactivo;</w:t>
            </w:r>
          </w:p>
        </w:tc>
        <w:tc>
          <w:tcPr>
            <w:tcW w:w="4788" w:type="dxa"/>
            <w:shd w:val="clear" w:color="auto" w:fill="auto"/>
          </w:tcPr>
          <w:p w14:paraId="66AA4E4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Disconnection of the reagent supply pump;</w:t>
            </w:r>
            <w:r w:rsidRPr="00BD076C">
              <w:rPr>
                <w:lang w:val="en-US"/>
              </w:rPr>
              <w:t xml:space="preserve"> </w:t>
            </w:r>
          </w:p>
        </w:tc>
      </w:tr>
      <w:tr w:rsidR="008A0760" w:rsidRPr="00743A20" w14:paraId="1E91A9B6" w14:textId="77777777" w:rsidTr="00BD076C">
        <w:tc>
          <w:tcPr>
            <w:tcW w:w="4788" w:type="dxa"/>
            <w:shd w:val="clear" w:color="auto" w:fill="auto"/>
          </w:tcPr>
          <w:p w14:paraId="74C2EAF9"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b/>
                <w:sz w:val="16"/>
                <w:szCs w:val="16"/>
                <w:lang w:val="es-ES_tradnl"/>
              </w:rPr>
              <w:tab/>
            </w:r>
            <w:r w:rsidRPr="00A57824">
              <w:rPr>
                <w:rFonts w:ascii="Verdana" w:hAnsi="Verdana"/>
                <w:sz w:val="16"/>
                <w:szCs w:val="16"/>
                <w:lang w:val="es-ES_tradnl"/>
              </w:rPr>
              <w:t>Desconexión del cableado del sistema SCRS/SCR, y</w:t>
            </w:r>
          </w:p>
        </w:tc>
        <w:tc>
          <w:tcPr>
            <w:tcW w:w="4788" w:type="dxa"/>
            <w:shd w:val="clear" w:color="auto" w:fill="auto"/>
          </w:tcPr>
          <w:p w14:paraId="74BD55C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Disconnecting the wiring from the SCRS/SCR system, and</w:t>
            </w:r>
            <w:r w:rsidRPr="00BD076C">
              <w:rPr>
                <w:lang w:val="en-US"/>
              </w:rPr>
              <w:t xml:space="preserve"> </w:t>
            </w:r>
          </w:p>
        </w:tc>
      </w:tr>
      <w:tr w:rsidR="008A0760" w:rsidRPr="00743A20" w14:paraId="24BCD944" w14:textId="77777777" w:rsidTr="00BD076C">
        <w:tc>
          <w:tcPr>
            <w:tcW w:w="4788" w:type="dxa"/>
            <w:shd w:val="clear" w:color="auto" w:fill="auto"/>
          </w:tcPr>
          <w:p w14:paraId="552877EB"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e.</w:t>
            </w:r>
            <w:r w:rsidRPr="00A57824">
              <w:rPr>
                <w:rFonts w:ascii="Verdana" w:hAnsi="Verdana"/>
                <w:b/>
                <w:sz w:val="16"/>
                <w:szCs w:val="16"/>
                <w:lang w:val="es-ES_tradnl"/>
              </w:rPr>
              <w:tab/>
            </w:r>
            <w:r w:rsidRPr="00A57824">
              <w:rPr>
                <w:rFonts w:ascii="Verdana" w:hAnsi="Verdana"/>
                <w:sz w:val="16"/>
                <w:szCs w:val="16"/>
                <w:lang w:val="es-ES_tradnl"/>
              </w:rPr>
              <w:t>Desconexión de los sensores del sistema SRCS/SCR (NOx, urea, temperatura, nivel).</w:t>
            </w:r>
          </w:p>
        </w:tc>
        <w:tc>
          <w:tcPr>
            <w:tcW w:w="4788" w:type="dxa"/>
            <w:shd w:val="clear" w:color="auto" w:fill="auto"/>
          </w:tcPr>
          <w:p w14:paraId="0C8D532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and.</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 xml:space="preserve">Disconnection of </w:t>
            </w:r>
            <w:r w:rsidR="00F75D61" w:rsidRPr="00BD076C">
              <w:rPr>
                <w:rFonts w:ascii="Verdana" w:hAnsi="Verdana"/>
                <w:sz w:val="16"/>
                <w:szCs w:val="16"/>
                <w:lang w:val="en-US"/>
              </w:rPr>
              <w:t>SRCS/SCR</w:t>
            </w:r>
            <w:r w:rsidRPr="00BD076C">
              <w:rPr>
                <w:rFonts w:ascii="Verdana" w:hAnsi="Verdana"/>
                <w:sz w:val="16"/>
                <w:szCs w:val="16"/>
                <w:lang w:val="en-US"/>
              </w:rPr>
              <w:t xml:space="preserve"> system sensors (NOx, urea, temperature, level).</w:t>
            </w:r>
            <w:r w:rsidRPr="00BD076C">
              <w:rPr>
                <w:lang w:val="en-US"/>
              </w:rPr>
              <w:t xml:space="preserve"> </w:t>
            </w:r>
          </w:p>
        </w:tc>
      </w:tr>
      <w:tr w:rsidR="008A0760" w:rsidRPr="00743A20" w14:paraId="53877E2D" w14:textId="77777777" w:rsidTr="00BD076C">
        <w:tc>
          <w:tcPr>
            <w:tcW w:w="4788" w:type="dxa"/>
            <w:shd w:val="clear" w:color="auto" w:fill="auto"/>
          </w:tcPr>
          <w:p w14:paraId="7BE7B91A" w14:textId="77777777" w:rsidR="008A0760" w:rsidRPr="00A57824" w:rsidRDefault="008A0760" w:rsidP="00BD076C">
            <w:pPr>
              <w:pStyle w:val="Texto"/>
              <w:spacing w:line="276" w:lineRule="auto"/>
              <w:ind w:firstLine="0"/>
              <w:rPr>
                <w:rFonts w:ascii="Verdana" w:hAnsi="Verdana"/>
                <w:sz w:val="16"/>
                <w:szCs w:val="16"/>
                <w:lang w:val="es-ES_tradnl"/>
              </w:rPr>
            </w:pPr>
            <w:r w:rsidRPr="00A57824">
              <w:rPr>
                <w:rFonts w:ascii="Verdana" w:hAnsi="Verdana"/>
                <w:b/>
                <w:sz w:val="16"/>
                <w:szCs w:val="16"/>
                <w:lang w:val="es-ES_tradnl"/>
              </w:rPr>
              <w:t>B.14.2.</w:t>
            </w:r>
            <w:r w:rsidRPr="00A57824">
              <w:rPr>
                <w:rFonts w:ascii="Verdana" w:hAnsi="Verdana"/>
                <w:sz w:val="16"/>
                <w:szCs w:val="16"/>
                <w:lang w:val="es-ES_tradnl"/>
              </w:rPr>
              <w:t xml:space="preserve"> El sistema de alerta e inducciones al conductor deberán activarse una vez detectada la alteración siguiendo los requerimientos de alertas e inducción por </w:t>
            </w:r>
            <w:r w:rsidRPr="00A57824">
              <w:rPr>
                <w:rFonts w:ascii="Verdana" w:hAnsi="Verdana"/>
                <w:sz w:val="16"/>
                <w:szCs w:val="16"/>
                <w:lang w:val="es-ES_tradnl"/>
              </w:rPr>
              <w:lastRenderedPageBreak/>
              <w:t>calidad incorrecta de reactivo, descritos en los numerales B.12 y B.13.</w:t>
            </w:r>
          </w:p>
        </w:tc>
        <w:tc>
          <w:tcPr>
            <w:tcW w:w="4788" w:type="dxa"/>
            <w:shd w:val="clear" w:color="auto" w:fill="auto"/>
          </w:tcPr>
          <w:p w14:paraId="03B50B84"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lastRenderedPageBreak/>
              <w:t xml:space="preserve">B.14.2. </w:t>
            </w:r>
            <w:r w:rsidRPr="00BD076C">
              <w:rPr>
                <w:rFonts w:ascii="Verdana" w:hAnsi="Verdana"/>
                <w:sz w:val="16"/>
                <w:szCs w:val="16"/>
                <w:lang w:val="en-US"/>
              </w:rPr>
              <w:t xml:space="preserve">The warning system and driver inductions should be activated once the alteration has been detected, following the requirements of alerts and </w:t>
            </w:r>
            <w:r w:rsidRPr="00BD076C">
              <w:rPr>
                <w:rFonts w:ascii="Verdana" w:hAnsi="Verdana"/>
                <w:sz w:val="16"/>
                <w:szCs w:val="16"/>
                <w:lang w:val="en-US"/>
              </w:rPr>
              <w:lastRenderedPageBreak/>
              <w:t>induction due to incorrect quality of reagent, described in numerals B.12 and B.13.</w:t>
            </w:r>
            <w:r w:rsidRPr="00BD076C">
              <w:rPr>
                <w:lang w:val="en-US"/>
              </w:rPr>
              <w:t xml:space="preserve"> </w:t>
            </w:r>
          </w:p>
        </w:tc>
      </w:tr>
      <w:tr w:rsidR="008A0760" w:rsidRPr="00743A20" w14:paraId="050A39E4" w14:textId="77777777" w:rsidTr="00BD076C">
        <w:tc>
          <w:tcPr>
            <w:tcW w:w="4788" w:type="dxa"/>
            <w:shd w:val="clear" w:color="auto" w:fill="auto"/>
          </w:tcPr>
          <w:p w14:paraId="1000592B" w14:textId="77777777" w:rsidR="008A0760" w:rsidRPr="00A57824" w:rsidRDefault="008A0760" w:rsidP="00BD076C">
            <w:pPr>
              <w:pStyle w:val="Texto"/>
              <w:spacing w:line="276" w:lineRule="auto"/>
              <w:ind w:firstLine="0"/>
              <w:rPr>
                <w:rFonts w:ascii="Verdana" w:hAnsi="Verdana"/>
                <w:sz w:val="16"/>
                <w:szCs w:val="16"/>
                <w:lang w:val="en-US"/>
              </w:rPr>
            </w:pPr>
          </w:p>
        </w:tc>
        <w:tc>
          <w:tcPr>
            <w:tcW w:w="4788" w:type="dxa"/>
            <w:shd w:val="clear" w:color="auto" w:fill="auto"/>
          </w:tcPr>
          <w:p w14:paraId="786991C5" w14:textId="77777777" w:rsidR="008A0760" w:rsidRPr="00BD076C" w:rsidRDefault="008A0760" w:rsidP="00BD076C">
            <w:pPr>
              <w:spacing w:after="101" w:line="276" w:lineRule="auto"/>
              <w:jc w:val="both"/>
              <w:rPr>
                <w:lang w:val="en-US"/>
              </w:rPr>
            </w:pPr>
            <w:r w:rsidRPr="00BD076C">
              <w:rPr>
                <w:rFonts w:ascii="Verdana" w:hAnsi="Verdana"/>
                <w:sz w:val="16"/>
                <w:szCs w:val="16"/>
                <w:lang w:val="en-US"/>
              </w:rPr>
              <w:t> </w:t>
            </w:r>
          </w:p>
        </w:tc>
      </w:tr>
      <w:tr w:rsidR="008A0760" w:rsidRPr="00A57824" w14:paraId="1147B8A5" w14:textId="77777777" w:rsidTr="00BD076C">
        <w:tc>
          <w:tcPr>
            <w:tcW w:w="4788" w:type="dxa"/>
            <w:shd w:val="clear" w:color="auto" w:fill="auto"/>
          </w:tcPr>
          <w:p w14:paraId="745B9519" w14:textId="77777777" w:rsidR="008A0760" w:rsidRPr="00A57824" w:rsidRDefault="008A0760" w:rsidP="00BD076C">
            <w:pPr>
              <w:pStyle w:val="ANOTACION"/>
              <w:spacing w:line="276" w:lineRule="auto"/>
              <w:rPr>
                <w:rFonts w:ascii="Verdana" w:hAnsi="Verdana"/>
                <w:sz w:val="16"/>
                <w:szCs w:val="16"/>
              </w:rPr>
            </w:pPr>
            <w:r w:rsidRPr="00A57824">
              <w:rPr>
                <w:rFonts w:ascii="Verdana" w:hAnsi="Verdana"/>
                <w:sz w:val="16"/>
                <w:szCs w:val="16"/>
              </w:rPr>
              <w:t>APÉNDICE C</w:t>
            </w:r>
          </w:p>
        </w:tc>
        <w:tc>
          <w:tcPr>
            <w:tcW w:w="4788" w:type="dxa"/>
            <w:shd w:val="clear" w:color="auto" w:fill="auto"/>
          </w:tcPr>
          <w:p w14:paraId="7873E5E7" w14:textId="77777777" w:rsidR="008A0760" w:rsidRPr="00BD076C" w:rsidRDefault="008A0760" w:rsidP="00BD076C">
            <w:pPr>
              <w:spacing w:before="101" w:after="101" w:line="276" w:lineRule="auto"/>
              <w:jc w:val="center"/>
              <w:rPr>
                <w:lang w:val="en-US"/>
              </w:rPr>
            </w:pPr>
            <w:r w:rsidRPr="00BD076C">
              <w:rPr>
                <w:rFonts w:ascii="Verdana" w:hAnsi="Verdana"/>
                <w:b/>
                <w:bCs/>
                <w:sz w:val="16"/>
                <w:szCs w:val="16"/>
                <w:lang w:val="en-US"/>
              </w:rPr>
              <w:t>APPENDIX C</w:t>
            </w:r>
            <w:r w:rsidRPr="00BD076C">
              <w:rPr>
                <w:lang w:val="en-US"/>
              </w:rPr>
              <w:t xml:space="preserve"> </w:t>
            </w:r>
          </w:p>
        </w:tc>
      </w:tr>
      <w:tr w:rsidR="008A0760" w:rsidRPr="00A57824" w14:paraId="01C9EC45" w14:textId="77777777" w:rsidTr="00BD076C">
        <w:tc>
          <w:tcPr>
            <w:tcW w:w="4788" w:type="dxa"/>
            <w:shd w:val="clear" w:color="auto" w:fill="auto"/>
          </w:tcPr>
          <w:p w14:paraId="078350CF" w14:textId="77777777" w:rsidR="008A0760" w:rsidRPr="00A57824" w:rsidRDefault="008A0760" w:rsidP="00BD076C">
            <w:pPr>
              <w:pStyle w:val="ANOTACION"/>
              <w:spacing w:line="276" w:lineRule="auto"/>
              <w:rPr>
                <w:rFonts w:ascii="Verdana" w:hAnsi="Verdana"/>
                <w:sz w:val="16"/>
                <w:szCs w:val="16"/>
              </w:rPr>
            </w:pPr>
            <w:r w:rsidRPr="00A57824">
              <w:rPr>
                <w:rFonts w:ascii="Verdana" w:hAnsi="Verdana"/>
                <w:sz w:val="16"/>
                <w:szCs w:val="16"/>
              </w:rPr>
              <w:t>NORMATIVO</w:t>
            </w:r>
          </w:p>
        </w:tc>
        <w:tc>
          <w:tcPr>
            <w:tcW w:w="4788" w:type="dxa"/>
            <w:shd w:val="clear" w:color="auto" w:fill="auto"/>
          </w:tcPr>
          <w:p w14:paraId="53BFD7E2" w14:textId="77777777" w:rsidR="008A0760" w:rsidRPr="00BD076C" w:rsidRDefault="00A341BE" w:rsidP="00BD076C">
            <w:pPr>
              <w:spacing w:before="101" w:after="101" w:line="276" w:lineRule="auto"/>
              <w:jc w:val="center"/>
              <w:rPr>
                <w:lang w:val="en-US"/>
              </w:rPr>
            </w:pPr>
            <w:r w:rsidRPr="00BD076C">
              <w:rPr>
                <w:rFonts w:ascii="Verdana" w:hAnsi="Verdana"/>
                <w:b/>
                <w:bCs/>
                <w:sz w:val="16"/>
                <w:szCs w:val="16"/>
                <w:lang w:val="en-US"/>
              </w:rPr>
              <w:t>MANDATORY</w:t>
            </w:r>
            <w:r w:rsidR="008A0760" w:rsidRPr="00BD076C">
              <w:rPr>
                <w:lang w:val="en-US"/>
              </w:rPr>
              <w:t xml:space="preserve"> </w:t>
            </w:r>
          </w:p>
        </w:tc>
      </w:tr>
      <w:tr w:rsidR="008A0760" w:rsidRPr="00743A20" w14:paraId="0F4F9DD9" w14:textId="77777777" w:rsidTr="00BD076C">
        <w:tc>
          <w:tcPr>
            <w:tcW w:w="4788" w:type="dxa"/>
            <w:shd w:val="clear" w:color="auto" w:fill="auto"/>
          </w:tcPr>
          <w:p w14:paraId="3A79CD83" w14:textId="77777777" w:rsidR="008A0760" w:rsidRPr="00A57824" w:rsidRDefault="008A0760" w:rsidP="00BD076C">
            <w:pPr>
              <w:pStyle w:val="Texto"/>
              <w:spacing w:line="276" w:lineRule="auto"/>
              <w:ind w:firstLine="0"/>
              <w:jc w:val="center"/>
              <w:rPr>
                <w:rFonts w:ascii="Verdana" w:hAnsi="Verdana"/>
                <w:b/>
                <w:sz w:val="16"/>
                <w:szCs w:val="16"/>
                <w:lang w:val="es-ES_tradnl"/>
              </w:rPr>
            </w:pPr>
            <w:r w:rsidRPr="00A57824">
              <w:rPr>
                <w:rFonts w:ascii="Verdana" w:hAnsi="Verdana"/>
                <w:b/>
                <w:sz w:val="16"/>
                <w:szCs w:val="16"/>
                <w:lang w:val="es-ES_tradnl"/>
              </w:rPr>
              <w:t>Especificaciones técnicas de la familia de motor o de los vehículos automotores nuevos y su sistema de post-tratamiento</w:t>
            </w:r>
          </w:p>
        </w:tc>
        <w:tc>
          <w:tcPr>
            <w:tcW w:w="4788" w:type="dxa"/>
            <w:shd w:val="clear" w:color="auto" w:fill="auto"/>
          </w:tcPr>
          <w:p w14:paraId="6DCDE824" w14:textId="77777777" w:rsidR="008A0760" w:rsidRPr="00BD076C" w:rsidRDefault="008A0760" w:rsidP="00BD076C">
            <w:pPr>
              <w:spacing w:after="101" w:line="276" w:lineRule="auto"/>
              <w:jc w:val="center"/>
              <w:rPr>
                <w:lang w:val="en-US"/>
              </w:rPr>
            </w:pPr>
            <w:r w:rsidRPr="00BD076C">
              <w:rPr>
                <w:rFonts w:ascii="Verdana" w:hAnsi="Verdana"/>
                <w:b/>
                <w:bCs/>
                <w:sz w:val="16"/>
                <w:szCs w:val="16"/>
                <w:lang w:val="en-US"/>
              </w:rPr>
              <w:t>Technical specifications of the motor family or new automotive vehicles and their post-treatment system</w:t>
            </w:r>
            <w:r w:rsidRPr="00BD076C">
              <w:rPr>
                <w:lang w:val="en-US"/>
              </w:rPr>
              <w:t xml:space="preserve"> </w:t>
            </w:r>
          </w:p>
        </w:tc>
      </w:tr>
      <w:tr w:rsidR="008A0760" w:rsidRPr="00743A20" w14:paraId="5B51BE20" w14:textId="77777777" w:rsidTr="00BD076C">
        <w:tc>
          <w:tcPr>
            <w:tcW w:w="4788" w:type="dxa"/>
            <w:shd w:val="clear" w:color="auto" w:fill="auto"/>
          </w:tcPr>
          <w:p w14:paraId="7C674F8A"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1.</w:t>
            </w:r>
            <w:r w:rsidRPr="00A57824">
              <w:rPr>
                <w:rFonts w:ascii="Verdana" w:hAnsi="Verdana"/>
                <w:b/>
                <w:sz w:val="16"/>
                <w:szCs w:val="16"/>
                <w:lang w:val="es-ES_tradnl"/>
              </w:rPr>
              <w:tab/>
            </w:r>
            <w:r w:rsidRPr="00A57824">
              <w:rPr>
                <w:rFonts w:ascii="Verdana" w:hAnsi="Verdana"/>
                <w:sz w:val="16"/>
                <w:szCs w:val="16"/>
                <w:lang w:val="es-ES_tradnl"/>
              </w:rPr>
              <w:t>Nombre o razón social del solicitante.</w:t>
            </w:r>
          </w:p>
        </w:tc>
        <w:tc>
          <w:tcPr>
            <w:tcW w:w="4788" w:type="dxa"/>
            <w:shd w:val="clear" w:color="auto" w:fill="auto"/>
          </w:tcPr>
          <w:p w14:paraId="22636CC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1.</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Name or business name of the applicant.</w:t>
            </w:r>
            <w:r w:rsidRPr="00BD076C">
              <w:rPr>
                <w:lang w:val="en-US"/>
              </w:rPr>
              <w:t xml:space="preserve"> </w:t>
            </w:r>
          </w:p>
        </w:tc>
      </w:tr>
      <w:tr w:rsidR="008A0760" w:rsidRPr="00A57824" w14:paraId="0B81175E" w14:textId="77777777" w:rsidTr="00BD076C">
        <w:tc>
          <w:tcPr>
            <w:tcW w:w="4788" w:type="dxa"/>
            <w:shd w:val="clear" w:color="auto" w:fill="auto"/>
          </w:tcPr>
          <w:p w14:paraId="69F7C0AB"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2.</w:t>
            </w:r>
            <w:r w:rsidRPr="00A57824">
              <w:rPr>
                <w:rFonts w:ascii="Verdana" w:hAnsi="Verdana"/>
                <w:b/>
                <w:sz w:val="16"/>
                <w:szCs w:val="16"/>
                <w:lang w:val="es-ES_tradnl"/>
              </w:rPr>
              <w:tab/>
            </w:r>
            <w:r w:rsidRPr="00A57824">
              <w:rPr>
                <w:rFonts w:ascii="Verdana" w:hAnsi="Verdana"/>
                <w:sz w:val="16"/>
                <w:szCs w:val="16"/>
                <w:lang w:val="es-ES_tradnl"/>
              </w:rPr>
              <w:t>Datos generales del motor:</w:t>
            </w:r>
          </w:p>
        </w:tc>
        <w:tc>
          <w:tcPr>
            <w:tcW w:w="4788" w:type="dxa"/>
            <w:shd w:val="clear" w:color="auto" w:fill="auto"/>
          </w:tcPr>
          <w:p w14:paraId="60A7414D"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2.</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General motor data:</w:t>
            </w:r>
            <w:r w:rsidRPr="00BD076C">
              <w:rPr>
                <w:lang w:val="en-US"/>
              </w:rPr>
              <w:t xml:space="preserve"> </w:t>
            </w:r>
          </w:p>
        </w:tc>
      </w:tr>
      <w:tr w:rsidR="008A0760" w:rsidRPr="00A57824" w14:paraId="247F0CD9" w14:textId="77777777" w:rsidTr="00BD076C">
        <w:tc>
          <w:tcPr>
            <w:tcW w:w="4788" w:type="dxa"/>
            <w:shd w:val="clear" w:color="auto" w:fill="auto"/>
          </w:tcPr>
          <w:p w14:paraId="726A364E"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b/>
                <w:sz w:val="16"/>
                <w:szCs w:val="16"/>
                <w:lang w:val="es-ES_tradnl"/>
              </w:rPr>
              <w:tab/>
            </w:r>
            <w:r w:rsidRPr="00A57824">
              <w:rPr>
                <w:rFonts w:ascii="Verdana" w:hAnsi="Verdana"/>
                <w:sz w:val="16"/>
                <w:szCs w:val="16"/>
                <w:lang w:val="es-ES_tradnl"/>
              </w:rPr>
              <w:t>Marca del motor.</w:t>
            </w:r>
          </w:p>
        </w:tc>
        <w:tc>
          <w:tcPr>
            <w:tcW w:w="4788" w:type="dxa"/>
            <w:shd w:val="clear" w:color="auto" w:fill="auto"/>
          </w:tcPr>
          <w:p w14:paraId="6FB24146" w14:textId="77777777" w:rsidR="008A0760" w:rsidRPr="00BD076C" w:rsidRDefault="00BE1219"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Engine mark.</w:t>
            </w:r>
            <w:r w:rsidR="008A0760" w:rsidRPr="00BD076C">
              <w:rPr>
                <w:lang w:val="en-US"/>
              </w:rPr>
              <w:t xml:space="preserve"> </w:t>
            </w:r>
          </w:p>
        </w:tc>
      </w:tr>
      <w:tr w:rsidR="008A0760" w:rsidRPr="00A57824" w14:paraId="746A1558" w14:textId="77777777" w:rsidTr="00BD076C">
        <w:tc>
          <w:tcPr>
            <w:tcW w:w="4788" w:type="dxa"/>
            <w:shd w:val="clear" w:color="auto" w:fill="auto"/>
          </w:tcPr>
          <w:p w14:paraId="391CA265"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b/>
                <w:sz w:val="16"/>
                <w:szCs w:val="16"/>
                <w:lang w:val="es-ES_tradnl"/>
              </w:rPr>
              <w:tab/>
            </w:r>
            <w:r w:rsidRPr="00A57824">
              <w:rPr>
                <w:rFonts w:ascii="Verdana" w:hAnsi="Verdana"/>
                <w:sz w:val="16"/>
                <w:szCs w:val="16"/>
                <w:lang w:val="es-ES_tradnl"/>
              </w:rPr>
              <w:t>Modelo del motor.</w:t>
            </w:r>
          </w:p>
        </w:tc>
        <w:tc>
          <w:tcPr>
            <w:tcW w:w="4788" w:type="dxa"/>
            <w:shd w:val="clear" w:color="auto" w:fill="auto"/>
          </w:tcPr>
          <w:p w14:paraId="1A8ED40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Engine model</w:t>
            </w:r>
            <w:r w:rsidRPr="00BD076C">
              <w:rPr>
                <w:lang w:val="en-US"/>
              </w:rPr>
              <w:t xml:space="preserve"> </w:t>
            </w:r>
          </w:p>
        </w:tc>
      </w:tr>
      <w:tr w:rsidR="008A0760" w:rsidRPr="00743A20" w14:paraId="4186688D" w14:textId="77777777" w:rsidTr="00BD076C">
        <w:tc>
          <w:tcPr>
            <w:tcW w:w="4788" w:type="dxa"/>
            <w:shd w:val="clear" w:color="auto" w:fill="auto"/>
          </w:tcPr>
          <w:p w14:paraId="24C1BF44"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b/>
                <w:sz w:val="16"/>
                <w:szCs w:val="16"/>
                <w:lang w:val="es-ES_tradnl"/>
              </w:rPr>
              <w:tab/>
            </w:r>
            <w:r w:rsidRPr="00A57824">
              <w:rPr>
                <w:rFonts w:ascii="Verdana" w:hAnsi="Verdana"/>
                <w:sz w:val="16"/>
                <w:szCs w:val="16"/>
                <w:lang w:val="es-ES_tradnl"/>
              </w:rPr>
              <w:t>Marca del vehículo donde será usado el motor.</w:t>
            </w:r>
          </w:p>
        </w:tc>
        <w:tc>
          <w:tcPr>
            <w:tcW w:w="4788" w:type="dxa"/>
            <w:shd w:val="clear" w:color="auto" w:fill="auto"/>
          </w:tcPr>
          <w:p w14:paraId="37D3559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Mark of the vehicle where the engine will be used.</w:t>
            </w:r>
            <w:r w:rsidRPr="00BD076C">
              <w:rPr>
                <w:lang w:val="en-US"/>
              </w:rPr>
              <w:t xml:space="preserve"> </w:t>
            </w:r>
          </w:p>
        </w:tc>
      </w:tr>
      <w:tr w:rsidR="008A0760" w:rsidRPr="00743A20" w14:paraId="7AD67419" w14:textId="77777777" w:rsidTr="00BD076C">
        <w:tc>
          <w:tcPr>
            <w:tcW w:w="4788" w:type="dxa"/>
            <w:shd w:val="clear" w:color="auto" w:fill="auto"/>
          </w:tcPr>
          <w:p w14:paraId="5C65D0FF"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b/>
                <w:sz w:val="16"/>
                <w:szCs w:val="16"/>
                <w:lang w:val="es-ES_tradnl"/>
              </w:rPr>
              <w:tab/>
            </w:r>
            <w:r w:rsidRPr="00A57824">
              <w:rPr>
                <w:rFonts w:ascii="Verdana" w:hAnsi="Verdana"/>
                <w:sz w:val="16"/>
                <w:szCs w:val="16"/>
                <w:lang w:val="es-ES_tradnl"/>
              </w:rPr>
              <w:t>Modelo del vehículo automotor donde será usado el motor.</w:t>
            </w:r>
          </w:p>
        </w:tc>
        <w:tc>
          <w:tcPr>
            <w:tcW w:w="4788" w:type="dxa"/>
            <w:shd w:val="clear" w:color="auto" w:fill="auto"/>
          </w:tcPr>
          <w:p w14:paraId="490FB66E"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Model of the automotive vehicle where the engine will be used.</w:t>
            </w:r>
            <w:r w:rsidRPr="00BD076C">
              <w:rPr>
                <w:lang w:val="en-US"/>
              </w:rPr>
              <w:t xml:space="preserve"> </w:t>
            </w:r>
          </w:p>
        </w:tc>
      </w:tr>
      <w:tr w:rsidR="008A0760" w:rsidRPr="00743A20" w14:paraId="6203A728" w14:textId="77777777" w:rsidTr="00BD076C">
        <w:tc>
          <w:tcPr>
            <w:tcW w:w="4788" w:type="dxa"/>
            <w:shd w:val="clear" w:color="auto" w:fill="auto"/>
          </w:tcPr>
          <w:p w14:paraId="1030D0A1"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e.</w:t>
            </w:r>
            <w:r w:rsidRPr="00A57824">
              <w:rPr>
                <w:rFonts w:ascii="Verdana" w:hAnsi="Verdana"/>
                <w:b/>
                <w:sz w:val="16"/>
                <w:szCs w:val="16"/>
                <w:lang w:val="es-ES_tradnl"/>
              </w:rPr>
              <w:tab/>
            </w:r>
            <w:r w:rsidRPr="00A57824">
              <w:rPr>
                <w:rFonts w:ascii="Verdana" w:hAnsi="Verdana"/>
                <w:sz w:val="16"/>
                <w:szCs w:val="16"/>
                <w:lang w:val="es-ES_tradnl"/>
              </w:rPr>
              <w:t>Tipo de vehículo automotor donde será usado el motor, y</w:t>
            </w:r>
          </w:p>
        </w:tc>
        <w:tc>
          <w:tcPr>
            <w:tcW w:w="4788" w:type="dxa"/>
            <w:shd w:val="clear" w:color="auto" w:fill="auto"/>
          </w:tcPr>
          <w:p w14:paraId="3BC0798B" w14:textId="77777777" w:rsidR="008A0760" w:rsidRPr="00BD076C" w:rsidRDefault="00BE1219" w:rsidP="00BD076C">
            <w:pPr>
              <w:spacing w:after="101" w:line="276" w:lineRule="auto"/>
              <w:jc w:val="both"/>
              <w:rPr>
                <w:lang w:val="en-US"/>
              </w:rPr>
            </w:pPr>
            <w:r>
              <w:rPr>
                <w:rFonts w:ascii="Verdana" w:hAnsi="Verdana"/>
                <w:b/>
                <w:bCs/>
                <w:sz w:val="16"/>
                <w:szCs w:val="16"/>
                <w:lang w:val="en-US"/>
              </w:rPr>
              <w:t>e</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Type of automotive vehicle where the engine will be used, and</w:t>
            </w:r>
            <w:r w:rsidR="008A0760" w:rsidRPr="00BD076C">
              <w:rPr>
                <w:lang w:val="en-US"/>
              </w:rPr>
              <w:t xml:space="preserve"> </w:t>
            </w:r>
          </w:p>
        </w:tc>
      </w:tr>
      <w:tr w:rsidR="008A0760" w:rsidRPr="00A57824" w14:paraId="67F0969E" w14:textId="77777777" w:rsidTr="00BD076C">
        <w:tc>
          <w:tcPr>
            <w:tcW w:w="4788" w:type="dxa"/>
            <w:shd w:val="clear" w:color="auto" w:fill="auto"/>
          </w:tcPr>
          <w:p w14:paraId="41308552"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f.</w:t>
            </w:r>
            <w:r w:rsidRPr="00A57824">
              <w:rPr>
                <w:rFonts w:ascii="Verdana" w:hAnsi="Verdana"/>
                <w:b/>
                <w:sz w:val="16"/>
                <w:szCs w:val="16"/>
                <w:lang w:val="es-ES_tradnl"/>
              </w:rPr>
              <w:tab/>
            </w:r>
            <w:r w:rsidRPr="00A57824">
              <w:rPr>
                <w:rFonts w:ascii="Verdana" w:hAnsi="Verdana"/>
                <w:sz w:val="16"/>
                <w:szCs w:val="16"/>
                <w:lang w:val="es-ES_tradnl"/>
              </w:rPr>
              <w:t>País de origen.</w:t>
            </w:r>
          </w:p>
        </w:tc>
        <w:tc>
          <w:tcPr>
            <w:tcW w:w="4788" w:type="dxa"/>
            <w:shd w:val="clear" w:color="auto" w:fill="auto"/>
          </w:tcPr>
          <w:p w14:paraId="7D7761D1" w14:textId="77777777" w:rsidR="008A0760" w:rsidRPr="00BD076C" w:rsidRDefault="00BE1219" w:rsidP="00BD076C">
            <w:pPr>
              <w:spacing w:after="101" w:line="276" w:lineRule="auto"/>
              <w:jc w:val="both"/>
              <w:rPr>
                <w:lang w:val="en-US"/>
              </w:rPr>
            </w:pPr>
            <w:r>
              <w:rPr>
                <w:rFonts w:ascii="Verdana" w:hAnsi="Verdana"/>
                <w:b/>
                <w:bCs/>
                <w:sz w:val="16"/>
                <w:szCs w:val="16"/>
                <w:lang w:val="en-US"/>
              </w:rPr>
              <w:t>f</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Country of origin.</w:t>
            </w:r>
            <w:r w:rsidR="008A0760" w:rsidRPr="00BD076C">
              <w:rPr>
                <w:lang w:val="en-US"/>
              </w:rPr>
              <w:t xml:space="preserve"> </w:t>
            </w:r>
          </w:p>
        </w:tc>
      </w:tr>
      <w:tr w:rsidR="008A0760" w:rsidRPr="00743A20" w14:paraId="09FA8D6A" w14:textId="77777777" w:rsidTr="00BD076C">
        <w:tc>
          <w:tcPr>
            <w:tcW w:w="4788" w:type="dxa"/>
            <w:shd w:val="clear" w:color="auto" w:fill="auto"/>
          </w:tcPr>
          <w:p w14:paraId="13CF29CE"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3.</w:t>
            </w:r>
            <w:r w:rsidRPr="00A57824">
              <w:rPr>
                <w:rFonts w:ascii="Verdana" w:hAnsi="Verdana"/>
                <w:b/>
                <w:sz w:val="16"/>
                <w:szCs w:val="16"/>
                <w:lang w:val="es-ES_tradnl"/>
              </w:rPr>
              <w:tab/>
            </w:r>
            <w:r w:rsidRPr="00A57824">
              <w:rPr>
                <w:rFonts w:ascii="Verdana" w:hAnsi="Verdana"/>
                <w:sz w:val="16"/>
                <w:szCs w:val="16"/>
                <w:lang w:val="es-ES_tradnl"/>
              </w:rPr>
              <w:t>Descripción de la familia de motor:</w:t>
            </w:r>
          </w:p>
        </w:tc>
        <w:tc>
          <w:tcPr>
            <w:tcW w:w="4788" w:type="dxa"/>
            <w:shd w:val="clear" w:color="auto" w:fill="auto"/>
          </w:tcPr>
          <w:p w14:paraId="0D8387B9"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3.</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Description of the motor family:</w:t>
            </w:r>
            <w:r w:rsidRPr="00BD076C">
              <w:rPr>
                <w:lang w:val="en-US"/>
              </w:rPr>
              <w:t xml:space="preserve"> </w:t>
            </w:r>
          </w:p>
        </w:tc>
      </w:tr>
      <w:tr w:rsidR="008A0760" w:rsidRPr="00A57824" w14:paraId="4B4224E5" w14:textId="77777777" w:rsidTr="00BD076C">
        <w:tc>
          <w:tcPr>
            <w:tcW w:w="4788" w:type="dxa"/>
            <w:shd w:val="clear" w:color="auto" w:fill="auto"/>
          </w:tcPr>
          <w:p w14:paraId="6C0FE0BD"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a.</w:t>
            </w:r>
            <w:r w:rsidRPr="00A57824">
              <w:rPr>
                <w:rFonts w:ascii="Verdana" w:hAnsi="Verdana"/>
                <w:b/>
                <w:sz w:val="16"/>
                <w:szCs w:val="16"/>
                <w:lang w:val="es-ES_tradnl"/>
              </w:rPr>
              <w:tab/>
            </w:r>
            <w:r w:rsidRPr="00A57824">
              <w:rPr>
                <w:rFonts w:ascii="Verdana" w:hAnsi="Verdana"/>
                <w:sz w:val="16"/>
                <w:szCs w:val="16"/>
                <w:lang w:val="es-ES_tradnl"/>
              </w:rPr>
              <w:t>Familia de Motor.</w:t>
            </w:r>
          </w:p>
        </w:tc>
        <w:tc>
          <w:tcPr>
            <w:tcW w:w="4788" w:type="dxa"/>
            <w:shd w:val="clear" w:color="auto" w:fill="auto"/>
          </w:tcPr>
          <w:p w14:paraId="382DAC92" w14:textId="77777777" w:rsidR="008A0760" w:rsidRPr="00BD076C" w:rsidRDefault="00BE1219"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Motor Family</w:t>
            </w:r>
            <w:r w:rsidR="008A0760" w:rsidRPr="00BD076C">
              <w:rPr>
                <w:lang w:val="en-US"/>
              </w:rPr>
              <w:t xml:space="preserve"> </w:t>
            </w:r>
          </w:p>
        </w:tc>
      </w:tr>
      <w:tr w:rsidR="008A0760" w:rsidRPr="00743A20" w14:paraId="393FE555" w14:textId="77777777" w:rsidTr="00BD076C">
        <w:tc>
          <w:tcPr>
            <w:tcW w:w="4788" w:type="dxa"/>
            <w:shd w:val="clear" w:color="auto" w:fill="auto"/>
          </w:tcPr>
          <w:p w14:paraId="438E4673"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b/>
                <w:sz w:val="16"/>
                <w:szCs w:val="16"/>
                <w:lang w:val="es-ES_tradnl"/>
              </w:rPr>
              <w:tab/>
            </w:r>
            <w:r w:rsidRPr="00A57824">
              <w:rPr>
                <w:rFonts w:ascii="Verdana" w:hAnsi="Verdana"/>
                <w:sz w:val="16"/>
                <w:szCs w:val="16"/>
                <w:lang w:val="es-ES_tradnl"/>
              </w:rPr>
              <w:t>Potencia máxima (HP/rpm).</w:t>
            </w:r>
          </w:p>
        </w:tc>
        <w:tc>
          <w:tcPr>
            <w:tcW w:w="4788" w:type="dxa"/>
            <w:shd w:val="clear" w:color="auto" w:fill="auto"/>
          </w:tcPr>
          <w:p w14:paraId="44317AC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Maximum power (HP / rpm).</w:t>
            </w:r>
            <w:r w:rsidRPr="00BD076C">
              <w:rPr>
                <w:lang w:val="en-US"/>
              </w:rPr>
              <w:t xml:space="preserve"> </w:t>
            </w:r>
          </w:p>
        </w:tc>
      </w:tr>
      <w:tr w:rsidR="008A0760" w:rsidRPr="00A57824" w14:paraId="3D520F26" w14:textId="77777777" w:rsidTr="00BD076C">
        <w:tc>
          <w:tcPr>
            <w:tcW w:w="4788" w:type="dxa"/>
            <w:shd w:val="clear" w:color="auto" w:fill="auto"/>
          </w:tcPr>
          <w:p w14:paraId="634DBAD4"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b/>
                <w:sz w:val="16"/>
                <w:szCs w:val="16"/>
                <w:lang w:val="es-ES_tradnl"/>
              </w:rPr>
              <w:tab/>
            </w:r>
            <w:r w:rsidRPr="00A57824">
              <w:rPr>
                <w:rFonts w:ascii="Verdana" w:hAnsi="Verdana"/>
                <w:sz w:val="16"/>
                <w:szCs w:val="16"/>
                <w:lang w:val="es-ES_tradnl"/>
              </w:rPr>
              <w:t>Desplazamiento (cm</w:t>
            </w:r>
            <w:r w:rsidRPr="00A57824">
              <w:rPr>
                <w:rFonts w:ascii="Verdana" w:hAnsi="Verdana"/>
                <w:sz w:val="16"/>
                <w:szCs w:val="16"/>
                <w:vertAlign w:val="superscript"/>
                <w:lang w:val="es-ES_tradnl"/>
              </w:rPr>
              <w:t>3</w:t>
            </w:r>
            <w:r w:rsidRPr="00A57824">
              <w:rPr>
                <w:rFonts w:ascii="Verdana" w:hAnsi="Verdana"/>
                <w:sz w:val="16"/>
                <w:szCs w:val="16"/>
                <w:lang w:val="es-ES_tradnl"/>
              </w:rPr>
              <w:t>).</w:t>
            </w:r>
          </w:p>
        </w:tc>
        <w:tc>
          <w:tcPr>
            <w:tcW w:w="4788" w:type="dxa"/>
            <w:shd w:val="clear" w:color="auto" w:fill="auto"/>
          </w:tcPr>
          <w:p w14:paraId="380545C3"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 xml:space="preserve">Displacement (cm </w:t>
            </w:r>
            <w:r w:rsidRPr="00BD076C">
              <w:rPr>
                <w:rFonts w:ascii="Verdana" w:hAnsi="Verdana"/>
                <w:sz w:val="11"/>
                <w:szCs w:val="11"/>
                <w:vertAlign w:val="superscript"/>
                <w:lang w:val="en-US"/>
              </w:rPr>
              <w:t xml:space="preserve">3 </w:t>
            </w:r>
            <w:r w:rsidRPr="00BD076C">
              <w:rPr>
                <w:rFonts w:ascii="Verdana" w:hAnsi="Verdana"/>
                <w:sz w:val="16"/>
                <w:szCs w:val="16"/>
                <w:lang w:val="en-US"/>
              </w:rPr>
              <w:t>).</w:t>
            </w:r>
            <w:r w:rsidRPr="00BD076C">
              <w:rPr>
                <w:lang w:val="en-US"/>
              </w:rPr>
              <w:t xml:space="preserve"> </w:t>
            </w:r>
          </w:p>
        </w:tc>
      </w:tr>
      <w:tr w:rsidR="008A0760" w:rsidRPr="00743A20" w14:paraId="3D640671" w14:textId="77777777" w:rsidTr="00BD076C">
        <w:tc>
          <w:tcPr>
            <w:tcW w:w="4788" w:type="dxa"/>
            <w:shd w:val="clear" w:color="auto" w:fill="auto"/>
          </w:tcPr>
          <w:p w14:paraId="101BFF52"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d.</w:t>
            </w:r>
            <w:r w:rsidRPr="00A57824">
              <w:rPr>
                <w:rFonts w:ascii="Verdana" w:hAnsi="Verdana"/>
                <w:b/>
                <w:sz w:val="16"/>
                <w:szCs w:val="16"/>
                <w:lang w:val="es-ES_tradnl"/>
              </w:rPr>
              <w:tab/>
            </w:r>
            <w:r w:rsidRPr="00A57824">
              <w:rPr>
                <w:rFonts w:ascii="Verdana" w:hAnsi="Verdana"/>
                <w:sz w:val="16"/>
                <w:szCs w:val="16"/>
                <w:lang w:val="es-ES_tradnl"/>
              </w:rPr>
              <w:t>No. de cilindros y posición.</w:t>
            </w:r>
          </w:p>
        </w:tc>
        <w:tc>
          <w:tcPr>
            <w:tcW w:w="4788" w:type="dxa"/>
            <w:shd w:val="clear" w:color="auto" w:fill="auto"/>
          </w:tcPr>
          <w:p w14:paraId="1D1EB074"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No. of cylinders and position.</w:t>
            </w:r>
            <w:r w:rsidRPr="00BD076C">
              <w:rPr>
                <w:lang w:val="en-US"/>
              </w:rPr>
              <w:t xml:space="preserve"> </w:t>
            </w:r>
          </w:p>
        </w:tc>
      </w:tr>
      <w:tr w:rsidR="008A0760" w:rsidRPr="00743A20" w14:paraId="5B0639EA" w14:textId="77777777" w:rsidTr="00BD076C">
        <w:tc>
          <w:tcPr>
            <w:tcW w:w="4788" w:type="dxa"/>
            <w:shd w:val="clear" w:color="auto" w:fill="auto"/>
          </w:tcPr>
          <w:p w14:paraId="4157EEA6"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e.</w:t>
            </w:r>
            <w:r w:rsidRPr="00A57824">
              <w:rPr>
                <w:rFonts w:ascii="Verdana" w:hAnsi="Verdana"/>
                <w:b/>
                <w:sz w:val="16"/>
                <w:szCs w:val="16"/>
                <w:lang w:val="es-ES_tradnl"/>
              </w:rPr>
              <w:tab/>
            </w:r>
            <w:r w:rsidRPr="00A57824">
              <w:rPr>
                <w:rFonts w:ascii="Verdana" w:hAnsi="Verdana"/>
                <w:sz w:val="16"/>
                <w:szCs w:val="16"/>
                <w:lang w:val="es-ES_tradnl"/>
              </w:rPr>
              <w:t>Tipo de alimentación de combustible.</w:t>
            </w:r>
          </w:p>
        </w:tc>
        <w:tc>
          <w:tcPr>
            <w:tcW w:w="4788" w:type="dxa"/>
            <w:shd w:val="clear" w:color="auto" w:fill="auto"/>
          </w:tcPr>
          <w:p w14:paraId="656B28B9" w14:textId="77777777" w:rsidR="008A0760" w:rsidRPr="00BD076C" w:rsidRDefault="00BE1219" w:rsidP="00BD076C">
            <w:pPr>
              <w:spacing w:after="101" w:line="276" w:lineRule="auto"/>
              <w:jc w:val="both"/>
              <w:rPr>
                <w:lang w:val="en-US"/>
              </w:rPr>
            </w:pPr>
            <w:r>
              <w:rPr>
                <w:rFonts w:ascii="Verdana" w:hAnsi="Verdana"/>
                <w:b/>
                <w:bCs/>
                <w:sz w:val="16"/>
                <w:szCs w:val="16"/>
                <w:lang w:val="en-US"/>
              </w:rPr>
              <w:t>e</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Type of fuel supply.</w:t>
            </w:r>
            <w:r w:rsidR="008A0760" w:rsidRPr="00BD076C">
              <w:rPr>
                <w:lang w:val="en-US"/>
              </w:rPr>
              <w:t xml:space="preserve"> </w:t>
            </w:r>
          </w:p>
        </w:tc>
      </w:tr>
      <w:tr w:rsidR="008A0760" w:rsidRPr="00743A20" w14:paraId="0C223661" w14:textId="77777777" w:rsidTr="00BD076C">
        <w:tc>
          <w:tcPr>
            <w:tcW w:w="4788" w:type="dxa"/>
            <w:shd w:val="clear" w:color="auto" w:fill="auto"/>
          </w:tcPr>
          <w:p w14:paraId="18E8B7C0"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f.</w:t>
            </w:r>
            <w:r w:rsidRPr="00A57824">
              <w:rPr>
                <w:rFonts w:ascii="Verdana" w:hAnsi="Verdana"/>
                <w:b/>
                <w:sz w:val="16"/>
                <w:szCs w:val="16"/>
                <w:lang w:val="es-ES_tradnl"/>
              </w:rPr>
              <w:tab/>
            </w:r>
            <w:r w:rsidRPr="00A57824">
              <w:rPr>
                <w:rFonts w:ascii="Verdana" w:hAnsi="Verdana"/>
                <w:sz w:val="16"/>
                <w:szCs w:val="16"/>
                <w:lang w:val="es-ES_tradnl"/>
              </w:rPr>
              <w:t>Tipo de sistema de enfriamiento, y</w:t>
            </w:r>
          </w:p>
        </w:tc>
        <w:tc>
          <w:tcPr>
            <w:tcW w:w="4788" w:type="dxa"/>
            <w:shd w:val="clear" w:color="auto" w:fill="auto"/>
          </w:tcPr>
          <w:p w14:paraId="32DE1040" w14:textId="77777777" w:rsidR="008A0760" w:rsidRPr="00BD076C" w:rsidRDefault="00BE1219" w:rsidP="00BD076C">
            <w:pPr>
              <w:spacing w:after="101" w:line="276" w:lineRule="auto"/>
              <w:jc w:val="both"/>
              <w:rPr>
                <w:lang w:val="en-US"/>
              </w:rPr>
            </w:pPr>
            <w:r>
              <w:rPr>
                <w:rFonts w:ascii="Verdana" w:hAnsi="Verdana"/>
                <w:b/>
                <w:bCs/>
                <w:sz w:val="16"/>
                <w:szCs w:val="16"/>
                <w:lang w:val="en-US"/>
              </w:rPr>
              <w:t>f</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Type of cooling system, and</w:t>
            </w:r>
            <w:r w:rsidR="008A0760" w:rsidRPr="00BD076C">
              <w:rPr>
                <w:lang w:val="en-US"/>
              </w:rPr>
              <w:t xml:space="preserve"> </w:t>
            </w:r>
          </w:p>
        </w:tc>
      </w:tr>
      <w:tr w:rsidR="008A0760" w:rsidRPr="00743A20" w14:paraId="3806AC0E" w14:textId="77777777" w:rsidTr="00BD076C">
        <w:tc>
          <w:tcPr>
            <w:tcW w:w="4788" w:type="dxa"/>
            <w:shd w:val="clear" w:color="auto" w:fill="auto"/>
          </w:tcPr>
          <w:p w14:paraId="178CD386"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g.</w:t>
            </w:r>
            <w:r w:rsidRPr="00A57824">
              <w:rPr>
                <w:rFonts w:ascii="Verdana" w:hAnsi="Verdana"/>
                <w:b/>
                <w:sz w:val="16"/>
                <w:szCs w:val="16"/>
                <w:lang w:val="es-ES_tradnl"/>
              </w:rPr>
              <w:tab/>
            </w:r>
            <w:r w:rsidRPr="00A57824">
              <w:rPr>
                <w:rFonts w:ascii="Verdana" w:hAnsi="Verdana"/>
                <w:sz w:val="16"/>
                <w:szCs w:val="16"/>
                <w:lang w:val="es-ES_tradnl"/>
              </w:rPr>
              <w:t>Diámetro y carrera del pistón.</w:t>
            </w:r>
          </w:p>
        </w:tc>
        <w:tc>
          <w:tcPr>
            <w:tcW w:w="4788" w:type="dxa"/>
            <w:shd w:val="clear" w:color="auto" w:fill="auto"/>
          </w:tcPr>
          <w:p w14:paraId="109B7C9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g.</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Diameter and stroke of the piston.</w:t>
            </w:r>
            <w:r w:rsidRPr="00BD076C">
              <w:rPr>
                <w:lang w:val="en-US"/>
              </w:rPr>
              <w:t xml:space="preserve"> </w:t>
            </w:r>
          </w:p>
        </w:tc>
      </w:tr>
      <w:tr w:rsidR="008A0760" w:rsidRPr="00743A20" w14:paraId="1469BD7B" w14:textId="77777777" w:rsidTr="00BD076C">
        <w:tc>
          <w:tcPr>
            <w:tcW w:w="4788" w:type="dxa"/>
            <w:shd w:val="clear" w:color="auto" w:fill="auto"/>
          </w:tcPr>
          <w:p w14:paraId="730365B5" w14:textId="77777777" w:rsidR="008A0760" w:rsidRPr="00A57824" w:rsidRDefault="008A0760" w:rsidP="00BD076C">
            <w:pPr>
              <w:pStyle w:val="ROMANOS"/>
              <w:spacing w:line="276" w:lineRule="auto"/>
              <w:ind w:left="0" w:firstLine="0"/>
              <w:rPr>
                <w:rFonts w:ascii="Verdana" w:hAnsi="Verdana"/>
                <w:sz w:val="16"/>
                <w:szCs w:val="16"/>
              </w:rPr>
            </w:pPr>
            <w:r w:rsidRPr="00A57824">
              <w:rPr>
                <w:rFonts w:ascii="Verdana" w:hAnsi="Verdana"/>
                <w:b/>
                <w:sz w:val="16"/>
                <w:szCs w:val="16"/>
                <w:lang w:val="es-ES_tradnl"/>
              </w:rPr>
              <w:t>4.</w:t>
            </w:r>
            <w:r w:rsidRPr="00A57824">
              <w:rPr>
                <w:rFonts w:ascii="Verdana" w:hAnsi="Verdana"/>
                <w:b/>
                <w:sz w:val="16"/>
                <w:szCs w:val="16"/>
                <w:lang w:val="es-ES_tradnl"/>
              </w:rPr>
              <w:tab/>
            </w:r>
            <w:r w:rsidRPr="00A57824">
              <w:rPr>
                <w:rFonts w:ascii="Verdana" w:hAnsi="Verdana"/>
                <w:sz w:val="16"/>
                <w:szCs w:val="16"/>
                <w:lang w:val="es-ES_tradnl"/>
              </w:rPr>
              <w:t>Descripción del sistema de diagnóstico a bordo, especificando su número de identificación y verificación.</w:t>
            </w:r>
          </w:p>
        </w:tc>
        <w:tc>
          <w:tcPr>
            <w:tcW w:w="4788" w:type="dxa"/>
            <w:shd w:val="clear" w:color="auto" w:fill="auto"/>
          </w:tcPr>
          <w:p w14:paraId="6461BBAD" w14:textId="77777777" w:rsidR="008A0760" w:rsidRPr="00BD076C" w:rsidRDefault="00BE1219" w:rsidP="00BD076C">
            <w:pPr>
              <w:spacing w:after="101" w:line="276" w:lineRule="auto"/>
              <w:jc w:val="both"/>
              <w:rPr>
                <w:lang w:val="en-US"/>
              </w:rPr>
            </w:pPr>
            <w:r>
              <w:rPr>
                <w:rFonts w:ascii="Verdana" w:hAnsi="Verdana"/>
                <w:b/>
                <w:bCs/>
                <w:sz w:val="16"/>
                <w:szCs w:val="16"/>
                <w:lang w:val="en-US"/>
              </w:rPr>
              <w:t>4</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Description of the on-board diagnostic system, specifying its identification and verification number.</w:t>
            </w:r>
            <w:r w:rsidR="008A0760" w:rsidRPr="00BD076C">
              <w:rPr>
                <w:lang w:val="en-US"/>
              </w:rPr>
              <w:t xml:space="preserve"> </w:t>
            </w:r>
          </w:p>
        </w:tc>
      </w:tr>
      <w:tr w:rsidR="008A0760" w:rsidRPr="00743A20" w14:paraId="293FDD21" w14:textId="77777777" w:rsidTr="00BD076C">
        <w:tc>
          <w:tcPr>
            <w:tcW w:w="4788" w:type="dxa"/>
            <w:shd w:val="clear" w:color="auto" w:fill="auto"/>
          </w:tcPr>
          <w:p w14:paraId="3796E529"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5.</w:t>
            </w:r>
            <w:r w:rsidRPr="00A57824">
              <w:rPr>
                <w:rFonts w:ascii="Verdana" w:hAnsi="Verdana"/>
                <w:b/>
                <w:sz w:val="16"/>
                <w:szCs w:val="16"/>
                <w:lang w:val="es-ES_tradnl"/>
              </w:rPr>
              <w:tab/>
            </w:r>
            <w:r w:rsidRPr="00A57824">
              <w:rPr>
                <w:rFonts w:ascii="Verdana" w:hAnsi="Verdana"/>
                <w:sz w:val="16"/>
                <w:szCs w:val="16"/>
                <w:lang w:val="es-ES_tradnl"/>
              </w:rPr>
              <w:t>Descripción del sistema de control de emisiones (post-tratamiento).</w:t>
            </w:r>
          </w:p>
        </w:tc>
        <w:tc>
          <w:tcPr>
            <w:tcW w:w="4788" w:type="dxa"/>
            <w:shd w:val="clear" w:color="auto" w:fill="auto"/>
          </w:tcPr>
          <w:p w14:paraId="32E228B1"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5.</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Description of the emission control system (post-treatment).</w:t>
            </w:r>
            <w:r w:rsidRPr="00BD076C">
              <w:rPr>
                <w:lang w:val="en-US"/>
              </w:rPr>
              <w:t xml:space="preserve"> </w:t>
            </w:r>
          </w:p>
        </w:tc>
      </w:tr>
      <w:tr w:rsidR="008A0760" w:rsidRPr="00A57824" w14:paraId="32A2D67F" w14:textId="77777777" w:rsidTr="00BD076C">
        <w:tc>
          <w:tcPr>
            <w:tcW w:w="4788" w:type="dxa"/>
            <w:shd w:val="clear" w:color="auto" w:fill="auto"/>
          </w:tcPr>
          <w:p w14:paraId="1212F1C4"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6.</w:t>
            </w:r>
            <w:r w:rsidRPr="00A57824">
              <w:rPr>
                <w:rFonts w:ascii="Verdana" w:hAnsi="Verdana"/>
                <w:b/>
                <w:sz w:val="16"/>
                <w:szCs w:val="16"/>
                <w:lang w:val="es-ES_tradnl"/>
              </w:rPr>
              <w:tab/>
            </w:r>
            <w:r w:rsidRPr="00A57824">
              <w:rPr>
                <w:rFonts w:ascii="Verdana" w:hAnsi="Verdana"/>
                <w:sz w:val="16"/>
                <w:szCs w:val="16"/>
                <w:lang w:val="es-ES_tradnl"/>
              </w:rPr>
              <w:t>No. de certificado ambiental.</w:t>
            </w:r>
          </w:p>
        </w:tc>
        <w:tc>
          <w:tcPr>
            <w:tcW w:w="4788" w:type="dxa"/>
            <w:shd w:val="clear" w:color="auto" w:fill="auto"/>
          </w:tcPr>
          <w:p w14:paraId="7BD1973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6</w:t>
            </w:r>
            <w:r w:rsidR="00186E98">
              <w:rPr>
                <w:rFonts w:ascii="Verdana" w:hAnsi="Verdana"/>
                <w:b/>
                <w:bCs/>
                <w:sz w:val="16"/>
                <w:szCs w:val="16"/>
                <w:lang w:val="en-US"/>
              </w:rPr>
              <w:t>.</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No. of environmental certificate.</w:t>
            </w:r>
            <w:r w:rsidRPr="00BD076C">
              <w:rPr>
                <w:lang w:val="en-US"/>
              </w:rPr>
              <w:t xml:space="preserve"> </w:t>
            </w:r>
          </w:p>
        </w:tc>
      </w:tr>
      <w:tr w:rsidR="008A0760" w:rsidRPr="00743A20" w14:paraId="2BBE06F3" w14:textId="77777777" w:rsidTr="00BD076C">
        <w:tc>
          <w:tcPr>
            <w:tcW w:w="4788" w:type="dxa"/>
            <w:shd w:val="clear" w:color="auto" w:fill="auto"/>
          </w:tcPr>
          <w:p w14:paraId="2C0BA4EC"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7.</w:t>
            </w:r>
            <w:r w:rsidRPr="00A57824">
              <w:rPr>
                <w:rFonts w:ascii="Verdana" w:hAnsi="Verdana"/>
                <w:b/>
                <w:sz w:val="16"/>
                <w:szCs w:val="16"/>
                <w:lang w:val="es-ES_tradnl"/>
              </w:rPr>
              <w:tab/>
            </w:r>
            <w:r w:rsidRPr="00A57824">
              <w:rPr>
                <w:rFonts w:ascii="Verdana" w:hAnsi="Verdana"/>
                <w:sz w:val="16"/>
                <w:szCs w:val="16"/>
                <w:lang w:val="es-ES_tradnl"/>
              </w:rPr>
              <w:t>Autoridad que certifica u organismo de certificación.</w:t>
            </w:r>
          </w:p>
        </w:tc>
        <w:tc>
          <w:tcPr>
            <w:tcW w:w="4788" w:type="dxa"/>
            <w:shd w:val="clear" w:color="auto" w:fill="auto"/>
          </w:tcPr>
          <w:p w14:paraId="55C2C2F5"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7</w:t>
            </w:r>
            <w:r w:rsidR="00186E98">
              <w:rPr>
                <w:rFonts w:ascii="Verdana" w:hAnsi="Verdana"/>
                <w:b/>
                <w:bCs/>
                <w:sz w:val="16"/>
                <w:szCs w:val="16"/>
                <w:lang w:val="en-US"/>
              </w:rPr>
              <w:t>.</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Authority that certifies or certification body.</w:t>
            </w:r>
            <w:r w:rsidRPr="00BD076C">
              <w:rPr>
                <w:lang w:val="en-US"/>
              </w:rPr>
              <w:t xml:space="preserve"> </w:t>
            </w:r>
          </w:p>
        </w:tc>
      </w:tr>
      <w:tr w:rsidR="008A0760" w:rsidRPr="00A57824" w14:paraId="0DE3E747" w14:textId="77777777" w:rsidTr="00BD076C">
        <w:tc>
          <w:tcPr>
            <w:tcW w:w="4788" w:type="dxa"/>
            <w:shd w:val="clear" w:color="auto" w:fill="auto"/>
          </w:tcPr>
          <w:p w14:paraId="341D58DE"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8.</w:t>
            </w:r>
            <w:r w:rsidRPr="00A57824">
              <w:rPr>
                <w:rFonts w:ascii="Verdana" w:hAnsi="Verdana"/>
                <w:b/>
                <w:sz w:val="16"/>
                <w:szCs w:val="16"/>
                <w:lang w:val="es-ES_tradnl"/>
              </w:rPr>
              <w:tab/>
            </w:r>
            <w:r w:rsidRPr="00A57824">
              <w:rPr>
                <w:rFonts w:ascii="Verdana" w:hAnsi="Verdana"/>
                <w:sz w:val="16"/>
                <w:szCs w:val="16"/>
                <w:lang w:val="es-ES_tradnl"/>
              </w:rPr>
              <w:t>Método de prueba utilizado.</w:t>
            </w:r>
          </w:p>
        </w:tc>
        <w:tc>
          <w:tcPr>
            <w:tcW w:w="4788" w:type="dxa"/>
            <w:shd w:val="clear" w:color="auto" w:fill="auto"/>
          </w:tcPr>
          <w:p w14:paraId="64E70627"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8</w:t>
            </w:r>
            <w:r w:rsidR="00186E98">
              <w:rPr>
                <w:rFonts w:ascii="Verdana" w:hAnsi="Verdana"/>
                <w:b/>
                <w:bCs/>
                <w:sz w:val="16"/>
                <w:szCs w:val="16"/>
                <w:lang w:val="en-US"/>
              </w:rPr>
              <w:t>.</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Test method used.</w:t>
            </w:r>
            <w:r w:rsidRPr="00BD076C">
              <w:rPr>
                <w:lang w:val="en-US"/>
              </w:rPr>
              <w:t xml:space="preserve"> </w:t>
            </w:r>
          </w:p>
        </w:tc>
      </w:tr>
      <w:tr w:rsidR="008A0760" w:rsidRPr="00743A20" w14:paraId="1C328F76" w14:textId="77777777" w:rsidTr="00BD076C">
        <w:tc>
          <w:tcPr>
            <w:tcW w:w="4788" w:type="dxa"/>
            <w:shd w:val="clear" w:color="auto" w:fill="auto"/>
          </w:tcPr>
          <w:p w14:paraId="7B2C51DA"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9.</w:t>
            </w:r>
            <w:r w:rsidRPr="00A57824">
              <w:rPr>
                <w:rFonts w:ascii="Verdana" w:hAnsi="Verdana"/>
                <w:b/>
                <w:sz w:val="16"/>
                <w:szCs w:val="16"/>
                <w:lang w:val="es-ES_tradnl"/>
              </w:rPr>
              <w:tab/>
            </w:r>
            <w:r w:rsidRPr="00A57824">
              <w:rPr>
                <w:rFonts w:ascii="Verdana" w:hAnsi="Verdana"/>
                <w:sz w:val="16"/>
                <w:szCs w:val="16"/>
                <w:lang w:val="es-ES_tradnl"/>
              </w:rPr>
              <w:t>Valores de referencia de la vida útil del motor o vehículo expresado en kilómetros o años, de acuerdo a lo establecido en los numerales 4.1.2, 4.1.4, 4.2.3 o 4.2.6, según corresponda.</w:t>
            </w:r>
          </w:p>
        </w:tc>
        <w:tc>
          <w:tcPr>
            <w:tcW w:w="4788" w:type="dxa"/>
            <w:shd w:val="clear" w:color="auto" w:fill="auto"/>
          </w:tcPr>
          <w:p w14:paraId="6E4D07D6"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9.</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 xml:space="preserve">Reference values </w:t>
            </w:r>
            <w:r w:rsidRPr="00BD076C">
              <w:rPr>
                <w:rFonts w:ascii="Arial" w:hAnsi="Arial" w:cs="Arial"/>
                <w:sz w:val="16"/>
                <w:szCs w:val="16"/>
                <w:lang w:val="en-US"/>
              </w:rPr>
              <w:t>​​</w:t>
            </w:r>
            <w:r w:rsidRPr="00BD076C">
              <w:rPr>
                <w:rFonts w:ascii="Verdana" w:hAnsi="Verdana"/>
                <w:sz w:val="16"/>
                <w:szCs w:val="16"/>
                <w:lang w:val="en-US"/>
              </w:rPr>
              <w:t>of the service life of the engine or vehicle expressed in kilometers or years, according to the provisions of paragraphs 4.1.2, 4.1.4, 4.2.3 or 4.2.6, as applicable.</w:t>
            </w:r>
            <w:r w:rsidRPr="00BD076C">
              <w:rPr>
                <w:lang w:val="en-US"/>
              </w:rPr>
              <w:t xml:space="preserve"> </w:t>
            </w:r>
          </w:p>
        </w:tc>
      </w:tr>
      <w:tr w:rsidR="008A0760" w:rsidRPr="00743A20" w14:paraId="3DDB61B8" w14:textId="77777777" w:rsidTr="00BD076C">
        <w:tc>
          <w:tcPr>
            <w:tcW w:w="4788" w:type="dxa"/>
            <w:shd w:val="clear" w:color="auto" w:fill="auto"/>
          </w:tcPr>
          <w:p w14:paraId="5AB658F0"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lastRenderedPageBreak/>
              <w:t>10.</w:t>
            </w:r>
            <w:r w:rsidRPr="00A57824">
              <w:rPr>
                <w:rFonts w:ascii="Verdana" w:hAnsi="Verdana"/>
                <w:b/>
                <w:sz w:val="16"/>
                <w:szCs w:val="16"/>
                <w:lang w:val="es-ES_tradnl"/>
              </w:rPr>
              <w:tab/>
            </w:r>
            <w:r w:rsidRPr="00A57824">
              <w:rPr>
                <w:rFonts w:ascii="Verdana" w:hAnsi="Verdana"/>
                <w:sz w:val="16"/>
                <w:szCs w:val="16"/>
                <w:lang w:val="es-ES_tradnl"/>
              </w:rPr>
              <w:t>Estándar que cumple de acuerdo a lo establecido en los numerales 4.1 o 4.2, de la presente norma.</w:t>
            </w:r>
          </w:p>
        </w:tc>
        <w:tc>
          <w:tcPr>
            <w:tcW w:w="4788" w:type="dxa"/>
            <w:shd w:val="clear" w:color="auto" w:fill="auto"/>
          </w:tcPr>
          <w:p w14:paraId="207EDC6F"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10</w:t>
            </w:r>
            <w:r w:rsidR="00186E98">
              <w:rPr>
                <w:rFonts w:ascii="Verdana" w:hAnsi="Verdana"/>
                <w:b/>
                <w:bCs/>
                <w:sz w:val="16"/>
                <w:szCs w:val="16"/>
                <w:lang w:val="en-US"/>
              </w:rPr>
              <w:t>.</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Standard that complies according to what is established in sections 4.1 or 4.2 of this standard.</w:t>
            </w:r>
            <w:r w:rsidRPr="00BD076C">
              <w:rPr>
                <w:lang w:val="en-US"/>
              </w:rPr>
              <w:t xml:space="preserve"> </w:t>
            </w:r>
          </w:p>
        </w:tc>
      </w:tr>
      <w:tr w:rsidR="008A0760" w:rsidRPr="00A57824" w14:paraId="2BD222FC" w14:textId="77777777" w:rsidTr="00BD076C">
        <w:tc>
          <w:tcPr>
            <w:tcW w:w="4788" w:type="dxa"/>
            <w:shd w:val="clear" w:color="auto" w:fill="auto"/>
          </w:tcPr>
          <w:p w14:paraId="2440B00E"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11.</w:t>
            </w:r>
            <w:r w:rsidRPr="00A57824">
              <w:rPr>
                <w:rFonts w:ascii="Verdana" w:hAnsi="Verdana"/>
                <w:b/>
                <w:sz w:val="16"/>
                <w:szCs w:val="16"/>
                <w:lang w:val="es-ES_tradnl"/>
              </w:rPr>
              <w:tab/>
            </w:r>
            <w:r w:rsidRPr="00A57824">
              <w:rPr>
                <w:rFonts w:ascii="Verdana" w:hAnsi="Verdana"/>
                <w:sz w:val="16"/>
                <w:szCs w:val="16"/>
                <w:lang w:val="es-ES_tradnl"/>
              </w:rPr>
              <w:t>Resultados de la prueba de emisiones:</w:t>
            </w:r>
          </w:p>
        </w:tc>
        <w:tc>
          <w:tcPr>
            <w:tcW w:w="4788" w:type="dxa"/>
            <w:shd w:val="clear" w:color="auto" w:fill="auto"/>
          </w:tcPr>
          <w:p w14:paraId="60AEC540" w14:textId="77777777" w:rsidR="008A0760" w:rsidRPr="00BD076C" w:rsidRDefault="00186E98" w:rsidP="00BD076C">
            <w:pPr>
              <w:spacing w:after="101" w:line="276" w:lineRule="auto"/>
              <w:jc w:val="both"/>
              <w:rPr>
                <w:lang w:val="en-US"/>
              </w:rPr>
            </w:pPr>
            <w:r>
              <w:rPr>
                <w:rFonts w:ascii="Verdana" w:hAnsi="Verdana"/>
                <w:b/>
                <w:bCs/>
                <w:sz w:val="16"/>
                <w:szCs w:val="16"/>
                <w:lang w:val="en-US"/>
              </w:rPr>
              <w:t>11</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Emissions test results:</w:t>
            </w:r>
            <w:r w:rsidR="008A0760" w:rsidRPr="00BD076C">
              <w:rPr>
                <w:lang w:val="en-US"/>
              </w:rPr>
              <w:t xml:space="preserve"> </w:t>
            </w:r>
          </w:p>
        </w:tc>
      </w:tr>
      <w:tr w:rsidR="008A0760" w:rsidRPr="00743A20" w14:paraId="37BBC711" w14:textId="77777777" w:rsidTr="00BD076C">
        <w:tc>
          <w:tcPr>
            <w:tcW w:w="4788" w:type="dxa"/>
            <w:shd w:val="clear" w:color="auto" w:fill="auto"/>
          </w:tcPr>
          <w:p w14:paraId="3794E541" w14:textId="77777777" w:rsidR="008A0760" w:rsidRPr="00A57824" w:rsidRDefault="008A0760" w:rsidP="00BD076C">
            <w:pPr>
              <w:pStyle w:val="ROMANOS"/>
              <w:spacing w:line="276" w:lineRule="auto"/>
              <w:ind w:left="0" w:firstLine="0"/>
              <w:rPr>
                <w:rFonts w:ascii="Verdana" w:hAnsi="Verdana"/>
                <w:sz w:val="16"/>
                <w:szCs w:val="16"/>
                <w:lang w:val="en-US"/>
              </w:rPr>
            </w:pPr>
            <w:r w:rsidRPr="00A57824">
              <w:rPr>
                <w:rFonts w:ascii="Verdana" w:hAnsi="Verdana"/>
                <w:b/>
                <w:sz w:val="16"/>
                <w:szCs w:val="16"/>
                <w:lang w:val="en-US"/>
              </w:rPr>
              <w:t>a.</w:t>
            </w:r>
            <w:r w:rsidRPr="00A57824">
              <w:rPr>
                <w:rFonts w:ascii="Verdana" w:hAnsi="Verdana"/>
                <w:b/>
                <w:sz w:val="16"/>
                <w:szCs w:val="16"/>
                <w:lang w:val="en-US"/>
              </w:rPr>
              <w:tab/>
            </w:r>
            <w:r w:rsidRPr="00A57824">
              <w:rPr>
                <w:rFonts w:ascii="Verdana" w:hAnsi="Verdana"/>
                <w:sz w:val="16"/>
                <w:szCs w:val="16"/>
                <w:lang w:val="en-US"/>
              </w:rPr>
              <w:t>CO (g/bhp-h o g/kWh).</w:t>
            </w:r>
          </w:p>
        </w:tc>
        <w:tc>
          <w:tcPr>
            <w:tcW w:w="4788" w:type="dxa"/>
            <w:shd w:val="clear" w:color="auto" w:fill="auto"/>
          </w:tcPr>
          <w:p w14:paraId="662BC1EE" w14:textId="77777777" w:rsidR="008A0760" w:rsidRPr="00BD076C" w:rsidRDefault="00186E98" w:rsidP="00BD076C">
            <w:pPr>
              <w:spacing w:after="101" w:line="276" w:lineRule="auto"/>
              <w:jc w:val="both"/>
              <w:rPr>
                <w:lang w:val="en-US"/>
              </w:rPr>
            </w:pPr>
            <w:r>
              <w:rPr>
                <w:rFonts w:ascii="Verdana" w:hAnsi="Verdana"/>
                <w:b/>
                <w:bCs/>
                <w:sz w:val="16"/>
                <w:szCs w:val="16"/>
                <w:lang w:val="en-US"/>
              </w:rPr>
              <w:t>a</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CO (g / bhp-h og / kWh).</w:t>
            </w:r>
            <w:r w:rsidR="008A0760" w:rsidRPr="00BD076C">
              <w:rPr>
                <w:lang w:val="en-US"/>
              </w:rPr>
              <w:t xml:space="preserve"> </w:t>
            </w:r>
          </w:p>
        </w:tc>
      </w:tr>
      <w:tr w:rsidR="008A0760" w:rsidRPr="00743A20" w14:paraId="0F90704D" w14:textId="77777777" w:rsidTr="00BD076C">
        <w:tc>
          <w:tcPr>
            <w:tcW w:w="4788" w:type="dxa"/>
            <w:shd w:val="clear" w:color="auto" w:fill="auto"/>
          </w:tcPr>
          <w:p w14:paraId="39D09777"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b.</w:t>
            </w:r>
            <w:r w:rsidRPr="00A57824">
              <w:rPr>
                <w:rFonts w:ascii="Verdana" w:hAnsi="Verdana"/>
                <w:b/>
                <w:sz w:val="16"/>
                <w:szCs w:val="16"/>
                <w:lang w:val="es-ES_tradnl"/>
              </w:rPr>
              <w:tab/>
            </w:r>
            <w:r w:rsidRPr="00A57824">
              <w:rPr>
                <w:rFonts w:ascii="Verdana" w:hAnsi="Verdana"/>
                <w:sz w:val="16"/>
                <w:szCs w:val="16"/>
                <w:lang w:val="es-ES_tradnl"/>
              </w:rPr>
              <w:t>NOx (g/bhp-h o g/kWh).</w:t>
            </w:r>
          </w:p>
        </w:tc>
        <w:tc>
          <w:tcPr>
            <w:tcW w:w="4788" w:type="dxa"/>
            <w:shd w:val="clear" w:color="auto" w:fill="auto"/>
          </w:tcPr>
          <w:p w14:paraId="124F843A"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b.</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NOx (g / bhp-h og / kWh).</w:t>
            </w:r>
            <w:r w:rsidRPr="00BD076C">
              <w:rPr>
                <w:lang w:val="en-US"/>
              </w:rPr>
              <w:t xml:space="preserve"> </w:t>
            </w:r>
          </w:p>
        </w:tc>
      </w:tr>
      <w:tr w:rsidR="008A0760" w:rsidRPr="00743A20" w14:paraId="0A0FA69D" w14:textId="77777777" w:rsidTr="00BD076C">
        <w:tc>
          <w:tcPr>
            <w:tcW w:w="4788" w:type="dxa"/>
            <w:shd w:val="clear" w:color="auto" w:fill="auto"/>
          </w:tcPr>
          <w:p w14:paraId="3330FB89"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c.</w:t>
            </w:r>
            <w:r w:rsidRPr="00A57824">
              <w:rPr>
                <w:rFonts w:ascii="Verdana" w:hAnsi="Verdana"/>
                <w:b/>
                <w:sz w:val="16"/>
                <w:szCs w:val="16"/>
                <w:lang w:val="es-ES_tradnl"/>
              </w:rPr>
              <w:tab/>
            </w:r>
            <w:r w:rsidRPr="00A57824">
              <w:rPr>
                <w:rFonts w:ascii="Verdana" w:hAnsi="Verdana"/>
                <w:sz w:val="16"/>
                <w:szCs w:val="16"/>
                <w:lang w:val="es-ES_tradnl"/>
              </w:rPr>
              <w:t>HC (g/bhp-h o g/kWh).</w:t>
            </w:r>
          </w:p>
        </w:tc>
        <w:tc>
          <w:tcPr>
            <w:tcW w:w="4788" w:type="dxa"/>
            <w:shd w:val="clear" w:color="auto" w:fill="auto"/>
          </w:tcPr>
          <w:p w14:paraId="792E8E22"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c.</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HC (g / bhp-h og / kWh).</w:t>
            </w:r>
            <w:r w:rsidRPr="00BD076C">
              <w:rPr>
                <w:lang w:val="en-US"/>
              </w:rPr>
              <w:t xml:space="preserve"> </w:t>
            </w:r>
          </w:p>
        </w:tc>
      </w:tr>
      <w:tr w:rsidR="008A0760" w:rsidRPr="00743A20" w14:paraId="6091C8C5" w14:textId="77777777" w:rsidTr="00186E98">
        <w:trPr>
          <w:trHeight w:val="270"/>
        </w:trPr>
        <w:tc>
          <w:tcPr>
            <w:tcW w:w="4788" w:type="dxa"/>
            <w:shd w:val="clear" w:color="auto" w:fill="auto"/>
          </w:tcPr>
          <w:p w14:paraId="15779D0B" w14:textId="77777777" w:rsidR="008A0760" w:rsidRPr="00A57824" w:rsidRDefault="008A0760" w:rsidP="00BD076C">
            <w:pPr>
              <w:pStyle w:val="ROMANOS"/>
              <w:spacing w:line="276" w:lineRule="auto"/>
              <w:ind w:left="0" w:firstLine="0"/>
              <w:rPr>
                <w:rFonts w:ascii="Verdana" w:hAnsi="Verdana"/>
                <w:sz w:val="16"/>
                <w:szCs w:val="16"/>
                <w:lang w:val="en-US"/>
              </w:rPr>
            </w:pPr>
            <w:r w:rsidRPr="00A57824">
              <w:rPr>
                <w:rFonts w:ascii="Verdana" w:hAnsi="Verdana"/>
                <w:b/>
                <w:sz w:val="16"/>
                <w:szCs w:val="16"/>
                <w:lang w:val="en-US"/>
              </w:rPr>
              <w:t>d.</w:t>
            </w:r>
            <w:r w:rsidRPr="00A57824">
              <w:rPr>
                <w:rFonts w:ascii="Verdana" w:hAnsi="Verdana"/>
                <w:b/>
                <w:sz w:val="16"/>
                <w:szCs w:val="16"/>
                <w:lang w:val="en-US"/>
              </w:rPr>
              <w:tab/>
            </w:r>
            <w:r w:rsidRPr="00A57824">
              <w:rPr>
                <w:rFonts w:ascii="Verdana" w:hAnsi="Verdana"/>
                <w:sz w:val="16"/>
                <w:szCs w:val="16"/>
                <w:lang w:val="en-US"/>
              </w:rPr>
              <w:t>HCNM (g/bhp-h o g/kWh).</w:t>
            </w:r>
          </w:p>
        </w:tc>
        <w:tc>
          <w:tcPr>
            <w:tcW w:w="4788" w:type="dxa"/>
            <w:shd w:val="clear" w:color="auto" w:fill="auto"/>
          </w:tcPr>
          <w:p w14:paraId="28D077D4"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d.</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HCNM (g / bhp-h og / kWh).</w:t>
            </w:r>
            <w:r w:rsidRPr="00BD076C">
              <w:rPr>
                <w:lang w:val="en-US"/>
              </w:rPr>
              <w:t xml:space="preserve"> </w:t>
            </w:r>
          </w:p>
        </w:tc>
      </w:tr>
      <w:tr w:rsidR="008A0760" w:rsidRPr="00A57824" w14:paraId="0EC326A6" w14:textId="77777777" w:rsidTr="00BD076C">
        <w:tc>
          <w:tcPr>
            <w:tcW w:w="4788" w:type="dxa"/>
            <w:shd w:val="clear" w:color="auto" w:fill="auto"/>
          </w:tcPr>
          <w:p w14:paraId="53D015B7"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e.</w:t>
            </w:r>
            <w:r w:rsidRPr="00A57824">
              <w:rPr>
                <w:rFonts w:ascii="Verdana" w:hAnsi="Verdana"/>
                <w:b/>
                <w:sz w:val="16"/>
                <w:szCs w:val="16"/>
                <w:lang w:val="es-ES_tradnl"/>
              </w:rPr>
              <w:tab/>
            </w:r>
            <w:r w:rsidRPr="00A57824">
              <w:rPr>
                <w:rFonts w:ascii="Verdana" w:hAnsi="Verdana"/>
                <w:sz w:val="16"/>
                <w:szCs w:val="16"/>
                <w:lang w:val="es-ES_tradnl"/>
              </w:rPr>
              <w:t>NH</w:t>
            </w:r>
            <w:r w:rsidRPr="00A57824">
              <w:rPr>
                <w:rFonts w:ascii="Verdana" w:hAnsi="Verdana"/>
                <w:sz w:val="16"/>
                <w:szCs w:val="16"/>
                <w:vertAlign w:val="subscript"/>
                <w:lang w:val="es-ES_tradnl"/>
              </w:rPr>
              <w:t>3</w:t>
            </w:r>
            <w:r w:rsidRPr="00A57824">
              <w:rPr>
                <w:rFonts w:ascii="Verdana" w:hAnsi="Verdana"/>
                <w:sz w:val="16"/>
                <w:szCs w:val="16"/>
                <w:lang w:val="es-ES_tradnl"/>
              </w:rPr>
              <w:t xml:space="preserve"> (ppm).</w:t>
            </w:r>
          </w:p>
        </w:tc>
        <w:tc>
          <w:tcPr>
            <w:tcW w:w="4788" w:type="dxa"/>
            <w:shd w:val="clear" w:color="auto" w:fill="auto"/>
          </w:tcPr>
          <w:p w14:paraId="70DDF9C0" w14:textId="77777777" w:rsidR="008A0760" w:rsidRPr="00BD076C" w:rsidRDefault="00186E98" w:rsidP="00BD076C">
            <w:pPr>
              <w:spacing w:after="101" w:line="276" w:lineRule="auto"/>
              <w:jc w:val="both"/>
              <w:rPr>
                <w:lang w:val="en-US"/>
              </w:rPr>
            </w:pPr>
            <w:r>
              <w:rPr>
                <w:rFonts w:ascii="Verdana" w:hAnsi="Verdana"/>
                <w:b/>
                <w:bCs/>
                <w:sz w:val="16"/>
                <w:szCs w:val="16"/>
                <w:lang w:val="en-US"/>
              </w:rPr>
              <w:t>e</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 xml:space="preserve">NH </w:t>
            </w:r>
            <w:r w:rsidR="008A0760" w:rsidRPr="00BD076C">
              <w:rPr>
                <w:rFonts w:ascii="Verdana" w:hAnsi="Verdana"/>
                <w:sz w:val="11"/>
                <w:szCs w:val="11"/>
                <w:vertAlign w:val="subscript"/>
                <w:lang w:val="en-US"/>
              </w:rPr>
              <w:t xml:space="preserve">3 </w:t>
            </w:r>
            <w:r w:rsidR="008A0760" w:rsidRPr="00BD076C">
              <w:rPr>
                <w:rFonts w:ascii="Verdana" w:hAnsi="Verdana"/>
                <w:sz w:val="16"/>
                <w:szCs w:val="16"/>
                <w:lang w:val="en-US"/>
              </w:rPr>
              <w:t>(ppm).</w:t>
            </w:r>
            <w:r w:rsidR="008A0760" w:rsidRPr="00BD076C">
              <w:rPr>
                <w:lang w:val="en-US"/>
              </w:rPr>
              <w:t xml:space="preserve"> </w:t>
            </w:r>
          </w:p>
        </w:tc>
      </w:tr>
      <w:tr w:rsidR="008A0760" w:rsidRPr="00743A20" w14:paraId="2F5F1B91" w14:textId="77777777" w:rsidTr="00BD076C">
        <w:tc>
          <w:tcPr>
            <w:tcW w:w="4788" w:type="dxa"/>
            <w:shd w:val="clear" w:color="auto" w:fill="auto"/>
          </w:tcPr>
          <w:p w14:paraId="6FAE775B" w14:textId="77777777" w:rsidR="008A0760" w:rsidRPr="00A57824" w:rsidRDefault="008A0760" w:rsidP="00BD076C">
            <w:pPr>
              <w:pStyle w:val="ROMANOS"/>
              <w:spacing w:line="276" w:lineRule="auto"/>
              <w:ind w:left="0" w:firstLine="0"/>
              <w:rPr>
                <w:rFonts w:ascii="Verdana" w:hAnsi="Verdana"/>
                <w:sz w:val="16"/>
                <w:szCs w:val="16"/>
                <w:lang w:val="es-ES_tradnl"/>
              </w:rPr>
            </w:pPr>
            <w:r w:rsidRPr="00A57824">
              <w:rPr>
                <w:rFonts w:ascii="Verdana" w:hAnsi="Verdana"/>
                <w:b/>
                <w:sz w:val="16"/>
                <w:szCs w:val="16"/>
                <w:lang w:val="es-ES_tradnl"/>
              </w:rPr>
              <w:t>f.</w:t>
            </w:r>
            <w:r w:rsidRPr="00A57824">
              <w:rPr>
                <w:rFonts w:ascii="Verdana" w:hAnsi="Verdana"/>
                <w:b/>
                <w:sz w:val="16"/>
                <w:szCs w:val="16"/>
                <w:lang w:val="es-ES_tradnl"/>
              </w:rPr>
              <w:tab/>
            </w:r>
            <w:r w:rsidRPr="00A57824">
              <w:rPr>
                <w:rFonts w:ascii="Verdana" w:hAnsi="Verdana"/>
                <w:sz w:val="16"/>
                <w:szCs w:val="16"/>
                <w:lang w:val="es-ES_tradnl"/>
              </w:rPr>
              <w:t>Partículas (g/bhp-h, g/kWh, mg/kWh y/o número/kWh), y</w:t>
            </w:r>
          </w:p>
        </w:tc>
        <w:tc>
          <w:tcPr>
            <w:tcW w:w="4788" w:type="dxa"/>
            <w:shd w:val="clear" w:color="auto" w:fill="auto"/>
          </w:tcPr>
          <w:p w14:paraId="1325E216" w14:textId="77777777" w:rsidR="008A0760" w:rsidRPr="00BD076C" w:rsidRDefault="00186E98" w:rsidP="00BD076C">
            <w:pPr>
              <w:spacing w:after="101" w:line="276" w:lineRule="auto"/>
              <w:jc w:val="both"/>
              <w:rPr>
                <w:lang w:val="en-US"/>
              </w:rPr>
            </w:pPr>
            <w:r>
              <w:rPr>
                <w:rFonts w:ascii="Verdana" w:hAnsi="Verdana"/>
                <w:b/>
                <w:bCs/>
                <w:sz w:val="16"/>
                <w:szCs w:val="16"/>
                <w:lang w:val="en-US"/>
              </w:rPr>
              <w:t>f</w:t>
            </w:r>
            <w:r w:rsidR="008A0760" w:rsidRPr="00BD076C">
              <w:rPr>
                <w:rFonts w:ascii="Verdana" w:hAnsi="Verdana"/>
                <w:b/>
                <w:bCs/>
                <w:sz w:val="16"/>
                <w:szCs w:val="16"/>
                <w:lang w:val="en-US"/>
              </w:rPr>
              <w:t>.</w:t>
            </w:r>
            <w:r w:rsidR="008A0760" w:rsidRPr="00BD076C">
              <w:rPr>
                <w:lang w:val="en-US"/>
              </w:rPr>
              <w:t xml:space="preserve"> </w:t>
            </w:r>
            <w:r w:rsidR="008A0760" w:rsidRPr="00BD076C">
              <w:rPr>
                <w:rFonts w:ascii="Verdana" w:hAnsi="Verdana"/>
                <w:b/>
                <w:bCs/>
                <w:sz w:val="16"/>
                <w:szCs w:val="16"/>
                <w:lang w:val="en-US"/>
              </w:rPr>
              <w:t xml:space="preserve">              </w:t>
            </w:r>
            <w:r w:rsidR="008A0760" w:rsidRPr="00BD076C">
              <w:rPr>
                <w:rFonts w:ascii="Verdana" w:hAnsi="Verdana"/>
                <w:sz w:val="16"/>
                <w:szCs w:val="16"/>
                <w:lang w:val="en-US"/>
              </w:rPr>
              <w:t>Particles (g / bhp-h, g / kWh, mg / kWh and</w:t>
            </w:r>
            <w:r>
              <w:rPr>
                <w:rFonts w:ascii="Verdana" w:hAnsi="Verdana"/>
                <w:sz w:val="16"/>
                <w:szCs w:val="16"/>
                <w:lang w:val="en-US"/>
              </w:rPr>
              <w:t>/</w:t>
            </w:r>
            <w:r w:rsidR="008A0760" w:rsidRPr="00BD076C">
              <w:rPr>
                <w:rFonts w:ascii="Verdana" w:hAnsi="Verdana"/>
                <w:sz w:val="16"/>
                <w:szCs w:val="16"/>
                <w:lang w:val="en-US"/>
              </w:rPr>
              <w:t>or number/kWh), and</w:t>
            </w:r>
            <w:r w:rsidR="008A0760" w:rsidRPr="00BD076C">
              <w:rPr>
                <w:lang w:val="en-US"/>
              </w:rPr>
              <w:t xml:space="preserve"> </w:t>
            </w:r>
          </w:p>
        </w:tc>
      </w:tr>
      <w:tr w:rsidR="008A0760" w:rsidRPr="00743A20" w14:paraId="092F40B3" w14:textId="77777777" w:rsidTr="00BD076C">
        <w:tc>
          <w:tcPr>
            <w:tcW w:w="4788" w:type="dxa"/>
            <w:shd w:val="clear" w:color="auto" w:fill="auto"/>
          </w:tcPr>
          <w:p w14:paraId="6EB15EA4" w14:textId="77777777" w:rsidR="008A0760" w:rsidRPr="00A57824" w:rsidRDefault="008A0760" w:rsidP="00BD076C">
            <w:pPr>
              <w:pStyle w:val="ROMANOS"/>
              <w:spacing w:line="276" w:lineRule="auto"/>
              <w:ind w:left="0" w:firstLine="0"/>
              <w:rPr>
                <w:rFonts w:ascii="Verdana" w:hAnsi="Verdana"/>
                <w:position w:val="-3"/>
                <w:sz w:val="16"/>
                <w:szCs w:val="16"/>
              </w:rPr>
            </w:pPr>
            <w:r w:rsidRPr="00A57824">
              <w:rPr>
                <w:rFonts w:ascii="Verdana" w:hAnsi="Verdana"/>
                <w:b/>
                <w:sz w:val="16"/>
                <w:szCs w:val="16"/>
                <w:lang w:val="es-ES_tradnl"/>
              </w:rPr>
              <w:t>g.</w:t>
            </w:r>
            <w:r w:rsidRPr="00A57824">
              <w:rPr>
                <w:rFonts w:ascii="Verdana" w:hAnsi="Verdana"/>
                <w:b/>
                <w:sz w:val="16"/>
                <w:szCs w:val="16"/>
                <w:lang w:val="es-ES_tradnl"/>
              </w:rPr>
              <w:tab/>
            </w:r>
            <w:r w:rsidRPr="00A57824">
              <w:rPr>
                <w:rFonts w:ascii="Verdana" w:hAnsi="Verdana"/>
                <w:sz w:val="16"/>
                <w:szCs w:val="16"/>
                <w:lang w:val="es-ES_tradnl"/>
              </w:rPr>
              <w:t xml:space="preserve">El </w:t>
            </w:r>
            <w:r w:rsidRPr="00A57824">
              <w:rPr>
                <w:rFonts w:ascii="Verdana" w:hAnsi="Verdana"/>
                <w:sz w:val="16"/>
                <w:szCs w:val="16"/>
              </w:rPr>
              <w:t>documento que describa las alertas para el control de NOx</w:t>
            </w:r>
            <w:r w:rsidRPr="00A57824">
              <w:rPr>
                <w:rFonts w:ascii="Verdana" w:hAnsi="Verdana"/>
                <w:position w:val="-3"/>
                <w:sz w:val="16"/>
                <w:szCs w:val="16"/>
              </w:rPr>
              <w:t>.</w:t>
            </w:r>
          </w:p>
        </w:tc>
        <w:tc>
          <w:tcPr>
            <w:tcW w:w="4788" w:type="dxa"/>
            <w:shd w:val="clear" w:color="auto" w:fill="auto"/>
          </w:tcPr>
          <w:p w14:paraId="2588B908" w14:textId="77777777" w:rsidR="008A0760" w:rsidRPr="00BD076C" w:rsidRDefault="008A0760" w:rsidP="00BD076C">
            <w:pPr>
              <w:spacing w:after="101" w:line="276" w:lineRule="auto"/>
              <w:jc w:val="both"/>
              <w:rPr>
                <w:lang w:val="en-US"/>
              </w:rPr>
            </w:pPr>
            <w:r w:rsidRPr="00BD076C">
              <w:rPr>
                <w:rFonts w:ascii="Verdana" w:hAnsi="Verdana"/>
                <w:b/>
                <w:bCs/>
                <w:sz w:val="16"/>
                <w:szCs w:val="16"/>
                <w:lang w:val="en-US"/>
              </w:rPr>
              <w:t>g.</w:t>
            </w:r>
            <w:r w:rsidRPr="00BD076C">
              <w:rPr>
                <w:lang w:val="en-US"/>
              </w:rPr>
              <w:t xml:space="preserve"> </w:t>
            </w:r>
            <w:r w:rsidRPr="00BD076C">
              <w:rPr>
                <w:rFonts w:ascii="Verdana" w:hAnsi="Verdana"/>
                <w:b/>
                <w:bCs/>
                <w:sz w:val="16"/>
                <w:szCs w:val="16"/>
                <w:lang w:val="en-US"/>
              </w:rPr>
              <w:t xml:space="preserve">              </w:t>
            </w:r>
            <w:r w:rsidRPr="00BD076C">
              <w:rPr>
                <w:rFonts w:ascii="Verdana" w:hAnsi="Verdana"/>
                <w:sz w:val="16"/>
                <w:szCs w:val="16"/>
                <w:lang w:val="en-US"/>
              </w:rPr>
              <w:t>The document that describes the alerts for NOx control</w:t>
            </w:r>
            <w:r w:rsidRPr="00BD076C">
              <w:rPr>
                <w:lang w:val="en-US"/>
              </w:rPr>
              <w:t xml:space="preserve"> </w:t>
            </w:r>
          </w:p>
        </w:tc>
      </w:tr>
    </w:tbl>
    <w:p w14:paraId="3020645F" w14:textId="77777777" w:rsidR="00DF5012" w:rsidRPr="00186E98" w:rsidRDefault="00DF5012" w:rsidP="00670836">
      <w:pPr>
        <w:pStyle w:val="Texto"/>
        <w:spacing w:line="240" w:lineRule="exact"/>
        <w:ind w:firstLine="0"/>
        <w:jc w:val="center"/>
        <w:rPr>
          <w:rFonts w:ascii="Verdana" w:hAnsi="Verdana"/>
          <w:b/>
          <w:sz w:val="16"/>
          <w:szCs w:val="16"/>
          <w:lang w:val="en-US"/>
        </w:rPr>
      </w:pPr>
    </w:p>
    <w:tbl>
      <w:tblPr>
        <w:tblW w:w="7051" w:type="dxa"/>
        <w:jc w:val="center"/>
        <w:tblCellMar>
          <w:left w:w="72" w:type="dxa"/>
          <w:right w:w="72" w:type="dxa"/>
        </w:tblCellMar>
        <w:tblLook w:val="0000" w:firstRow="0" w:lastRow="0" w:firstColumn="0" w:lastColumn="0" w:noHBand="0" w:noVBand="0"/>
      </w:tblPr>
      <w:tblGrid>
        <w:gridCol w:w="951"/>
        <w:gridCol w:w="1425"/>
        <w:gridCol w:w="1547"/>
        <w:gridCol w:w="807"/>
        <w:gridCol w:w="704"/>
        <w:gridCol w:w="835"/>
        <w:gridCol w:w="782"/>
      </w:tblGrid>
      <w:tr w:rsidR="008A0760" w:rsidRPr="00BA3592" w14:paraId="125FE586" w14:textId="77777777" w:rsidTr="008A0760">
        <w:trPr>
          <w:cantSplit/>
          <w:trHeight w:val="20"/>
          <w:jc w:val="center"/>
        </w:trPr>
        <w:tc>
          <w:tcPr>
            <w:tcW w:w="7051" w:type="dxa"/>
            <w:gridSpan w:val="7"/>
            <w:tcBorders>
              <w:bottom w:val="single" w:sz="4" w:space="0" w:color="auto"/>
            </w:tcBorders>
            <w:shd w:val="clear" w:color="auto" w:fill="auto"/>
            <w:noWrap/>
            <w:vAlign w:val="center"/>
          </w:tcPr>
          <w:p w14:paraId="65B75991" w14:textId="77777777" w:rsidR="008A0760" w:rsidRPr="00BA3592" w:rsidRDefault="008A0760" w:rsidP="008A0760">
            <w:pPr>
              <w:pStyle w:val="ANOTACION"/>
              <w:spacing w:line="240" w:lineRule="exact"/>
              <w:rPr>
                <w:rFonts w:ascii="Verdana" w:hAnsi="Verdana"/>
                <w:sz w:val="16"/>
                <w:szCs w:val="16"/>
              </w:rPr>
            </w:pPr>
            <w:r w:rsidRPr="00BA3592">
              <w:rPr>
                <w:rFonts w:ascii="Verdana" w:hAnsi="Verdana"/>
                <w:sz w:val="16"/>
                <w:szCs w:val="16"/>
              </w:rPr>
              <w:t>APÉNDICE D</w:t>
            </w:r>
          </w:p>
          <w:p w14:paraId="45F3ED56" w14:textId="77777777" w:rsidR="008A0760" w:rsidRPr="00BA3592" w:rsidRDefault="008A0760" w:rsidP="008A0760">
            <w:pPr>
              <w:pStyle w:val="ANOTACION"/>
              <w:spacing w:line="240" w:lineRule="exact"/>
              <w:rPr>
                <w:rFonts w:ascii="Verdana" w:hAnsi="Verdana"/>
                <w:sz w:val="16"/>
                <w:szCs w:val="16"/>
              </w:rPr>
            </w:pPr>
            <w:r w:rsidRPr="00BA3592">
              <w:rPr>
                <w:rFonts w:ascii="Verdana" w:hAnsi="Verdana"/>
                <w:sz w:val="16"/>
                <w:szCs w:val="16"/>
              </w:rPr>
              <w:t>INFORMATIVO</w:t>
            </w:r>
          </w:p>
          <w:p w14:paraId="39E4D808" w14:textId="77777777" w:rsidR="008A0760" w:rsidRPr="00BA3592" w:rsidRDefault="008A0760" w:rsidP="008A0760">
            <w:pPr>
              <w:pStyle w:val="Texto"/>
              <w:spacing w:line="240" w:lineRule="exact"/>
              <w:ind w:firstLine="0"/>
              <w:jc w:val="center"/>
              <w:rPr>
                <w:rFonts w:ascii="Verdana" w:hAnsi="Verdana"/>
                <w:b/>
                <w:sz w:val="16"/>
                <w:szCs w:val="16"/>
                <w:lang w:val="es-ES_tradnl"/>
              </w:rPr>
            </w:pPr>
            <w:r w:rsidRPr="00BA3592">
              <w:rPr>
                <w:rFonts w:ascii="Verdana" w:hAnsi="Verdana"/>
                <w:b/>
                <w:sz w:val="16"/>
                <w:szCs w:val="16"/>
                <w:lang w:val="es-ES_tradnl"/>
              </w:rPr>
              <w:t>Tabla de equivalencias en gramos por milla de los estándares 3A y 3B</w:t>
            </w:r>
          </w:p>
          <w:p w14:paraId="1B4071F1" w14:textId="77777777" w:rsidR="008A0760" w:rsidRPr="00BA3592" w:rsidRDefault="008A0760" w:rsidP="008A0760">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Tabla D.1</w:t>
            </w:r>
          </w:p>
        </w:tc>
      </w:tr>
      <w:tr w:rsidR="00DF5012" w:rsidRPr="00BA3592" w14:paraId="6D64129B" w14:textId="77777777" w:rsidTr="008A0760">
        <w:trPr>
          <w:cantSplit/>
          <w:trHeight w:val="20"/>
          <w:jc w:val="center"/>
        </w:trPr>
        <w:tc>
          <w:tcPr>
            <w:tcW w:w="951" w:type="dxa"/>
            <w:vMerge w:val="restart"/>
            <w:tcBorders>
              <w:top w:val="single" w:sz="4" w:space="0" w:color="auto"/>
              <w:left w:val="single" w:sz="4" w:space="0" w:color="auto"/>
              <w:bottom w:val="single" w:sz="4" w:space="0" w:color="auto"/>
              <w:right w:val="single" w:sz="4" w:space="0" w:color="auto"/>
            </w:tcBorders>
            <w:shd w:val="pct20" w:color="auto" w:fill="auto"/>
            <w:noWrap/>
            <w:vAlign w:val="center"/>
          </w:tcPr>
          <w:p w14:paraId="03F4F749" w14:textId="77777777" w:rsidR="00DF5012" w:rsidRPr="00BA3592" w:rsidRDefault="00DF5012" w:rsidP="00670836">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Estándar</w:t>
            </w:r>
          </w:p>
        </w:tc>
        <w:tc>
          <w:tcPr>
            <w:tcW w:w="1425" w:type="dxa"/>
            <w:vMerge w:val="restart"/>
            <w:tcBorders>
              <w:top w:val="single" w:sz="4" w:space="0" w:color="auto"/>
              <w:left w:val="single" w:sz="4" w:space="0" w:color="auto"/>
              <w:bottom w:val="single" w:sz="4" w:space="0" w:color="auto"/>
              <w:right w:val="single" w:sz="4" w:space="0" w:color="auto"/>
            </w:tcBorders>
            <w:shd w:val="pct20" w:color="auto" w:fill="auto"/>
            <w:vAlign w:val="center"/>
          </w:tcPr>
          <w:p w14:paraId="67BF686F" w14:textId="77777777" w:rsidR="00DF5012" w:rsidRPr="00BA3592" w:rsidRDefault="00DF5012" w:rsidP="00670836">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Peso bruto vehicular (kg)</w:t>
            </w:r>
          </w:p>
        </w:tc>
        <w:tc>
          <w:tcPr>
            <w:tcW w:w="1547" w:type="dxa"/>
            <w:vMerge w:val="restart"/>
            <w:tcBorders>
              <w:top w:val="single" w:sz="4" w:space="0" w:color="auto"/>
              <w:left w:val="single" w:sz="4" w:space="0" w:color="auto"/>
              <w:bottom w:val="single" w:sz="4" w:space="0" w:color="auto"/>
              <w:right w:val="single" w:sz="4" w:space="0" w:color="auto"/>
            </w:tcBorders>
            <w:shd w:val="pct20" w:color="auto" w:fill="auto"/>
            <w:vAlign w:val="center"/>
          </w:tcPr>
          <w:p w14:paraId="35165E04" w14:textId="77777777" w:rsidR="00DF5012" w:rsidRPr="00BA3592" w:rsidRDefault="00DF5012" w:rsidP="00670836">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Peso bruto vehicular (lb)</w:t>
            </w:r>
            <w:r w:rsidRPr="00BA3592">
              <w:rPr>
                <w:rFonts w:ascii="Verdana" w:hAnsi="Verdana"/>
                <w:b/>
                <w:sz w:val="16"/>
                <w:szCs w:val="16"/>
                <w:vertAlign w:val="superscript"/>
              </w:rPr>
              <w:t>(1)</w:t>
            </w:r>
          </w:p>
        </w:tc>
        <w:tc>
          <w:tcPr>
            <w:tcW w:w="807" w:type="dxa"/>
            <w:vMerge w:val="restart"/>
            <w:tcBorders>
              <w:top w:val="single" w:sz="4" w:space="0" w:color="auto"/>
              <w:left w:val="single" w:sz="4" w:space="0" w:color="auto"/>
              <w:bottom w:val="single" w:sz="4" w:space="0" w:color="auto"/>
              <w:right w:val="single" w:sz="4" w:space="0" w:color="auto"/>
            </w:tcBorders>
            <w:shd w:val="pct20" w:color="auto" w:fill="auto"/>
            <w:vAlign w:val="center"/>
          </w:tcPr>
          <w:p w14:paraId="36218450" w14:textId="77777777" w:rsidR="00DF5012" w:rsidRPr="00BA3592" w:rsidRDefault="00DF5012" w:rsidP="00670836">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Método de prueba</w:t>
            </w:r>
          </w:p>
        </w:tc>
        <w:tc>
          <w:tcPr>
            <w:tcW w:w="704" w:type="dxa"/>
            <w:tcBorders>
              <w:top w:val="single" w:sz="4" w:space="0" w:color="auto"/>
              <w:left w:val="single" w:sz="4" w:space="0" w:color="auto"/>
              <w:bottom w:val="single" w:sz="4" w:space="0" w:color="auto"/>
              <w:right w:val="single" w:sz="4" w:space="0" w:color="auto"/>
            </w:tcBorders>
            <w:shd w:val="pct20" w:color="auto" w:fill="auto"/>
            <w:vAlign w:val="center"/>
          </w:tcPr>
          <w:p w14:paraId="3EDDC821" w14:textId="77777777" w:rsidR="00DF5012" w:rsidRPr="00BA3592" w:rsidRDefault="00DF5012" w:rsidP="00670836">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NOx</w:t>
            </w:r>
          </w:p>
        </w:tc>
        <w:tc>
          <w:tcPr>
            <w:tcW w:w="835" w:type="dxa"/>
            <w:tcBorders>
              <w:top w:val="single" w:sz="4" w:space="0" w:color="auto"/>
              <w:left w:val="single" w:sz="4" w:space="0" w:color="auto"/>
              <w:bottom w:val="single" w:sz="4" w:space="0" w:color="auto"/>
              <w:right w:val="single" w:sz="4" w:space="0" w:color="auto"/>
            </w:tcBorders>
            <w:shd w:val="pct20" w:color="auto" w:fill="auto"/>
            <w:vAlign w:val="center"/>
          </w:tcPr>
          <w:p w14:paraId="5D537660" w14:textId="77777777" w:rsidR="00DF5012" w:rsidRPr="00BA3592" w:rsidRDefault="00DF5012" w:rsidP="00670836">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HCNM</w:t>
            </w:r>
          </w:p>
        </w:tc>
        <w:tc>
          <w:tcPr>
            <w:tcW w:w="782" w:type="dxa"/>
            <w:tcBorders>
              <w:top w:val="single" w:sz="4" w:space="0" w:color="auto"/>
              <w:left w:val="single" w:sz="4" w:space="0" w:color="auto"/>
              <w:bottom w:val="single" w:sz="4" w:space="0" w:color="auto"/>
              <w:right w:val="single" w:sz="4" w:space="0" w:color="auto"/>
            </w:tcBorders>
            <w:shd w:val="pct20" w:color="auto" w:fill="auto"/>
            <w:vAlign w:val="center"/>
          </w:tcPr>
          <w:p w14:paraId="65F1194A" w14:textId="77777777" w:rsidR="00DF5012" w:rsidRPr="00BA3592" w:rsidRDefault="00DF5012" w:rsidP="00670836">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Part</w:t>
            </w:r>
          </w:p>
        </w:tc>
      </w:tr>
      <w:tr w:rsidR="00DF5012" w:rsidRPr="00BA3592" w14:paraId="438DB09E" w14:textId="77777777" w:rsidTr="008A0760">
        <w:trPr>
          <w:cantSplit/>
          <w:trHeight w:val="20"/>
          <w:jc w:val="center"/>
        </w:trPr>
        <w:tc>
          <w:tcPr>
            <w:tcW w:w="951" w:type="dxa"/>
            <w:vMerge/>
            <w:tcBorders>
              <w:top w:val="single" w:sz="4" w:space="0" w:color="auto"/>
              <w:left w:val="single" w:sz="4" w:space="0" w:color="auto"/>
              <w:bottom w:val="single" w:sz="4" w:space="0" w:color="auto"/>
              <w:right w:val="single" w:sz="4" w:space="0" w:color="auto"/>
            </w:tcBorders>
            <w:vAlign w:val="center"/>
          </w:tcPr>
          <w:p w14:paraId="332AC5A3" w14:textId="77777777" w:rsidR="00DF5012" w:rsidRPr="00BA3592" w:rsidRDefault="00DF5012" w:rsidP="00670836">
            <w:pPr>
              <w:pStyle w:val="Texto"/>
              <w:spacing w:before="40" w:after="40" w:line="240" w:lineRule="exact"/>
              <w:ind w:firstLine="0"/>
              <w:jc w:val="center"/>
              <w:rPr>
                <w:rFonts w:ascii="Verdana" w:hAnsi="Verdana"/>
                <w:b/>
                <w:sz w:val="16"/>
                <w:szCs w:val="16"/>
              </w:rPr>
            </w:pPr>
          </w:p>
        </w:tc>
        <w:tc>
          <w:tcPr>
            <w:tcW w:w="1425" w:type="dxa"/>
            <w:vMerge/>
            <w:tcBorders>
              <w:top w:val="single" w:sz="4" w:space="0" w:color="auto"/>
              <w:left w:val="single" w:sz="4" w:space="0" w:color="auto"/>
              <w:bottom w:val="single" w:sz="4" w:space="0" w:color="auto"/>
              <w:right w:val="single" w:sz="4" w:space="0" w:color="auto"/>
            </w:tcBorders>
            <w:vAlign w:val="center"/>
          </w:tcPr>
          <w:p w14:paraId="0AECC57A" w14:textId="77777777" w:rsidR="00DF5012" w:rsidRPr="00BA3592" w:rsidRDefault="00DF5012" w:rsidP="00670836">
            <w:pPr>
              <w:pStyle w:val="Texto"/>
              <w:spacing w:before="40" w:after="40" w:line="240" w:lineRule="exact"/>
              <w:ind w:firstLine="0"/>
              <w:jc w:val="center"/>
              <w:rPr>
                <w:rFonts w:ascii="Verdana" w:hAnsi="Verdana"/>
                <w:b/>
                <w:sz w:val="16"/>
                <w:szCs w:val="16"/>
              </w:rPr>
            </w:pPr>
          </w:p>
        </w:tc>
        <w:tc>
          <w:tcPr>
            <w:tcW w:w="1547" w:type="dxa"/>
            <w:vMerge/>
            <w:tcBorders>
              <w:top w:val="single" w:sz="4" w:space="0" w:color="auto"/>
              <w:left w:val="single" w:sz="4" w:space="0" w:color="auto"/>
              <w:bottom w:val="single" w:sz="4" w:space="0" w:color="auto"/>
              <w:right w:val="single" w:sz="4" w:space="0" w:color="auto"/>
            </w:tcBorders>
            <w:vAlign w:val="center"/>
          </w:tcPr>
          <w:p w14:paraId="386082D5" w14:textId="77777777" w:rsidR="00DF5012" w:rsidRPr="00BA3592" w:rsidRDefault="00DF5012" w:rsidP="00670836">
            <w:pPr>
              <w:pStyle w:val="Texto"/>
              <w:spacing w:before="40" w:after="40" w:line="240" w:lineRule="exact"/>
              <w:ind w:firstLine="0"/>
              <w:jc w:val="center"/>
              <w:rPr>
                <w:rFonts w:ascii="Verdana" w:hAnsi="Verdana"/>
                <w:b/>
                <w:sz w:val="16"/>
                <w:szCs w:val="16"/>
              </w:rPr>
            </w:pPr>
          </w:p>
        </w:tc>
        <w:tc>
          <w:tcPr>
            <w:tcW w:w="807" w:type="dxa"/>
            <w:vMerge/>
            <w:tcBorders>
              <w:top w:val="single" w:sz="4" w:space="0" w:color="auto"/>
              <w:left w:val="single" w:sz="4" w:space="0" w:color="auto"/>
              <w:bottom w:val="single" w:sz="4" w:space="0" w:color="auto"/>
              <w:right w:val="single" w:sz="4" w:space="0" w:color="auto"/>
            </w:tcBorders>
            <w:vAlign w:val="center"/>
          </w:tcPr>
          <w:p w14:paraId="6987F0FB" w14:textId="77777777" w:rsidR="00DF5012" w:rsidRPr="00BA3592" w:rsidRDefault="00DF5012" w:rsidP="00670836">
            <w:pPr>
              <w:pStyle w:val="Texto"/>
              <w:spacing w:before="40" w:after="40" w:line="240" w:lineRule="exact"/>
              <w:ind w:firstLine="0"/>
              <w:jc w:val="center"/>
              <w:rPr>
                <w:rFonts w:ascii="Verdana" w:hAnsi="Verdana"/>
                <w:b/>
                <w:sz w:val="16"/>
                <w:szCs w:val="16"/>
              </w:rPr>
            </w:pPr>
          </w:p>
        </w:tc>
        <w:tc>
          <w:tcPr>
            <w:tcW w:w="2321" w:type="dxa"/>
            <w:gridSpan w:val="3"/>
            <w:tcBorders>
              <w:top w:val="single" w:sz="4" w:space="0" w:color="auto"/>
              <w:left w:val="single" w:sz="4" w:space="0" w:color="auto"/>
              <w:bottom w:val="single" w:sz="4" w:space="0" w:color="auto"/>
              <w:right w:val="single" w:sz="4" w:space="0" w:color="auto"/>
            </w:tcBorders>
            <w:shd w:val="pct20" w:color="auto" w:fill="auto"/>
            <w:vAlign w:val="center"/>
          </w:tcPr>
          <w:p w14:paraId="1F34B197" w14:textId="77777777" w:rsidR="00DF5012" w:rsidRPr="00BA3592" w:rsidRDefault="00DF5012" w:rsidP="00670836">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 xml:space="preserve">g/mi </w:t>
            </w:r>
            <w:r w:rsidRPr="00BA3592">
              <w:rPr>
                <w:rFonts w:ascii="Verdana" w:hAnsi="Verdana"/>
                <w:b/>
                <w:sz w:val="16"/>
                <w:szCs w:val="16"/>
                <w:vertAlign w:val="superscript"/>
              </w:rPr>
              <w:t>(2)</w:t>
            </w:r>
          </w:p>
        </w:tc>
      </w:tr>
      <w:tr w:rsidR="00DF5012" w:rsidRPr="00BA3592" w14:paraId="35D111A4" w14:textId="77777777" w:rsidTr="008A0760">
        <w:trPr>
          <w:cantSplit/>
          <w:trHeight w:val="20"/>
          <w:jc w:val="center"/>
        </w:trPr>
        <w:tc>
          <w:tcPr>
            <w:tcW w:w="951" w:type="dxa"/>
            <w:vMerge w:val="restart"/>
            <w:tcBorders>
              <w:top w:val="single" w:sz="4" w:space="0" w:color="auto"/>
              <w:left w:val="single" w:sz="6" w:space="0" w:color="auto"/>
              <w:right w:val="single" w:sz="6" w:space="0" w:color="auto"/>
            </w:tcBorders>
            <w:shd w:val="clear" w:color="auto" w:fill="FFFFFF"/>
            <w:vAlign w:val="center"/>
          </w:tcPr>
          <w:p w14:paraId="2DBD712B" w14:textId="77777777" w:rsidR="00DF5012" w:rsidRPr="00BA3592" w:rsidRDefault="00DF5012" w:rsidP="00670836">
            <w:pPr>
              <w:pStyle w:val="Texto"/>
              <w:spacing w:before="40" w:after="40" w:line="240" w:lineRule="exact"/>
              <w:ind w:firstLine="0"/>
              <w:jc w:val="center"/>
              <w:rPr>
                <w:rFonts w:ascii="Verdana" w:hAnsi="Verdana"/>
                <w:b/>
                <w:sz w:val="16"/>
                <w:szCs w:val="16"/>
              </w:rPr>
            </w:pPr>
            <w:r w:rsidRPr="00BA3592">
              <w:rPr>
                <w:rFonts w:ascii="Verdana" w:hAnsi="Verdana"/>
                <w:b/>
                <w:sz w:val="16"/>
                <w:szCs w:val="16"/>
              </w:rPr>
              <w:t xml:space="preserve">3A </w:t>
            </w:r>
            <w:r w:rsidRPr="00BA3592">
              <w:rPr>
                <w:rFonts w:ascii="Verdana" w:hAnsi="Verdana"/>
                <w:sz w:val="16"/>
                <w:szCs w:val="16"/>
                <w:vertAlign w:val="superscript"/>
              </w:rPr>
              <w:t>(3)</w:t>
            </w:r>
          </w:p>
        </w:tc>
        <w:tc>
          <w:tcPr>
            <w:tcW w:w="1425" w:type="dxa"/>
            <w:tcBorders>
              <w:top w:val="single" w:sz="4" w:space="0" w:color="auto"/>
              <w:left w:val="single" w:sz="6" w:space="0" w:color="auto"/>
              <w:bottom w:val="single" w:sz="6" w:space="0" w:color="auto"/>
              <w:right w:val="single" w:sz="6" w:space="0" w:color="auto"/>
            </w:tcBorders>
            <w:shd w:val="clear" w:color="auto" w:fill="FFFFFF"/>
            <w:vAlign w:val="center"/>
          </w:tcPr>
          <w:p w14:paraId="57AB5B4E"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3,857–4,539</w:t>
            </w:r>
          </w:p>
        </w:tc>
        <w:tc>
          <w:tcPr>
            <w:tcW w:w="1547" w:type="dxa"/>
            <w:tcBorders>
              <w:top w:val="single" w:sz="4" w:space="0" w:color="auto"/>
              <w:left w:val="single" w:sz="6" w:space="0" w:color="auto"/>
              <w:bottom w:val="single" w:sz="6" w:space="0" w:color="auto"/>
              <w:right w:val="single" w:sz="6" w:space="0" w:color="auto"/>
            </w:tcBorders>
            <w:shd w:val="clear" w:color="auto" w:fill="FFFFFF"/>
            <w:vAlign w:val="center"/>
          </w:tcPr>
          <w:p w14:paraId="63DAB39F"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8,500–10,000</w:t>
            </w:r>
          </w:p>
        </w:tc>
        <w:tc>
          <w:tcPr>
            <w:tcW w:w="807" w:type="dxa"/>
            <w:vMerge w:val="restart"/>
            <w:tcBorders>
              <w:top w:val="single" w:sz="4" w:space="0" w:color="auto"/>
              <w:left w:val="single" w:sz="6" w:space="0" w:color="auto"/>
              <w:right w:val="single" w:sz="6" w:space="0" w:color="auto"/>
            </w:tcBorders>
            <w:shd w:val="clear" w:color="auto" w:fill="FFFFFF"/>
            <w:vAlign w:val="center"/>
          </w:tcPr>
          <w:p w14:paraId="5829D75E"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FTP 75</w:t>
            </w:r>
          </w:p>
        </w:tc>
        <w:tc>
          <w:tcPr>
            <w:tcW w:w="704" w:type="dxa"/>
            <w:tcBorders>
              <w:top w:val="single" w:sz="4" w:space="0" w:color="auto"/>
              <w:left w:val="single" w:sz="6" w:space="0" w:color="auto"/>
              <w:bottom w:val="single" w:sz="6" w:space="0" w:color="auto"/>
              <w:right w:val="single" w:sz="6" w:space="0" w:color="auto"/>
            </w:tcBorders>
            <w:shd w:val="clear" w:color="auto" w:fill="FFFFFF"/>
            <w:vAlign w:val="center"/>
          </w:tcPr>
          <w:p w14:paraId="58380D9C"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0.5</w:t>
            </w:r>
          </w:p>
        </w:tc>
        <w:tc>
          <w:tcPr>
            <w:tcW w:w="835" w:type="dxa"/>
            <w:tcBorders>
              <w:top w:val="single" w:sz="4" w:space="0" w:color="auto"/>
              <w:left w:val="single" w:sz="6" w:space="0" w:color="auto"/>
              <w:bottom w:val="single" w:sz="6" w:space="0" w:color="auto"/>
              <w:right w:val="single" w:sz="6" w:space="0" w:color="auto"/>
            </w:tcBorders>
            <w:shd w:val="clear" w:color="auto" w:fill="FFFFFF"/>
            <w:vAlign w:val="center"/>
          </w:tcPr>
          <w:p w14:paraId="796EF90D"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0.195</w:t>
            </w:r>
          </w:p>
        </w:tc>
        <w:tc>
          <w:tcPr>
            <w:tcW w:w="782" w:type="dxa"/>
            <w:tcBorders>
              <w:top w:val="single" w:sz="4" w:space="0" w:color="auto"/>
              <w:left w:val="single" w:sz="6" w:space="0" w:color="auto"/>
              <w:bottom w:val="single" w:sz="6" w:space="0" w:color="auto"/>
              <w:right w:val="single" w:sz="6" w:space="0" w:color="auto"/>
            </w:tcBorders>
            <w:shd w:val="clear" w:color="auto" w:fill="FFFFFF"/>
            <w:vAlign w:val="center"/>
          </w:tcPr>
          <w:p w14:paraId="315570B1"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0.059</w:t>
            </w:r>
          </w:p>
        </w:tc>
      </w:tr>
      <w:tr w:rsidR="00DF5012" w:rsidRPr="00BA3592" w14:paraId="0F3C4F0B" w14:textId="77777777" w:rsidTr="008A0760">
        <w:trPr>
          <w:cantSplit/>
          <w:trHeight w:val="20"/>
          <w:jc w:val="center"/>
        </w:trPr>
        <w:tc>
          <w:tcPr>
            <w:tcW w:w="951" w:type="dxa"/>
            <w:vMerge/>
            <w:tcBorders>
              <w:left w:val="single" w:sz="6" w:space="0" w:color="auto"/>
              <w:bottom w:val="single" w:sz="4" w:space="0" w:color="auto"/>
              <w:right w:val="single" w:sz="6" w:space="0" w:color="auto"/>
            </w:tcBorders>
            <w:vAlign w:val="center"/>
          </w:tcPr>
          <w:p w14:paraId="309E842A" w14:textId="77777777" w:rsidR="00DF5012" w:rsidRPr="00BA3592" w:rsidRDefault="00DF5012" w:rsidP="00670836">
            <w:pPr>
              <w:pStyle w:val="Texto"/>
              <w:spacing w:before="40" w:after="40" w:line="240" w:lineRule="exact"/>
              <w:ind w:firstLine="0"/>
              <w:jc w:val="center"/>
              <w:rPr>
                <w:rFonts w:ascii="Verdana" w:hAnsi="Verdana"/>
                <w:b/>
                <w:sz w:val="16"/>
                <w:szCs w:val="16"/>
              </w:rPr>
            </w:pPr>
          </w:p>
        </w:tc>
        <w:tc>
          <w:tcPr>
            <w:tcW w:w="1425" w:type="dxa"/>
            <w:tcBorders>
              <w:top w:val="single" w:sz="6" w:space="0" w:color="auto"/>
              <w:left w:val="single" w:sz="6" w:space="0" w:color="auto"/>
              <w:bottom w:val="single" w:sz="4" w:space="0" w:color="auto"/>
              <w:right w:val="single" w:sz="6" w:space="0" w:color="auto"/>
            </w:tcBorders>
            <w:shd w:val="clear" w:color="auto" w:fill="FFFFFF"/>
            <w:vAlign w:val="center"/>
          </w:tcPr>
          <w:p w14:paraId="4C4112F4"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4,540–6,350</w:t>
            </w:r>
          </w:p>
        </w:tc>
        <w:tc>
          <w:tcPr>
            <w:tcW w:w="1547" w:type="dxa"/>
            <w:tcBorders>
              <w:top w:val="single" w:sz="6" w:space="0" w:color="auto"/>
              <w:left w:val="single" w:sz="6" w:space="0" w:color="auto"/>
              <w:bottom w:val="single" w:sz="4" w:space="0" w:color="auto"/>
              <w:right w:val="single" w:sz="6" w:space="0" w:color="auto"/>
            </w:tcBorders>
            <w:shd w:val="clear" w:color="auto" w:fill="FFFFFF"/>
            <w:vAlign w:val="center"/>
          </w:tcPr>
          <w:p w14:paraId="7780F05B"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10,001–14,000</w:t>
            </w:r>
          </w:p>
        </w:tc>
        <w:tc>
          <w:tcPr>
            <w:tcW w:w="807" w:type="dxa"/>
            <w:vMerge/>
            <w:tcBorders>
              <w:left w:val="single" w:sz="6" w:space="0" w:color="auto"/>
              <w:bottom w:val="single" w:sz="4" w:space="0" w:color="auto"/>
              <w:right w:val="single" w:sz="6" w:space="0" w:color="auto"/>
            </w:tcBorders>
            <w:vAlign w:val="center"/>
          </w:tcPr>
          <w:p w14:paraId="2891CB78" w14:textId="77777777" w:rsidR="00DF5012" w:rsidRPr="00BA3592" w:rsidRDefault="00DF5012" w:rsidP="00670836">
            <w:pPr>
              <w:pStyle w:val="Texto"/>
              <w:spacing w:before="40" w:after="40" w:line="240" w:lineRule="exact"/>
              <w:ind w:firstLine="0"/>
              <w:jc w:val="center"/>
              <w:rPr>
                <w:rFonts w:ascii="Verdana" w:hAnsi="Verdana"/>
                <w:sz w:val="16"/>
                <w:szCs w:val="16"/>
              </w:rPr>
            </w:pPr>
          </w:p>
        </w:tc>
        <w:tc>
          <w:tcPr>
            <w:tcW w:w="704" w:type="dxa"/>
            <w:tcBorders>
              <w:top w:val="single" w:sz="6" w:space="0" w:color="auto"/>
              <w:left w:val="single" w:sz="6" w:space="0" w:color="auto"/>
              <w:bottom w:val="single" w:sz="4" w:space="0" w:color="auto"/>
              <w:right w:val="single" w:sz="6" w:space="0" w:color="auto"/>
            </w:tcBorders>
            <w:shd w:val="clear" w:color="auto" w:fill="FFFFFF"/>
            <w:vAlign w:val="center"/>
          </w:tcPr>
          <w:p w14:paraId="7C379088"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0.7</w:t>
            </w:r>
          </w:p>
        </w:tc>
        <w:tc>
          <w:tcPr>
            <w:tcW w:w="835" w:type="dxa"/>
            <w:tcBorders>
              <w:top w:val="single" w:sz="6" w:space="0" w:color="auto"/>
              <w:left w:val="single" w:sz="6" w:space="0" w:color="auto"/>
              <w:bottom w:val="single" w:sz="4" w:space="0" w:color="auto"/>
              <w:right w:val="single" w:sz="6" w:space="0" w:color="auto"/>
            </w:tcBorders>
            <w:shd w:val="clear" w:color="auto" w:fill="FFFFFF"/>
            <w:vAlign w:val="center"/>
          </w:tcPr>
          <w:p w14:paraId="7AB0BEB8"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0.230</w:t>
            </w:r>
          </w:p>
        </w:tc>
        <w:tc>
          <w:tcPr>
            <w:tcW w:w="782" w:type="dxa"/>
            <w:tcBorders>
              <w:top w:val="single" w:sz="6" w:space="0" w:color="auto"/>
              <w:left w:val="single" w:sz="6" w:space="0" w:color="auto"/>
              <w:bottom w:val="single" w:sz="4" w:space="0" w:color="auto"/>
              <w:right w:val="single" w:sz="6" w:space="0" w:color="auto"/>
            </w:tcBorders>
            <w:shd w:val="clear" w:color="auto" w:fill="FFFFFF"/>
            <w:vAlign w:val="center"/>
          </w:tcPr>
          <w:p w14:paraId="699188DC"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0.059</w:t>
            </w:r>
          </w:p>
        </w:tc>
      </w:tr>
      <w:tr w:rsidR="00DF5012" w:rsidRPr="00BA3592" w14:paraId="64EB597E" w14:textId="77777777" w:rsidTr="008A0760">
        <w:trPr>
          <w:cantSplit/>
          <w:trHeight w:val="20"/>
          <w:jc w:val="center"/>
        </w:trPr>
        <w:tc>
          <w:tcPr>
            <w:tcW w:w="951" w:type="dxa"/>
            <w:vMerge w:val="restart"/>
            <w:tcBorders>
              <w:top w:val="single" w:sz="4" w:space="0" w:color="auto"/>
              <w:left w:val="single" w:sz="4" w:space="0" w:color="auto"/>
              <w:bottom w:val="single" w:sz="4" w:space="0" w:color="auto"/>
              <w:right w:val="single" w:sz="4" w:space="0" w:color="auto"/>
            </w:tcBorders>
            <w:vAlign w:val="center"/>
          </w:tcPr>
          <w:p w14:paraId="17B11AC9"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b/>
                <w:sz w:val="16"/>
                <w:szCs w:val="16"/>
              </w:rPr>
              <w:t xml:space="preserve">3B </w:t>
            </w:r>
            <w:r w:rsidRPr="00BA3592">
              <w:rPr>
                <w:rFonts w:ascii="Verdana" w:hAnsi="Verdana"/>
                <w:sz w:val="16"/>
                <w:szCs w:val="16"/>
                <w:vertAlign w:val="superscript"/>
              </w:rPr>
              <w:t>(4)</w:t>
            </w:r>
          </w:p>
        </w:tc>
        <w:tc>
          <w:tcPr>
            <w:tcW w:w="1425" w:type="dxa"/>
            <w:tcBorders>
              <w:top w:val="single" w:sz="4" w:space="0" w:color="auto"/>
              <w:left w:val="single" w:sz="4" w:space="0" w:color="auto"/>
              <w:bottom w:val="single" w:sz="4" w:space="0" w:color="auto"/>
              <w:right w:val="single" w:sz="4" w:space="0" w:color="auto"/>
            </w:tcBorders>
            <w:vAlign w:val="center"/>
          </w:tcPr>
          <w:p w14:paraId="005D56EF"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3,857–4,539</w:t>
            </w:r>
          </w:p>
        </w:tc>
        <w:tc>
          <w:tcPr>
            <w:tcW w:w="1547" w:type="dxa"/>
            <w:tcBorders>
              <w:top w:val="single" w:sz="4" w:space="0" w:color="auto"/>
              <w:left w:val="single" w:sz="4" w:space="0" w:color="auto"/>
              <w:bottom w:val="single" w:sz="4" w:space="0" w:color="auto"/>
              <w:right w:val="single" w:sz="4" w:space="0" w:color="auto"/>
            </w:tcBorders>
            <w:vAlign w:val="center"/>
          </w:tcPr>
          <w:p w14:paraId="17DCADFF"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8,500–10,000</w:t>
            </w:r>
          </w:p>
        </w:tc>
        <w:tc>
          <w:tcPr>
            <w:tcW w:w="807" w:type="dxa"/>
            <w:vMerge w:val="restart"/>
            <w:tcBorders>
              <w:top w:val="single" w:sz="4" w:space="0" w:color="auto"/>
              <w:left w:val="single" w:sz="4" w:space="0" w:color="auto"/>
              <w:bottom w:val="single" w:sz="4" w:space="0" w:color="auto"/>
              <w:right w:val="single" w:sz="4" w:space="0" w:color="auto"/>
            </w:tcBorders>
            <w:vAlign w:val="center"/>
          </w:tcPr>
          <w:p w14:paraId="080BD8B2"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FTP 75</w:t>
            </w:r>
          </w:p>
        </w:tc>
        <w:tc>
          <w:tcPr>
            <w:tcW w:w="704" w:type="dxa"/>
            <w:tcBorders>
              <w:top w:val="single" w:sz="4" w:space="0" w:color="auto"/>
              <w:left w:val="single" w:sz="4" w:space="0" w:color="auto"/>
              <w:bottom w:val="single" w:sz="4" w:space="0" w:color="auto"/>
              <w:right w:val="single" w:sz="4" w:space="0" w:color="auto"/>
            </w:tcBorders>
            <w:vAlign w:val="center"/>
          </w:tcPr>
          <w:p w14:paraId="4984EA54"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0.2</w:t>
            </w:r>
          </w:p>
        </w:tc>
        <w:tc>
          <w:tcPr>
            <w:tcW w:w="835" w:type="dxa"/>
            <w:tcBorders>
              <w:top w:val="single" w:sz="4" w:space="0" w:color="auto"/>
              <w:left w:val="single" w:sz="4" w:space="0" w:color="auto"/>
              <w:bottom w:val="single" w:sz="4" w:space="0" w:color="auto"/>
              <w:right w:val="single" w:sz="4" w:space="0" w:color="auto"/>
            </w:tcBorders>
            <w:vAlign w:val="center"/>
          </w:tcPr>
          <w:p w14:paraId="0B1E775C"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0.195</w:t>
            </w:r>
          </w:p>
        </w:tc>
        <w:tc>
          <w:tcPr>
            <w:tcW w:w="782" w:type="dxa"/>
            <w:tcBorders>
              <w:top w:val="single" w:sz="4" w:space="0" w:color="auto"/>
              <w:left w:val="single" w:sz="4" w:space="0" w:color="auto"/>
              <w:bottom w:val="single" w:sz="4" w:space="0" w:color="auto"/>
              <w:right w:val="single" w:sz="4" w:space="0" w:color="auto"/>
            </w:tcBorders>
            <w:vAlign w:val="center"/>
          </w:tcPr>
          <w:p w14:paraId="2AD5BE1E"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0.02</w:t>
            </w:r>
          </w:p>
        </w:tc>
      </w:tr>
      <w:tr w:rsidR="00DF5012" w:rsidRPr="00BA3592" w14:paraId="274EFB97" w14:textId="77777777" w:rsidTr="008A0760">
        <w:trPr>
          <w:cantSplit/>
          <w:trHeight w:val="20"/>
          <w:jc w:val="center"/>
        </w:trPr>
        <w:tc>
          <w:tcPr>
            <w:tcW w:w="951" w:type="dxa"/>
            <w:vMerge/>
            <w:tcBorders>
              <w:top w:val="single" w:sz="4" w:space="0" w:color="auto"/>
              <w:left w:val="single" w:sz="4" w:space="0" w:color="auto"/>
              <w:bottom w:val="single" w:sz="4" w:space="0" w:color="auto"/>
              <w:right w:val="single" w:sz="4" w:space="0" w:color="auto"/>
            </w:tcBorders>
            <w:vAlign w:val="center"/>
          </w:tcPr>
          <w:p w14:paraId="33D51363" w14:textId="77777777" w:rsidR="00DF5012" w:rsidRPr="00BA3592" w:rsidRDefault="00DF5012" w:rsidP="00670836">
            <w:pPr>
              <w:pStyle w:val="Texto"/>
              <w:spacing w:before="40" w:after="40" w:line="240" w:lineRule="exact"/>
              <w:ind w:firstLine="0"/>
              <w:jc w:val="center"/>
              <w:rPr>
                <w:rFonts w:ascii="Verdana" w:hAnsi="Verdana"/>
                <w:sz w:val="16"/>
                <w:szCs w:val="16"/>
              </w:rPr>
            </w:pPr>
          </w:p>
        </w:tc>
        <w:tc>
          <w:tcPr>
            <w:tcW w:w="1425" w:type="dxa"/>
            <w:tcBorders>
              <w:top w:val="single" w:sz="4" w:space="0" w:color="auto"/>
              <w:left w:val="single" w:sz="4" w:space="0" w:color="auto"/>
              <w:bottom w:val="single" w:sz="4" w:space="0" w:color="auto"/>
              <w:right w:val="single" w:sz="4" w:space="0" w:color="auto"/>
            </w:tcBorders>
            <w:vAlign w:val="center"/>
          </w:tcPr>
          <w:p w14:paraId="105583ED"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4,540–6,350</w:t>
            </w:r>
          </w:p>
        </w:tc>
        <w:tc>
          <w:tcPr>
            <w:tcW w:w="1547" w:type="dxa"/>
            <w:tcBorders>
              <w:top w:val="single" w:sz="4" w:space="0" w:color="auto"/>
              <w:left w:val="single" w:sz="4" w:space="0" w:color="auto"/>
              <w:bottom w:val="single" w:sz="4" w:space="0" w:color="auto"/>
              <w:right w:val="single" w:sz="4" w:space="0" w:color="auto"/>
            </w:tcBorders>
            <w:vAlign w:val="center"/>
          </w:tcPr>
          <w:p w14:paraId="3BB2CF19"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10,001–14,000</w:t>
            </w:r>
          </w:p>
        </w:tc>
        <w:tc>
          <w:tcPr>
            <w:tcW w:w="807" w:type="dxa"/>
            <w:vMerge/>
            <w:tcBorders>
              <w:top w:val="single" w:sz="4" w:space="0" w:color="auto"/>
              <w:left w:val="single" w:sz="4" w:space="0" w:color="auto"/>
              <w:bottom w:val="single" w:sz="4" w:space="0" w:color="auto"/>
              <w:right w:val="single" w:sz="4" w:space="0" w:color="auto"/>
            </w:tcBorders>
            <w:vAlign w:val="center"/>
          </w:tcPr>
          <w:p w14:paraId="55BFCE2B" w14:textId="77777777" w:rsidR="00DF5012" w:rsidRPr="00BA3592" w:rsidRDefault="00DF5012" w:rsidP="00670836">
            <w:pPr>
              <w:pStyle w:val="Texto"/>
              <w:spacing w:before="40" w:after="40" w:line="240" w:lineRule="exact"/>
              <w:ind w:firstLine="0"/>
              <w:jc w:val="center"/>
              <w:rPr>
                <w:rFonts w:ascii="Verdana" w:hAnsi="Verdana"/>
                <w:sz w:val="16"/>
                <w:szCs w:val="16"/>
              </w:rPr>
            </w:pPr>
          </w:p>
        </w:tc>
        <w:tc>
          <w:tcPr>
            <w:tcW w:w="704" w:type="dxa"/>
            <w:tcBorders>
              <w:top w:val="single" w:sz="4" w:space="0" w:color="auto"/>
              <w:left w:val="single" w:sz="4" w:space="0" w:color="auto"/>
              <w:bottom w:val="single" w:sz="4" w:space="0" w:color="auto"/>
              <w:right w:val="single" w:sz="4" w:space="0" w:color="auto"/>
            </w:tcBorders>
            <w:vAlign w:val="center"/>
          </w:tcPr>
          <w:p w14:paraId="3A552A87"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0.4</w:t>
            </w:r>
          </w:p>
        </w:tc>
        <w:tc>
          <w:tcPr>
            <w:tcW w:w="835" w:type="dxa"/>
            <w:tcBorders>
              <w:top w:val="single" w:sz="4" w:space="0" w:color="auto"/>
              <w:left w:val="single" w:sz="4" w:space="0" w:color="auto"/>
              <w:bottom w:val="single" w:sz="4" w:space="0" w:color="auto"/>
              <w:right w:val="single" w:sz="4" w:space="0" w:color="auto"/>
            </w:tcBorders>
            <w:vAlign w:val="center"/>
          </w:tcPr>
          <w:p w14:paraId="704D4DE3"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0.230</w:t>
            </w:r>
          </w:p>
        </w:tc>
        <w:tc>
          <w:tcPr>
            <w:tcW w:w="782" w:type="dxa"/>
            <w:tcBorders>
              <w:top w:val="single" w:sz="4" w:space="0" w:color="auto"/>
              <w:left w:val="single" w:sz="4" w:space="0" w:color="auto"/>
              <w:bottom w:val="single" w:sz="4" w:space="0" w:color="auto"/>
              <w:right w:val="single" w:sz="4" w:space="0" w:color="auto"/>
            </w:tcBorders>
            <w:vAlign w:val="center"/>
          </w:tcPr>
          <w:p w14:paraId="60B1FD4A" w14:textId="77777777" w:rsidR="00DF5012" w:rsidRPr="00BA3592" w:rsidRDefault="00DF5012" w:rsidP="00670836">
            <w:pPr>
              <w:pStyle w:val="Texto"/>
              <w:spacing w:before="40" w:after="40" w:line="240" w:lineRule="exact"/>
              <w:ind w:firstLine="0"/>
              <w:jc w:val="center"/>
              <w:rPr>
                <w:rFonts w:ascii="Verdana" w:hAnsi="Verdana"/>
                <w:sz w:val="16"/>
                <w:szCs w:val="16"/>
              </w:rPr>
            </w:pPr>
            <w:r w:rsidRPr="00BA3592">
              <w:rPr>
                <w:rFonts w:ascii="Verdana" w:hAnsi="Verdana"/>
                <w:sz w:val="16"/>
                <w:szCs w:val="16"/>
              </w:rPr>
              <w:t>0.02</w:t>
            </w:r>
          </w:p>
        </w:tc>
      </w:tr>
      <w:tr w:rsidR="008A0760" w:rsidRPr="00BA3592" w14:paraId="6D2CE120" w14:textId="77777777" w:rsidTr="008A0760">
        <w:trPr>
          <w:cantSplit/>
          <w:trHeight w:val="20"/>
          <w:jc w:val="center"/>
        </w:trPr>
        <w:tc>
          <w:tcPr>
            <w:tcW w:w="7051" w:type="dxa"/>
            <w:gridSpan w:val="7"/>
            <w:tcBorders>
              <w:top w:val="single" w:sz="4" w:space="0" w:color="auto"/>
            </w:tcBorders>
            <w:vAlign w:val="center"/>
          </w:tcPr>
          <w:p w14:paraId="1C16A56D" w14:textId="77777777" w:rsidR="008A0760" w:rsidRPr="00BA3592" w:rsidRDefault="008A0760" w:rsidP="008A0760">
            <w:pPr>
              <w:pStyle w:val="Texto"/>
              <w:spacing w:line="240" w:lineRule="exact"/>
              <w:ind w:firstLine="0"/>
              <w:jc w:val="left"/>
              <w:rPr>
                <w:rFonts w:ascii="Verdana" w:hAnsi="Verdana"/>
                <w:sz w:val="16"/>
                <w:szCs w:val="16"/>
              </w:rPr>
            </w:pPr>
            <w:r w:rsidRPr="00BA3592">
              <w:rPr>
                <w:rFonts w:ascii="Verdana" w:hAnsi="Verdana"/>
                <w:sz w:val="16"/>
                <w:szCs w:val="16"/>
              </w:rPr>
              <w:lastRenderedPageBreak/>
              <w:t>Notas:</w:t>
            </w:r>
          </w:p>
          <w:p w14:paraId="2BD50AB6" w14:textId="77777777" w:rsidR="008A0760" w:rsidRPr="00BA3592" w:rsidRDefault="008A0760" w:rsidP="008A0760">
            <w:pPr>
              <w:pStyle w:val="Texto"/>
              <w:spacing w:line="240" w:lineRule="exact"/>
              <w:ind w:right="1008" w:firstLine="0"/>
              <w:jc w:val="left"/>
              <w:rPr>
                <w:rFonts w:ascii="Verdana" w:hAnsi="Verdana"/>
                <w:sz w:val="16"/>
                <w:szCs w:val="16"/>
                <w:lang w:val="es-ES"/>
              </w:rPr>
            </w:pPr>
            <w:r w:rsidRPr="00BA3592">
              <w:rPr>
                <w:rFonts w:ascii="Verdana" w:hAnsi="Verdana"/>
                <w:sz w:val="16"/>
                <w:szCs w:val="16"/>
                <w:lang w:val="es-ES"/>
              </w:rPr>
              <w:t>1.</w:t>
            </w:r>
            <w:r w:rsidRPr="00BA3592">
              <w:rPr>
                <w:rFonts w:ascii="Verdana" w:hAnsi="Verdana"/>
                <w:sz w:val="16"/>
                <w:szCs w:val="16"/>
                <w:lang w:val="es-ES"/>
              </w:rPr>
              <w:tab/>
              <w:t>lb = libra.</w:t>
            </w:r>
          </w:p>
          <w:p w14:paraId="27089FDE" w14:textId="77777777" w:rsidR="008A0760" w:rsidRPr="00BA3592" w:rsidRDefault="008A0760" w:rsidP="008A0760">
            <w:pPr>
              <w:pStyle w:val="Texto"/>
              <w:spacing w:line="240" w:lineRule="exact"/>
              <w:ind w:right="1008" w:firstLine="0"/>
              <w:jc w:val="left"/>
              <w:rPr>
                <w:rFonts w:ascii="Verdana" w:hAnsi="Verdana"/>
                <w:sz w:val="16"/>
                <w:szCs w:val="16"/>
                <w:lang w:val="es-ES"/>
              </w:rPr>
            </w:pPr>
            <w:r w:rsidRPr="00BA3592">
              <w:rPr>
                <w:rFonts w:ascii="Verdana" w:hAnsi="Verdana"/>
                <w:sz w:val="16"/>
                <w:szCs w:val="16"/>
                <w:lang w:val="es-ES"/>
              </w:rPr>
              <w:t>2.</w:t>
            </w:r>
            <w:r w:rsidRPr="00BA3592">
              <w:rPr>
                <w:rFonts w:ascii="Verdana" w:hAnsi="Verdana"/>
                <w:sz w:val="16"/>
                <w:szCs w:val="16"/>
                <w:lang w:val="es-ES"/>
              </w:rPr>
              <w:tab/>
              <w:t>g/mi = gramos por milla.</w:t>
            </w:r>
          </w:p>
          <w:p w14:paraId="10E9C086" w14:textId="77777777" w:rsidR="008A0760" w:rsidRPr="00BA3592" w:rsidRDefault="008A0760" w:rsidP="008A0760">
            <w:pPr>
              <w:pStyle w:val="Texto"/>
              <w:spacing w:line="240" w:lineRule="exact"/>
              <w:ind w:right="1008" w:firstLine="0"/>
              <w:jc w:val="left"/>
              <w:rPr>
                <w:rFonts w:ascii="Verdana" w:hAnsi="Verdana"/>
                <w:sz w:val="16"/>
                <w:szCs w:val="16"/>
              </w:rPr>
            </w:pPr>
            <w:r w:rsidRPr="00BA3592">
              <w:rPr>
                <w:rFonts w:ascii="Verdana" w:hAnsi="Verdana"/>
                <w:sz w:val="16"/>
                <w:szCs w:val="16"/>
                <w:lang w:val="es-ES"/>
              </w:rPr>
              <w:t>3.</w:t>
            </w:r>
            <w:r w:rsidRPr="00BA3592">
              <w:rPr>
                <w:rFonts w:ascii="Verdana" w:hAnsi="Verdana"/>
                <w:sz w:val="16"/>
                <w:szCs w:val="16"/>
                <w:lang w:val="es-ES"/>
              </w:rPr>
              <w:tab/>
            </w:r>
            <w:r w:rsidRPr="00BA3592">
              <w:rPr>
                <w:rFonts w:ascii="Verdana" w:hAnsi="Verdana"/>
                <w:sz w:val="16"/>
                <w:szCs w:val="16"/>
              </w:rPr>
              <w:t xml:space="preserve">Estándar </w:t>
            </w:r>
            <w:r w:rsidRPr="00BA3592">
              <w:rPr>
                <w:rFonts w:ascii="Verdana" w:hAnsi="Verdana"/>
                <w:b/>
                <w:sz w:val="16"/>
                <w:szCs w:val="16"/>
              </w:rPr>
              <w:t>3A</w:t>
            </w:r>
            <w:r w:rsidRPr="00BA3592">
              <w:rPr>
                <w:rFonts w:ascii="Verdana" w:hAnsi="Verdana"/>
                <w:sz w:val="16"/>
                <w:szCs w:val="16"/>
              </w:rPr>
              <w:t>. Límites máximos permisibles para vehículos automotores nuevos con peso bruto vehicular desde 3,857 hasta 6,350 kilogramos, producidos a partir de la entrada en vigor de la presente norma oficial mexicana y hasta el 30 de junio de 2019, obtenidos con el método de prueba denominado Ciclo en Ciudad FTP (FTP 75), descrito en el numeral 3.5 de la presente norma oficial mexicana.</w:t>
            </w:r>
          </w:p>
          <w:p w14:paraId="728B82FC" w14:textId="77777777" w:rsidR="008A0760" w:rsidRPr="00BA3592" w:rsidRDefault="008A0760" w:rsidP="008A0760">
            <w:pPr>
              <w:pStyle w:val="Texto"/>
              <w:spacing w:before="40" w:after="40" w:line="240" w:lineRule="exact"/>
              <w:ind w:firstLine="0"/>
              <w:jc w:val="left"/>
              <w:rPr>
                <w:rFonts w:ascii="Verdana" w:hAnsi="Verdana"/>
                <w:sz w:val="16"/>
                <w:szCs w:val="16"/>
              </w:rPr>
            </w:pPr>
            <w:r w:rsidRPr="00BA3592">
              <w:rPr>
                <w:rFonts w:ascii="Verdana" w:hAnsi="Verdana"/>
                <w:sz w:val="16"/>
                <w:szCs w:val="16"/>
                <w:lang w:val="es-ES"/>
              </w:rPr>
              <w:t>4.</w:t>
            </w:r>
            <w:r w:rsidRPr="00BA3592">
              <w:rPr>
                <w:rFonts w:ascii="Verdana" w:hAnsi="Verdana"/>
                <w:sz w:val="16"/>
                <w:szCs w:val="16"/>
                <w:lang w:val="es-ES"/>
              </w:rPr>
              <w:tab/>
            </w:r>
            <w:r w:rsidRPr="00BA3592">
              <w:rPr>
                <w:rFonts w:ascii="Verdana" w:hAnsi="Verdana"/>
                <w:sz w:val="16"/>
                <w:szCs w:val="16"/>
              </w:rPr>
              <w:t xml:space="preserve">Estándar </w:t>
            </w:r>
            <w:r w:rsidRPr="00BA3592">
              <w:rPr>
                <w:rFonts w:ascii="Verdana" w:hAnsi="Verdana"/>
                <w:b/>
                <w:sz w:val="16"/>
                <w:szCs w:val="16"/>
              </w:rPr>
              <w:t>3B</w:t>
            </w:r>
            <w:r w:rsidRPr="00BA3592">
              <w:rPr>
                <w:rFonts w:ascii="Verdana" w:hAnsi="Verdana"/>
                <w:sz w:val="16"/>
                <w:szCs w:val="16"/>
              </w:rPr>
              <w:t>. Límites máximos permisibles para vehículos automotores nuevos con peso bruto vehicular desde 3,857 hasta 6,350 kilogramos, producidos a partir del 1 de enero de 2019, obtenidos con el método de prueba denominado Ciclo en Ciudad FTP (FTP 75), descrito en el numeral 3.5 de la presente Norma Oficial Mexicana. Este estándar requiere el uso de diésel automotriz con un contenido máximo de azufre de 15 mg/kg, el cual estará disponible en el país, conforme a lo establecido en la nota 3 de la Tabla 7 de la Norma Oficial Mexicana NOM-016-CRE-2016. Especificaciones de la calidad de los petrolíferos, publicada en el Diario Oficial de la Federación, el 29 de agosto de 2016</w:t>
            </w:r>
          </w:p>
        </w:tc>
      </w:tr>
    </w:tbl>
    <w:p w14:paraId="4AAF6656" w14:textId="77777777" w:rsidR="008A0760" w:rsidRPr="00B32D99" w:rsidRDefault="008A0760" w:rsidP="008A0760">
      <w:pPr>
        <w:spacing w:after="101" w:line="240" w:lineRule="atLeast"/>
        <w:jc w:val="center"/>
        <w:rPr>
          <w:lang w:eastAsia="en-US"/>
        </w:rPr>
      </w:pPr>
      <w:r w:rsidRPr="00B32D99">
        <w:rPr>
          <w:rFonts w:ascii="Verdana" w:hAnsi="Verdana"/>
          <w:b/>
          <w:bCs/>
          <w:sz w:val="16"/>
          <w:szCs w:val="16"/>
          <w:lang w:eastAsia="en-US"/>
        </w:rPr>
        <w:t> </w:t>
      </w:r>
    </w:p>
    <w:tbl>
      <w:tblPr>
        <w:tblW w:w="7051" w:type="dxa"/>
        <w:jc w:val="center"/>
        <w:tblCellMar>
          <w:left w:w="0" w:type="dxa"/>
          <w:right w:w="0" w:type="dxa"/>
        </w:tblCellMar>
        <w:tblLook w:val="04A0" w:firstRow="1" w:lastRow="0" w:firstColumn="1" w:lastColumn="0" w:noHBand="0" w:noVBand="1"/>
      </w:tblPr>
      <w:tblGrid>
        <w:gridCol w:w="962"/>
        <w:gridCol w:w="1414"/>
        <w:gridCol w:w="1534"/>
        <w:gridCol w:w="829"/>
        <w:gridCol w:w="701"/>
        <w:gridCol w:w="832"/>
        <w:gridCol w:w="779"/>
      </w:tblGrid>
      <w:tr w:rsidR="008A0760" w:rsidRPr="008A0760" w14:paraId="19A726F7" w14:textId="77777777" w:rsidTr="008A0760">
        <w:trPr>
          <w:trHeight w:val="20"/>
          <w:jc w:val="center"/>
        </w:trPr>
        <w:tc>
          <w:tcPr>
            <w:tcW w:w="7051" w:type="dxa"/>
            <w:gridSpan w:val="7"/>
            <w:tcBorders>
              <w:bottom w:val="single" w:sz="6" w:space="0" w:color="000000"/>
            </w:tcBorders>
            <w:tcMar>
              <w:top w:w="0" w:type="dxa"/>
              <w:left w:w="72" w:type="dxa"/>
              <w:bottom w:w="0" w:type="dxa"/>
              <w:right w:w="72" w:type="dxa"/>
            </w:tcMar>
            <w:vAlign w:val="center"/>
            <w:hideMark/>
          </w:tcPr>
          <w:p w14:paraId="45F5CCBB" w14:textId="77777777" w:rsidR="008A0760" w:rsidRPr="008A0760" w:rsidRDefault="008A0760" w:rsidP="008A0760">
            <w:pPr>
              <w:spacing w:before="101" w:after="101" w:line="240" w:lineRule="atLeast"/>
              <w:jc w:val="center"/>
              <w:rPr>
                <w:lang w:val="en-US" w:eastAsia="en-US"/>
              </w:rPr>
            </w:pPr>
            <w:r w:rsidRPr="008A0760">
              <w:rPr>
                <w:rFonts w:ascii="Verdana" w:hAnsi="Verdana"/>
                <w:b/>
                <w:bCs/>
                <w:sz w:val="16"/>
                <w:szCs w:val="16"/>
                <w:lang w:val="en-US" w:eastAsia="en-US"/>
              </w:rPr>
              <w:t>APPENDIX D</w:t>
            </w:r>
            <w:r w:rsidRPr="008A0760">
              <w:rPr>
                <w:lang w:val="en-US" w:eastAsia="en-US"/>
              </w:rPr>
              <w:t xml:space="preserve"> </w:t>
            </w:r>
          </w:p>
          <w:p w14:paraId="01BBF376" w14:textId="77777777" w:rsidR="008A0760" w:rsidRPr="008A0760" w:rsidRDefault="008A0760" w:rsidP="008A0760">
            <w:pPr>
              <w:spacing w:before="101" w:after="101" w:line="240" w:lineRule="atLeast"/>
              <w:jc w:val="center"/>
              <w:rPr>
                <w:lang w:val="en-US" w:eastAsia="en-US"/>
              </w:rPr>
            </w:pPr>
            <w:r w:rsidRPr="008A0760">
              <w:rPr>
                <w:rFonts w:ascii="Verdana" w:hAnsi="Verdana"/>
                <w:b/>
                <w:bCs/>
                <w:sz w:val="16"/>
                <w:szCs w:val="16"/>
                <w:lang w:val="en-US" w:eastAsia="en-US"/>
              </w:rPr>
              <w:t>INFORMATIVE</w:t>
            </w:r>
            <w:r w:rsidRPr="008A0760">
              <w:rPr>
                <w:lang w:val="en-US" w:eastAsia="en-US"/>
              </w:rPr>
              <w:t xml:space="preserve"> </w:t>
            </w:r>
          </w:p>
          <w:p w14:paraId="22779AF5" w14:textId="77777777" w:rsidR="008A0760" w:rsidRPr="008A0760" w:rsidRDefault="008A0760" w:rsidP="008A0760">
            <w:pPr>
              <w:spacing w:after="101" w:line="240" w:lineRule="atLeast"/>
              <w:jc w:val="center"/>
              <w:rPr>
                <w:lang w:val="en-US" w:eastAsia="en-US"/>
              </w:rPr>
            </w:pPr>
            <w:r w:rsidRPr="008A0760">
              <w:rPr>
                <w:rFonts w:ascii="Verdana" w:hAnsi="Verdana"/>
                <w:b/>
                <w:bCs/>
                <w:sz w:val="16"/>
                <w:szCs w:val="16"/>
                <w:lang w:val="en-US" w:eastAsia="en-US"/>
              </w:rPr>
              <w:t>Table of equivalences in grams per mile of standards 3A and 3B</w:t>
            </w:r>
            <w:r w:rsidRPr="008A0760">
              <w:rPr>
                <w:lang w:val="en-US" w:eastAsia="en-US"/>
              </w:rPr>
              <w:t xml:space="preserve"> </w:t>
            </w:r>
          </w:p>
          <w:p w14:paraId="61807F79"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Table D.1</w:t>
            </w:r>
            <w:r w:rsidRPr="008A0760">
              <w:rPr>
                <w:lang w:val="en-US" w:eastAsia="en-US"/>
              </w:rPr>
              <w:t xml:space="preserve"> </w:t>
            </w:r>
          </w:p>
        </w:tc>
      </w:tr>
      <w:tr w:rsidR="008A0760" w:rsidRPr="008A0760" w14:paraId="5C52E70C" w14:textId="77777777" w:rsidTr="008A0760">
        <w:trPr>
          <w:trHeight w:val="20"/>
          <w:jc w:val="center"/>
        </w:trPr>
        <w:tc>
          <w:tcPr>
            <w:tcW w:w="951" w:type="dxa"/>
            <w:vMerge w:val="restart"/>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3C8E9BAF"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Standard</w:t>
            </w:r>
            <w:r w:rsidRPr="008A0760">
              <w:rPr>
                <w:lang w:val="en-US" w:eastAsia="en-US"/>
              </w:rPr>
              <w:t xml:space="preserve"> </w:t>
            </w:r>
          </w:p>
        </w:tc>
        <w:tc>
          <w:tcPr>
            <w:tcW w:w="1425" w:type="dxa"/>
            <w:vMerge w:val="restart"/>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45F76D21"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Gross vehicle weight (kg)</w:t>
            </w:r>
            <w:r w:rsidRPr="008A0760">
              <w:rPr>
                <w:lang w:val="en-US" w:eastAsia="en-US"/>
              </w:rPr>
              <w:t xml:space="preserve"> </w:t>
            </w:r>
          </w:p>
        </w:tc>
        <w:tc>
          <w:tcPr>
            <w:tcW w:w="1547" w:type="dxa"/>
            <w:vMerge w:val="restart"/>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40225BB0"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Gross vehicle weight (lb</w:t>
            </w:r>
            <w:r w:rsidRPr="008A0760">
              <w:rPr>
                <w:lang w:val="en-US" w:eastAsia="en-US"/>
              </w:rPr>
              <w:t xml:space="preserve"> </w:t>
            </w:r>
            <w:r w:rsidRPr="008A0760">
              <w:rPr>
                <w:rFonts w:ascii="Verdana" w:hAnsi="Verdana"/>
                <w:b/>
                <w:bCs/>
                <w:sz w:val="16"/>
                <w:szCs w:val="16"/>
                <w:lang w:val="en-US" w:eastAsia="en-US"/>
              </w:rPr>
              <w:t>)</w:t>
            </w:r>
            <w:r w:rsidRPr="008A0760">
              <w:rPr>
                <w:lang w:val="en-US" w:eastAsia="en-US"/>
              </w:rPr>
              <w:t xml:space="preserve"> </w:t>
            </w:r>
            <w:r w:rsidRPr="008A0760">
              <w:rPr>
                <w:rFonts w:ascii="Verdana" w:hAnsi="Verdana"/>
                <w:b/>
                <w:bCs/>
                <w:sz w:val="11"/>
                <w:szCs w:val="11"/>
                <w:vertAlign w:val="superscript"/>
                <w:lang w:val="en-US" w:eastAsia="en-US"/>
              </w:rPr>
              <w:t>(</w:t>
            </w:r>
            <w:r w:rsidRPr="008A0760">
              <w:rPr>
                <w:lang w:val="en-US" w:eastAsia="en-US"/>
              </w:rPr>
              <w:t xml:space="preserve"> </w:t>
            </w:r>
            <w:r w:rsidRPr="008A0760">
              <w:rPr>
                <w:rFonts w:ascii="Verdana" w:hAnsi="Verdana"/>
                <w:b/>
                <w:bCs/>
                <w:sz w:val="11"/>
                <w:szCs w:val="11"/>
                <w:vertAlign w:val="superscript"/>
                <w:lang w:val="en-US" w:eastAsia="en-US"/>
              </w:rPr>
              <w:t>1)</w:t>
            </w:r>
            <w:r w:rsidRPr="008A0760">
              <w:rPr>
                <w:lang w:val="en-US" w:eastAsia="en-US"/>
              </w:rPr>
              <w:t xml:space="preserve"> </w:t>
            </w:r>
          </w:p>
        </w:tc>
        <w:tc>
          <w:tcPr>
            <w:tcW w:w="807" w:type="dxa"/>
            <w:vMerge w:val="restart"/>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01243A78"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Testing method</w:t>
            </w:r>
            <w:r w:rsidRPr="008A0760">
              <w:rPr>
                <w:lang w:val="en-US" w:eastAsia="en-US"/>
              </w:rPr>
              <w:t xml:space="preserve"> </w:t>
            </w:r>
          </w:p>
        </w:tc>
        <w:tc>
          <w:tcPr>
            <w:tcW w:w="704"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65E3C4AA"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NOx</w:t>
            </w:r>
            <w:r w:rsidRPr="008A0760">
              <w:rPr>
                <w:lang w:val="en-US" w:eastAsia="en-US"/>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6DFC9B00"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HCNM</w:t>
            </w:r>
            <w:r w:rsidRPr="008A0760">
              <w:rPr>
                <w:lang w:val="en-US"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0ED3543A"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Part</w:t>
            </w:r>
            <w:r w:rsidRPr="008A0760">
              <w:rPr>
                <w:lang w:val="en-US" w:eastAsia="en-US"/>
              </w:rPr>
              <w:t xml:space="preserve"> </w:t>
            </w:r>
          </w:p>
        </w:tc>
      </w:tr>
      <w:tr w:rsidR="008A0760" w:rsidRPr="008A0760" w14:paraId="5346CB08"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76971D" w14:textId="77777777" w:rsidR="008A0760" w:rsidRPr="008A0760" w:rsidRDefault="008A0760" w:rsidP="008A0760">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9038FC" w14:textId="77777777" w:rsidR="008A0760" w:rsidRPr="008A0760" w:rsidRDefault="008A0760" w:rsidP="008A0760">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E6E25A" w14:textId="77777777" w:rsidR="008A0760" w:rsidRPr="008A0760" w:rsidRDefault="008A0760" w:rsidP="008A0760">
            <w:pPr>
              <w:rPr>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86897C" w14:textId="77777777" w:rsidR="008A0760" w:rsidRPr="008A0760" w:rsidRDefault="008A0760" w:rsidP="008A0760">
            <w:pPr>
              <w:rPr>
                <w:lang w:val="en-US" w:eastAsia="en-US"/>
              </w:rPr>
            </w:pPr>
          </w:p>
        </w:tc>
        <w:tc>
          <w:tcPr>
            <w:tcW w:w="2321" w:type="dxa"/>
            <w:gridSpan w:val="3"/>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vAlign w:val="center"/>
            <w:hideMark/>
          </w:tcPr>
          <w:p w14:paraId="1A553E61"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g / mi</w:t>
            </w:r>
            <w:r w:rsidRPr="008A0760">
              <w:rPr>
                <w:lang w:val="en-US" w:eastAsia="en-US"/>
              </w:rPr>
              <w:t xml:space="preserve"> </w:t>
            </w:r>
            <w:r w:rsidRPr="008A0760">
              <w:rPr>
                <w:rFonts w:ascii="Verdana" w:hAnsi="Verdana"/>
                <w:b/>
                <w:bCs/>
                <w:sz w:val="11"/>
                <w:szCs w:val="11"/>
                <w:vertAlign w:val="superscript"/>
                <w:lang w:val="en-US" w:eastAsia="en-US"/>
              </w:rPr>
              <w:t>(2)</w:t>
            </w:r>
            <w:r w:rsidRPr="008A0760">
              <w:rPr>
                <w:lang w:val="en-US" w:eastAsia="en-US"/>
              </w:rPr>
              <w:t xml:space="preserve"> </w:t>
            </w:r>
          </w:p>
        </w:tc>
      </w:tr>
      <w:tr w:rsidR="008A0760" w:rsidRPr="008A0760" w14:paraId="6CBC4512" w14:textId="77777777" w:rsidTr="008A0760">
        <w:trPr>
          <w:trHeight w:val="20"/>
          <w:jc w:val="center"/>
        </w:trPr>
        <w:tc>
          <w:tcPr>
            <w:tcW w:w="9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DE7C9CC"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3A</w:t>
            </w:r>
            <w:r w:rsidRPr="008A0760">
              <w:rPr>
                <w:lang w:val="en-US" w:eastAsia="en-US"/>
              </w:rPr>
              <w:t xml:space="preserve"> </w:t>
            </w:r>
            <w:r w:rsidRPr="008A0760">
              <w:rPr>
                <w:rFonts w:ascii="Verdana" w:hAnsi="Verdana"/>
                <w:sz w:val="11"/>
                <w:szCs w:val="11"/>
                <w:vertAlign w:val="superscript"/>
                <w:lang w:val="en-US" w:eastAsia="en-US"/>
              </w:rPr>
              <w:t>(3)</w:t>
            </w:r>
            <w:r w:rsidRPr="008A0760">
              <w:rPr>
                <w:lang w:val="en-US" w:eastAsia="en-US"/>
              </w:rPr>
              <w:t xml:space="preserve"> </w:t>
            </w:r>
          </w:p>
        </w:tc>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035736C"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3,857-4,539</w:t>
            </w:r>
            <w:r w:rsidRPr="008A0760">
              <w:rPr>
                <w:lang w:val="en-US" w:eastAsia="en-US"/>
              </w:rPr>
              <w:t xml:space="preserve"> </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D99C7AF"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8,500-10,000</w:t>
            </w:r>
            <w:r w:rsidRPr="008A0760">
              <w:rPr>
                <w:lang w:val="en-US" w:eastAsia="en-US"/>
              </w:rPr>
              <w:t xml:space="preserve"> </w:t>
            </w:r>
          </w:p>
        </w:tc>
        <w:tc>
          <w:tcPr>
            <w:tcW w:w="807"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4F8E490F"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FTP 75</w:t>
            </w:r>
            <w:r w:rsidRPr="008A0760">
              <w:rPr>
                <w:lang w:val="en-US" w:eastAsia="en-US"/>
              </w:rPr>
              <w:t xml:space="preserve"> </w:t>
            </w:r>
          </w:p>
        </w:tc>
        <w:tc>
          <w:tcPr>
            <w:tcW w:w="7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0959F0A"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0.5</w:t>
            </w:r>
            <w:r w:rsidRPr="008A0760">
              <w:rPr>
                <w:lang w:val="en-US" w:eastAsia="en-US"/>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27030D43"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0.195</w:t>
            </w:r>
            <w:r w:rsidRPr="008A0760">
              <w:rPr>
                <w:lang w:val="en-US"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3B2099E2"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0.059</w:t>
            </w:r>
            <w:r w:rsidRPr="008A0760">
              <w:rPr>
                <w:lang w:val="en-US" w:eastAsia="en-US"/>
              </w:rPr>
              <w:t xml:space="preserve"> </w:t>
            </w:r>
          </w:p>
        </w:tc>
      </w:tr>
      <w:tr w:rsidR="008A0760" w:rsidRPr="008A0760" w14:paraId="20724F94"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B2B8CE" w14:textId="77777777" w:rsidR="008A0760" w:rsidRPr="008A0760" w:rsidRDefault="008A0760" w:rsidP="008A0760">
            <w:pPr>
              <w:rPr>
                <w:lang w:val="en-US" w:eastAsia="en-US"/>
              </w:rPr>
            </w:pPr>
          </w:p>
        </w:tc>
        <w:tc>
          <w:tcPr>
            <w:tcW w:w="1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C6874A7"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4,540-6,350</w:t>
            </w:r>
            <w:r w:rsidRPr="008A0760">
              <w:rPr>
                <w:lang w:val="en-US" w:eastAsia="en-US"/>
              </w:rPr>
              <w:t xml:space="preserve"> </w:t>
            </w:r>
          </w:p>
        </w:tc>
        <w:tc>
          <w:tcPr>
            <w:tcW w:w="1547"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6E4FFEE3"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10,001-14,000</w:t>
            </w:r>
            <w:r w:rsidRPr="008A0760">
              <w:rPr>
                <w:lang w:val="en-US" w:eastAsia="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F22A9A" w14:textId="77777777" w:rsidR="008A0760" w:rsidRPr="008A0760" w:rsidRDefault="008A0760" w:rsidP="008A0760">
            <w:pPr>
              <w:rPr>
                <w:lang w:val="en-US" w:eastAsia="en-US"/>
              </w:rPr>
            </w:pPr>
          </w:p>
        </w:tc>
        <w:tc>
          <w:tcPr>
            <w:tcW w:w="7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1E590B39"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0.7</w:t>
            </w:r>
            <w:r w:rsidRPr="008A0760">
              <w:rPr>
                <w:lang w:val="en-US" w:eastAsia="en-US"/>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91042CD"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0.230</w:t>
            </w:r>
            <w:r w:rsidRPr="008A0760">
              <w:rPr>
                <w:lang w:val="en-US"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14:paraId="5FDF9C0C"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0.059</w:t>
            </w:r>
            <w:r w:rsidRPr="008A0760">
              <w:rPr>
                <w:lang w:val="en-US" w:eastAsia="en-US"/>
              </w:rPr>
              <w:t xml:space="preserve"> </w:t>
            </w:r>
          </w:p>
        </w:tc>
      </w:tr>
      <w:tr w:rsidR="008A0760" w:rsidRPr="008A0760" w14:paraId="41403B26" w14:textId="77777777" w:rsidTr="008A0760">
        <w:trPr>
          <w:trHeight w:val="20"/>
          <w:jc w:val="center"/>
        </w:trPr>
        <w:tc>
          <w:tcPr>
            <w:tcW w:w="951"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C63A4B9" w14:textId="77777777" w:rsidR="008A0760" w:rsidRPr="008A0760" w:rsidRDefault="008A0760" w:rsidP="008A0760">
            <w:pPr>
              <w:spacing w:before="40" w:after="40" w:line="240" w:lineRule="atLeast"/>
              <w:jc w:val="center"/>
              <w:rPr>
                <w:lang w:val="en-US" w:eastAsia="en-US"/>
              </w:rPr>
            </w:pPr>
            <w:r w:rsidRPr="008A0760">
              <w:rPr>
                <w:rFonts w:ascii="Verdana" w:hAnsi="Verdana"/>
                <w:b/>
                <w:bCs/>
                <w:sz w:val="16"/>
                <w:szCs w:val="16"/>
                <w:lang w:val="en-US" w:eastAsia="en-US"/>
              </w:rPr>
              <w:t>3B</w:t>
            </w:r>
            <w:r w:rsidRPr="008A0760">
              <w:rPr>
                <w:lang w:val="en-US" w:eastAsia="en-US"/>
              </w:rPr>
              <w:t xml:space="preserve"> </w:t>
            </w:r>
            <w:r w:rsidRPr="008A0760">
              <w:rPr>
                <w:rFonts w:ascii="Verdana" w:hAnsi="Verdana"/>
                <w:sz w:val="11"/>
                <w:szCs w:val="11"/>
                <w:vertAlign w:val="superscript"/>
                <w:lang w:val="en-US" w:eastAsia="en-US"/>
              </w:rPr>
              <w:t>(4)</w:t>
            </w:r>
            <w:r w:rsidRPr="008A0760">
              <w:rPr>
                <w:lang w:val="en-US" w:eastAsia="en-US"/>
              </w:rPr>
              <w:t xml:space="preserve"> </w:t>
            </w:r>
          </w:p>
        </w:tc>
        <w:tc>
          <w:tcPr>
            <w:tcW w:w="14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5B343BE"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3,857-4,539</w:t>
            </w:r>
            <w:r w:rsidRPr="008A0760">
              <w:rPr>
                <w:lang w:val="en-US" w:eastAsia="en-US"/>
              </w:rPr>
              <w:t xml:space="preserve"> </w:t>
            </w:r>
          </w:p>
        </w:tc>
        <w:tc>
          <w:tcPr>
            <w:tcW w:w="15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793AB77F"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8,500-10,000</w:t>
            </w:r>
            <w:r w:rsidRPr="008A0760">
              <w:rPr>
                <w:lang w:val="en-US" w:eastAsia="en-US"/>
              </w:rPr>
              <w:t xml:space="preserve"> </w:t>
            </w:r>
          </w:p>
        </w:tc>
        <w:tc>
          <w:tcPr>
            <w:tcW w:w="807" w:type="dxa"/>
            <w:vMerge w:val="restart"/>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C9E7D7E"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FTP 75</w:t>
            </w:r>
            <w:r w:rsidRPr="008A0760">
              <w:rPr>
                <w:lang w:val="en-US" w:eastAsia="en-US"/>
              </w:rPr>
              <w:t xml:space="preserve"> </w:t>
            </w:r>
          </w:p>
        </w:tc>
        <w:tc>
          <w:tcPr>
            <w:tcW w:w="7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47413C71"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0.2</w:t>
            </w:r>
            <w:r w:rsidRPr="008A0760">
              <w:rPr>
                <w:lang w:val="en-US" w:eastAsia="en-US"/>
              </w:rPr>
              <w:t xml:space="preserve"> </w:t>
            </w:r>
          </w:p>
        </w:tc>
        <w:tc>
          <w:tcPr>
            <w:tcW w:w="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CB88395"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0.195</w:t>
            </w:r>
            <w:r w:rsidRPr="008A0760">
              <w:rPr>
                <w:lang w:val="en-US"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D9CBE60"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0.02</w:t>
            </w:r>
            <w:r w:rsidRPr="008A0760">
              <w:rPr>
                <w:lang w:val="en-US" w:eastAsia="en-US"/>
              </w:rPr>
              <w:t xml:space="preserve"> </w:t>
            </w:r>
          </w:p>
        </w:tc>
      </w:tr>
      <w:tr w:rsidR="008A0760" w:rsidRPr="008A0760" w14:paraId="5BFDE1D3" w14:textId="77777777" w:rsidTr="008A0760">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29E537" w14:textId="77777777" w:rsidR="008A0760" w:rsidRPr="008A0760" w:rsidRDefault="008A0760" w:rsidP="008A0760">
            <w:pPr>
              <w:rPr>
                <w:lang w:val="en-US" w:eastAsia="en-US"/>
              </w:rPr>
            </w:pPr>
          </w:p>
        </w:tc>
        <w:tc>
          <w:tcPr>
            <w:tcW w:w="142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5A4B4299"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4,540-6,350</w:t>
            </w:r>
            <w:r w:rsidRPr="008A0760">
              <w:rPr>
                <w:lang w:val="en-US" w:eastAsia="en-US"/>
              </w:rPr>
              <w:t xml:space="preserve"> </w:t>
            </w:r>
          </w:p>
        </w:tc>
        <w:tc>
          <w:tcPr>
            <w:tcW w:w="1547"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446DCB3"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10,001-14,000</w:t>
            </w:r>
            <w:r w:rsidRPr="008A0760">
              <w:rPr>
                <w:lang w:val="en-US" w:eastAsia="en-US"/>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8D6ED4" w14:textId="77777777" w:rsidR="008A0760" w:rsidRPr="008A0760" w:rsidRDefault="008A0760" w:rsidP="008A0760">
            <w:pPr>
              <w:rPr>
                <w:lang w:val="en-US" w:eastAsia="en-US"/>
              </w:rPr>
            </w:pPr>
          </w:p>
        </w:tc>
        <w:tc>
          <w:tcPr>
            <w:tcW w:w="704"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35E1B6DF"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0.4</w:t>
            </w:r>
            <w:r w:rsidRPr="008A0760">
              <w:rPr>
                <w:lang w:val="en-US" w:eastAsia="en-US"/>
              </w:rPr>
              <w:t xml:space="preserve"> </w:t>
            </w:r>
          </w:p>
        </w:tc>
        <w:tc>
          <w:tcPr>
            <w:tcW w:w="835"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2F316C98"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0.230</w:t>
            </w:r>
            <w:r w:rsidRPr="008A0760">
              <w:rPr>
                <w:lang w:val="en-US"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vAlign w:val="center"/>
            <w:hideMark/>
          </w:tcPr>
          <w:p w14:paraId="161FC60F" w14:textId="77777777" w:rsidR="008A0760" w:rsidRPr="008A0760" w:rsidRDefault="008A0760" w:rsidP="008A0760">
            <w:pPr>
              <w:spacing w:before="40" w:after="40" w:line="240" w:lineRule="atLeast"/>
              <w:jc w:val="center"/>
              <w:rPr>
                <w:lang w:val="en-US" w:eastAsia="en-US"/>
              </w:rPr>
            </w:pPr>
            <w:r w:rsidRPr="008A0760">
              <w:rPr>
                <w:rFonts w:ascii="Verdana" w:hAnsi="Verdana"/>
                <w:sz w:val="16"/>
                <w:szCs w:val="16"/>
                <w:lang w:val="en-US" w:eastAsia="en-US"/>
              </w:rPr>
              <w:t>0.02</w:t>
            </w:r>
            <w:r w:rsidRPr="008A0760">
              <w:rPr>
                <w:lang w:val="en-US" w:eastAsia="en-US"/>
              </w:rPr>
              <w:t xml:space="preserve"> </w:t>
            </w:r>
          </w:p>
        </w:tc>
      </w:tr>
      <w:tr w:rsidR="008A0760" w:rsidRPr="00743A20" w14:paraId="6A789164" w14:textId="77777777" w:rsidTr="008A0760">
        <w:trPr>
          <w:trHeight w:val="20"/>
          <w:jc w:val="center"/>
        </w:trPr>
        <w:tc>
          <w:tcPr>
            <w:tcW w:w="7051" w:type="dxa"/>
            <w:gridSpan w:val="7"/>
            <w:tcBorders>
              <w:top w:val="single" w:sz="6" w:space="0" w:color="000000"/>
            </w:tcBorders>
            <w:tcMar>
              <w:top w:w="0" w:type="dxa"/>
              <w:left w:w="72" w:type="dxa"/>
              <w:bottom w:w="0" w:type="dxa"/>
              <w:right w:w="72" w:type="dxa"/>
            </w:tcMar>
            <w:vAlign w:val="center"/>
            <w:hideMark/>
          </w:tcPr>
          <w:p w14:paraId="35CD3438" w14:textId="77777777" w:rsidR="008A0760" w:rsidRPr="008A0760" w:rsidRDefault="008A0760" w:rsidP="008A0760">
            <w:pPr>
              <w:spacing w:after="101" w:line="240" w:lineRule="atLeast"/>
              <w:rPr>
                <w:lang w:val="en-US" w:eastAsia="en-US"/>
              </w:rPr>
            </w:pPr>
            <w:r w:rsidRPr="008A0760">
              <w:rPr>
                <w:rFonts w:ascii="Verdana" w:hAnsi="Verdana"/>
                <w:sz w:val="16"/>
                <w:szCs w:val="16"/>
                <w:lang w:val="en-US" w:eastAsia="en-US"/>
              </w:rPr>
              <w:t>Notes:</w:t>
            </w:r>
            <w:r w:rsidRPr="008A0760">
              <w:rPr>
                <w:lang w:val="en-US" w:eastAsia="en-US"/>
              </w:rPr>
              <w:t xml:space="preserve"> </w:t>
            </w:r>
          </w:p>
          <w:p w14:paraId="1C5916A5" w14:textId="77777777" w:rsidR="008A0760" w:rsidRPr="008A0760" w:rsidRDefault="008A0760" w:rsidP="008A0760">
            <w:pPr>
              <w:spacing w:after="101" w:line="240" w:lineRule="atLeast"/>
              <w:ind w:right="1008"/>
              <w:rPr>
                <w:lang w:val="en-US" w:eastAsia="en-US"/>
              </w:rPr>
            </w:pPr>
            <w:r w:rsidRPr="008A0760">
              <w:rPr>
                <w:rFonts w:ascii="Verdana" w:hAnsi="Verdana"/>
                <w:sz w:val="16"/>
                <w:szCs w:val="16"/>
                <w:lang w:val="en-US" w:eastAsia="en-US"/>
              </w:rPr>
              <w:t>1.</w:t>
            </w:r>
            <w:r w:rsidRPr="008A0760">
              <w:rPr>
                <w:lang w:val="en-US" w:eastAsia="en-US"/>
              </w:rPr>
              <w:t xml:space="preserve"> </w:t>
            </w:r>
            <w:r w:rsidRPr="008A0760">
              <w:rPr>
                <w:rFonts w:ascii="Verdana" w:hAnsi="Verdana"/>
                <w:sz w:val="16"/>
                <w:szCs w:val="16"/>
                <w:lang w:val="en-US" w:eastAsia="en-US"/>
              </w:rPr>
              <w:t>              lb = pound</w:t>
            </w:r>
            <w:r w:rsidRPr="008A0760">
              <w:rPr>
                <w:lang w:val="en-US" w:eastAsia="en-US"/>
              </w:rPr>
              <w:t xml:space="preserve"> </w:t>
            </w:r>
          </w:p>
          <w:p w14:paraId="20C68AAA" w14:textId="77777777" w:rsidR="008A0760" w:rsidRPr="008A0760" w:rsidRDefault="008A0760" w:rsidP="008A0760">
            <w:pPr>
              <w:spacing w:after="101" w:line="240" w:lineRule="atLeast"/>
              <w:ind w:right="1008"/>
              <w:rPr>
                <w:lang w:val="en-US" w:eastAsia="en-US"/>
              </w:rPr>
            </w:pPr>
            <w:r w:rsidRPr="008A0760">
              <w:rPr>
                <w:rFonts w:ascii="Verdana" w:hAnsi="Verdana"/>
                <w:sz w:val="16"/>
                <w:szCs w:val="16"/>
                <w:lang w:val="en-US" w:eastAsia="en-US"/>
              </w:rPr>
              <w:t>2.</w:t>
            </w:r>
            <w:r w:rsidRPr="008A0760">
              <w:rPr>
                <w:lang w:val="en-US" w:eastAsia="en-US"/>
              </w:rPr>
              <w:t xml:space="preserve"> </w:t>
            </w:r>
            <w:r w:rsidRPr="008A0760">
              <w:rPr>
                <w:rFonts w:ascii="Verdana" w:hAnsi="Verdana"/>
                <w:sz w:val="16"/>
                <w:szCs w:val="16"/>
                <w:lang w:val="en-US" w:eastAsia="en-US"/>
              </w:rPr>
              <w:t>              g / mi = grams per mile.</w:t>
            </w:r>
            <w:r w:rsidRPr="008A0760">
              <w:rPr>
                <w:lang w:val="en-US" w:eastAsia="en-US"/>
              </w:rPr>
              <w:t xml:space="preserve"> </w:t>
            </w:r>
          </w:p>
          <w:p w14:paraId="7BC2639C" w14:textId="77777777" w:rsidR="008A0760" w:rsidRPr="008A0760" w:rsidRDefault="008A0760" w:rsidP="008A0760">
            <w:pPr>
              <w:spacing w:after="101" w:line="240" w:lineRule="atLeast"/>
              <w:ind w:right="1008"/>
              <w:rPr>
                <w:lang w:val="en-US" w:eastAsia="en-US"/>
              </w:rPr>
            </w:pPr>
            <w:r w:rsidRPr="008A0760">
              <w:rPr>
                <w:rFonts w:ascii="Verdana" w:hAnsi="Verdana"/>
                <w:sz w:val="16"/>
                <w:szCs w:val="16"/>
                <w:lang w:val="en-US" w:eastAsia="en-US"/>
              </w:rPr>
              <w:t>3.</w:t>
            </w:r>
            <w:r w:rsidRPr="008A0760">
              <w:rPr>
                <w:lang w:val="en-US" w:eastAsia="en-US"/>
              </w:rPr>
              <w:t xml:space="preserve"> </w:t>
            </w:r>
            <w:r w:rsidRPr="008A0760">
              <w:rPr>
                <w:rFonts w:ascii="Verdana" w:hAnsi="Verdana"/>
                <w:sz w:val="16"/>
                <w:szCs w:val="16"/>
                <w:lang w:val="en-US" w:eastAsia="en-US"/>
              </w:rPr>
              <w:t>              Standard</w:t>
            </w:r>
            <w:r w:rsidRPr="008A0760">
              <w:rPr>
                <w:lang w:val="en-US" w:eastAsia="en-US"/>
              </w:rPr>
              <w:t xml:space="preserve"> </w:t>
            </w:r>
            <w:r w:rsidRPr="008A0760">
              <w:rPr>
                <w:rFonts w:ascii="Verdana" w:hAnsi="Verdana"/>
                <w:b/>
                <w:bCs/>
                <w:sz w:val="16"/>
                <w:szCs w:val="16"/>
                <w:lang w:val="en-US" w:eastAsia="en-US"/>
              </w:rPr>
              <w:t>3A</w:t>
            </w:r>
            <w:r w:rsidRPr="008A0760">
              <w:rPr>
                <w:lang w:val="en-US" w:eastAsia="en-US"/>
              </w:rPr>
              <w:t xml:space="preserve"> </w:t>
            </w:r>
            <w:r w:rsidRPr="008A0760">
              <w:rPr>
                <w:rFonts w:ascii="Verdana" w:hAnsi="Verdana"/>
                <w:sz w:val="16"/>
                <w:szCs w:val="16"/>
                <w:lang w:val="en-US" w:eastAsia="en-US"/>
              </w:rPr>
              <w:t>.</w:t>
            </w:r>
            <w:r w:rsidRPr="008A0760">
              <w:rPr>
                <w:lang w:val="en-US" w:eastAsia="en-US"/>
              </w:rPr>
              <w:t xml:space="preserve"> </w:t>
            </w:r>
            <w:r w:rsidRPr="008A0760">
              <w:rPr>
                <w:rFonts w:ascii="Verdana" w:hAnsi="Verdana"/>
                <w:sz w:val="16"/>
                <w:szCs w:val="16"/>
                <w:lang w:val="en-US" w:eastAsia="en-US"/>
              </w:rPr>
              <w:t xml:space="preserve">Maximum permissible limits for new automotive vehicles with gross vehicle weight from 3,857 to 6,350 kilograms, produced as of the entry into force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 xml:space="preserve"> and until June 30, 2019, obtained with the test method called </w:t>
            </w:r>
            <w:r w:rsidR="00186E98">
              <w:rPr>
                <w:rFonts w:ascii="Verdana" w:hAnsi="Verdana"/>
                <w:sz w:val="16"/>
                <w:szCs w:val="16"/>
                <w:lang w:val="en-US" w:eastAsia="en-US"/>
              </w:rPr>
              <w:t>City driving</w:t>
            </w:r>
            <w:r w:rsidRPr="008A0760">
              <w:rPr>
                <w:rFonts w:ascii="Verdana" w:hAnsi="Verdana"/>
                <w:sz w:val="16"/>
                <w:szCs w:val="16"/>
                <w:lang w:val="en-US" w:eastAsia="en-US"/>
              </w:rPr>
              <w:t xml:space="preserve"> FTP (FTP 75), described in numeral 3.5 of this </w:t>
            </w:r>
            <w:r w:rsidR="00735A37">
              <w:rPr>
                <w:rFonts w:ascii="Verdana" w:hAnsi="Verdana"/>
                <w:sz w:val="16"/>
                <w:szCs w:val="16"/>
                <w:lang w:val="en-US" w:eastAsia="en-US"/>
              </w:rPr>
              <w:t>Official Mexican Standard</w:t>
            </w:r>
            <w:r w:rsidRPr="008A0760">
              <w:rPr>
                <w:rFonts w:ascii="Verdana" w:hAnsi="Verdana"/>
                <w:sz w:val="16"/>
                <w:szCs w:val="16"/>
                <w:lang w:val="en-US" w:eastAsia="en-US"/>
              </w:rPr>
              <w:t>.</w:t>
            </w:r>
            <w:r w:rsidRPr="008A0760">
              <w:rPr>
                <w:lang w:val="en-US" w:eastAsia="en-US"/>
              </w:rPr>
              <w:t xml:space="preserve"> </w:t>
            </w:r>
          </w:p>
          <w:p w14:paraId="6B745F4A" w14:textId="77777777" w:rsidR="008A0760" w:rsidRPr="008A0760" w:rsidRDefault="00186E98" w:rsidP="008A0760">
            <w:pPr>
              <w:spacing w:before="40" w:after="40" w:line="240" w:lineRule="atLeast"/>
              <w:rPr>
                <w:lang w:val="en-US" w:eastAsia="en-US"/>
              </w:rPr>
            </w:pPr>
            <w:r>
              <w:rPr>
                <w:rFonts w:ascii="Verdana" w:hAnsi="Verdana"/>
                <w:sz w:val="16"/>
                <w:szCs w:val="16"/>
                <w:lang w:val="en-US" w:eastAsia="en-US"/>
              </w:rPr>
              <w:t>4</w:t>
            </w:r>
            <w:r w:rsidR="008A0760" w:rsidRPr="008A0760">
              <w:rPr>
                <w:rFonts w:ascii="Verdana" w:hAnsi="Verdana"/>
                <w:sz w:val="16"/>
                <w:szCs w:val="16"/>
                <w:lang w:val="en-US" w:eastAsia="en-US"/>
              </w:rPr>
              <w:t>.</w:t>
            </w:r>
            <w:r w:rsidR="008A0760" w:rsidRPr="008A0760">
              <w:rPr>
                <w:lang w:val="en-US" w:eastAsia="en-US"/>
              </w:rPr>
              <w:t xml:space="preserve"> </w:t>
            </w:r>
            <w:r w:rsidR="008A0760" w:rsidRPr="008A0760">
              <w:rPr>
                <w:rFonts w:ascii="Verdana" w:hAnsi="Verdana"/>
                <w:sz w:val="16"/>
                <w:szCs w:val="16"/>
                <w:lang w:val="en-US" w:eastAsia="en-US"/>
              </w:rPr>
              <w:t>              Standard</w:t>
            </w:r>
            <w:r w:rsidR="008A0760" w:rsidRPr="008A0760">
              <w:rPr>
                <w:lang w:val="en-US" w:eastAsia="en-US"/>
              </w:rPr>
              <w:t xml:space="preserve"> </w:t>
            </w:r>
            <w:r w:rsidR="008A0760" w:rsidRPr="008A0760">
              <w:rPr>
                <w:rFonts w:ascii="Verdana" w:hAnsi="Verdana"/>
                <w:b/>
                <w:bCs/>
                <w:sz w:val="16"/>
                <w:szCs w:val="16"/>
                <w:lang w:val="en-US" w:eastAsia="en-US"/>
              </w:rPr>
              <w:t>3B</w:t>
            </w:r>
            <w:r w:rsidR="008A0760" w:rsidRPr="008A0760">
              <w:rPr>
                <w:rFonts w:ascii="Verdana" w:hAnsi="Verdana"/>
                <w:sz w:val="16"/>
                <w:szCs w:val="16"/>
                <w:lang w:val="en-US" w:eastAsia="en-US"/>
              </w:rPr>
              <w:t>.</w:t>
            </w:r>
            <w:r w:rsidR="008A0760" w:rsidRPr="008A0760">
              <w:rPr>
                <w:lang w:val="en-US" w:eastAsia="en-US"/>
              </w:rPr>
              <w:t xml:space="preserve"> </w:t>
            </w:r>
            <w:r w:rsidR="008A0760" w:rsidRPr="008A0760">
              <w:rPr>
                <w:rFonts w:ascii="Verdana" w:hAnsi="Verdana"/>
                <w:sz w:val="16"/>
                <w:szCs w:val="16"/>
                <w:lang w:val="en-US" w:eastAsia="en-US"/>
              </w:rPr>
              <w:t xml:space="preserve">Maximum permissible limits for new automotive vehicles with gross vehicle weight from 3,857 to 6,350 kilograms, produced as of January 1, 2019, obtained with the test method called </w:t>
            </w:r>
            <w:r>
              <w:rPr>
                <w:rFonts w:ascii="Verdana" w:hAnsi="Verdana"/>
                <w:sz w:val="16"/>
                <w:szCs w:val="16"/>
                <w:lang w:val="en-US" w:eastAsia="en-US"/>
              </w:rPr>
              <w:t>city driving</w:t>
            </w:r>
            <w:r w:rsidR="008A0760" w:rsidRPr="008A0760">
              <w:rPr>
                <w:rFonts w:ascii="Verdana" w:hAnsi="Verdana"/>
                <w:sz w:val="16"/>
                <w:szCs w:val="16"/>
                <w:lang w:val="en-US" w:eastAsia="en-US"/>
              </w:rPr>
              <w:t xml:space="preserve"> FTP  (FTP 75), described in </w:t>
            </w:r>
            <w:r w:rsidR="008A0760" w:rsidRPr="008A0760">
              <w:rPr>
                <w:rFonts w:ascii="Verdana" w:hAnsi="Verdana"/>
                <w:sz w:val="16"/>
                <w:szCs w:val="16"/>
                <w:lang w:val="en-US" w:eastAsia="en-US"/>
              </w:rPr>
              <w:lastRenderedPageBreak/>
              <w:t xml:space="preserve">numeral 3.5 of </w:t>
            </w:r>
            <w:r w:rsidR="00A66C6A">
              <w:rPr>
                <w:rFonts w:ascii="Verdana" w:hAnsi="Verdana"/>
                <w:sz w:val="16"/>
                <w:szCs w:val="16"/>
                <w:lang w:val="en-US" w:eastAsia="en-US"/>
              </w:rPr>
              <w:t>this</w:t>
            </w:r>
            <w:r w:rsidR="008A0760" w:rsidRPr="008A0760">
              <w:rPr>
                <w:rFonts w:ascii="Verdana" w:hAnsi="Verdana"/>
                <w:sz w:val="16"/>
                <w:szCs w:val="16"/>
                <w:lang w:val="en-US" w:eastAsia="en-US"/>
              </w:rPr>
              <w:t xml:space="preserve"> Official Mexican Standard.</w:t>
            </w:r>
            <w:r w:rsidR="008A0760" w:rsidRPr="008A0760">
              <w:rPr>
                <w:lang w:val="en-US" w:eastAsia="en-US"/>
              </w:rPr>
              <w:t xml:space="preserve"> </w:t>
            </w:r>
            <w:r w:rsidR="008A0760" w:rsidRPr="008A0760">
              <w:rPr>
                <w:rFonts w:ascii="Verdana" w:hAnsi="Verdana"/>
                <w:sz w:val="16"/>
                <w:szCs w:val="16"/>
                <w:lang w:val="en-US" w:eastAsia="en-US"/>
              </w:rPr>
              <w:t xml:space="preserve">This standard requires the use of automotive diesel with a maximum sulfur content of 15 </w:t>
            </w:r>
            <w:r w:rsidR="00475F08">
              <w:rPr>
                <w:rFonts w:ascii="Verdana" w:hAnsi="Verdana"/>
                <w:sz w:val="16"/>
                <w:szCs w:val="16"/>
                <w:lang w:val="en-US" w:eastAsia="en-US"/>
              </w:rPr>
              <w:t>mg/kg</w:t>
            </w:r>
            <w:r w:rsidR="008A0760" w:rsidRPr="008A0760">
              <w:rPr>
                <w:rFonts w:ascii="Verdana" w:hAnsi="Verdana"/>
                <w:sz w:val="16"/>
                <w:szCs w:val="16"/>
                <w:lang w:val="en-US" w:eastAsia="en-US"/>
              </w:rPr>
              <w:t>, which will be available in the country, as established in note 3 of Table 7 of the Official Mexican Standard NOM-016-CRE -2016.</w:t>
            </w:r>
            <w:r w:rsidR="008A0760" w:rsidRPr="008A0760">
              <w:rPr>
                <w:lang w:val="en-US" w:eastAsia="en-US"/>
              </w:rPr>
              <w:t xml:space="preserve"> </w:t>
            </w:r>
            <w:r w:rsidR="008A0760" w:rsidRPr="008A0760">
              <w:rPr>
                <w:rFonts w:ascii="Verdana" w:hAnsi="Verdana"/>
                <w:sz w:val="16"/>
                <w:szCs w:val="16"/>
                <w:lang w:val="en-US" w:eastAsia="en-US"/>
              </w:rPr>
              <w:t xml:space="preserve">Petroleum quality specifications, published in the Official </w:t>
            </w:r>
            <w:r w:rsidR="00735A37">
              <w:rPr>
                <w:rFonts w:ascii="Verdana" w:hAnsi="Verdana"/>
                <w:sz w:val="16"/>
                <w:szCs w:val="16"/>
                <w:lang w:val="en-US" w:eastAsia="en-US"/>
              </w:rPr>
              <w:t>Daily</w:t>
            </w:r>
            <w:r w:rsidR="008A0760" w:rsidRPr="008A0760">
              <w:rPr>
                <w:rFonts w:ascii="Verdana" w:hAnsi="Verdana"/>
                <w:sz w:val="16"/>
                <w:szCs w:val="16"/>
                <w:lang w:val="en-US" w:eastAsia="en-US"/>
              </w:rPr>
              <w:t xml:space="preserve"> of the Federation, on August 29, 2016</w:t>
            </w:r>
            <w:r w:rsidR="008A0760" w:rsidRPr="008A0760">
              <w:rPr>
                <w:lang w:val="en-US" w:eastAsia="en-US"/>
              </w:rPr>
              <w:t xml:space="preserve"> </w:t>
            </w:r>
          </w:p>
        </w:tc>
      </w:tr>
    </w:tbl>
    <w:p w14:paraId="2E6E9EBE" w14:textId="77777777" w:rsidR="008A0760" w:rsidRPr="008A0760" w:rsidRDefault="008A0760" w:rsidP="008A0760">
      <w:pPr>
        <w:spacing w:after="101" w:line="240" w:lineRule="atLeast"/>
        <w:ind w:left="864" w:right="1008" w:hanging="360"/>
        <w:jc w:val="both"/>
        <w:rPr>
          <w:lang w:val="en-US" w:eastAsia="en-US"/>
        </w:rPr>
      </w:pPr>
      <w:r w:rsidRPr="008A0760">
        <w:rPr>
          <w:rFonts w:ascii="Verdana" w:hAnsi="Verdana"/>
          <w:sz w:val="16"/>
          <w:szCs w:val="16"/>
          <w:lang w:val="en-US" w:eastAsia="en-US"/>
        </w:rPr>
        <w:lastRenderedPageBreak/>
        <w:t>.</w:t>
      </w:r>
      <w:r w:rsidRPr="008A0760">
        <w:rPr>
          <w:lang w:val="en-US" w:eastAsia="en-US"/>
        </w:rPr>
        <w:t xml:space="preserve"> </w:t>
      </w:r>
    </w:p>
    <w:p w14:paraId="64CCAAB3" w14:textId="77777777" w:rsidR="008A0760" w:rsidRPr="008A0760" w:rsidRDefault="008A0760" w:rsidP="008A0760">
      <w:pPr>
        <w:spacing w:after="160" w:line="259" w:lineRule="auto"/>
        <w:rPr>
          <w:sz w:val="22"/>
          <w:szCs w:val="22"/>
          <w:lang w:val="en-US" w:eastAsia="en-US"/>
        </w:rPr>
      </w:pPr>
      <w:r w:rsidRPr="008A0760">
        <w:rPr>
          <w:rFonts w:ascii="Calibri" w:hAnsi="Calibri" w:cs="Calibri"/>
          <w:sz w:val="22"/>
          <w:szCs w:val="22"/>
          <w:lang w:val="en-US" w:eastAsia="en-US"/>
        </w:rPr>
        <w:t> </w:t>
      </w:r>
    </w:p>
    <w:p w14:paraId="1ABD8067" w14:textId="5D79BAFA" w:rsidR="008A0760" w:rsidRPr="00B32D99" w:rsidRDefault="00B32D99" w:rsidP="00B32D99">
      <w:pPr>
        <w:pStyle w:val="Texto"/>
        <w:spacing w:line="240" w:lineRule="exact"/>
        <w:ind w:right="1008"/>
        <w:jc w:val="center"/>
        <w:rPr>
          <w:rFonts w:ascii="Verdana" w:hAnsi="Verdana"/>
          <w:b/>
          <w:bCs/>
          <w:sz w:val="16"/>
          <w:szCs w:val="16"/>
          <w:lang w:val="en-US"/>
        </w:rPr>
      </w:pPr>
      <w:r w:rsidRPr="00B32D99">
        <w:rPr>
          <w:rFonts w:ascii="Verdana" w:hAnsi="Verdana"/>
          <w:b/>
          <w:bCs/>
          <w:sz w:val="16"/>
          <w:szCs w:val="16"/>
          <w:lang w:val="en-US"/>
        </w:rPr>
        <w:t>MODIFICATION PUBLISHED IN THE DOF ON NOVEMBER 12, 2020</w:t>
      </w:r>
    </w:p>
    <w:p w14:paraId="577C6A6A" w14:textId="5B0B40D1" w:rsidR="00B32D99" w:rsidRDefault="00B32D99" w:rsidP="008A0760">
      <w:pPr>
        <w:pStyle w:val="Texto"/>
        <w:spacing w:line="240" w:lineRule="exact"/>
        <w:ind w:right="1008"/>
        <w:rPr>
          <w:rFonts w:ascii="Verdana" w:hAnsi="Verdana"/>
          <w:sz w:val="16"/>
          <w:szCs w:val="16"/>
          <w:lang w:val="en-US"/>
        </w:rPr>
      </w:pPr>
    </w:p>
    <w:tbl>
      <w:tblPr>
        <w:tblW w:w="0" w:type="auto"/>
        <w:tblLook w:val="04A0" w:firstRow="1" w:lastRow="0" w:firstColumn="1" w:lastColumn="0" w:noHBand="0" w:noVBand="1"/>
      </w:tblPr>
      <w:tblGrid>
        <w:gridCol w:w="4529"/>
        <w:gridCol w:w="4529"/>
      </w:tblGrid>
      <w:tr w:rsidR="00B32D99" w:rsidRPr="00743A20" w14:paraId="66B4CF9D" w14:textId="77777777" w:rsidTr="00E9290D">
        <w:tc>
          <w:tcPr>
            <w:tcW w:w="4529" w:type="dxa"/>
          </w:tcPr>
          <w:p w14:paraId="4836A112" w14:textId="77777777" w:rsidR="00B32D99" w:rsidRPr="00B32D99" w:rsidRDefault="00B32D99" w:rsidP="00B32D99">
            <w:pPr>
              <w:spacing w:before="120"/>
              <w:outlineLvl w:val="0"/>
              <w:rPr>
                <w:rFonts w:ascii="Verdana" w:hAnsi="Verdana"/>
                <w:b/>
                <w:sz w:val="16"/>
                <w:szCs w:val="16"/>
                <w:lang w:eastAsia="es-MX"/>
              </w:rPr>
            </w:pPr>
            <w:r w:rsidRPr="00B32D99">
              <w:rPr>
                <w:rFonts w:ascii="Verdana" w:hAnsi="Verdana"/>
                <w:b/>
                <w:sz w:val="16"/>
                <w:szCs w:val="16"/>
                <w:lang w:val="es-ES" w:eastAsia="es-MX"/>
              </w:rPr>
              <w:t xml:space="preserve">ACUERDO por el que se modifica la vigencia del periodo establecido en las notas al pie de las tablas 1, 2 y 4, de los numerales 4.1 y 4.2, únicamente en lo que se refiere a los estándares AA, de la Norma Oficial Mexicana NOM-044-SEMARNAT-2017, </w:t>
            </w:r>
            <w:r w:rsidRPr="00B32D99">
              <w:rPr>
                <w:rFonts w:ascii="Verdana" w:hAnsi="Verdana"/>
                <w:b/>
                <w:sz w:val="16"/>
                <w:szCs w:val="16"/>
                <w:lang w:eastAsia="es-MX"/>
              </w:rPr>
              <w:t>Que establece los límites máximos permisibles de emisión de monóxido de carbono, óxidos de nitrógeno, hidrocarburos no metano, hidrocarburos no metano más óxidos de nitrógeno, partículas y amoniaco, provenientes del escape de motores nuevos que utilizan diésel como combustible y que se utilizarán para la propulsión de vehículos automotores con peso bruto vehicular mayor a 3,857 kilogramos, así como del escape de vehículos automotores nuevos con peso bruto vehicular mayor a 3,857 kilogramos equipados con este tipo de motores</w:t>
            </w:r>
            <w:r w:rsidRPr="00B32D99">
              <w:rPr>
                <w:rFonts w:ascii="Verdana" w:hAnsi="Verdana"/>
                <w:b/>
                <w:sz w:val="16"/>
                <w:szCs w:val="16"/>
                <w:lang w:val="es-ES" w:eastAsia="es-MX"/>
              </w:rPr>
              <w:t>.</w:t>
            </w:r>
          </w:p>
        </w:tc>
        <w:tc>
          <w:tcPr>
            <w:tcW w:w="4529" w:type="dxa"/>
          </w:tcPr>
          <w:p w14:paraId="72CE12D1" w14:textId="77777777" w:rsidR="00B32D99" w:rsidRPr="00B32D99" w:rsidRDefault="00B32D99" w:rsidP="00B32D99">
            <w:pPr>
              <w:spacing w:before="120"/>
              <w:outlineLvl w:val="0"/>
              <w:rPr>
                <w:rFonts w:ascii="Verdana" w:hAnsi="Verdana"/>
                <w:b/>
                <w:sz w:val="16"/>
                <w:szCs w:val="16"/>
                <w:lang w:val="en-US" w:eastAsia="es-MX"/>
              </w:rPr>
            </w:pPr>
            <w:r w:rsidRPr="00B32D99">
              <w:rPr>
                <w:rFonts w:ascii="Verdana" w:hAnsi="Verdana"/>
                <w:b/>
                <w:bCs/>
                <w:sz w:val="16"/>
                <w:szCs w:val="16"/>
                <w:lang w:val="en-US" w:eastAsia="es-MX"/>
              </w:rPr>
              <w:t xml:space="preserve">AGREEMENT by which is modified the effective period established in the footnotes of the tables 1, 2 and 4, of section numbers 4.1 and 4.2, only as it refers to the AA Standards, of the Official Mexican Standard NOM-044-SEMARNAT-2017, </w:t>
            </w:r>
            <w:r w:rsidRPr="00B32D99">
              <w:rPr>
                <w:rFonts w:ascii="Verdana" w:hAnsi="Verdana"/>
                <w:b/>
                <w:bCs/>
                <w:sz w:val="16"/>
                <w:szCs w:val="16"/>
                <w:lang w:val="en-US" w:eastAsia="es-MX"/>
              </w:rPr>
              <w:tab/>
              <w:t xml:space="preserve">that establishes the maximum permissible limits of emissions of carbon monoxide, nitrogen oxides, non-methane hydrocarbons, non-methane hydrocarbons plus nitrogen oxides, particulates and ammonium, originating from the exhaust of new motors that use diesel as fuel and that will be utilized for the propulsion of automotive vehicles, with gross vehicular weight greater than 3,857 kilograms, as well as the exhaust of automotive vehicles with gross vehicular weight greater than 3,857 kilograms equipped with this type of motors.  </w:t>
            </w:r>
          </w:p>
        </w:tc>
      </w:tr>
      <w:tr w:rsidR="00B32D99" w:rsidRPr="00B32D99" w14:paraId="7819FE61" w14:textId="77777777" w:rsidTr="00E9290D">
        <w:tc>
          <w:tcPr>
            <w:tcW w:w="4529" w:type="dxa"/>
          </w:tcPr>
          <w:p w14:paraId="418DA542" w14:textId="77777777" w:rsidR="00B32D99" w:rsidRPr="00B32D99" w:rsidRDefault="00B32D99" w:rsidP="00B32D99">
            <w:pPr>
              <w:outlineLvl w:val="1"/>
              <w:rPr>
                <w:rFonts w:ascii="Verdana" w:hAnsi="Verdana" w:cs="Arial"/>
                <w:sz w:val="16"/>
                <w:szCs w:val="16"/>
              </w:rPr>
            </w:pPr>
            <w:r w:rsidRPr="00B32D99">
              <w:rPr>
                <w:rFonts w:ascii="Verdana" w:hAnsi="Verdana" w:cs="Arial"/>
                <w:sz w:val="16"/>
                <w:szCs w:val="16"/>
              </w:rPr>
              <w:t>Al margen un sello con el Escudo Nacional, que dice: Estados Unidos Mexicanos.- Secretaría de Medio Ambiente y Recursos Naturales.</w:t>
            </w:r>
          </w:p>
        </w:tc>
        <w:tc>
          <w:tcPr>
            <w:tcW w:w="4529" w:type="dxa"/>
          </w:tcPr>
          <w:p w14:paraId="7209AC0A" w14:textId="77777777" w:rsidR="00B32D99" w:rsidRPr="00B32D99" w:rsidRDefault="00B32D99" w:rsidP="00B32D99">
            <w:pPr>
              <w:outlineLvl w:val="1"/>
              <w:rPr>
                <w:rFonts w:ascii="Verdana" w:hAnsi="Verdana" w:cs="Arial"/>
                <w:sz w:val="16"/>
                <w:szCs w:val="16"/>
                <w:lang w:val="en-US"/>
              </w:rPr>
            </w:pPr>
            <w:r w:rsidRPr="00B32D99">
              <w:rPr>
                <w:rFonts w:ascii="Verdana" w:hAnsi="Verdana"/>
                <w:sz w:val="16"/>
                <w:szCs w:val="16"/>
                <w:lang w:val="en-US"/>
              </w:rPr>
              <w:t xml:space="preserve">In the margin a stamp with the National Seal, that says: United Mexican States.- Secretary of Environment and Natural Resources. </w:t>
            </w:r>
          </w:p>
        </w:tc>
      </w:tr>
      <w:tr w:rsidR="00B32D99" w:rsidRPr="00743A20" w14:paraId="733C476F" w14:textId="77777777" w:rsidTr="00E9290D">
        <w:tc>
          <w:tcPr>
            <w:tcW w:w="4529" w:type="dxa"/>
          </w:tcPr>
          <w:p w14:paraId="1840CE18" w14:textId="77777777" w:rsidR="00B32D99" w:rsidRPr="00B32D99" w:rsidRDefault="00B32D99" w:rsidP="00B32D99">
            <w:pPr>
              <w:spacing w:after="20" w:line="204" w:lineRule="exact"/>
              <w:rPr>
                <w:rFonts w:ascii="Verdana" w:hAnsi="Verdana" w:cs="Arial"/>
                <w:sz w:val="16"/>
                <w:szCs w:val="16"/>
              </w:rPr>
            </w:pPr>
            <w:r w:rsidRPr="00B32D99">
              <w:rPr>
                <w:rFonts w:ascii="Verdana" w:hAnsi="Verdana" w:cs="Arial"/>
                <w:b/>
                <w:bCs/>
                <w:sz w:val="16"/>
                <w:szCs w:val="16"/>
              </w:rPr>
              <w:t>TONATIUH HERRERA GUTIÉRREZ,</w:t>
            </w:r>
            <w:r w:rsidRPr="00B32D99">
              <w:rPr>
                <w:rFonts w:ascii="Verdana" w:hAnsi="Verdana" w:cs="Arial"/>
                <w:sz w:val="16"/>
                <w:szCs w:val="16"/>
              </w:rPr>
              <w:t xml:space="preserve"> Subsecretario de Fomento y Normatividad Ambiental y Presidente del Comité Consultivo Nacional de Normalización de Medio Ambiente y Recursos Naturales, con fundamento en lo dispuesto por los artículos 32 Bis, fracción IV de la Ley Orgánica de la Administración Pública Federal; 51, párrafo segundo de la Ley Federal sobre Metrología y Normalización; 5o, fracción V, 36, 37 TER, 111, fracción III de la Ley General del Equilibrio Ecológico y la Protección al Ambiente; Cuarto Transitorio de la Ley de Infraestructura de la Calidad; 7o, fracciones II y IV del Reglamento de la Ley General del Equilibrio Ecológico y la Protección al Ambiente en materia de Prevención y Control de la Contaminación de la Atmósfera y 8o, fracción III, del Reglamento Interior de la Secretaría de Medio Ambiente y Recursos Naturales, y</w:t>
            </w:r>
          </w:p>
        </w:tc>
        <w:tc>
          <w:tcPr>
            <w:tcW w:w="4529" w:type="dxa"/>
          </w:tcPr>
          <w:p w14:paraId="092F3621" w14:textId="77777777" w:rsidR="00B32D99" w:rsidRPr="00B32D99" w:rsidRDefault="00B32D99" w:rsidP="00B32D99">
            <w:pPr>
              <w:spacing w:after="20" w:line="204" w:lineRule="exact"/>
              <w:rPr>
                <w:rFonts w:ascii="Verdana" w:hAnsi="Verdana" w:cs="Arial"/>
                <w:sz w:val="16"/>
                <w:szCs w:val="16"/>
                <w:lang w:val="en-US"/>
              </w:rPr>
            </w:pPr>
            <w:r w:rsidRPr="00B32D99">
              <w:rPr>
                <w:rFonts w:ascii="Verdana" w:hAnsi="Verdana"/>
                <w:b/>
                <w:bCs/>
                <w:sz w:val="16"/>
                <w:szCs w:val="16"/>
                <w:lang w:val="en-US"/>
              </w:rPr>
              <w:t>TONATIUH HERRERA GUTIERREZ,</w:t>
            </w:r>
            <w:r w:rsidRPr="00B32D99">
              <w:rPr>
                <w:rFonts w:ascii="Verdana" w:hAnsi="Verdana"/>
                <w:sz w:val="16"/>
                <w:szCs w:val="16"/>
                <w:lang w:val="en-US"/>
              </w:rPr>
              <w:t xml:space="preserve"> Undersecretary of Environmental Promotion and Legislation and President of the National Consultative Committee for  Standardization of the Environment and Natural Resources, with legal basis in the provisions of the Articles 32 Bis, section IV of the Organic Law of the Federal Public Administration; 51, second paragraph of the Federal Law on Metrology and Standardization; article 5, section V, 36, 37 TER, 111, section III of the General Law of Ecological Equilibrium and Protection of the Environment; Fourth Transitional article of the Law of Quality Infrastructure; article 7, sections II and IV of the Regulation of the General Law of Ecological Equilibrium and Protection of the Environment in matters of Prevention and Control of Contamination of the Atmosphere and article 8, section III of the Internal Regulation of the Secretary of Environment and Natural Resources, and  </w:t>
            </w:r>
          </w:p>
        </w:tc>
      </w:tr>
      <w:tr w:rsidR="00B32D99" w:rsidRPr="00B32D99" w14:paraId="08F3FF8C" w14:textId="77777777" w:rsidTr="00E9290D">
        <w:tc>
          <w:tcPr>
            <w:tcW w:w="4529" w:type="dxa"/>
          </w:tcPr>
          <w:p w14:paraId="6A8D570C" w14:textId="77777777" w:rsidR="00B32D99" w:rsidRPr="00B32D99" w:rsidRDefault="00B32D99" w:rsidP="00B32D99">
            <w:pPr>
              <w:spacing w:after="20" w:line="204" w:lineRule="exact"/>
              <w:jc w:val="center"/>
              <w:rPr>
                <w:rFonts w:ascii="Verdana" w:hAnsi="Verdana"/>
                <w:b/>
                <w:sz w:val="16"/>
                <w:szCs w:val="16"/>
                <w:lang w:val="es-ES_tradnl"/>
              </w:rPr>
            </w:pPr>
            <w:r w:rsidRPr="00B32D99">
              <w:rPr>
                <w:rFonts w:ascii="Verdana" w:hAnsi="Verdana"/>
                <w:b/>
                <w:sz w:val="16"/>
                <w:szCs w:val="16"/>
                <w:lang w:val="es-ES_tradnl"/>
              </w:rPr>
              <w:t>CONSIDERANDO</w:t>
            </w:r>
          </w:p>
        </w:tc>
        <w:tc>
          <w:tcPr>
            <w:tcW w:w="4529" w:type="dxa"/>
          </w:tcPr>
          <w:p w14:paraId="4B514C96" w14:textId="77777777" w:rsidR="00B32D99" w:rsidRPr="00B32D99" w:rsidRDefault="00B32D99" w:rsidP="00B32D99">
            <w:pPr>
              <w:spacing w:after="20" w:line="204" w:lineRule="exact"/>
              <w:jc w:val="center"/>
              <w:rPr>
                <w:rFonts w:ascii="Verdana" w:hAnsi="Verdana"/>
                <w:b/>
                <w:sz w:val="16"/>
                <w:szCs w:val="16"/>
                <w:lang w:val="en-US"/>
              </w:rPr>
            </w:pPr>
            <w:r w:rsidRPr="00B32D99">
              <w:rPr>
                <w:rFonts w:ascii="Verdana" w:hAnsi="Verdana"/>
                <w:b/>
                <w:bCs/>
                <w:sz w:val="16"/>
                <w:szCs w:val="16"/>
                <w:lang w:val="es-ES_tradnl"/>
              </w:rPr>
              <w:t>CONSIDERING</w:t>
            </w:r>
          </w:p>
        </w:tc>
      </w:tr>
      <w:tr w:rsidR="00B32D99" w:rsidRPr="00743A20" w14:paraId="4645EE6C" w14:textId="77777777" w:rsidTr="00E9290D">
        <w:tc>
          <w:tcPr>
            <w:tcW w:w="4529" w:type="dxa"/>
          </w:tcPr>
          <w:p w14:paraId="139F444D" w14:textId="77777777" w:rsidR="00B32D99" w:rsidRPr="00B32D99" w:rsidRDefault="00B32D99" w:rsidP="00B32D99">
            <w:pPr>
              <w:spacing w:after="20" w:line="204" w:lineRule="exact"/>
              <w:rPr>
                <w:rFonts w:ascii="Verdana" w:hAnsi="Verdana" w:cs="Arial"/>
                <w:sz w:val="16"/>
                <w:szCs w:val="16"/>
              </w:rPr>
            </w:pPr>
            <w:r w:rsidRPr="00B32D99">
              <w:rPr>
                <w:rFonts w:ascii="Verdana" w:hAnsi="Verdana" w:cs="Arial"/>
                <w:sz w:val="16"/>
                <w:szCs w:val="16"/>
              </w:rPr>
              <w:t xml:space="preserve">Que el 19 de febrero de 2018, se publicó en el Diario Oficial de la Federación, la Norma Oficial Mexicana NOM-044-SEMARNAT-2017, Que establece los </w:t>
            </w:r>
            <w:r w:rsidRPr="00B32D99">
              <w:rPr>
                <w:rFonts w:ascii="Verdana" w:hAnsi="Verdana" w:cs="Arial"/>
                <w:sz w:val="16"/>
                <w:szCs w:val="16"/>
              </w:rPr>
              <w:lastRenderedPageBreak/>
              <w:t>límites máximos permisibles de emisión de monóxido de carbono, óxidos de nitrógeno, hidrocarburos no metano, hidrocarburos no metano más óxidos de nitrógeno, partículas y amoniaco, provenientes del escape de motores nuevos que utilizan diésel como combustible y que se utilizarán para la propulsión de vehículos automotores con peso bruto vehicular mayor a 3,857 kilogramos, así como del escape de vehículos automotores nuevos con peso bruto vehicular mayor a 3,857 kilogramos equipados con este tipo de motores.</w:t>
            </w:r>
          </w:p>
        </w:tc>
        <w:tc>
          <w:tcPr>
            <w:tcW w:w="4529" w:type="dxa"/>
          </w:tcPr>
          <w:p w14:paraId="600BF86A" w14:textId="77777777" w:rsidR="00B32D99" w:rsidRPr="00B32D99" w:rsidRDefault="00B32D99" w:rsidP="00B32D99">
            <w:pPr>
              <w:spacing w:after="20" w:line="204" w:lineRule="exact"/>
              <w:rPr>
                <w:rFonts w:ascii="Verdana" w:hAnsi="Verdana" w:cs="Arial"/>
                <w:sz w:val="16"/>
                <w:szCs w:val="16"/>
                <w:lang w:val="en-US"/>
              </w:rPr>
            </w:pPr>
            <w:r w:rsidRPr="00B32D99">
              <w:rPr>
                <w:rFonts w:ascii="Verdana" w:hAnsi="Verdana"/>
                <w:sz w:val="16"/>
                <w:szCs w:val="16"/>
                <w:lang w:val="en-US"/>
              </w:rPr>
              <w:lastRenderedPageBreak/>
              <w:t>That on the 19</w:t>
            </w:r>
            <w:r w:rsidRPr="00B32D99">
              <w:rPr>
                <w:rFonts w:ascii="Verdana" w:hAnsi="Verdana"/>
                <w:sz w:val="16"/>
                <w:szCs w:val="16"/>
                <w:vertAlign w:val="superscript"/>
                <w:lang w:val="en-US"/>
              </w:rPr>
              <w:t>th</w:t>
            </w:r>
            <w:r w:rsidRPr="00B32D99">
              <w:rPr>
                <w:rFonts w:ascii="Verdana" w:hAnsi="Verdana"/>
                <w:sz w:val="16"/>
                <w:szCs w:val="16"/>
                <w:lang w:val="en-US"/>
              </w:rPr>
              <w:t xml:space="preserve">  of February of 2018, the Official Mexican Standard NOM-044-SEMARNAT-2017, that establishes the maximum permissible limits of </w:t>
            </w:r>
            <w:r w:rsidRPr="00B32D99">
              <w:rPr>
                <w:rFonts w:ascii="Verdana" w:hAnsi="Verdana"/>
                <w:sz w:val="16"/>
                <w:szCs w:val="16"/>
                <w:lang w:val="en-US"/>
              </w:rPr>
              <w:lastRenderedPageBreak/>
              <w:t xml:space="preserve">emissions of carbon monoxide, nitrogen oxides, non-methane hydrocarbons, non-methane hydrocarbons plus nitrogen oxides, particulates and ammonium, originating from the exhaust of new motors that use diesel as fuel and that will be utilized for the propulsion of automotive vehicles, with gross vehicular weight greater than 3,857 kilograms, as well as the exhaust of automotive vehicles with gross vehicular weight greater than 3,857 kilograms equipped with this type of motors was published in the Official Daily of the Federation. </w:t>
            </w:r>
          </w:p>
        </w:tc>
      </w:tr>
      <w:tr w:rsidR="00B32D99" w:rsidRPr="00743A20" w14:paraId="7087EFE6" w14:textId="77777777" w:rsidTr="00E9290D">
        <w:tc>
          <w:tcPr>
            <w:tcW w:w="4529" w:type="dxa"/>
          </w:tcPr>
          <w:p w14:paraId="03D87F01"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lastRenderedPageBreak/>
              <w:t>Que dicha Norma Oficial Mexicana es de observancia obligatoria para los fabricantes e importadores de los motores nuevos que usan diésel como combustible y que se utilizarán para la propulsión de vehículos automotores con peso bruto vehicular mayor a 3,857 kilogramos, así como para los vehículos automotores nuevos con peso bruto vehicular mayor a 3,857 kilogramos equipados con este tipo de motores.</w:t>
            </w:r>
          </w:p>
        </w:tc>
        <w:tc>
          <w:tcPr>
            <w:tcW w:w="4529" w:type="dxa"/>
          </w:tcPr>
          <w:p w14:paraId="238CEDB5"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That said Official Mexican Standard is of mandatory compliance for the manufacturers and importers of new engines that use diesel as fuel and which are used for the propulsion of motor vehicles with a gross vehicle weight greater than 3,857 kilograms, as well as the exhaust of automotive vehicles with gross vehicular weight greater than 3,857 kilograms equipped with this type of motors.</w:t>
            </w:r>
          </w:p>
        </w:tc>
      </w:tr>
      <w:tr w:rsidR="00B32D99" w:rsidRPr="00743A20" w14:paraId="53A22A8F" w14:textId="77777777" w:rsidTr="00E9290D">
        <w:tc>
          <w:tcPr>
            <w:tcW w:w="4529" w:type="dxa"/>
          </w:tcPr>
          <w:p w14:paraId="2A0B3EC5"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Que el objeto de la Norma Oficial Mexicana arriba citada es establecer los límites máximos permisibles de emisiones de monóxido de carbono, óxidos de nitrógeno, hidrocarburos no metano, hidrocarburos no metano más óxidos de nitrógeno, partículas, e incluso de amoniaco, conforme a lo especificado en las Tablas 1, 2, 3 y 4 de dicha Norma Oficial Mexicana; todos ellos, contaminantes provenientes del escape de motores nuevos que utilizan diésel como combustible y que se utilizarán para la propulsión de vehículos automotores con peso bruto vehicular mayor a 3,857 kilogramos, así como del escape de vehículos automotores nuevos con peso bruto vehicular mayor a 3,857 kilogramos equipados con este tipo de motores.</w:t>
            </w:r>
          </w:p>
        </w:tc>
        <w:tc>
          <w:tcPr>
            <w:tcW w:w="4529" w:type="dxa"/>
          </w:tcPr>
          <w:p w14:paraId="0C73DAEB"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That the object of the Official Mexican Standard cited above is to establish the maximum limits allowable of emissions of carbon monoxide,  nitrogen oxides, non methane hydrocarbons, non methane hydrocarbons plus nitrogen oxides, particles, and including ammonia, according to that specified in the Tables 1, 2, 3 and 4 of this Official Mexican Standard; all of them, pollutants coming from the exhaust from new motors that use diesel as fuel and that will be used for the propulsion of motor vehicles with a gross vehicle weight greater than 3,857 kilograms, as well as the exhaust from automotive vehicles with gross vehicular weight greater than 3,857 kilograms equipped with this type of motors.</w:t>
            </w:r>
          </w:p>
        </w:tc>
      </w:tr>
      <w:tr w:rsidR="00B32D99" w:rsidRPr="00743A20" w14:paraId="6D49A8F1" w14:textId="77777777" w:rsidTr="00E9290D">
        <w:tc>
          <w:tcPr>
            <w:tcW w:w="4529" w:type="dxa"/>
          </w:tcPr>
          <w:p w14:paraId="0F478AD7"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Que, con base en lo anterior, esta autoridad ambiental busca que los motores nuevos a diésel y los vehículos pesados nuevos que los incorporen y que se enajenen por primera vez en el territorio nacional, cuenten con tecnologías más eficientes y menos contaminantes, en comparación con aquellas que se comercializaban de manera previa a la entrada en vigor de la Norma Oficial Mexicana arriba citada y cuya aplicación concluyó el 30 de junio de 2019, conforme a lo indicado en las notas a los pies de las Tablas 1, 2, 3 y 4 de dicho instrumento normativo; específicamente de las que corresponden a los estándares A de la propia Norma.</w:t>
            </w:r>
          </w:p>
        </w:tc>
        <w:tc>
          <w:tcPr>
            <w:tcW w:w="4529" w:type="dxa"/>
          </w:tcPr>
          <w:p w14:paraId="46A61A3E"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That, based on the above, this environmental authority is seeking that new diesel motor vehicles and the heavy new vehicles that incorporate them and that are transferred for the first time in the national territory, have more efficient technologies and less contaminants, in comparison with those that were marketed prior to the entry into force of the aforementioned Official Mexican Standard  and whose application concluded the 30</w:t>
            </w:r>
            <w:r w:rsidRPr="00B32D99">
              <w:rPr>
                <w:rFonts w:ascii="Verdana" w:hAnsi="Verdana"/>
                <w:sz w:val="16"/>
                <w:szCs w:val="16"/>
                <w:vertAlign w:val="superscript"/>
                <w:lang w:val="en-US"/>
              </w:rPr>
              <w:t>th</w:t>
            </w:r>
            <w:r w:rsidRPr="00B32D99">
              <w:rPr>
                <w:rFonts w:ascii="Verdana" w:hAnsi="Verdana"/>
                <w:sz w:val="16"/>
                <w:szCs w:val="16"/>
                <w:lang w:val="en-US"/>
              </w:rPr>
              <w:t xml:space="preserve"> of June of 2019 according to that indicated in the footnotes of the Tables 1, 2, 3, and 4 of said regulatory instrument; specifically that which corresponds to the A standards A of the same standard.  </w:t>
            </w:r>
          </w:p>
        </w:tc>
      </w:tr>
      <w:tr w:rsidR="00B32D99" w:rsidRPr="00743A20" w14:paraId="72B04571" w14:textId="77777777" w:rsidTr="00E9290D">
        <w:tc>
          <w:tcPr>
            <w:tcW w:w="4529" w:type="dxa"/>
          </w:tcPr>
          <w:p w14:paraId="3DE31F62"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 xml:space="preserve">Que en la elaboración de dicho instrumento normativo se tomaron en cuenta las disposiciones emitidas, tanto por los Estados Unidos de América, como por el Parlamento Europeo y el Consejo de la Unión Europea, las cuales contemplan especificaciones para los motores nuevos a diésel, </w:t>
            </w:r>
            <w:r w:rsidRPr="00B32D99">
              <w:rPr>
                <w:rFonts w:ascii="Verdana" w:hAnsi="Verdana" w:cs="Arial"/>
                <w:sz w:val="16"/>
                <w:szCs w:val="16"/>
              </w:rPr>
              <w:lastRenderedPageBreak/>
              <w:t>así como para los vehículos automotores nuevos que los incorporan, de manera diferenciada.</w:t>
            </w:r>
          </w:p>
        </w:tc>
        <w:tc>
          <w:tcPr>
            <w:tcW w:w="4529" w:type="dxa"/>
          </w:tcPr>
          <w:p w14:paraId="4D37D9ED"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lastRenderedPageBreak/>
              <w:t xml:space="preserve">That in the preparation of said regulatory instrument the provisions issued, both by the United States of America, and by the European Parliament and the Council of the European Union were taken into account, which cover specifications for new diesel motors, as well as for those new automotive vehicles that incorporate them in different ways.    </w:t>
            </w:r>
          </w:p>
        </w:tc>
      </w:tr>
      <w:tr w:rsidR="00B32D99" w:rsidRPr="00743A20" w14:paraId="25DDFC52" w14:textId="77777777" w:rsidTr="00E9290D">
        <w:tc>
          <w:tcPr>
            <w:tcW w:w="4529" w:type="dxa"/>
          </w:tcPr>
          <w:p w14:paraId="6F64F2EA"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Que la NOM-044-SEMARNAT-2017, en sus numerales 4.1 y 4.2, incluye las Tablas 1, 2, 3 y 4, en las cuales se establecen estándares de cumplimiento por medio de límites máximos permisibles de emisión de gases y partículas, mismos que deben cumplir los motores nuevos a diésel y las unidades nuevas que los incorporen.</w:t>
            </w:r>
          </w:p>
        </w:tc>
        <w:tc>
          <w:tcPr>
            <w:tcW w:w="4529" w:type="dxa"/>
          </w:tcPr>
          <w:p w14:paraId="0EC7E662"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 xml:space="preserve">That the NOM-044-SEMARNAT-2017 in its section numbers 4.1 and 4.2, including the Tables 1, 2, 3 and 4, in standards for compliance are established for the maximum allowable limits of the emission of gases and particulates, with which the new diesel motors and new units that incorporate them must comply. </w:t>
            </w:r>
          </w:p>
        </w:tc>
      </w:tr>
      <w:tr w:rsidR="00B32D99" w:rsidRPr="00743A20" w14:paraId="0A0D8F69" w14:textId="77777777" w:rsidTr="00E9290D">
        <w:tc>
          <w:tcPr>
            <w:tcW w:w="4529" w:type="dxa"/>
          </w:tcPr>
          <w:p w14:paraId="50258A8A"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Que los límites máximos permisibles que aparecen en las Tablas 1 y 3 de la Norma Oficial Mexicana arriba citada, son equivalentes a los que se contemplan en la regulación estadounidense, los cuales son determinados a través de los métodos o ciclos de prueba establecidos por la Agencia de Protección Ambiental de los Estados Unidos de América: el Ciclo Suplementario Estable, el Ciclo Transitorio y el Ciclo en Ciudad FTP, los dos primeros asociados a la Tabla 1 y el tercero a la Tabla 3.</w:t>
            </w:r>
          </w:p>
        </w:tc>
        <w:tc>
          <w:tcPr>
            <w:tcW w:w="4529" w:type="dxa"/>
          </w:tcPr>
          <w:p w14:paraId="4B40A52D"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 xml:space="preserve">That the maximum permissible limits that appear in the Tables 1 and 3 of the aforementioned Official Mexican Standard, are equivalent to those that are covered in the US regulation, those which are determined through of the methods or cycles of testing established by the Environmental Protection Agency of the United States of America: the Supplementary Stable Cycle, the Transitional Cycle and the City Cycle, the two first associated with the Table 1 and the third to the Table 3. </w:t>
            </w:r>
          </w:p>
        </w:tc>
      </w:tr>
      <w:tr w:rsidR="00B32D99" w:rsidRPr="00743A20" w14:paraId="7FEC6A5D" w14:textId="77777777" w:rsidTr="00E9290D">
        <w:tc>
          <w:tcPr>
            <w:tcW w:w="4529" w:type="dxa"/>
          </w:tcPr>
          <w:p w14:paraId="45435D60"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Que los estándares AA y B en las Tablas 2 y 4 de dicho instrumento normativo, son equivalentes a los límites máximos permisibles contemplados en la regulación europea, por lo que solamente aplican los métodos o ciclos de prueba establecidos por el Parlamento Europeo y el Consejo de la Unión Europea, así como por la Comisión Económica de las Naciones Unidas para Europa. En el caso del estándar AA de la Tabla 2 aplican el Ciclo Europeo de Estado Continuo y el Ciclo Europeo de Transición, mientras que para el estándar B de dicha tabla: el Ciclo Estado Estable Mundial Armonizado de Prueba y el Ciclo Estado Transitorio Mundial Armonizado de Prueba, siendo el Nuevo Ciclo Europeo de Prueba, el único vinculado a los estándares AA y B de la Tabla 4.</w:t>
            </w:r>
          </w:p>
        </w:tc>
        <w:tc>
          <w:tcPr>
            <w:tcW w:w="4529" w:type="dxa"/>
          </w:tcPr>
          <w:p w14:paraId="4462087D"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 xml:space="preserve">That the standards AA and B in the Tables 2 and 4 of this regulatory instrument, are equivalent to the maximum permissible limits provided for in the European regulation, for which only apply the methods or test cycles established by the European Parliament and the Council of the European Union, as well as by the Economic Commission of the United Nations for Europe. In the case of the standard AA in the Table 2, the European Cycle of Continuous State and the European Transition Cycle, while for the Standard B of said table: the Worldwide Harmonized Stable Test Cycle and the  Transitional State Harmonized Test Cycle, being the New European Test Cycle, the only linked to the AA and B Standards of the Table 4.  </w:t>
            </w:r>
          </w:p>
        </w:tc>
      </w:tr>
      <w:tr w:rsidR="00B32D99" w:rsidRPr="00743A20" w14:paraId="144C7A7F" w14:textId="77777777" w:rsidTr="00E9290D">
        <w:tc>
          <w:tcPr>
            <w:tcW w:w="4529" w:type="dxa"/>
          </w:tcPr>
          <w:p w14:paraId="2BB97283"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Que las Tablas 1, 2 y 4 de la NOM-044-SEMARNAT-2017, contemplan estándares A, AA y B, mientras que la Tabla 3 de ese instrumento normativo, únicamente contempla los estándares A y B.</w:t>
            </w:r>
          </w:p>
        </w:tc>
        <w:tc>
          <w:tcPr>
            <w:tcW w:w="4529" w:type="dxa"/>
          </w:tcPr>
          <w:p w14:paraId="046AE7D5"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 xml:space="preserve">That the Tables 1, 2 and 4 of the NOM-044-SEMARNAT-2017, include standards A, AA and B, while the Table 3 of the regulatory instrument, only includes the standards A and B. </w:t>
            </w:r>
          </w:p>
        </w:tc>
      </w:tr>
      <w:tr w:rsidR="00B32D99" w:rsidRPr="00743A20" w14:paraId="46C3CB4F" w14:textId="77777777" w:rsidTr="00E9290D">
        <w:tc>
          <w:tcPr>
            <w:tcW w:w="4529" w:type="dxa"/>
          </w:tcPr>
          <w:p w14:paraId="550422BE"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Que los estándares AA contemplados en la multicitada Norma Oficial Mexicana empezaron a aplicar el 01 de enero de 2019 y su periodo de vigencia concluirá el 31 de diciembre de 2020, según lo indicado en los pies de tabla correspondientes.</w:t>
            </w:r>
          </w:p>
        </w:tc>
        <w:tc>
          <w:tcPr>
            <w:tcW w:w="4529" w:type="dxa"/>
          </w:tcPr>
          <w:p w14:paraId="1AB5AD3D"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That the standards AA referred to the Official Mexican Standard began to apply the 1</w:t>
            </w:r>
            <w:r w:rsidRPr="00B32D99">
              <w:rPr>
                <w:rFonts w:ascii="Verdana" w:hAnsi="Verdana"/>
                <w:sz w:val="16"/>
                <w:szCs w:val="16"/>
                <w:vertAlign w:val="superscript"/>
                <w:lang w:val="en-US"/>
              </w:rPr>
              <w:t>st</w:t>
            </w:r>
            <w:r w:rsidRPr="00B32D99">
              <w:rPr>
                <w:rFonts w:ascii="Verdana" w:hAnsi="Verdana"/>
                <w:sz w:val="16"/>
                <w:szCs w:val="16"/>
                <w:lang w:val="en-US"/>
              </w:rPr>
              <w:t xml:space="preserve"> of January of 2019 and its period of validity will end the 31</w:t>
            </w:r>
            <w:r w:rsidRPr="00B32D99">
              <w:rPr>
                <w:rFonts w:ascii="Verdana" w:hAnsi="Verdana"/>
                <w:sz w:val="16"/>
                <w:szCs w:val="16"/>
                <w:vertAlign w:val="superscript"/>
                <w:lang w:val="en-US"/>
              </w:rPr>
              <w:t>st</w:t>
            </w:r>
            <w:r w:rsidRPr="00B32D99">
              <w:rPr>
                <w:rFonts w:ascii="Verdana" w:hAnsi="Verdana"/>
                <w:sz w:val="16"/>
                <w:szCs w:val="16"/>
                <w:lang w:val="en-US"/>
              </w:rPr>
              <w:t xml:space="preserve"> of December of 2020 as indicated in the footnotes of the corresponding Table.</w:t>
            </w:r>
          </w:p>
        </w:tc>
      </w:tr>
      <w:tr w:rsidR="00B32D99" w:rsidRPr="00743A20" w14:paraId="6A778EF7" w14:textId="77777777" w:rsidTr="00E9290D">
        <w:tc>
          <w:tcPr>
            <w:tcW w:w="4529" w:type="dxa"/>
          </w:tcPr>
          <w:p w14:paraId="605B80D8"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Que los sujetos regulados a través de la NOM-044-SEMARNAT-2017 planean, diseñan, fabrican e importan motores nuevos a diésel y vehículos pesados nuevos que los incorporen con determinada anticipación y, en ese sentido, si existe una suspensión de labores en alguna de esas etapas, resulta necesario realizar ajustes en las actividades correspondientes.</w:t>
            </w:r>
          </w:p>
        </w:tc>
        <w:tc>
          <w:tcPr>
            <w:tcW w:w="4529" w:type="dxa"/>
          </w:tcPr>
          <w:p w14:paraId="316AD4EE"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That the subjects regulated to through the NOM-044-SEMARNAT-2017 plan, design, manufacture and import new diesel motors and new heavy vehicles that incorporate them with  certain anticipation and, in that sense, if there is a suspension of labor in some of these stages, it is necessary to make adjustments in the corresponding activities.</w:t>
            </w:r>
          </w:p>
        </w:tc>
      </w:tr>
      <w:tr w:rsidR="00B32D99" w:rsidRPr="00743A20" w14:paraId="65FDEF26" w14:textId="77777777" w:rsidTr="00E9290D">
        <w:tc>
          <w:tcPr>
            <w:tcW w:w="4529" w:type="dxa"/>
          </w:tcPr>
          <w:p w14:paraId="07B49823"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lastRenderedPageBreak/>
              <w:t>Que el 24 de marzo de 2020, se publicó, en el Diario Oficial de la Federación, el Acuerdo por el que se establecen las medidas preventivas que se deberán implementar para la mitigación y control de los riesgos para la salud que implica la enfermedad por el virus SARS-CoV2 (COVID-19).</w:t>
            </w:r>
          </w:p>
        </w:tc>
        <w:tc>
          <w:tcPr>
            <w:tcW w:w="4529" w:type="dxa"/>
          </w:tcPr>
          <w:p w14:paraId="363D3A9A"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That on the 24</w:t>
            </w:r>
            <w:r w:rsidRPr="00B32D99">
              <w:rPr>
                <w:rFonts w:ascii="Verdana" w:hAnsi="Verdana"/>
                <w:sz w:val="16"/>
                <w:szCs w:val="16"/>
                <w:vertAlign w:val="superscript"/>
                <w:lang w:val="en-US"/>
              </w:rPr>
              <w:t>th</w:t>
            </w:r>
            <w:r w:rsidRPr="00B32D99">
              <w:rPr>
                <w:rFonts w:ascii="Verdana" w:hAnsi="Verdana"/>
                <w:sz w:val="16"/>
                <w:szCs w:val="16"/>
                <w:lang w:val="en-US"/>
              </w:rPr>
              <w:t xml:space="preserve"> of March of 2020, the agreement by which are established the preventive measures that will be implemented for the mitigation and monitoring of the risks to the health that involves the Virus SARS-CoV2 virus (COVID-19) was published in the Daily Official of the Federation. </w:t>
            </w:r>
          </w:p>
        </w:tc>
      </w:tr>
      <w:tr w:rsidR="00B32D99" w:rsidRPr="00743A20" w14:paraId="2675B583" w14:textId="77777777" w:rsidTr="00E9290D">
        <w:tc>
          <w:tcPr>
            <w:tcW w:w="4529" w:type="dxa"/>
          </w:tcPr>
          <w:p w14:paraId="59CC7067" w14:textId="77777777" w:rsidR="00B32D99" w:rsidRPr="00B32D99" w:rsidRDefault="00B32D99" w:rsidP="00B32D99">
            <w:pPr>
              <w:spacing w:line="222" w:lineRule="exact"/>
              <w:rPr>
                <w:rFonts w:ascii="Verdana" w:hAnsi="Verdana" w:cs="Arial"/>
                <w:sz w:val="16"/>
                <w:szCs w:val="16"/>
              </w:rPr>
            </w:pPr>
            <w:r w:rsidRPr="00B32D99">
              <w:rPr>
                <w:rFonts w:ascii="Verdana" w:hAnsi="Verdana" w:cs="Arial"/>
                <w:sz w:val="16"/>
                <w:szCs w:val="16"/>
              </w:rPr>
              <w:t>Que entre las medidas a poner en práctica que se mencionan en el artículo segundo de dicho Acuerdo, se encuentra la de suspender temporalmente las actividades de los sectores público, social y privado que involucren la concentración física, tránsito o desplazamiento de personas a partir de la entrada en vigor dicho Acuerdo y hasta el 19 de abril del 2020.</w:t>
            </w:r>
          </w:p>
        </w:tc>
        <w:tc>
          <w:tcPr>
            <w:tcW w:w="4529" w:type="dxa"/>
          </w:tcPr>
          <w:p w14:paraId="1300F2F7" w14:textId="77777777" w:rsidR="00B32D99" w:rsidRPr="00B32D99" w:rsidRDefault="00B32D99" w:rsidP="00B32D99">
            <w:pPr>
              <w:spacing w:line="222" w:lineRule="exact"/>
              <w:rPr>
                <w:rFonts w:ascii="Verdana" w:hAnsi="Verdana" w:cs="Arial"/>
                <w:sz w:val="16"/>
                <w:szCs w:val="16"/>
                <w:lang w:val="en-US"/>
              </w:rPr>
            </w:pPr>
            <w:r w:rsidRPr="00B32D99">
              <w:rPr>
                <w:rFonts w:ascii="Verdana" w:hAnsi="Verdana"/>
                <w:sz w:val="16"/>
                <w:szCs w:val="16"/>
                <w:lang w:val="en-US"/>
              </w:rPr>
              <w:t>That among the measures to put into practice that is mentioned in the second article of this Agreement is temporary suspension of the activities of the public, social and private sectors that involve the physical concentration, transit or displacement of persons from the entry into force of this Agreement and until the 19</w:t>
            </w:r>
            <w:r w:rsidRPr="00B32D99">
              <w:rPr>
                <w:rFonts w:ascii="Verdana" w:hAnsi="Verdana"/>
                <w:sz w:val="16"/>
                <w:szCs w:val="16"/>
                <w:vertAlign w:val="superscript"/>
                <w:lang w:val="en-US"/>
              </w:rPr>
              <w:t>th</w:t>
            </w:r>
            <w:r w:rsidRPr="00B32D99">
              <w:rPr>
                <w:rFonts w:ascii="Verdana" w:hAnsi="Verdana"/>
                <w:sz w:val="16"/>
                <w:szCs w:val="16"/>
                <w:lang w:val="en-US"/>
              </w:rPr>
              <w:t xml:space="preserve"> of April of 2020.   </w:t>
            </w:r>
          </w:p>
        </w:tc>
      </w:tr>
      <w:tr w:rsidR="00B32D99" w:rsidRPr="00743A20" w14:paraId="54E2B096" w14:textId="77777777" w:rsidTr="00E9290D">
        <w:tc>
          <w:tcPr>
            <w:tcW w:w="4529" w:type="dxa"/>
          </w:tcPr>
          <w:p w14:paraId="0CC13CE2"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Que el 31 de marzo de 2020, se publicó en el Diario Oficial de la Federación, el Acuerdo por el que se establecen acciones extraordinarias para atender la emergencia sanitaria generada por el virus SARS-CoV2.</w:t>
            </w:r>
          </w:p>
        </w:tc>
        <w:tc>
          <w:tcPr>
            <w:tcW w:w="4529" w:type="dxa"/>
          </w:tcPr>
          <w:p w14:paraId="6C4958DB"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That on the 31</w:t>
            </w:r>
            <w:r w:rsidRPr="00B32D99">
              <w:rPr>
                <w:rFonts w:ascii="Verdana" w:hAnsi="Verdana"/>
                <w:sz w:val="16"/>
                <w:szCs w:val="16"/>
                <w:vertAlign w:val="superscript"/>
                <w:lang w:val="en-US"/>
              </w:rPr>
              <w:t>st</w:t>
            </w:r>
            <w:r w:rsidRPr="00B32D99">
              <w:rPr>
                <w:rFonts w:ascii="Verdana" w:hAnsi="Verdana"/>
                <w:sz w:val="16"/>
                <w:szCs w:val="16"/>
                <w:lang w:val="en-US"/>
              </w:rPr>
              <w:t xml:space="preserve"> of March of 2020, the Agreement by which are established special actions for attending to  the health emergency generated by the virus SARS-COV2 was published in the Official Daily of the Federation.   </w:t>
            </w:r>
          </w:p>
        </w:tc>
      </w:tr>
      <w:tr w:rsidR="00B32D99" w:rsidRPr="00743A20" w14:paraId="3611AA2C" w14:textId="77777777" w:rsidTr="00E9290D">
        <w:tc>
          <w:tcPr>
            <w:tcW w:w="4529" w:type="dxa"/>
          </w:tcPr>
          <w:p w14:paraId="179D3B0B"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Que, a través de la fracción I del artículo primero de dicho Acuerdo, se ordena la suspensión inmediata, del 30 de marzo al 30 de abril de 2020, de las actividades no esenciales, con la finalidad de mitigar la dispersión y transmisión del virus SARS-CoV2 en la comunidad, para disminuir la carga de enfermedad, sus complicaciones y la muerte por COVID-19 en la población residente en el territorio nacional.</w:t>
            </w:r>
          </w:p>
        </w:tc>
        <w:tc>
          <w:tcPr>
            <w:tcW w:w="4529" w:type="dxa"/>
          </w:tcPr>
          <w:p w14:paraId="05EED297"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That, through the section I of the first article of this Agreement the immediate suspension was ordered from the 31</w:t>
            </w:r>
            <w:r w:rsidRPr="00B32D99">
              <w:rPr>
                <w:rFonts w:ascii="Verdana" w:hAnsi="Verdana"/>
                <w:sz w:val="16"/>
                <w:szCs w:val="16"/>
                <w:vertAlign w:val="superscript"/>
                <w:lang w:val="en-US"/>
              </w:rPr>
              <w:t>st</w:t>
            </w:r>
            <w:r w:rsidRPr="00B32D99">
              <w:rPr>
                <w:rFonts w:ascii="Verdana" w:hAnsi="Verdana"/>
                <w:sz w:val="16"/>
                <w:szCs w:val="16"/>
                <w:lang w:val="en-US"/>
              </w:rPr>
              <w:t xml:space="preserve"> of March to the 30</w:t>
            </w:r>
            <w:r w:rsidRPr="00B32D99">
              <w:rPr>
                <w:rFonts w:ascii="Verdana" w:hAnsi="Verdana"/>
                <w:sz w:val="16"/>
                <w:szCs w:val="16"/>
                <w:vertAlign w:val="superscript"/>
                <w:lang w:val="en-US"/>
              </w:rPr>
              <w:t>th</w:t>
            </w:r>
            <w:r w:rsidRPr="00B32D99">
              <w:rPr>
                <w:rFonts w:ascii="Verdana" w:hAnsi="Verdana"/>
                <w:sz w:val="16"/>
                <w:szCs w:val="16"/>
                <w:lang w:val="en-US"/>
              </w:rPr>
              <w:t xml:space="preserve"> of April of 2020 of the non-essential activities, for the purpose of mitigating the spread and transmission of the virus SARS-COV2 in the community, to reduce the burden of disease, its complications and death by COVID-19 in the population resident in the national territory.</w:t>
            </w:r>
          </w:p>
        </w:tc>
      </w:tr>
      <w:tr w:rsidR="00B32D99" w:rsidRPr="00743A20" w14:paraId="2D603B4D" w14:textId="77777777" w:rsidTr="00E9290D">
        <w:tc>
          <w:tcPr>
            <w:tcW w:w="4529" w:type="dxa"/>
          </w:tcPr>
          <w:p w14:paraId="5EBA201E"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Que el 21 de abril de 2020, se publicó, en el Diario Oficial de la Federación, el Acuerdo por el que se modifica el similar por el que se establecen acciones extraordinarias para atender la emergencia sanitaria generada por el virus SARS-CoV2, publicado el 31 de marzo de 2020.</w:t>
            </w:r>
          </w:p>
        </w:tc>
        <w:tc>
          <w:tcPr>
            <w:tcW w:w="4529" w:type="dxa"/>
          </w:tcPr>
          <w:p w14:paraId="256EF957"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That on the 21</w:t>
            </w:r>
            <w:r w:rsidRPr="00B32D99">
              <w:rPr>
                <w:rFonts w:ascii="Verdana" w:hAnsi="Verdana"/>
                <w:sz w:val="16"/>
                <w:szCs w:val="16"/>
                <w:vertAlign w:val="superscript"/>
                <w:lang w:val="en-US"/>
              </w:rPr>
              <w:t>st</w:t>
            </w:r>
            <w:r w:rsidRPr="00B32D99">
              <w:rPr>
                <w:rFonts w:ascii="Verdana" w:hAnsi="Verdana"/>
                <w:sz w:val="16"/>
                <w:szCs w:val="16"/>
                <w:lang w:val="en-US"/>
              </w:rPr>
              <w:t xml:space="preserve"> of April of 2020, the Agreement by which is modified that in which are established special actions to attend to the health emergency  generated by the virus SARS-COV2 was published in the Official Daily of the Federation, first published on the 31st of March of 2020. </w:t>
            </w:r>
          </w:p>
        </w:tc>
      </w:tr>
      <w:tr w:rsidR="00B32D99" w:rsidRPr="00743A20" w14:paraId="392826F4" w14:textId="77777777" w:rsidTr="00E9290D">
        <w:tc>
          <w:tcPr>
            <w:tcW w:w="4529" w:type="dxa"/>
          </w:tcPr>
          <w:p w14:paraId="5FCFB164"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Que mediante la fracción I del artículo primero de dicho Acuerdo, se extiende el tiempo de duración de la suspensión de las actividades no esenciales, hasta el 30 de mayo de 2020.</w:t>
            </w:r>
          </w:p>
        </w:tc>
        <w:tc>
          <w:tcPr>
            <w:tcW w:w="4529" w:type="dxa"/>
          </w:tcPr>
          <w:p w14:paraId="3DD540EA"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That through section I of the first article of said Agreement, the time of duration of the suspension of the non-essential activities is extended to the 30</w:t>
            </w:r>
            <w:r w:rsidRPr="00B32D99">
              <w:rPr>
                <w:rFonts w:ascii="Verdana" w:hAnsi="Verdana"/>
                <w:sz w:val="16"/>
                <w:szCs w:val="16"/>
                <w:vertAlign w:val="superscript"/>
                <w:lang w:val="en-US"/>
              </w:rPr>
              <w:t>th</w:t>
            </w:r>
            <w:r w:rsidRPr="00B32D99">
              <w:rPr>
                <w:rFonts w:ascii="Verdana" w:hAnsi="Verdana"/>
                <w:sz w:val="16"/>
                <w:szCs w:val="16"/>
                <w:lang w:val="en-US"/>
              </w:rPr>
              <w:t xml:space="preserve"> of May of 2020. </w:t>
            </w:r>
          </w:p>
        </w:tc>
      </w:tr>
      <w:tr w:rsidR="00B32D99" w:rsidRPr="00743A20" w14:paraId="26CA4F4C" w14:textId="77777777" w:rsidTr="00E9290D">
        <w:tc>
          <w:tcPr>
            <w:tcW w:w="4529" w:type="dxa"/>
          </w:tcPr>
          <w:p w14:paraId="546B1F3A"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Que el 14 de mayo de 2020, se publicó, en el Diario Oficial de la Federación, el Acuerdo por el que se establece una estrategia para la reapertura de las actividades sociales, educativas y económicas, así como un sistema de semáforo por regiones para evaluar semanalmente el riesgo epidemiológico relacionado con la reapertura de actividades en cada entidad federativa, así como se establecen acciones extraordinarias.</w:t>
            </w:r>
          </w:p>
        </w:tc>
        <w:tc>
          <w:tcPr>
            <w:tcW w:w="4529" w:type="dxa"/>
          </w:tcPr>
          <w:p w14:paraId="2C99E3F1"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That on the 14</w:t>
            </w:r>
            <w:r w:rsidRPr="00B32D99">
              <w:rPr>
                <w:rFonts w:ascii="Verdana" w:hAnsi="Verdana"/>
                <w:sz w:val="16"/>
                <w:szCs w:val="16"/>
                <w:vertAlign w:val="superscript"/>
                <w:lang w:val="en-US"/>
              </w:rPr>
              <w:t>th</w:t>
            </w:r>
            <w:r w:rsidRPr="00B32D99">
              <w:rPr>
                <w:rFonts w:ascii="Verdana" w:hAnsi="Verdana"/>
                <w:sz w:val="16"/>
                <w:szCs w:val="16"/>
                <w:lang w:val="en-US"/>
              </w:rPr>
              <w:t xml:space="preserve"> of May of 2020, the Agreement by which is established a strategy for the reopening of the social, educational and economic activities, as well as a traffic light system for the weekly evaluation by regions in order to evaluate the epidemiological risk associated with the reopening of activities in each State and Mexico City, as well as the establishment of special actions was published in the Official Daily of the Federation.   </w:t>
            </w:r>
          </w:p>
        </w:tc>
      </w:tr>
      <w:tr w:rsidR="00B32D99" w:rsidRPr="00743A20" w14:paraId="12157F69" w14:textId="77777777" w:rsidTr="00E9290D">
        <w:tc>
          <w:tcPr>
            <w:tcW w:w="4529" w:type="dxa"/>
          </w:tcPr>
          <w:p w14:paraId="3A50D9AC"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 xml:space="preserve">Que en el artículo cuarto del Acuerdo arriba citado, se establece como acción extraordinaria que las actividades referentes a la fabricación de equipo de transporte, serán consideradas como actividades </w:t>
            </w:r>
            <w:r w:rsidRPr="00B32D99">
              <w:rPr>
                <w:rFonts w:ascii="Verdana" w:hAnsi="Verdana" w:cs="Arial"/>
                <w:sz w:val="16"/>
                <w:szCs w:val="16"/>
              </w:rPr>
              <w:lastRenderedPageBreak/>
              <w:t>esenciales y, aunado a ello, que las empresas que se dediquen a tales actividades, podrán iniciar labores el 1 de junio de 2020.</w:t>
            </w:r>
          </w:p>
        </w:tc>
        <w:tc>
          <w:tcPr>
            <w:tcW w:w="4529" w:type="dxa"/>
          </w:tcPr>
          <w:p w14:paraId="4ABB64C4"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lastRenderedPageBreak/>
              <w:t xml:space="preserve">That in the fourth article of the aforementioned Agreement, it is established as special action that the activities relating to the manufacture of transport equipment, will be considered as essential activities </w:t>
            </w:r>
            <w:r w:rsidRPr="00B32D99">
              <w:rPr>
                <w:rFonts w:ascii="Verdana" w:hAnsi="Verdana"/>
                <w:sz w:val="16"/>
                <w:szCs w:val="16"/>
                <w:lang w:val="en-US"/>
              </w:rPr>
              <w:lastRenderedPageBreak/>
              <w:t>and, as a result, to the companies that are engaged in such activities may start work on the 1</w:t>
            </w:r>
            <w:r w:rsidRPr="00B32D99">
              <w:rPr>
                <w:rFonts w:ascii="Verdana" w:hAnsi="Verdana"/>
                <w:sz w:val="16"/>
                <w:szCs w:val="16"/>
                <w:vertAlign w:val="superscript"/>
                <w:lang w:val="en-US"/>
              </w:rPr>
              <w:t>st</w:t>
            </w:r>
            <w:r w:rsidRPr="00B32D99">
              <w:rPr>
                <w:rFonts w:ascii="Verdana" w:hAnsi="Verdana"/>
                <w:sz w:val="16"/>
                <w:szCs w:val="16"/>
                <w:lang w:val="en-US"/>
              </w:rPr>
              <w:t xml:space="preserve"> of June of 2020.  </w:t>
            </w:r>
          </w:p>
        </w:tc>
      </w:tr>
      <w:tr w:rsidR="00B32D99" w:rsidRPr="00743A20" w14:paraId="72998FE9" w14:textId="77777777" w:rsidTr="00E9290D">
        <w:tc>
          <w:tcPr>
            <w:tcW w:w="4529" w:type="dxa"/>
          </w:tcPr>
          <w:p w14:paraId="5DC58834"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lastRenderedPageBreak/>
              <w:t>Que la emergencia sanitaria tanto en México, como a nivel mundial, afectó la fabricación e importación de motores nuevos a diésel y vehículos pesados nuevos que los incorporen, mientras que el tiempo de aplicación de dicho instrumento normativo continuó transcurriendo, razón por la cual se considera necesario extender la vigencia de los estándares AA contemplada en la NOM-044-SEMARNAT-2017, indicándolo en los pies de tabla correspondientes; esto, con el fin de que los motores nuevos a diésel y de los vehículos pesados nuevos que los incorporen que hayan sido diseñados con tecnologías que cumplen con tales estándares, puedan seguirse fabricando e importando a nuestro país, en un periodo mayor al que se había contemplado originalmente.</w:t>
            </w:r>
          </w:p>
        </w:tc>
        <w:tc>
          <w:tcPr>
            <w:tcW w:w="4529" w:type="dxa"/>
          </w:tcPr>
          <w:p w14:paraId="7E072168"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 xml:space="preserve">That the health emergency both in Mexico, as well as at the global level, affected the manufacture and import of new diesel motors and new heavy vehicles that incorporate them, while the time of application of this regulatory instrument continued lapsing, reason for the which is It considered necessary to extend the effect of the standards AA included in the NOM-044-SEMARNAT-2017, indicating in the corresponding footnotes of the table; this, for the purpose that the new diesel motors and new heavy vehicles that incorporate them that have been designed with technologies that comply with such standards, can continue to be manufactured and imported to our country in a period greater than was originally contemplated.  </w:t>
            </w:r>
          </w:p>
        </w:tc>
      </w:tr>
      <w:tr w:rsidR="00B32D99" w:rsidRPr="00743A20" w14:paraId="590CD5DC" w14:textId="77777777" w:rsidTr="00E9290D">
        <w:tc>
          <w:tcPr>
            <w:tcW w:w="4529" w:type="dxa"/>
          </w:tcPr>
          <w:p w14:paraId="0832C4AD"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Que al tomar en cuenta que la fabricación e importación de motores nuevos a diésel y de vehículos pesados nuevos que los incorporen requieren de una planeación y ejecución a mediano plazo y considerando la situación extraordinaria por la que atraviesa México, generada por la enfermedad causada por el virus SARS-CoV2, de manera particular, las implicaciones en lo referente a la fabricación e importación de equipo y unidades de transporte, es necesario ajustar la vigencia de los estándares AA de la NOM-044-SEMARNAT-2017 a fin de extenderla por 12 meses más.</w:t>
            </w:r>
          </w:p>
        </w:tc>
        <w:tc>
          <w:tcPr>
            <w:tcW w:w="4529" w:type="dxa"/>
          </w:tcPr>
          <w:p w14:paraId="1EAFCB09"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 xml:space="preserve">That taking into account that the manufacture and importation of new diesel motors and new heavy vehicles that incorporate them require planning and execution in the medium term and considering the special situation that Mexico is experiencing, generated by the disease caused by the virus SARS-COV2, in particular the implications with regards to the manufacture and importation of equipment and units of transport, it is necessary to adjust the effective period of the standards AA of the NOM-044-SEMARNAT-2017 in order to extend the period for 12 more months. </w:t>
            </w:r>
          </w:p>
        </w:tc>
      </w:tr>
      <w:tr w:rsidR="00B32D99" w:rsidRPr="00743A20" w14:paraId="3245B9B5" w14:textId="77777777" w:rsidTr="00E9290D">
        <w:tc>
          <w:tcPr>
            <w:tcW w:w="4529" w:type="dxa"/>
          </w:tcPr>
          <w:p w14:paraId="5C753E99"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Que en consecuencia, el presente Acuerdo prevé que los límites máximos permisibles asociados a los estándares AA de las Tablas 1, 2 y 4 de la NOM-044-SEMARNAT-2017, serán aplicables hasta el 31 de diciembre de 2021, sin que esto implique cambios en las tecnologías o en las líneas de producción de los fabricantes, importadores o ensambladores de los vehículos nuevos a diésel.</w:t>
            </w:r>
          </w:p>
        </w:tc>
        <w:tc>
          <w:tcPr>
            <w:tcW w:w="4529" w:type="dxa"/>
          </w:tcPr>
          <w:p w14:paraId="18EF6015"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Consequently, this agreement provides that the maximum permissible limits associated to the standard AA of the Tables 1, 2 and 4 of the NOM-044-SEMARNAT-2017, will be applicable until 31</w:t>
            </w:r>
            <w:r w:rsidRPr="00B32D99">
              <w:rPr>
                <w:rFonts w:ascii="Verdana" w:hAnsi="Verdana"/>
                <w:sz w:val="16"/>
                <w:szCs w:val="16"/>
                <w:vertAlign w:val="superscript"/>
                <w:lang w:val="en-US"/>
              </w:rPr>
              <w:t>st</w:t>
            </w:r>
            <w:r w:rsidRPr="00B32D99">
              <w:rPr>
                <w:rFonts w:ascii="Verdana" w:hAnsi="Verdana"/>
                <w:sz w:val="16"/>
                <w:szCs w:val="16"/>
                <w:lang w:val="en-US"/>
              </w:rPr>
              <w:t xml:space="preserve"> of December of 2021 without implying changes in the technology or in the lines of production of the manufacturers, importers and assemblers of the new diesel vehicles.   </w:t>
            </w:r>
          </w:p>
        </w:tc>
      </w:tr>
      <w:tr w:rsidR="00B32D99" w:rsidRPr="00743A20" w14:paraId="39CA72C0" w14:textId="77777777" w:rsidTr="00E9290D">
        <w:tc>
          <w:tcPr>
            <w:tcW w:w="4529" w:type="dxa"/>
          </w:tcPr>
          <w:p w14:paraId="37F21172"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 xml:space="preserve">Que la modificación propuesta no crea nuevos requisitos, procedimientos o especificaciones más estrictas, lo cual actualiza la hipótesis prevista en el artículo 51, párrafo tercero, de la Ley Federal sobre Metrología y Normalización, interpretado </w:t>
            </w:r>
            <w:r w:rsidRPr="00B32D99">
              <w:rPr>
                <w:rFonts w:ascii="Verdana" w:hAnsi="Verdana" w:cs="Arial"/>
                <w:i/>
                <w:sz w:val="16"/>
                <w:szCs w:val="16"/>
              </w:rPr>
              <w:t xml:space="preserve">a contrario sensu </w:t>
            </w:r>
            <w:r w:rsidRPr="00B32D99">
              <w:rPr>
                <w:rFonts w:ascii="Verdana" w:hAnsi="Verdana" w:cs="Arial"/>
                <w:sz w:val="16"/>
                <w:szCs w:val="16"/>
              </w:rPr>
              <w:t>y sistemáticamente con el primero y segundo párrafos de dicho artículo.</w:t>
            </w:r>
          </w:p>
        </w:tc>
        <w:tc>
          <w:tcPr>
            <w:tcW w:w="4529" w:type="dxa"/>
          </w:tcPr>
          <w:p w14:paraId="5C942132"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 xml:space="preserve">That the proposed modification does not create more stringent new requirements, procedures or specifications, which updates the hypothesis provided in Article 51, third paragraph, of the Law Federal on Metrology and Standardization, interpreted in the </w:t>
            </w:r>
            <w:r w:rsidRPr="00B32D99">
              <w:rPr>
                <w:rFonts w:ascii="Verdana" w:hAnsi="Verdana"/>
                <w:i/>
                <w:iCs/>
                <w:sz w:val="16"/>
                <w:szCs w:val="16"/>
                <w:lang w:val="en-US"/>
              </w:rPr>
              <w:t xml:space="preserve">contrario sensu </w:t>
            </w:r>
            <w:r w:rsidRPr="00B32D99">
              <w:rPr>
                <w:rFonts w:ascii="Verdana" w:hAnsi="Verdana"/>
                <w:sz w:val="16"/>
                <w:szCs w:val="16"/>
                <w:lang w:val="en-US"/>
              </w:rPr>
              <w:t xml:space="preserve">and systematically with the first and second paragraphs of said article.   </w:t>
            </w:r>
          </w:p>
        </w:tc>
      </w:tr>
      <w:tr w:rsidR="00B32D99" w:rsidRPr="00743A20" w14:paraId="42B50D1E" w14:textId="77777777" w:rsidTr="00E9290D">
        <w:tc>
          <w:tcPr>
            <w:tcW w:w="4529" w:type="dxa"/>
          </w:tcPr>
          <w:p w14:paraId="26A105B2"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t xml:space="preserve">Que de dicha interpretación se desprende que la regla general prevista en el segundo párrafo del artículo 51 de la Ley Federal en cita, admite una </w:t>
            </w:r>
            <w:r w:rsidRPr="00B32D99">
              <w:rPr>
                <w:rFonts w:ascii="Verdana" w:hAnsi="Verdana" w:cs="Arial"/>
                <w:sz w:val="16"/>
                <w:szCs w:val="16"/>
              </w:rPr>
              <w:lastRenderedPageBreak/>
              <w:t>regla especial consistente en que las normas oficiales mexicanas pueden modificarse sin seguir el procedimiento para su elaboración, regla especial que se actualiza en dos supuestos: cuando no subsisten las causas que motivaron su expedición o cuando con la modificación no se pretendan crear nuevos requisitos o procedimientos o bien incorporar especificaciones más estrictas, supuesto este último que se actualiza en el presente caso.</w:t>
            </w:r>
          </w:p>
        </w:tc>
        <w:tc>
          <w:tcPr>
            <w:tcW w:w="4529" w:type="dxa"/>
          </w:tcPr>
          <w:p w14:paraId="0A643E41"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lastRenderedPageBreak/>
              <w:t xml:space="preserve">That from said interpretation it follows that the general rule provided for in the second paragraph of article 51 of the Federal Law in question, admits a </w:t>
            </w:r>
            <w:r w:rsidRPr="00B32D99">
              <w:rPr>
                <w:rFonts w:ascii="Verdana" w:hAnsi="Verdana"/>
                <w:sz w:val="16"/>
                <w:szCs w:val="16"/>
                <w:lang w:val="en-US"/>
              </w:rPr>
              <w:lastRenderedPageBreak/>
              <w:t xml:space="preserve">special rule consisting in that the Official Mexican Standards can be modified without following the procedure for their preparation, a special rule that is updated in two cases: when the causes still remain that motivated its issuance or when the modification is not intended for creating new requirements or procedures or to incorporate more stringent specifications, this last situation is what is updated in this case.  </w:t>
            </w:r>
          </w:p>
        </w:tc>
      </w:tr>
      <w:tr w:rsidR="00B32D99" w:rsidRPr="00743A20" w14:paraId="0A5922AB" w14:textId="77777777" w:rsidTr="00E9290D">
        <w:tc>
          <w:tcPr>
            <w:tcW w:w="4529" w:type="dxa"/>
          </w:tcPr>
          <w:p w14:paraId="36C51902" w14:textId="77777777" w:rsidR="00B32D99" w:rsidRPr="00B32D99" w:rsidRDefault="00B32D99" w:rsidP="00B32D99">
            <w:pPr>
              <w:spacing w:line="240" w:lineRule="exact"/>
              <w:rPr>
                <w:rFonts w:ascii="Verdana" w:hAnsi="Verdana" w:cs="Arial"/>
                <w:sz w:val="16"/>
                <w:szCs w:val="16"/>
              </w:rPr>
            </w:pPr>
            <w:r w:rsidRPr="00B32D99">
              <w:rPr>
                <w:rFonts w:ascii="Verdana" w:hAnsi="Verdana" w:cs="Arial"/>
                <w:sz w:val="16"/>
                <w:szCs w:val="16"/>
              </w:rPr>
              <w:lastRenderedPageBreak/>
              <w:t>Que, con base a lo anteriormente expuesto, esta autoridad ambiental decidió modificar las notas al pie de las Tablas 1, 2 y 4 que se encuentran en los numerales 4.1 y 4.2 de la Norma Oficial Mexicana NOM-044-SEMARNAT-2017, con la finalidad de ampliar la vigencia de los estándares AA hasta el 31 de diciembre de 2021; por lo que he tenido a bien expedir el siguiente:</w:t>
            </w:r>
          </w:p>
        </w:tc>
        <w:tc>
          <w:tcPr>
            <w:tcW w:w="4529" w:type="dxa"/>
          </w:tcPr>
          <w:p w14:paraId="425D24CA" w14:textId="77777777" w:rsidR="00B32D99" w:rsidRPr="00B32D99" w:rsidRDefault="00B32D99" w:rsidP="00B32D99">
            <w:pPr>
              <w:spacing w:line="240" w:lineRule="exact"/>
              <w:rPr>
                <w:rFonts w:ascii="Verdana" w:hAnsi="Verdana" w:cs="Arial"/>
                <w:sz w:val="16"/>
                <w:szCs w:val="16"/>
                <w:lang w:val="en-US"/>
              </w:rPr>
            </w:pPr>
            <w:r w:rsidRPr="00B32D99">
              <w:rPr>
                <w:rFonts w:ascii="Verdana" w:hAnsi="Verdana"/>
                <w:sz w:val="16"/>
                <w:szCs w:val="16"/>
                <w:lang w:val="en-US"/>
              </w:rPr>
              <w:t>That, based on that expressed above, this environmental authority decided to modify the footnotes of the Tables 1, 2 and 4 which are found in the section numbers 4.1 and 4.2 of the Official Mexican Standard NOM-044-SEMARNAT-2017, for the purpose of extending the effective period of the standard AA until the 31</w:t>
            </w:r>
            <w:r w:rsidRPr="00B32D99">
              <w:rPr>
                <w:rFonts w:ascii="Verdana" w:hAnsi="Verdana"/>
                <w:sz w:val="16"/>
                <w:szCs w:val="16"/>
                <w:vertAlign w:val="superscript"/>
                <w:lang w:val="en-US"/>
              </w:rPr>
              <w:t>st</w:t>
            </w:r>
            <w:r w:rsidRPr="00B32D99">
              <w:rPr>
                <w:rFonts w:ascii="Verdana" w:hAnsi="Verdana"/>
                <w:sz w:val="16"/>
                <w:szCs w:val="16"/>
                <w:lang w:val="en-US"/>
              </w:rPr>
              <w:t xml:space="preserve"> of December of 2021; for which I have deemed it appropriate to issue the following?   </w:t>
            </w:r>
          </w:p>
        </w:tc>
      </w:tr>
      <w:tr w:rsidR="00B32D99" w:rsidRPr="00743A20" w14:paraId="450986E7" w14:textId="77777777" w:rsidTr="00E9290D">
        <w:tc>
          <w:tcPr>
            <w:tcW w:w="4529" w:type="dxa"/>
          </w:tcPr>
          <w:p w14:paraId="18939FF6" w14:textId="77777777" w:rsidR="00B32D99" w:rsidRPr="00B32D99" w:rsidRDefault="00B32D99" w:rsidP="00B32D99">
            <w:pPr>
              <w:spacing w:after="60" w:line="216" w:lineRule="exact"/>
              <w:jc w:val="center"/>
              <w:rPr>
                <w:rFonts w:ascii="Verdana" w:hAnsi="Verdana"/>
                <w:b/>
                <w:sz w:val="16"/>
                <w:szCs w:val="16"/>
                <w:lang w:val="es-ES_tradnl"/>
              </w:rPr>
            </w:pPr>
            <w:r w:rsidRPr="00B32D99">
              <w:rPr>
                <w:rFonts w:ascii="Verdana" w:hAnsi="Verdana"/>
                <w:b/>
                <w:sz w:val="16"/>
                <w:szCs w:val="16"/>
                <w:lang w:val="es-ES_tradnl"/>
              </w:rPr>
              <w:t>ACUERDO POR EL QUE SE MODIFICA LA VIGENCIA DEL PERIODO ESTABLECIDO EN LAS NOTAS AL PIE DE LAS TABLAS 1, 2 Y 4, DE LOS NUMERALES 4.1 Y 4.2, ÚNICAMENTE EN LO QUE SE REFIERE A LOS ESTÁNDARES AA, DE LA NORMA OFICIAL MEXICANA NOM-044-SEMARNAT-2017, QUE ESTABLECE LOS LÍMITES MÁXIMOS PERMISIBLES DE EMISIÓN DE MONÓXIDO DE CARBONO, ÓXIDOS DE NITRÓGENO, HIDROCARBUROS NO METANO, HIDROCARBUROS NO METANO MÁS ÓXIDOS DE NITRÓGENO, PARTÍCULAS Y AMONIACO, PROVENIENTES DEL ESCAPE DE MOTORES NUEVOS QUE UTILIZAN DIÉSEL COMO COMBUSTIBLE Y QUE SE UTILIZARÁN PARA LA PROPULSIÓN DE VEHÍCULOS AUTOMOTORES CON PESO BRUTO VEHICULAR MAYOR A 3,857 KILOGRAMOS, ASÍ COMO DEL ESCAPE DE VEHÍCULOS AUTOMOTORES NUEVOS CON PESO BRUTO VEHICULAR MAYOR A 3,857 KILOGRAMOS EQUIPADOS CON ESTE TIPO DE MOTORES</w:t>
            </w:r>
          </w:p>
        </w:tc>
        <w:tc>
          <w:tcPr>
            <w:tcW w:w="4529" w:type="dxa"/>
          </w:tcPr>
          <w:p w14:paraId="726C6FCA" w14:textId="77777777" w:rsidR="00B32D99" w:rsidRPr="00B32D99" w:rsidRDefault="00B32D99" w:rsidP="00B32D99">
            <w:pPr>
              <w:spacing w:after="60" w:line="216" w:lineRule="exact"/>
              <w:jc w:val="center"/>
              <w:rPr>
                <w:rFonts w:ascii="Verdana" w:hAnsi="Verdana"/>
                <w:b/>
                <w:sz w:val="16"/>
                <w:szCs w:val="16"/>
                <w:lang w:val="en-US"/>
              </w:rPr>
            </w:pPr>
            <w:r w:rsidRPr="00B32D99">
              <w:rPr>
                <w:rFonts w:ascii="Verdana" w:hAnsi="Verdana"/>
                <w:b/>
                <w:bCs/>
                <w:sz w:val="16"/>
                <w:szCs w:val="16"/>
                <w:lang w:val="en-US"/>
              </w:rPr>
              <w:t xml:space="preserve">AGREEMENT BY WHICH IS MODIFIED THE EFFECTIVE PERIOD ESTABLISHED IN THE FOOTNOTES OF THE TABLES 1, 2 AND 4, OF SECTION NUMBERS 4.1 AND 4.2, ONLY AS IT REFERS TO THE AA STANDARDS, OF THE OFFICIAL MEXICAN STANDARD NOM-044-SEMARNAT-2017, </w:t>
            </w:r>
            <w:r w:rsidRPr="00B32D99">
              <w:rPr>
                <w:rFonts w:ascii="Verdana" w:hAnsi="Verdana"/>
                <w:b/>
                <w:bCs/>
                <w:sz w:val="16"/>
                <w:szCs w:val="16"/>
                <w:lang w:val="en-US"/>
              </w:rPr>
              <w:tab/>
              <w:t xml:space="preserve">THAT ESTABLISHES THE MAXIMUM PERMISSIBLE LIMITS OF EMISSIONS OF CARBON MONOXIDE, NITROGEN OXIDES, NON-METHANE HYDROCARBONS, NON-METHANE HYDROCARBONS PLUS NITROGEN OXIDES, PARTICULATES AND AMMONIUM, ORIGINATING FROM THE EXHAUST OF NEW MOTORS THAT USE DIESEL AS FUEL AND THAT WILL BE UTILIZED FOR THE PROPULSION OF AUTOMOTIVE VEHICLES, WITH GROSS VEHICULAR WEIGHT GREATER THAN 3,857 KILOGRAMS, AS WELL AS THE EXHAUST OF AUTOMOTIVE VEHICLES WITH GROSS VEHICULAR WEIGHT GREATER THAN 3,857 KILOGRAMS EQUIPPED WITH THIS TYPE OF MOTORS.  </w:t>
            </w:r>
          </w:p>
        </w:tc>
      </w:tr>
      <w:tr w:rsidR="00B32D99" w:rsidRPr="00743A20" w14:paraId="5E20E091" w14:textId="77777777" w:rsidTr="00E9290D">
        <w:tc>
          <w:tcPr>
            <w:tcW w:w="4529" w:type="dxa"/>
          </w:tcPr>
          <w:p w14:paraId="198922C3" w14:textId="77777777" w:rsidR="00B32D99" w:rsidRPr="00B32D99" w:rsidRDefault="00B32D99" w:rsidP="00B32D99">
            <w:pPr>
              <w:spacing w:after="60" w:line="216" w:lineRule="exact"/>
              <w:rPr>
                <w:rFonts w:ascii="Verdana" w:hAnsi="Verdana" w:cs="Arial"/>
                <w:sz w:val="16"/>
                <w:szCs w:val="16"/>
              </w:rPr>
            </w:pPr>
            <w:r w:rsidRPr="00B32D99">
              <w:rPr>
                <w:rFonts w:ascii="Verdana" w:hAnsi="Verdana" w:cs="Arial"/>
                <w:b/>
                <w:caps/>
                <w:sz w:val="16"/>
                <w:szCs w:val="16"/>
              </w:rPr>
              <w:t>ARTÍCULO Ú</w:t>
            </w:r>
            <w:r w:rsidRPr="00B32D99">
              <w:rPr>
                <w:rFonts w:ascii="Verdana" w:hAnsi="Verdana" w:cs="Arial"/>
                <w:b/>
                <w:sz w:val="16"/>
                <w:szCs w:val="16"/>
              </w:rPr>
              <w:t xml:space="preserve">NICO. </w:t>
            </w:r>
            <w:r w:rsidRPr="00B32D99">
              <w:rPr>
                <w:rFonts w:ascii="Verdana" w:hAnsi="Verdana" w:cs="Arial"/>
                <w:sz w:val="16"/>
                <w:szCs w:val="16"/>
              </w:rPr>
              <w:t>Se modifica la vigencia del periodo establecido en las notas al pie de las Tablas 1, 2 y 4, de los numerales 4.1 y 4.2, únicamente en lo que se refiere a los estándares AA, de la Norma Oficial Mexicana NOM-044-SEMARNAT-2017</w:t>
            </w:r>
            <w:r w:rsidRPr="00B32D99">
              <w:rPr>
                <w:rFonts w:ascii="Verdana" w:hAnsi="Verdana" w:cs="Arial"/>
                <w:i/>
                <w:sz w:val="16"/>
                <w:szCs w:val="16"/>
              </w:rPr>
              <w:t xml:space="preserve">, Que establece los límites máximos permisibles de emisión de monóxido de carbono, óxidos de nitrógeno, hidrocarburos no metano, hidrocarburos no metano más óxidos de nitrógeno, partículas y amoniaco, provenientes del escape de motores nuevos que utilizan diésel como combustible y que se utilizarán para la propulsión de vehículos automotores con </w:t>
            </w:r>
            <w:r w:rsidRPr="00B32D99">
              <w:rPr>
                <w:rFonts w:ascii="Verdana" w:hAnsi="Verdana" w:cs="Arial"/>
                <w:i/>
                <w:sz w:val="16"/>
                <w:szCs w:val="16"/>
              </w:rPr>
              <w:lastRenderedPageBreak/>
              <w:t>peso bruto vehicular mayor a 3,857 kilogramos, así como del escape de vehículos automotores nuevos con peso bruto vehicular mayor a 3,857 kilogramos equipados con este tipo de motores,</w:t>
            </w:r>
            <w:r w:rsidRPr="00B32D99">
              <w:rPr>
                <w:rFonts w:ascii="Verdana" w:hAnsi="Verdana" w:cs="Arial"/>
                <w:sz w:val="16"/>
                <w:szCs w:val="16"/>
              </w:rPr>
              <w:t xml:space="preserve"> para quedar como se presenta a continuación:</w:t>
            </w:r>
          </w:p>
        </w:tc>
        <w:tc>
          <w:tcPr>
            <w:tcW w:w="4529" w:type="dxa"/>
          </w:tcPr>
          <w:p w14:paraId="3D075A52" w14:textId="77777777" w:rsidR="00B32D99" w:rsidRPr="00B32D99" w:rsidRDefault="00B32D99" w:rsidP="00B32D99">
            <w:pPr>
              <w:spacing w:after="60" w:line="216" w:lineRule="exact"/>
              <w:rPr>
                <w:rFonts w:ascii="Verdana" w:hAnsi="Verdana" w:cs="Arial"/>
                <w:b/>
                <w:caps/>
                <w:sz w:val="16"/>
                <w:szCs w:val="16"/>
                <w:lang w:val="en-US"/>
              </w:rPr>
            </w:pPr>
            <w:r w:rsidRPr="00B32D99">
              <w:rPr>
                <w:rFonts w:ascii="Verdana" w:hAnsi="Verdana"/>
                <w:b/>
                <w:bCs/>
                <w:caps/>
                <w:sz w:val="16"/>
                <w:szCs w:val="16"/>
                <w:lang w:val="en-US"/>
              </w:rPr>
              <w:lastRenderedPageBreak/>
              <w:t>SOLE ARTICLE</w:t>
            </w:r>
            <w:r w:rsidRPr="00B32D99">
              <w:rPr>
                <w:rFonts w:ascii="Verdana" w:hAnsi="Verdana"/>
                <w:b/>
                <w:bCs/>
                <w:sz w:val="16"/>
                <w:szCs w:val="16"/>
                <w:lang w:val="en-US"/>
              </w:rPr>
              <w:t xml:space="preserve">. </w:t>
            </w:r>
            <w:r w:rsidRPr="00B32D99">
              <w:rPr>
                <w:rFonts w:ascii="Verdana" w:hAnsi="Verdana"/>
                <w:sz w:val="16"/>
                <w:szCs w:val="16"/>
                <w:lang w:val="en-US"/>
              </w:rPr>
              <w:t xml:space="preserve">The effective period established in the footnotes of the Tables 1, 2 and 4, of the numbers 4.1 and 4.2 is modified, only in that which refers to the standards AA, of the Official Mexican NOM-044-SEMARNAT-2017, </w:t>
            </w:r>
            <w:r w:rsidRPr="00B32D99">
              <w:rPr>
                <w:rFonts w:ascii="Verdana" w:hAnsi="Verdana"/>
                <w:sz w:val="16"/>
                <w:szCs w:val="16"/>
                <w:lang w:val="en-US"/>
              </w:rPr>
              <w:tab/>
              <w:t xml:space="preserve">that establishes the maximum permissible limits of emissions of carbon monoxide, nitrogen oxides, non-methane hydrocarbons, non-methane hydrocarbons plus nitrogen oxides, particulates and ammonium, originating from the exhaust of new motors that use diesel as fuel and that will be utilized for the propulsion of automotive vehicles, with gross </w:t>
            </w:r>
            <w:r w:rsidRPr="00B32D99">
              <w:rPr>
                <w:rFonts w:ascii="Verdana" w:hAnsi="Verdana"/>
                <w:sz w:val="16"/>
                <w:szCs w:val="16"/>
                <w:lang w:val="en-US"/>
              </w:rPr>
              <w:lastRenderedPageBreak/>
              <w:t>vehicular weight greater than 3,857 kilograms, as well as the exhaust of automotive vehicles with gross vehicular weight greater than 3,857 kilograms equipped with this type of motors</w:t>
            </w:r>
            <w:r w:rsidRPr="00B32D99">
              <w:rPr>
                <w:rFonts w:ascii="Verdana" w:hAnsi="Verdana"/>
                <w:i/>
                <w:iCs/>
                <w:sz w:val="16"/>
                <w:szCs w:val="16"/>
                <w:lang w:val="en-US"/>
              </w:rPr>
              <w:t xml:space="preserve">, </w:t>
            </w:r>
            <w:r w:rsidRPr="00B32D99">
              <w:rPr>
                <w:rFonts w:ascii="Verdana" w:hAnsi="Verdana"/>
                <w:sz w:val="16"/>
                <w:szCs w:val="16"/>
                <w:lang w:val="en-US"/>
              </w:rPr>
              <w:t>to remain as is presented to below:</w:t>
            </w:r>
            <w:r w:rsidRPr="00B32D99">
              <w:rPr>
                <w:rFonts w:ascii="Verdana" w:hAnsi="Verdana"/>
                <w:b/>
                <w:bCs/>
                <w:caps/>
                <w:sz w:val="16"/>
                <w:szCs w:val="16"/>
                <w:lang w:val="en-US"/>
              </w:rPr>
              <w:t xml:space="preserve"> </w:t>
            </w:r>
          </w:p>
        </w:tc>
      </w:tr>
      <w:tr w:rsidR="00B32D99" w:rsidRPr="00B32D99" w14:paraId="54EFED59" w14:textId="77777777" w:rsidTr="00E9290D">
        <w:tc>
          <w:tcPr>
            <w:tcW w:w="4529" w:type="dxa"/>
          </w:tcPr>
          <w:p w14:paraId="2E540048" w14:textId="77777777" w:rsidR="00B32D99" w:rsidRPr="00B32D99" w:rsidRDefault="00B32D99" w:rsidP="00B32D99">
            <w:pPr>
              <w:spacing w:after="60" w:line="216" w:lineRule="exact"/>
              <w:rPr>
                <w:rFonts w:ascii="Verdana" w:hAnsi="Verdana" w:cs="Arial"/>
                <w:sz w:val="16"/>
                <w:szCs w:val="16"/>
              </w:rPr>
            </w:pPr>
            <w:r w:rsidRPr="00B32D99">
              <w:rPr>
                <w:rFonts w:ascii="Verdana" w:hAnsi="Verdana" w:cs="Arial"/>
                <w:b/>
                <w:sz w:val="16"/>
                <w:szCs w:val="16"/>
              </w:rPr>
              <w:lastRenderedPageBreak/>
              <w:t xml:space="preserve">“4.1. </w:t>
            </w:r>
            <w:r w:rsidRPr="00B32D99">
              <w:rPr>
                <w:rFonts w:ascii="Verdana" w:hAnsi="Verdana" w:cs="Arial"/>
                <w:sz w:val="16"/>
                <w:szCs w:val="16"/>
              </w:rPr>
              <w:t>…</w:t>
            </w:r>
          </w:p>
        </w:tc>
        <w:tc>
          <w:tcPr>
            <w:tcW w:w="4529" w:type="dxa"/>
          </w:tcPr>
          <w:p w14:paraId="679B8952" w14:textId="77777777" w:rsidR="00B32D99" w:rsidRPr="00B32D99" w:rsidRDefault="00B32D99" w:rsidP="00B32D99">
            <w:pPr>
              <w:spacing w:after="60" w:line="216" w:lineRule="exact"/>
              <w:rPr>
                <w:rFonts w:ascii="Verdana" w:hAnsi="Verdana" w:cs="Arial"/>
                <w:b/>
                <w:sz w:val="16"/>
                <w:szCs w:val="16"/>
                <w:lang w:val="en-US"/>
              </w:rPr>
            </w:pPr>
            <w:r w:rsidRPr="00B32D99">
              <w:rPr>
                <w:rFonts w:ascii="Verdana" w:hAnsi="Verdana"/>
                <w:b/>
                <w:bCs/>
                <w:sz w:val="16"/>
                <w:szCs w:val="16"/>
              </w:rPr>
              <w:t xml:space="preserve">"4.1. </w:t>
            </w:r>
            <w:r w:rsidRPr="00B32D99">
              <w:rPr>
                <w:rFonts w:ascii="Verdana" w:hAnsi="Verdana"/>
                <w:sz w:val="16"/>
                <w:szCs w:val="16"/>
              </w:rPr>
              <w:t>...</w:t>
            </w:r>
            <w:r w:rsidRPr="00B32D99">
              <w:rPr>
                <w:rFonts w:ascii="Verdana" w:hAnsi="Verdana"/>
                <w:b/>
                <w:bCs/>
                <w:sz w:val="16"/>
                <w:szCs w:val="16"/>
              </w:rPr>
              <w:t xml:space="preserve"> </w:t>
            </w:r>
          </w:p>
        </w:tc>
      </w:tr>
      <w:tr w:rsidR="00B32D99" w:rsidRPr="00B32D99" w14:paraId="05154B86" w14:textId="77777777" w:rsidTr="00E9290D">
        <w:tc>
          <w:tcPr>
            <w:tcW w:w="4529" w:type="dxa"/>
          </w:tcPr>
          <w:p w14:paraId="13715204" w14:textId="77777777" w:rsidR="00B32D99" w:rsidRPr="00B32D99" w:rsidRDefault="00B32D99" w:rsidP="00B32D99">
            <w:pPr>
              <w:spacing w:after="60" w:line="216" w:lineRule="exact"/>
              <w:rPr>
                <w:rFonts w:ascii="Verdana" w:hAnsi="Verdana" w:cs="Arial"/>
                <w:sz w:val="16"/>
                <w:szCs w:val="16"/>
              </w:rPr>
            </w:pPr>
            <w:r w:rsidRPr="00B32D99">
              <w:rPr>
                <w:rFonts w:ascii="Verdana" w:hAnsi="Verdana" w:cs="Arial"/>
                <w:b/>
                <w:sz w:val="16"/>
                <w:szCs w:val="16"/>
              </w:rPr>
              <w:t>Tabla 1 …</w:t>
            </w:r>
          </w:p>
        </w:tc>
        <w:tc>
          <w:tcPr>
            <w:tcW w:w="4529" w:type="dxa"/>
          </w:tcPr>
          <w:p w14:paraId="7D641F64" w14:textId="77777777" w:rsidR="00B32D99" w:rsidRPr="00B32D99" w:rsidRDefault="00B32D99" w:rsidP="00B32D99">
            <w:pPr>
              <w:spacing w:after="60" w:line="216" w:lineRule="exact"/>
              <w:rPr>
                <w:rFonts w:ascii="Verdana" w:hAnsi="Verdana" w:cs="Arial"/>
                <w:b/>
                <w:sz w:val="16"/>
                <w:szCs w:val="16"/>
                <w:lang w:val="en-US"/>
              </w:rPr>
            </w:pPr>
            <w:r w:rsidRPr="00B32D99">
              <w:rPr>
                <w:rFonts w:ascii="Verdana" w:hAnsi="Verdana"/>
                <w:b/>
                <w:bCs/>
                <w:sz w:val="16"/>
                <w:szCs w:val="16"/>
              </w:rPr>
              <w:t xml:space="preserve">Table 1 ... </w:t>
            </w:r>
          </w:p>
        </w:tc>
      </w:tr>
      <w:tr w:rsidR="00B32D99" w:rsidRPr="00B32D99" w14:paraId="444A4397" w14:textId="77777777" w:rsidTr="00E9290D">
        <w:tc>
          <w:tcPr>
            <w:tcW w:w="4529" w:type="dxa"/>
          </w:tcPr>
          <w:p w14:paraId="1CFF0177" w14:textId="77777777" w:rsidR="00B32D99" w:rsidRPr="00B32D99" w:rsidRDefault="00B32D99" w:rsidP="00B32D99">
            <w:pPr>
              <w:spacing w:after="60" w:line="216" w:lineRule="exact"/>
              <w:rPr>
                <w:rFonts w:ascii="Verdana" w:hAnsi="Verdana" w:cs="Arial"/>
                <w:sz w:val="16"/>
                <w:szCs w:val="16"/>
              </w:rPr>
            </w:pPr>
            <w:r w:rsidRPr="00B32D99">
              <w:rPr>
                <w:rFonts w:ascii="Verdana" w:hAnsi="Verdana" w:cs="Arial"/>
                <w:i/>
                <w:sz w:val="16"/>
                <w:szCs w:val="16"/>
              </w:rPr>
              <w:t>(Nota 1 al pie)</w:t>
            </w:r>
            <w:r w:rsidRPr="00B32D99">
              <w:rPr>
                <w:rFonts w:ascii="Verdana" w:hAnsi="Verdana" w:cs="Arial"/>
                <w:b/>
                <w:sz w:val="16"/>
                <w:szCs w:val="16"/>
              </w:rPr>
              <w:t>…</w:t>
            </w:r>
          </w:p>
        </w:tc>
        <w:tc>
          <w:tcPr>
            <w:tcW w:w="4529" w:type="dxa"/>
          </w:tcPr>
          <w:p w14:paraId="7DE7E507"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1) </w:t>
            </w:r>
            <w:r w:rsidRPr="00B32D99">
              <w:rPr>
                <w:rFonts w:ascii="Verdana" w:hAnsi="Verdana"/>
                <w:b/>
                <w:bCs/>
                <w:sz w:val="16"/>
                <w:szCs w:val="16"/>
              </w:rPr>
              <w:t>...</w:t>
            </w:r>
            <w:r w:rsidRPr="00B32D99">
              <w:rPr>
                <w:rFonts w:ascii="Verdana" w:hAnsi="Verdana"/>
                <w:i/>
                <w:iCs/>
                <w:sz w:val="16"/>
                <w:szCs w:val="16"/>
              </w:rPr>
              <w:t xml:space="preserve"> </w:t>
            </w:r>
          </w:p>
        </w:tc>
      </w:tr>
      <w:tr w:rsidR="00B32D99" w:rsidRPr="00B32D99" w14:paraId="73D18209" w14:textId="77777777" w:rsidTr="00E9290D">
        <w:tc>
          <w:tcPr>
            <w:tcW w:w="4529" w:type="dxa"/>
          </w:tcPr>
          <w:p w14:paraId="700FD00B" w14:textId="77777777" w:rsidR="00B32D99" w:rsidRPr="00B32D99" w:rsidRDefault="00B32D99" w:rsidP="00B32D99">
            <w:pPr>
              <w:spacing w:after="60" w:line="216" w:lineRule="exact"/>
              <w:rPr>
                <w:rFonts w:ascii="Verdana" w:hAnsi="Verdana" w:cs="Arial"/>
                <w:i/>
                <w:sz w:val="16"/>
                <w:szCs w:val="16"/>
              </w:rPr>
            </w:pPr>
            <w:r w:rsidRPr="00B32D99">
              <w:rPr>
                <w:rFonts w:ascii="Verdana" w:hAnsi="Verdana" w:cs="Arial"/>
                <w:i/>
                <w:sz w:val="16"/>
                <w:szCs w:val="16"/>
              </w:rPr>
              <w:t>(Nota 2 al pie)</w:t>
            </w:r>
            <w:r w:rsidRPr="00B32D99">
              <w:rPr>
                <w:rFonts w:ascii="Verdana" w:hAnsi="Verdana" w:cs="Arial"/>
                <w:b/>
                <w:i/>
                <w:sz w:val="16"/>
                <w:szCs w:val="16"/>
              </w:rPr>
              <w:t>…</w:t>
            </w:r>
          </w:p>
        </w:tc>
        <w:tc>
          <w:tcPr>
            <w:tcW w:w="4529" w:type="dxa"/>
          </w:tcPr>
          <w:p w14:paraId="29AD2E2F"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2) </w:t>
            </w:r>
            <w:r w:rsidRPr="00B32D99">
              <w:rPr>
                <w:rFonts w:ascii="Verdana" w:hAnsi="Verdana"/>
                <w:b/>
                <w:bCs/>
                <w:i/>
                <w:iCs/>
                <w:sz w:val="16"/>
                <w:szCs w:val="16"/>
              </w:rPr>
              <w:t>...</w:t>
            </w:r>
            <w:r w:rsidRPr="00B32D99">
              <w:rPr>
                <w:rFonts w:ascii="Verdana" w:hAnsi="Verdana"/>
                <w:i/>
                <w:iCs/>
                <w:sz w:val="16"/>
                <w:szCs w:val="16"/>
              </w:rPr>
              <w:t xml:space="preserve"> </w:t>
            </w:r>
          </w:p>
        </w:tc>
      </w:tr>
      <w:tr w:rsidR="00B32D99" w:rsidRPr="00B32D99" w14:paraId="3A37CE98" w14:textId="77777777" w:rsidTr="00E9290D">
        <w:tc>
          <w:tcPr>
            <w:tcW w:w="4529" w:type="dxa"/>
          </w:tcPr>
          <w:p w14:paraId="47767F9E" w14:textId="77777777" w:rsidR="00B32D99" w:rsidRPr="00B32D99" w:rsidRDefault="00B32D99" w:rsidP="00B32D99">
            <w:pPr>
              <w:spacing w:after="60" w:line="216" w:lineRule="exact"/>
              <w:rPr>
                <w:rFonts w:ascii="Verdana" w:hAnsi="Verdana" w:cs="Arial"/>
                <w:i/>
                <w:sz w:val="16"/>
                <w:szCs w:val="16"/>
              </w:rPr>
            </w:pPr>
            <w:r w:rsidRPr="00B32D99">
              <w:rPr>
                <w:rFonts w:ascii="Verdana" w:hAnsi="Verdana" w:cs="Arial"/>
                <w:i/>
                <w:sz w:val="16"/>
                <w:szCs w:val="16"/>
              </w:rPr>
              <w:t>(Nota 3 al pie)</w:t>
            </w:r>
            <w:r w:rsidRPr="00B32D99">
              <w:rPr>
                <w:rFonts w:ascii="Verdana" w:hAnsi="Verdana" w:cs="Arial"/>
                <w:b/>
                <w:i/>
                <w:sz w:val="16"/>
                <w:szCs w:val="16"/>
              </w:rPr>
              <w:t>…</w:t>
            </w:r>
          </w:p>
        </w:tc>
        <w:tc>
          <w:tcPr>
            <w:tcW w:w="4529" w:type="dxa"/>
          </w:tcPr>
          <w:p w14:paraId="280A9D0D"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3) </w:t>
            </w:r>
            <w:r w:rsidRPr="00B32D99">
              <w:rPr>
                <w:rFonts w:ascii="Verdana" w:hAnsi="Verdana"/>
                <w:b/>
                <w:bCs/>
                <w:i/>
                <w:iCs/>
                <w:sz w:val="16"/>
                <w:szCs w:val="16"/>
              </w:rPr>
              <w:t>...</w:t>
            </w:r>
            <w:r w:rsidRPr="00B32D99">
              <w:rPr>
                <w:rFonts w:ascii="Verdana" w:hAnsi="Verdana"/>
                <w:i/>
                <w:iCs/>
                <w:sz w:val="16"/>
                <w:szCs w:val="16"/>
              </w:rPr>
              <w:t xml:space="preserve"> </w:t>
            </w:r>
          </w:p>
        </w:tc>
      </w:tr>
      <w:tr w:rsidR="00B32D99" w:rsidRPr="00743A20" w14:paraId="2B13C48F" w14:textId="77777777" w:rsidTr="00E9290D">
        <w:tc>
          <w:tcPr>
            <w:tcW w:w="4529" w:type="dxa"/>
          </w:tcPr>
          <w:p w14:paraId="09FD7304" w14:textId="77777777" w:rsidR="00B32D99" w:rsidRPr="00B32D99" w:rsidRDefault="00B32D99" w:rsidP="00B32D99">
            <w:pPr>
              <w:spacing w:after="60" w:line="216" w:lineRule="exact"/>
              <w:rPr>
                <w:rFonts w:ascii="Verdana" w:hAnsi="Verdana" w:cs="Arial"/>
                <w:i/>
                <w:sz w:val="16"/>
                <w:szCs w:val="16"/>
                <w:lang w:val="es-ES"/>
              </w:rPr>
            </w:pPr>
            <w:r w:rsidRPr="00B32D99">
              <w:rPr>
                <w:rFonts w:ascii="Verdana" w:hAnsi="Verdana" w:cs="Arial"/>
                <w:i/>
                <w:sz w:val="16"/>
                <w:szCs w:val="16"/>
              </w:rPr>
              <w:t xml:space="preserve">(Nota 4 al pie) </w:t>
            </w:r>
            <w:r w:rsidRPr="00B32D99">
              <w:rPr>
                <w:rFonts w:ascii="Verdana" w:hAnsi="Verdana" w:cs="Arial"/>
                <w:i/>
                <w:sz w:val="16"/>
                <w:szCs w:val="16"/>
                <w:lang w:val="es-ES"/>
              </w:rPr>
              <w:t xml:space="preserve">Estándar </w:t>
            </w:r>
            <w:r w:rsidRPr="00B32D99">
              <w:rPr>
                <w:rFonts w:ascii="Verdana" w:hAnsi="Verdana" w:cs="Arial"/>
                <w:b/>
                <w:i/>
                <w:sz w:val="16"/>
                <w:szCs w:val="16"/>
                <w:lang w:val="es-ES"/>
              </w:rPr>
              <w:t>1AA</w:t>
            </w:r>
            <w:r w:rsidRPr="00B32D99">
              <w:rPr>
                <w:rFonts w:ascii="Verdana" w:hAnsi="Verdana" w:cs="Arial"/>
                <w:i/>
                <w:sz w:val="16"/>
                <w:szCs w:val="16"/>
                <w:lang w:val="es-ES"/>
              </w:rPr>
              <w:t>. Límites máximos permisibles para motores y vehículos automotores nuevos producidos a partir del 1 de enero de 2019 y hasta el 31 de diciembre de 2021, obtenidos con los métodos de prueba Ciclo Suplementario Estable (CSE) y Ciclo Transitorio (CT), descritos en los numerales 3.10 y 3.11 de la presente norma oficial mexicana.</w:t>
            </w:r>
          </w:p>
        </w:tc>
        <w:tc>
          <w:tcPr>
            <w:tcW w:w="4529" w:type="dxa"/>
          </w:tcPr>
          <w:p w14:paraId="5B32131A"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lang w:val="en-US"/>
              </w:rPr>
              <w:t xml:space="preserve">(Footnote 4) Standard </w:t>
            </w:r>
            <w:r w:rsidRPr="00B32D99">
              <w:rPr>
                <w:rFonts w:ascii="Verdana" w:hAnsi="Verdana"/>
                <w:b/>
                <w:bCs/>
                <w:i/>
                <w:iCs/>
                <w:sz w:val="16"/>
                <w:szCs w:val="16"/>
                <w:lang w:val="en-US"/>
              </w:rPr>
              <w:t>1AA</w:t>
            </w:r>
            <w:r w:rsidRPr="00B32D99">
              <w:rPr>
                <w:rFonts w:ascii="Verdana" w:hAnsi="Verdana"/>
                <w:i/>
                <w:iCs/>
                <w:sz w:val="16"/>
                <w:szCs w:val="16"/>
                <w:lang w:val="en-US"/>
              </w:rPr>
              <w:t>. Maximum permissible Limits new motors and automotive vehicles produced from the 1</w:t>
            </w:r>
            <w:r w:rsidRPr="00B32D99">
              <w:rPr>
                <w:rFonts w:ascii="Verdana" w:hAnsi="Verdana"/>
                <w:i/>
                <w:iCs/>
                <w:sz w:val="16"/>
                <w:szCs w:val="16"/>
                <w:vertAlign w:val="superscript"/>
                <w:lang w:val="en-US"/>
              </w:rPr>
              <w:t>st</w:t>
            </w:r>
            <w:r w:rsidRPr="00B32D99">
              <w:rPr>
                <w:rFonts w:ascii="Verdana" w:hAnsi="Verdana"/>
                <w:i/>
                <w:iCs/>
                <w:sz w:val="16"/>
                <w:szCs w:val="16"/>
                <w:lang w:val="en-US"/>
              </w:rPr>
              <w:t xml:space="preserve"> of January of 2019 and until the 31</w:t>
            </w:r>
            <w:r w:rsidRPr="00B32D99">
              <w:rPr>
                <w:rFonts w:ascii="Verdana" w:hAnsi="Verdana"/>
                <w:i/>
                <w:iCs/>
                <w:sz w:val="16"/>
                <w:szCs w:val="16"/>
                <w:vertAlign w:val="superscript"/>
                <w:lang w:val="en-US"/>
              </w:rPr>
              <w:t>st</w:t>
            </w:r>
            <w:r w:rsidRPr="00B32D99">
              <w:rPr>
                <w:rFonts w:ascii="Verdana" w:hAnsi="Verdana"/>
                <w:i/>
                <w:iCs/>
                <w:sz w:val="16"/>
                <w:szCs w:val="16"/>
                <w:lang w:val="en-US"/>
              </w:rPr>
              <w:t xml:space="preserve"> of December of 2021 obtained with the test methods of Stable Supplemental Cycle (CSE) and Transitional Cycle (CT), described in the section numbers 3.10 and 3.11 of this Official Mexican Standard.  </w:t>
            </w:r>
          </w:p>
        </w:tc>
      </w:tr>
      <w:tr w:rsidR="00B32D99" w:rsidRPr="00B32D99" w14:paraId="361214F2" w14:textId="77777777" w:rsidTr="00E9290D">
        <w:tc>
          <w:tcPr>
            <w:tcW w:w="4529" w:type="dxa"/>
          </w:tcPr>
          <w:p w14:paraId="30685BF2" w14:textId="77777777" w:rsidR="00B32D99" w:rsidRPr="00B32D99" w:rsidRDefault="00B32D99" w:rsidP="00B32D99">
            <w:pPr>
              <w:spacing w:after="60" w:line="216" w:lineRule="exact"/>
              <w:rPr>
                <w:rFonts w:ascii="Verdana" w:hAnsi="Verdana" w:cs="Arial"/>
                <w:b/>
                <w:sz w:val="16"/>
                <w:szCs w:val="16"/>
              </w:rPr>
            </w:pPr>
            <w:r w:rsidRPr="00B32D99">
              <w:rPr>
                <w:rFonts w:ascii="Verdana" w:hAnsi="Verdana" w:cs="Arial"/>
                <w:b/>
                <w:sz w:val="16"/>
                <w:szCs w:val="16"/>
              </w:rPr>
              <w:t>…</w:t>
            </w:r>
          </w:p>
        </w:tc>
        <w:tc>
          <w:tcPr>
            <w:tcW w:w="4529" w:type="dxa"/>
          </w:tcPr>
          <w:p w14:paraId="2E9C1D05" w14:textId="77777777" w:rsidR="00B32D99" w:rsidRPr="00B32D99" w:rsidRDefault="00B32D99" w:rsidP="00B32D99">
            <w:pPr>
              <w:spacing w:after="60" w:line="216" w:lineRule="exact"/>
              <w:rPr>
                <w:rFonts w:ascii="Verdana" w:hAnsi="Verdana" w:cs="Arial"/>
                <w:b/>
                <w:sz w:val="16"/>
                <w:szCs w:val="16"/>
                <w:lang w:val="en-US"/>
              </w:rPr>
            </w:pPr>
            <w:r w:rsidRPr="00B32D99">
              <w:rPr>
                <w:rFonts w:ascii="Verdana" w:hAnsi="Verdana"/>
                <w:b/>
                <w:bCs/>
                <w:sz w:val="16"/>
                <w:szCs w:val="16"/>
              </w:rPr>
              <w:t>...</w:t>
            </w:r>
          </w:p>
        </w:tc>
      </w:tr>
      <w:tr w:rsidR="00B32D99" w:rsidRPr="00B32D99" w14:paraId="2485D3ED" w14:textId="77777777" w:rsidTr="00E9290D">
        <w:tc>
          <w:tcPr>
            <w:tcW w:w="4529" w:type="dxa"/>
          </w:tcPr>
          <w:p w14:paraId="6EBA505E" w14:textId="77777777" w:rsidR="00B32D99" w:rsidRPr="00B32D99" w:rsidRDefault="00B32D99" w:rsidP="00B32D99">
            <w:pPr>
              <w:spacing w:after="60" w:line="216" w:lineRule="exact"/>
              <w:rPr>
                <w:rFonts w:ascii="Verdana" w:hAnsi="Verdana" w:cs="Arial"/>
                <w:b/>
                <w:sz w:val="16"/>
                <w:szCs w:val="16"/>
              </w:rPr>
            </w:pPr>
            <w:r w:rsidRPr="00B32D99">
              <w:rPr>
                <w:rFonts w:ascii="Verdana" w:hAnsi="Verdana" w:cs="Arial"/>
                <w:b/>
                <w:sz w:val="16"/>
                <w:szCs w:val="16"/>
              </w:rPr>
              <w:t>Tabla 2 …</w:t>
            </w:r>
          </w:p>
        </w:tc>
        <w:tc>
          <w:tcPr>
            <w:tcW w:w="4529" w:type="dxa"/>
          </w:tcPr>
          <w:p w14:paraId="7CAA18C9" w14:textId="77777777" w:rsidR="00B32D99" w:rsidRPr="00B32D99" w:rsidRDefault="00B32D99" w:rsidP="00B32D99">
            <w:pPr>
              <w:spacing w:after="60" w:line="216" w:lineRule="exact"/>
              <w:rPr>
                <w:rFonts w:ascii="Verdana" w:hAnsi="Verdana" w:cs="Arial"/>
                <w:b/>
                <w:sz w:val="16"/>
                <w:szCs w:val="16"/>
                <w:lang w:val="en-US"/>
              </w:rPr>
            </w:pPr>
            <w:r w:rsidRPr="00B32D99">
              <w:rPr>
                <w:rFonts w:ascii="Verdana" w:hAnsi="Verdana"/>
                <w:b/>
                <w:bCs/>
                <w:sz w:val="16"/>
                <w:szCs w:val="16"/>
              </w:rPr>
              <w:t xml:space="preserve">Table 2 ... </w:t>
            </w:r>
          </w:p>
        </w:tc>
      </w:tr>
      <w:tr w:rsidR="00B32D99" w:rsidRPr="00B32D99" w14:paraId="0A1298B0" w14:textId="77777777" w:rsidTr="00E9290D">
        <w:tc>
          <w:tcPr>
            <w:tcW w:w="4529" w:type="dxa"/>
          </w:tcPr>
          <w:p w14:paraId="3D1FFD25" w14:textId="77777777" w:rsidR="00B32D99" w:rsidRPr="00B32D99" w:rsidRDefault="00B32D99" w:rsidP="00B32D99">
            <w:pPr>
              <w:spacing w:after="60" w:line="216" w:lineRule="exact"/>
              <w:rPr>
                <w:rFonts w:ascii="Verdana" w:hAnsi="Verdana" w:cs="Arial"/>
                <w:i/>
                <w:sz w:val="16"/>
                <w:szCs w:val="16"/>
              </w:rPr>
            </w:pPr>
            <w:r w:rsidRPr="00B32D99">
              <w:rPr>
                <w:rFonts w:ascii="Verdana" w:hAnsi="Verdana" w:cs="Arial"/>
                <w:i/>
                <w:sz w:val="16"/>
                <w:szCs w:val="16"/>
              </w:rPr>
              <w:t>(Nota 1 al pie)</w:t>
            </w:r>
            <w:r w:rsidRPr="00B32D99">
              <w:rPr>
                <w:rFonts w:ascii="Verdana" w:hAnsi="Verdana" w:cs="Arial"/>
                <w:b/>
                <w:i/>
                <w:sz w:val="16"/>
                <w:szCs w:val="16"/>
              </w:rPr>
              <w:t>…</w:t>
            </w:r>
          </w:p>
        </w:tc>
        <w:tc>
          <w:tcPr>
            <w:tcW w:w="4529" w:type="dxa"/>
          </w:tcPr>
          <w:p w14:paraId="0F3F4A50"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1) </w:t>
            </w:r>
            <w:r w:rsidRPr="00B32D99">
              <w:rPr>
                <w:rFonts w:ascii="Verdana" w:hAnsi="Verdana"/>
                <w:b/>
                <w:bCs/>
                <w:sz w:val="16"/>
                <w:szCs w:val="16"/>
              </w:rPr>
              <w:t>...</w:t>
            </w:r>
            <w:r w:rsidRPr="00B32D99">
              <w:rPr>
                <w:rFonts w:ascii="Verdana" w:hAnsi="Verdana"/>
                <w:i/>
                <w:iCs/>
                <w:sz w:val="16"/>
                <w:szCs w:val="16"/>
              </w:rPr>
              <w:t xml:space="preserve"> </w:t>
            </w:r>
          </w:p>
        </w:tc>
      </w:tr>
      <w:tr w:rsidR="00B32D99" w:rsidRPr="00B32D99" w14:paraId="593598EC" w14:textId="77777777" w:rsidTr="00E9290D">
        <w:tc>
          <w:tcPr>
            <w:tcW w:w="4529" w:type="dxa"/>
          </w:tcPr>
          <w:p w14:paraId="06783F34" w14:textId="77777777" w:rsidR="00B32D99" w:rsidRPr="00B32D99" w:rsidRDefault="00B32D99" w:rsidP="00B32D99">
            <w:pPr>
              <w:spacing w:after="60" w:line="216" w:lineRule="exact"/>
              <w:rPr>
                <w:rFonts w:ascii="Verdana" w:hAnsi="Verdana" w:cs="Arial"/>
                <w:i/>
                <w:sz w:val="16"/>
                <w:szCs w:val="16"/>
              </w:rPr>
            </w:pPr>
            <w:r w:rsidRPr="00B32D99">
              <w:rPr>
                <w:rFonts w:ascii="Verdana" w:hAnsi="Verdana" w:cs="Arial"/>
                <w:i/>
                <w:sz w:val="16"/>
                <w:szCs w:val="16"/>
              </w:rPr>
              <w:t>(Nota 2 al pie)</w:t>
            </w:r>
            <w:r w:rsidRPr="00B32D99">
              <w:rPr>
                <w:rFonts w:ascii="Verdana" w:hAnsi="Verdana" w:cs="Arial"/>
                <w:b/>
                <w:i/>
                <w:sz w:val="16"/>
                <w:szCs w:val="16"/>
              </w:rPr>
              <w:t>…</w:t>
            </w:r>
          </w:p>
        </w:tc>
        <w:tc>
          <w:tcPr>
            <w:tcW w:w="4529" w:type="dxa"/>
          </w:tcPr>
          <w:p w14:paraId="4E1D6842"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2) </w:t>
            </w:r>
            <w:r w:rsidRPr="00B32D99">
              <w:rPr>
                <w:rFonts w:ascii="Verdana" w:hAnsi="Verdana"/>
                <w:b/>
                <w:bCs/>
                <w:i/>
                <w:iCs/>
                <w:sz w:val="16"/>
                <w:szCs w:val="16"/>
              </w:rPr>
              <w:t>...</w:t>
            </w:r>
            <w:r w:rsidRPr="00B32D99">
              <w:rPr>
                <w:rFonts w:ascii="Verdana" w:hAnsi="Verdana"/>
                <w:i/>
                <w:iCs/>
                <w:sz w:val="16"/>
                <w:szCs w:val="16"/>
              </w:rPr>
              <w:t xml:space="preserve"> </w:t>
            </w:r>
          </w:p>
        </w:tc>
      </w:tr>
      <w:tr w:rsidR="00B32D99" w:rsidRPr="00B32D99" w14:paraId="450B0463" w14:textId="77777777" w:rsidTr="00E9290D">
        <w:tc>
          <w:tcPr>
            <w:tcW w:w="4529" w:type="dxa"/>
          </w:tcPr>
          <w:p w14:paraId="7838739E" w14:textId="77777777" w:rsidR="00B32D99" w:rsidRPr="00B32D99" w:rsidRDefault="00B32D99" w:rsidP="00B32D99">
            <w:pPr>
              <w:spacing w:after="60" w:line="216" w:lineRule="exact"/>
              <w:rPr>
                <w:rFonts w:ascii="Verdana" w:hAnsi="Verdana" w:cs="Arial"/>
                <w:i/>
                <w:sz w:val="16"/>
                <w:szCs w:val="16"/>
              </w:rPr>
            </w:pPr>
            <w:r w:rsidRPr="00B32D99">
              <w:rPr>
                <w:rFonts w:ascii="Verdana" w:hAnsi="Verdana" w:cs="Arial"/>
                <w:i/>
                <w:sz w:val="16"/>
                <w:szCs w:val="16"/>
              </w:rPr>
              <w:t>(Nota 3 al pie)</w:t>
            </w:r>
            <w:r w:rsidRPr="00B32D99">
              <w:rPr>
                <w:rFonts w:ascii="Verdana" w:hAnsi="Verdana" w:cs="Arial"/>
                <w:b/>
                <w:i/>
                <w:sz w:val="16"/>
                <w:szCs w:val="16"/>
              </w:rPr>
              <w:t>…</w:t>
            </w:r>
          </w:p>
        </w:tc>
        <w:tc>
          <w:tcPr>
            <w:tcW w:w="4529" w:type="dxa"/>
          </w:tcPr>
          <w:p w14:paraId="28B86518"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3) </w:t>
            </w:r>
            <w:r w:rsidRPr="00B32D99">
              <w:rPr>
                <w:rFonts w:ascii="Verdana" w:hAnsi="Verdana"/>
                <w:b/>
                <w:bCs/>
                <w:i/>
                <w:iCs/>
                <w:sz w:val="16"/>
                <w:szCs w:val="16"/>
              </w:rPr>
              <w:t>...</w:t>
            </w:r>
            <w:r w:rsidRPr="00B32D99">
              <w:rPr>
                <w:rFonts w:ascii="Verdana" w:hAnsi="Verdana"/>
                <w:i/>
                <w:iCs/>
                <w:sz w:val="16"/>
                <w:szCs w:val="16"/>
              </w:rPr>
              <w:t xml:space="preserve"> </w:t>
            </w:r>
          </w:p>
        </w:tc>
      </w:tr>
      <w:tr w:rsidR="00B32D99" w:rsidRPr="00B32D99" w14:paraId="0A07510C" w14:textId="77777777" w:rsidTr="00E9290D">
        <w:tc>
          <w:tcPr>
            <w:tcW w:w="4529" w:type="dxa"/>
          </w:tcPr>
          <w:p w14:paraId="52B42C6B" w14:textId="77777777" w:rsidR="00B32D99" w:rsidRPr="00B32D99" w:rsidRDefault="00B32D99" w:rsidP="00B32D99">
            <w:pPr>
              <w:spacing w:after="60" w:line="216" w:lineRule="exact"/>
              <w:rPr>
                <w:rFonts w:ascii="Verdana" w:hAnsi="Verdana" w:cs="Arial"/>
                <w:i/>
                <w:sz w:val="16"/>
                <w:szCs w:val="16"/>
              </w:rPr>
            </w:pPr>
            <w:r w:rsidRPr="00B32D99">
              <w:rPr>
                <w:rFonts w:ascii="Verdana" w:hAnsi="Verdana" w:cs="Arial"/>
                <w:i/>
                <w:sz w:val="16"/>
                <w:szCs w:val="16"/>
              </w:rPr>
              <w:t>(Nota 4 al pie)</w:t>
            </w:r>
            <w:r w:rsidRPr="00B32D99">
              <w:rPr>
                <w:rFonts w:ascii="Verdana" w:hAnsi="Verdana" w:cs="Arial"/>
                <w:b/>
                <w:i/>
                <w:sz w:val="16"/>
                <w:szCs w:val="16"/>
              </w:rPr>
              <w:t>…</w:t>
            </w:r>
          </w:p>
        </w:tc>
        <w:tc>
          <w:tcPr>
            <w:tcW w:w="4529" w:type="dxa"/>
          </w:tcPr>
          <w:p w14:paraId="6518F8A2"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4) </w:t>
            </w:r>
            <w:r w:rsidRPr="00B32D99">
              <w:rPr>
                <w:rFonts w:ascii="Verdana" w:hAnsi="Verdana"/>
                <w:b/>
                <w:bCs/>
                <w:i/>
                <w:iCs/>
                <w:sz w:val="16"/>
                <w:szCs w:val="16"/>
              </w:rPr>
              <w:t>...</w:t>
            </w:r>
            <w:r w:rsidRPr="00B32D99">
              <w:rPr>
                <w:rFonts w:ascii="Verdana" w:hAnsi="Verdana"/>
                <w:i/>
                <w:iCs/>
                <w:sz w:val="16"/>
                <w:szCs w:val="16"/>
              </w:rPr>
              <w:t xml:space="preserve"> </w:t>
            </w:r>
          </w:p>
        </w:tc>
      </w:tr>
      <w:tr w:rsidR="00B32D99" w:rsidRPr="00743A20" w14:paraId="626070F4" w14:textId="77777777" w:rsidTr="00E9290D">
        <w:tc>
          <w:tcPr>
            <w:tcW w:w="4529" w:type="dxa"/>
          </w:tcPr>
          <w:p w14:paraId="55BCE5F1" w14:textId="77777777" w:rsidR="00B32D99" w:rsidRPr="00B32D99" w:rsidRDefault="00B32D99" w:rsidP="00B32D99">
            <w:pPr>
              <w:spacing w:after="60" w:line="216" w:lineRule="exact"/>
              <w:rPr>
                <w:rFonts w:ascii="Verdana" w:hAnsi="Verdana" w:cs="Arial"/>
                <w:i/>
                <w:sz w:val="16"/>
                <w:szCs w:val="16"/>
                <w:lang w:val="es-ES"/>
              </w:rPr>
            </w:pPr>
            <w:r w:rsidRPr="00B32D99">
              <w:rPr>
                <w:rFonts w:ascii="Verdana" w:hAnsi="Verdana" w:cs="Arial"/>
                <w:i/>
                <w:sz w:val="16"/>
                <w:szCs w:val="16"/>
              </w:rPr>
              <w:t xml:space="preserve">(Nota 5 al pie) </w:t>
            </w:r>
            <w:r w:rsidRPr="00B32D99">
              <w:rPr>
                <w:rFonts w:ascii="Verdana" w:hAnsi="Verdana" w:cs="Arial"/>
                <w:i/>
                <w:sz w:val="16"/>
                <w:szCs w:val="16"/>
                <w:lang w:val="es-ES"/>
              </w:rPr>
              <w:t xml:space="preserve">Estándar </w:t>
            </w:r>
            <w:r w:rsidRPr="00B32D99">
              <w:rPr>
                <w:rFonts w:ascii="Verdana" w:hAnsi="Verdana" w:cs="Arial"/>
                <w:b/>
                <w:i/>
                <w:sz w:val="16"/>
                <w:szCs w:val="16"/>
                <w:lang w:val="es-ES"/>
              </w:rPr>
              <w:t>2AA</w:t>
            </w:r>
            <w:r w:rsidRPr="00B32D99">
              <w:rPr>
                <w:rFonts w:ascii="Verdana" w:hAnsi="Verdana" w:cs="Arial"/>
                <w:i/>
                <w:sz w:val="16"/>
                <w:szCs w:val="16"/>
                <w:lang w:val="es-ES"/>
              </w:rPr>
              <w:t xml:space="preserve">. Límites máximos permisibles para motores y vehículos automotores nuevos producidos a partir del 1 de enero de 2019 y hasta el 31 de diciembre de 2021, obtenidos </w:t>
            </w:r>
            <w:r w:rsidRPr="00B32D99">
              <w:rPr>
                <w:rFonts w:ascii="Verdana" w:hAnsi="Verdana" w:cs="Arial"/>
                <w:i/>
                <w:sz w:val="16"/>
                <w:szCs w:val="16"/>
              </w:rPr>
              <w:t>con los métodos de prueba de Ciclo Europeo de Estado Continuo (CEEC) y Ciclo Europeo de Transición (CET), establecidos por el Parlamento Europeo y el Consejo de la Unión Europea, los cuales están descritos en los numerales 3.8 y 3.9 de la presente norma oficial mexicana.”</w:t>
            </w:r>
          </w:p>
        </w:tc>
        <w:tc>
          <w:tcPr>
            <w:tcW w:w="4529" w:type="dxa"/>
          </w:tcPr>
          <w:p w14:paraId="4ACE2B50"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lang w:val="en-US"/>
              </w:rPr>
              <w:t xml:space="preserve">(Footnote 5) Standard </w:t>
            </w:r>
            <w:r w:rsidRPr="00B32D99">
              <w:rPr>
                <w:rFonts w:ascii="Verdana" w:hAnsi="Verdana"/>
                <w:b/>
                <w:bCs/>
                <w:i/>
                <w:iCs/>
                <w:sz w:val="16"/>
                <w:szCs w:val="16"/>
                <w:lang w:val="en-US"/>
              </w:rPr>
              <w:t>2AA</w:t>
            </w:r>
            <w:r w:rsidRPr="00B32D99">
              <w:rPr>
                <w:rFonts w:ascii="Verdana" w:hAnsi="Verdana"/>
                <w:i/>
                <w:iCs/>
                <w:sz w:val="16"/>
                <w:szCs w:val="16"/>
                <w:lang w:val="en-US"/>
              </w:rPr>
              <w:t>. Maximum Permissible Limits for new motors and automotive vehicles produced from the 1</w:t>
            </w:r>
            <w:r w:rsidRPr="00B32D99">
              <w:rPr>
                <w:rFonts w:ascii="Verdana" w:hAnsi="Verdana"/>
                <w:i/>
                <w:iCs/>
                <w:sz w:val="16"/>
                <w:szCs w:val="16"/>
                <w:vertAlign w:val="superscript"/>
                <w:lang w:val="en-US"/>
              </w:rPr>
              <w:t>st</w:t>
            </w:r>
            <w:r w:rsidRPr="00B32D99">
              <w:rPr>
                <w:rFonts w:ascii="Verdana" w:hAnsi="Verdana"/>
                <w:i/>
                <w:iCs/>
                <w:sz w:val="16"/>
                <w:szCs w:val="16"/>
                <w:lang w:val="en-US"/>
              </w:rPr>
              <w:t xml:space="preserve"> of January of 2019 and until the 31</w:t>
            </w:r>
            <w:r w:rsidRPr="00B32D99">
              <w:rPr>
                <w:rFonts w:ascii="Verdana" w:hAnsi="Verdana"/>
                <w:i/>
                <w:iCs/>
                <w:sz w:val="16"/>
                <w:szCs w:val="16"/>
                <w:vertAlign w:val="superscript"/>
                <w:lang w:val="en-US"/>
              </w:rPr>
              <w:t>st</w:t>
            </w:r>
            <w:r w:rsidRPr="00B32D99">
              <w:rPr>
                <w:rFonts w:ascii="Verdana" w:hAnsi="Verdana"/>
                <w:i/>
                <w:iCs/>
                <w:sz w:val="16"/>
                <w:szCs w:val="16"/>
                <w:lang w:val="en-US"/>
              </w:rPr>
              <w:t xml:space="preserve"> of December of 2021 obtained with the test methods of the Continuous State European Cycle (CEEC) and Transitional European Cycle (CET), established by the European Parliament and the Council of the European Union, which are described in the section numbers 3.8 and 3.9 of this Official Mexican Standard.”    </w:t>
            </w:r>
          </w:p>
        </w:tc>
      </w:tr>
      <w:tr w:rsidR="00B32D99" w:rsidRPr="00B32D99" w14:paraId="45E453BB" w14:textId="77777777" w:rsidTr="00E9290D">
        <w:tc>
          <w:tcPr>
            <w:tcW w:w="4529" w:type="dxa"/>
          </w:tcPr>
          <w:p w14:paraId="28DA3921" w14:textId="77777777" w:rsidR="00B32D99" w:rsidRPr="00B32D99" w:rsidRDefault="00B32D99" w:rsidP="00B32D99">
            <w:pPr>
              <w:spacing w:after="60" w:line="216" w:lineRule="exact"/>
              <w:rPr>
                <w:rFonts w:ascii="Verdana" w:hAnsi="Verdana" w:cs="Arial"/>
                <w:b/>
                <w:i/>
                <w:sz w:val="16"/>
                <w:szCs w:val="16"/>
              </w:rPr>
            </w:pPr>
            <w:r w:rsidRPr="00B32D99">
              <w:rPr>
                <w:rFonts w:ascii="Verdana" w:hAnsi="Verdana" w:cs="Arial"/>
                <w:b/>
                <w:i/>
                <w:sz w:val="16"/>
                <w:szCs w:val="16"/>
              </w:rPr>
              <w:t>...</w:t>
            </w:r>
          </w:p>
        </w:tc>
        <w:tc>
          <w:tcPr>
            <w:tcW w:w="4529" w:type="dxa"/>
          </w:tcPr>
          <w:p w14:paraId="56CE5D76" w14:textId="77777777" w:rsidR="00B32D99" w:rsidRPr="00B32D99" w:rsidRDefault="00B32D99" w:rsidP="00B32D99">
            <w:pPr>
              <w:spacing w:after="60" w:line="216" w:lineRule="exact"/>
              <w:rPr>
                <w:rFonts w:ascii="Verdana" w:hAnsi="Verdana" w:cs="Arial"/>
                <w:b/>
                <w:i/>
                <w:sz w:val="16"/>
                <w:szCs w:val="16"/>
                <w:lang w:val="en-US"/>
              </w:rPr>
            </w:pPr>
            <w:r w:rsidRPr="00B32D99">
              <w:rPr>
                <w:rFonts w:ascii="Verdana" w:hAnsi="Verdana"/>
                <w:b/>
                <w:bCs/>
                <w:i/>
                <w:iCs/>
                <w:sz w:val="16"/>
                <w:szCs w:val="16"/>
              </w:rPr>
              <w:t>...</w:t>
            </w:r>
          </w:p>
        </w:tc>
      </w:tr>
      <w:tr w:rsidR="00B32D99" w:rsidRPr="00B32D99" w14:paraId="40B3B19C" w14:textId="77777777" w:rsidTr="00E9290D">
        <w:tc>
          <w:tcPr>
            <w:tcW w:w="4529" w:type="dxa"/>
          </w:tcPr>
          <w:p w14:paraId="636CFAEF" w14:textId="77777777" w:rsidR="00B32D99" w:rsidRPr="00B32D99" w:rsidRDefault="00B32D99" w:rsidP="00B32D99">
            <w:pPr>
              <w:spacing w:after="60" w:line="216" w:lineRule="exact"/>
              <w:rPr>
                <w:rFonts w:ascii="Verdana" w:hAnsi="Verdana" w:cs="Arial"/>
                <w:sz w:val="16"/>
                <w:szCs w:val="16"/>
              </w:rPr>
            </w:pPr>
            <w:r w:rsidRPr="00B32D99">
              <w:rPr>
                <w:rFonts w:ascii="Verdana" w:hAnsi="Verdana" w:cs="Arial"/>
                <w:b/>
                <w:sz w:val="16"/>
                <w:szCs w:val="16"/>
              </w:rPr>
              <w:t>“4.2.</w:t>
            </w:r>
            <w:r w:rsidRPr="00B32D99">
              <w:rPr>
                <w:rFonts w:ascii="Verdana" w:hAnsi="Verdana" w:cs="Arial"/>
                <w:sz w:val="16"/>
                <w:szCs w:val="16"/>
              </w:rPr>
              <w:t xml:space="preserve"> </w:t>
            </w:r>
            <w:r w:rsidRPr="00B32D99">
              <w:rPr>
                <w:rFonts w:ascii="Verdana" w:hAnsi="Verdana" w:cs="Arial"/>
                <w:b/>
                <w:sz w:val="16"/>
                <w:szCs w:val="16"/>
              </w:rPr>
              <w:t>…</w:t>
            </w:r>
          </w:p>
        </w:tc>
        <w:tc>
          <w:tcPr>
            <w:tcW w:w="4529" w:type="dxa"/>
          </w:tcPr>
          <w:p w14:paraId="66E38008" w14:textId="77777777" w:rsidR="00B32D99" w:rsidRPr="00B32D99" w:rsidRDefault="00B32D99" w:rsidP="00B32D99">
            <w:pPr>
              <w:spacing w:after="60" w:line="216" w:lineRule="exact"/>
              <w:rPr>
                <w:rFonts w:ascii="Verdana" w:hAnsi="Verdana" w:cs="Arial"/>
                <w:b/>
                <w:sz w:val="16"/>
                <w:szCs w:val="16"/>
                <w:lang w:val="en-US"/>
              </w:rPr>
            </w:pPr>
            <w:r w:rsidRPr="00B32D99">
              <w:rPr>
                <w:rFonts w:ascii="Verdana" w:hAnsi="Verdana"/>
                <w:b/>
                <w:bCs/>
                <w:sz w:val="16"/>
                <w:szCs w:val="16"/>
              </w:rPr>
              <w:t>"4.2. ...</w:t>
            </w:r>
            <w:r w:rsidRPr="00B32D99">
              <w:rPr>
                <w:rFonts w:ascii="Verdana" w:hAnsi="Verdana"/>
                <w:sz w:val="16"/>
                <w:szCs w:val="16"/>
              </w:rPr>
              <w:t xml:space="preserve"> </w:t>
            </w:r>
          </w:p>
        </w:tc>
      </w:tr>
      <w:tr w:rsidR="00B32D99" w:rsidRPr="00B32D99" w14:paraId="2BBB5718" w14:textId="77777777" w:rsidTr="00E9290D">
        <w:tc>
          <w:tcPr>
            <w:tcW w:w="4529" w:type="dxa"/>
          </w:tcPr>
          <w:p w14:paraId="48B18D6E" w14:textId="77777777" w:rsidR="00B32D99" w:rsidRPr="00B32D99" w:rsidRDefault="00B32D99" w:rsidP="00B32D99">
            <w:pPr>
              <w:spacing w:after="60" w:line="216" w:lineRule="exact"/>
              <w:rPr>
                <w:rFonts w:ascii="Verdana" w:hAnsi="Verdana" w:cs="Arial"/>
                <w:b/>
                <w:sz w:val="16"/>
                <w:szCs w:val="16"/>
              </w:rPr>
            </w:pPr>
            <w:r w:rsidRPr="00B32D99">
              <w:rPr>
                <w:rFonts w:ascii="Verdana" w:hAnsi="Verdana" w:cs="Arial"/>
                <w:b/>
                <w:sz w:val="16"/>
                <w:szCs w:val="16"/>
              </w:rPr>
              <w:t>…</w:t>
            </w:r>
          </w:p>
        </w:tc>
        <w:tc>
          <w:tcPr>
            <w:tcW w:w="4529" w:type="dxa"/>
          </w:tcPr>
          <w:p w14:paraId="5E8B940B" w14:textId="77777777" w:rsidR="00B32D99" w:rsidRPr="00B32D99" w:rsidRDefault="00B32D99" w:rsidP="00B32D99">
            <w:pPr>
              <w:spacing w:after="60" w:line="216" w:lineRule="exact"/>
              <w:rPr>
                <w:rFonts w:ascii="Verdana" w:hAnsi="Verdana" w:cs="Arial"/>
                <w:b/>
                <w:sz w:val="16"/>
                <w:szCs w:val="16"/>
                <w:lang w:val="en-US"/>
              </w:rPr>
            </w:pPr>
            <w:r w:rsidRPr="00B32D99">
              <w:rPr>
                <w:rFonts w:ascii="Verdana" w:hAnsi="Verdana"/>
                <w:b/>
                <w:bCs/>
                <w:sz w:val="16"/>
                <w:szCs w:val="16"/>
              </w:rPr>
              <w:t>...</w:t>
            </w:r>
          </w:p>
        </w:tc>
      </w:tr>
      <w:tr w:rsidR="00B32D99" w:rsidRPr="00B32D99" w14:paraId="3ED342E4" w14:textId="77777777" w:rsidTr="00E9290D">
        <w:tc>
          <w:tcPr>
            <w:tcW w:w="4529" w:type="dxa"/>
          </w:tcPr>
          <w:p w14:paraId="4D08F92D" w14:textId="77777777" w:rsidR="00B32D99" w:rsidRPr="00B32D99" w:rsidRDefault="00B32D99" w:rsidP="00B32D99">
            <w:pPr>
              <w:spacing w:after="60" w:line="216" w:lineRule="exact"/>
              <w:rPr>
                <w:rFonts w:ascii="Verdana" w:hAnsi="Verdana" w:cs="Arial"/>
                <w:b/>
                <w:sz w:val="16"/>
                <w:szCs w:val="16"/>
              </w:rPr>
            </w:pPr>
            <w:r w:rsidRPr="00B32D99">
              <w:rPr>
                <w:rFonts w:ascii="Verdana" w:hAnsi="Verdana" w:cs="Arial"/>
                <w:b/>
                <w:sz w:val="16"/>
                <w:szCs w:val="16"/>
              </w:rPr>
              <w:t>Tabla 4 …</w:t>
            </w:r>
          </w:p>
        </w:tc>
        <w:tc>
          <w:tcPr>
            <w:tcW w:w="4529" w:type="dxa"/>
          </w:tcPr>
          <w:p w14:paraId="6C4C1BCC" w14:textId="77777777" w:rsidR="00B32D99" w:rsidRPr="00B32D99" w:rsidRDefault="00B32D99" w:rsidP="00B32D99">
            <w:pPr>
              <w:spacing w:after="60" w:line="216" w:lineRule="exact"/>
              <w:rPr>
                <w:rFonts w:ascii="Verdana" w:hAnsi="Verdana" w:cs="Arial"/>
                <w:b/>
                <w:sz w:val="16"/>
                <w:szCs w:val="16"/>
                <w:lang w:val="en-US"/>
              </w:rPr>
            </w:pPr>
            <w:r w:rsidRPr="00B32D99">
              <w:rPr>
                <w:rFonts w:ascii="Verdana" w:hAnsi="Verdana"/>
                <w:b/>
                <w:bCs/>
                <w:sz w:val="16"/>
                <w:szCs w:val="16"/>
              </w:rPr>
              <w:t xml:space="preserve">Table 4 ... </w:t>
            </w:r>
          </w:p>
        </w:tc>
      </w:tr>
      <w:tr w:rsidR="00B32D99" w:rsidRPr="00B32D99" w14:paraId="5C83D9BB" w14:textId="77777777" w:rsidTr="00E9290D">
        <w:tc>
          <w:tcPr>
            <w:tcW w:w="4529" w:type="dxa"/>
          </w:tcPr>
          <w:p w14:paraId="49BA0051" w14:textId="77777777" w:rsidR="00B32D99" w:rsidRPr="00B32D99" w:rsidRDefault="00B32D99" w:rsidP="00B32D99">
            <w:pPr>
              <w:spacing w:after="60" w:line="216" w:lineRule="exact"/>
              <w:rPr>
                <w:rFonts w:ascii="Verdana" w:hAnsi="Verdana" w:cs="Arial"/>
                <w:i/>
                <w:sz w:val="16"/>
                <w:szCs w:val="16"/>
              </w:rPr>
            </w:pPr>
            <w:r w:rsidRPr="00B32D99">
              <w:rPr>
                <w:rFonts w:ascii="Verdana" w:hAnsi="Verdana" w:cs="Arial"/>
                <w:i/>
                <w:sz w:val="16"/>
                <w:szCs w:val="16"/>
              </w:rPr>
              <w:t>(Nota 1 al pie)</w:t>
            </w:r>
            <w:r w:rsidRPr="00B32D99">
              <w:rPr>
                <w:rFonts w:ascii="Verdana" w:hAnsi="Verdana" w:cs="Arial"/>
                <w:b/>
                <w:i/>
                <w:sz w:val="16"/>
                <w:szCs w:val="16"/>
              </w:rPr>
              <w:t>…</w:t>
            </w:r>
          </w:p>
        </w:tc>
        <w:tc>
          <w:tcPr>
            <w:tcW w:w="4529" w:type="dxa"/>
          </w:tcPr>
          <w:p w14:paraId="7FAAF4F2"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1) </w:t>
            </w:r>
            <w:r w:rsidRPr="00B32D99">
              <w:rPr>
                <w:rFonts w:ascii="Verdana" w:hAnsi="Verdana"/>
                <w:b/>
                <w:bCs/>
                <w:sz w:val="16"/>
                <w:szCs w:val="16"/>
              </w:rPr>
              <w:t>...</w:t>
            </w:r>
            <w:r w:rsidRPr="00B32D99">
              <w:rPr>
                <w:rFonts w:ascii="Verdana" w:hAnsi="Verdana"/>
                <w:i/>
                <w:iCs/>
                <w:sz w:val="16"/>
                <w:szCs w:val="16"/>
              </w:rPr>
              <w:t xml:space="preserve"> </w:t>
            </w:r>
          </w:p>
        </w:tc>
      </w:tr>
      <w:tr w:rsidR="00B32D99" w:rsidRPr="00B32D99" w14:paraId="5FDC7725" w14:textId="77777777" w:rsidTr="00E9290D">
        <w:tc>
          <w:tcPr>
            <w:tcW w:w="4529" w:type="dxa"/>
          </w:tcPr>
          <w:p w14:paraId="4944B17A" w14:textId="77777777" w:rsidR="00B32D99" w:rsidRPr="00B32D99" w:rsidRDefault="00B32D99" w:rsidP="00B32D99">
            <w:pPr>
              <w:spacing w:after="60" w:line="216" w:lineRule="exact"/>
              <w:rPr>
                <w:rFonts w:ascii="Verdana" w:hAnsi="Verdana" w:cs="Arial"/>
                <w:i/>
                <w:sz w:val="16"/>
                <w:szCs w:val="16"/>
              </w:rPr>
            </w:pPr>
            <w:r w:rsidRPr="00B32D99">
              <w:rPr>
                <w:rFonts w:ascii="Verdana" w:hAnsi="Verdana" w:cs="Arial"/>
                <w:i/>
                <w:sz w:val="16"/>
                <w:szCs w:val="16"/>
              </w:rPr>
              <w:t>(Nota 2 al pie)</w:t>
            </w:r>
            <w:r w:rsidRPr="00B32D99">
              <w:rPr>
                <w:rFonts w:ascii="Verdana" w:hAnsi="Verdana" w:cs="Arial"/>
                <w:b/>
                <w:i/>
                <w:sz w:val="16"/>
                <w:szCs w:val="16"/>
              </w:rPr>
              <w:t>…</w:t>
            </w:r>
          </w:p>
        </w:tc>
        <w:tc>
          <w:tcPr>
            <w:tcW w:w="4529" w:type="dxa"/>
          </w:tcPr>
          <w:p w14:paraId="6B59674A"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2) </w:t>
            </w:r>
            <w:r w:rsidRPr="00B32D99">
              <w:rPr>
                <w:rFonts w:ascii="Verdana" w:hAnsi="Verdana"/>
                <w:b/>
                <w:bCs/>
                <w:i/>
                <w:iCs/>
                <w:sz w:val="16"/>
                <w:szCs w:val="16"/>
              </w:rPr>
              <w:t>...</w:t>
            </w:r>
            <w:r w:rsidRPr="00B32D99">
              <w:rPr>
                <w:rFonts w:ascii="Verdana" w:hAnsi="Verdana"/>
                <w:i/>
                <w:iCs/>
                <w:sz w:val="16"/>
                <w:szCs w:val="16"/>
              </w:rPr>
              <w:t xml:space="preserve"> </w:t>
            </w:r>
          </w:p>
        </w:tc>
      </w:tr>
      <w:tr w:rsidR="00B32D99" w:rsidRPr="00B32D99" w14:paraId="47FFA251" w14:textId="77777777" w:rsidTr="00E9290D">
        <w:tc>
          <w:tcPr>
            <w:tcW w:w="4529" w:type="dxa"/>
          </w:tcPr>
          <w:p w14:paraId="27D3AA9F" w14:textId="77777777" w:rsidR="00B32D99" w:rsidRPr="00B32D99" w:rsidRDefault="00B32D99" w:rsidP="00B32D99">
            <w:pPr>
              <w:spacing w:after="60" w:line="216" w:lineRule="exact"/>
              <w:rPr>
                <w:rFonts w:ascii="Verdana" w:hAnsi="Verdana" w:cs="Arial"/>
                <w:i/>
                <w:sz w:val="16"/>
                <w:szCs w:val="16"/>
              </w:rPr>
            </w:pPr>
            <w:r w:rsidRPr="00B32D99">
              <w:rPr>
                <w:rFonts w:ascii="Verdana" w:hAnsi="Verdana" w:cs="Arial"/>
                <w:i/>
                <w:sz w:val="16"/>
                <w:szCs w:val="16"/>
              </w:rPr>
              <w:t>(Nota 3 al pie)</w:t>
            </w:r>
            <w:r w:rsidRPr="00B32D99">
              <w:rPr>
                <w:rFonts w:ascii="Verdana" w:hAnsi="Verdana" w:cs="Arial"/>
                <w:b/>
                <w:i/>
                <w:sz w:val="16"/>
                <w:szCs w:val="16"/>
              </w:rPr>
              <w:t>…</w:t>
            </w:r>
          </w:p>
        </w:tc>
        <w:tc>
          <w:tcPr>
            <w:tcW w:w="4529" w:type="dxa"/>
          </w:tcPr>
          <w:p w14:paraId="7E4569FA"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rPr>
              <w:t xml:space="preserve">(Footnote 3) </w:t>
            </w:r>
            <w:r w:rsidRPr="00B32D99">
              <w:rPr>
                <w:rFonts w:ascii="Verdana" w:hAnsi="Verdana"/>
                <w:b/>
                <w:bCs/>
                <w:i/>
                <w:iCs/>
                <w:sz w:val="16"/>
                <w:szCs w:val="16"/>
              </w:rPr>
              <w:t>...</w:t>
            </w:r>
            <w:r w:rsidRPr="00B32D99">
              <w:rPr>
                <w:rFonts w:ascii="Verdana" w:hAnsi="Verdana"/>
                <w:i/>
                <w:iCs/>
                <w:sz w:val="16"/>
                <w:szCs w:val="16"/>
              </w:rPr>
              <w:t xml:space="preserve"> </w:t>
            </w:r>
          </w:p>
        </w:tc>
      </w:tr>
      <w:tr w:rsidR="00B32D99" w:rsidRPr="00743A20" w14:paraId="5452B2A4" w14:textId="77777777" w:rsidTr="00E9290D">
        <w:tc>
          <w:tcPr>
            <w:tcW w:w="4529" w:type="dxa"/>
          </w:tcPr>
          <w:p w14:paraId="3502D910" w14:textId="77777777" w:rsidR="00B32D99" w:rsidRPr="00B32D99" w:rsidRDefault="00B32D99" w:rsidP="00B32D99">
            <w:pPr>
              <w:spacing w:after="60" w:line="216" w:lineRule="exact"/>
              <w:rPr>
                <w:rFonts w:ascii="Verdana" w:hAnsi="Verdana" w:cs="Arial"/>
                <w:sz w:val="16"/>
                <w:szCs w:val="16"/>
              </w:rPr>
            </w:pPr>
            <w:r w:rsidRPr="00B32D99">
              <w:rPr>
                <w:rFonts w:ascii="Verdana" w:hAnsi="Verdana" w:cs="Arial"/>
                <w:i/>
                <w:sz w:val="16"/>
                <w:szCs w:val="16"/>
              </w:rPr>
              <w:t xml:space="preserve">(Nota 4 al pie) Estándar </w:t>
            </w:r>
            <w:r w:rsidRPr="00B32D99">
              <w:rPr>
                <w:rFonts w:ascii="Verdana" w:hAnsi="Verdana" w:cs="Arial"/>
                <w:b/>
                <w:i/>
                <w:sz w:val="16"/>
                <w:szCs w:val="16"/>
              </w:rPr>
              <w:t>4AA</w:t>
            </w:r>
            <w:r w:rsidRPr="00B32D99">
              <w:rPr>
                <w:rFonts w:ascii="Verdana" w:hAnsi="Verdana" w:cs="Arial"/>
                <w:i/>
                <w:sz w:val="16"/>
                <w:szCs w:val="16"/>
              </w:rPr>
              <w:t>. Límites máximos permisibles para motores y vehículos automotores nuevos producidos a partir del 1 de enero de 2019 y hasta el 31 de diciembre de 2021, obtenidos con el Nuevo Ciclo Europeo de Prueba (NCEP), descrito en el numeral 3.20 de la presente norma oficial mexicana.”</w:t>
            </w:r>
          </w:p>
        </w:tc>
        <w:tc>
          <w:tcPr>
            <w:tcW w:w="4529" w:type="dxa"/>
          </w:tcPr>
          <w:p w14:paraId="494E1A45" w14:textId="77777777" w:rsidR="00B32D99" w:rsidRPr="00B32D99" w:rsidRDefault="00B32D99" w:rsidP="00B32D99">
            <w:pPr>
              <w:spacing w:after="60" w:line="216" w:lineRule="exact"/>
              <w:rPr>
                <w:rFonts w:ascii="Verdana" w:hAnsi="Verdana" w:cs="Arial"/>
                <w:i/>
                <w:sz w:val="16"/>
                <w:szCs w:val="16"/>
                <w:lang w:val="en-US"/>
              </w:rPr>
            </w:pPr>
            <w:r w:rsidRPr="00B32D99">
              <w:rPr>
                <w:rFonts w:ascii="Verdana" w:hAnsi="Verdana"/>
                <w:i/>
                <w:iCs/>
                <w:sz w:val="16"/>
                <w:szCs w:val="16"/>
                <w:lang w:val="en-US"/>
              </w:rPr>
              <w:t xml:space="preserve">(Footnote 4) Standard </w:t>
            </w:r>
            <w:r w:rsidRPr="00B32D99">
              <w:rPr>
                <w:rFonts w:ascii="Verdana" w:hAnsi="Verdana"/>
                <w:b/>
                <w:bCs/>
                <w:i/>
                <w:iCs/>
                <w:sz w:val="16"/>
                <w:szCs w:val="16"/>
                <w:lang w:val="en-US"/>
              </w:rPr>
              <w:t>4AA</w:t>
            </w:r>
            <w:r w:rsidRPr="00B32D99">
              <w:rPr>
                <w:rFonts w:ascii="Verdana" w:hAnsi="Verdana"/>
                <w:i/>
                <w:iCs/>
                <w:sz w:val="16"/>
                <w:szCs w:val="16"/>
                <w:lang w:val="en-US"/>
              </w:rPr>
              <w:t>. Maximum Permissible Limits for new motors and automotive vehicles produced from the 1</w:t>
            </w:r>
            <w:r w:rsidRPr="00B32D99">
              <w:rPr>
                <w:rFonts w:ascii="Verdana" w:hAnsi="Verdana"/>
                <w:i/>
                <w:iCs/>
                <w:sz w:val="16"/>
                <w:szCs w:val="16"/>
                <w:vertAlign w:val="superscript"/>
                <w:lang w:val="en-US"/>
              </w:rPr>
              <w:t>st</w:t>
            </w:r>
            <w:r w:rsidRPr="00B32D99">
              <w:rPr>
                <w:rFonts w:ascii="Verdana" w:hAnsi="Verdana"/>
                <w:i/>
                <w:iCs/>
                <w:sz w:val="16"/>
                <w:szCs w:val="16"/>
                <w:lang w:val="en-US"/>
              </w:rPr>
              <w:t xml:space="preserve"> of January of 2019 and until the 31</w:t>
            </w:r>
            <w:r w:rsidRPr="00B32D99">
              <w:rPr>
                <w:rFonts w:ascii="Verdana" w:hAnsi="Verdana"/>
                <w:i/>
                <w:iCs/>
                <w:sz w:val="16"/>
                <w:szCs w:val="16"/>
                <w:vertAlign w:val="superscript"/>
                <w:lang w:val="en-US"/>
              </w:rPr>
              <w:t>st</w:t>
            </w:r>
            <w:r w:rsidRPr="00B32D99">
              <w:rPr>
                <w:rFonts w:ascii="Verdana" w:hAnsi="Verdana"/>
                <w:i/>
                <w:iCs/>
                <w:sz w:val="16"/>
                <w:szCs w:val="16"/>
                <w:lang w:val="en-US"/>
              </w:rPr>
              <w:t xml:space="preserve"> of December of 2021 obtained with the New European Test Cycle (NCEP), described in the section number 3.20 of this Official Mexican Standard. </w:t>
            </w:r>
          </w:p>
        </w:tc>
      </w:tr>
      <w:tr w:rsidR="00B32D99" w:rsidRPr="00B32D99" w14:paraId="64E174B6" w14:textId="77777777" w:rsidTr="00E9290D">
        <w:tc>
          <w:tcPr>
            <w:tcW w:w="4529" w:type="dxa"/>
          </w:tcPr>
          <w:p w14:paraId="039C14CC" w14:textId="77777777" w:rsidR="00B32D99" w:rsidRPr="00B32D99" w:rsidRDefault="00B32D99" w:rsidP="00B32D99">
            <w:pPr>
              <w:spacing w:after="60" w:line="216" w:lineRule="exact"/>
              <w:jc w:val="center"/>
              <w:rPr>
                <w:rFonts w:ascii="Verdana" w:hAnsi="Verdana"/>
                <w:b/>
                <w:sz w:val="16"/>
                <w:szCs w:val="16"/>
                <w:lang w:val="es-ES_tradnl"/>
              </w:rPr>
            </w:pPr>
            <w:r w:rsidRPr="00B32D99">
              <w:rPr>
                <w:rFonts w:ascii="Verdana" w:hAnsi="Verdana"/>
                <w:b/>
                <w:sz w:val="16"/>
                <w:szCs w:val="16"/>
                <w:lang w:val="es-ES_tradnl"/>
              </w:rPr>
              <w:lastRenderedPageBreak/>
              <w:t>TRANSITORIO</w:t>
            </w:r>
          </w:p>
        </w:tc>
        <w:tc>
          <w:tcPr>
            <w:tcW w:w="4529" w:type="dxa"/>
          </w:tcPr>
          <w:p w14:paraId="15D69A12" w14:textId="77777777" w:rsidR="00B32D99" w:rsidRPr="00B32D99" w:rsidRDefault="00B32D99" w:rsidP="00B32D99">
            <w:pPr>
              <w:spacing w:after="60" w:line="216" w:lineRule="exact"/>
              <w:jc w:val="center"/>
              <w:rPr>
                <w:rFonts w:ascii="Verdana" w:hAnsi="Verdana"/>
                <w:b/>
                <w:sz w:val="16"/>
                <w:szCs w:val="16"/>
                <w:lang w:val="en-US"/>
              </w:rPr>
            </w:pPr>
            <w:r w:rsidRPr="00B32D99">
              <w:rPr>
                <w:rFonts w:ascii="Verdana" w:hAnsi="Verdana"/>
                <w:b/>
                <w:bCs/>
                <w:sz w:val="16"/>
                <w:szCs w:val="16"/>
                <w:lang w:val="es-ES_tradnl"/>
              </w:rPr>
              <w:t>TRANSITIONAL ARTICLE</w:t>
            </w:r>
          </w:p>
        </w:tc>
      </w:tr>
      <w:tr w:rsidR="00B32D99" w:rsidRPr="00743A20" w14:paraId="05CF1157" w14:textId="77777777" w:rsidTr="00E9290D">
        <w:tc>
          <w:tcPr>
            <w:tcW w:w="4529" w:type="dxa"/>
          </w:tcPr>
          <w:p w14:paraId="38475198" w14:textId="77777777" w:rsidR="00B32D99" w:rsidRPr="00B32D99" w:rsidRDefault="00B32D99" w:rsidP="00B32D99">
            <w:pPr>
              <w:spacing w:after="60" w:line="216" w:lineRule="exact"/>
              <w:rPr>
                <w:rFonts w:ascii="Verdana" w:hAnsi="Verdana" w:cs="Arial"/>
                <w:sz w:val="16"/>
                <w:szCs w:val="16"/>
              </w:rPr>
            </w:pPr>
            <w:r w:rsidRPr="00B32D99">
              <w:rPr>
                <w:rFonts w:ascii="Verdana" w:hAnsi="Verdana" w:cs="Arial"/>
                <w:b/>
                <w:sz w:val="16"/>
                <w:szCs w:val="16"/>
              </w:rPr>
              <w:t>PRIMERO</w:t>
            </w:r>
            <w:r w:rsidRPr="00B32D99">
              <w:rPr>
                <w:rFonts w:ascii="Verdana" w:hAnsi="Verdana" w:cs="Arial"/>
                <w:sz w:val="16"/>
                <w:szCs w:val="16"/>
              </w:rPr>
              <w:t>. El presente Acuerdo entrará en vigor el día de su publicación en el Diario Oficial de la Federación.</w:t>
            </w:r>
          </w:p>
        </w:tc>
        <w:tc>
          <w:tcPr>
            <w:tcW w:w="4529" w:type="dxa"/>
          </w:tcPr>
          <w:p w14:paraId="23120824" w14:textId="77777777" w:rsidR="00B32D99" w:rsidRPr="00B32D99" w:rsidRDefault="00B32D99" w:rsidP="00B32D99">
            <w:pPr>
              <w:spacing w:after="60" w:line="216" w:lineRule="exact"/>
              <w:rPr>
                <w:rFonts w:ascii="Verdana" w:hAnsi="Verdana" w:cs="Arial"/>
                <w:b/>
                <w:sz w:val="16"/>
                <w:szCs w:val="16"/>
                <w:lang w:val="en-US"/>
              </w:rPr>
            </w:pPr>
            <w:r w:rsidRPr="00B32D99">
              <w:rPr>
                <w:rFonts w:ascii="Verdana" w:hAnsi="Verdana"/>
                <w:b/>
                <w:bCs/>
                <w:sz w:val="16"/>
                <w:szCs w:val="16"/>
                <w:lang w:val="en-US"/>
              </w:rPr>
              <w:t>FIRST</w:t>
            </w:r>
            <w:r w:rsidRPr="00B32D99">
              <w:rPr>
                <w:rFonts w:ascii="Verdana" w:hAnsi="Verdana"/>
                <w:sz w:val="16"/>
                <w:szCs w:val="16"/>
                <w:lang w:val="en-US"/>
              </w:rPr>
              <w:t xml:space="preserve">. This Agreement will take effect on the day of its publication in the Official Daily of the Federation. </w:t>
            </w:r>
          </w:p>
        </w:tc>
      </w:tr>
      <w:tr w:rsidR="00B32D99" w:rsidRPr="00B32D99" w14:paraId="2B775BDF" w14:textId="77777777" w:rsidTr="00E9290D">
        <w:tc>
          <w:tcPr>
            <w:tcW w:w="4529" w:type="dxa"/>
          </w:tcPr>
          <w:p w14:paraId="73D8FC49" w14:textId="77777777" w:rsidR="00B32D99" w:rsidRPr="00B32D99" w:rsidRDefault="00B32D99" w:rsidP="00B32D99">
            <w:pPr>
              <w:spacing w:after="60" w:line="216" w:lineRule="exact"/>
              <w:rPr>
                <w:rFonts w:ascii="Verdana" w:hAnsi="Verdana" w:cs="Arial"/>
                <w:sz w:val="16"/>
                <w:szCs w:val="16"/>
              </w:rPr>
            </w:pPr>
            <w:r w:rsidRPr="00B32D99">
              <w:rPr>
                <w:rFonts w:ascii="Verdana" w:hAnsi="Verdana" w:cs="Arial"/>
                <w:sz w:val="16"/>
                <w:szCs w:val="16"/>
              </w:rPr>
              <w:t xml:space="preserve">Ciudad de México, a los veintisiete días del mes de octubre de dos mil veinte.- El Subsecretario de Fomento y Normatividad Ambiental de la Secretaría de Medio Ambiente y Recursos Naturales y Presidente del Comité Consultivo Nacional de Normalización de Medio Ambiente y Recursos Naturales, </w:t>
            </w:r>
            <w:r w:rsidRPr="00B32D99">
              <w:rPr>
                <w:rFonts w:ascii="Verdana" w:hAnsi="Verdana" w:cs="Arial"/>
                <w:b/>
                <w:sz w:val="16"/>
                <w:szCs w:val="16"/>
              </w:rPr>
              <w:t>Tonatiuh Herrera Gutiérrez</w:t>
            </w:r>
            <w:r w:rsidRPr="00B32D99">
              <w:rPr>
                <w:rFonts w:ascii="Verdana" w:hAnsi="Verdana" w:cs="Arial"/>
                <w:sz w:val="16"/>
                <w:szCs w:val="16"/>
              </w:rPr>
              <w:t>.- Rúbrica.</w:t>
            </w:r>
          </w:p>
        </w:tc>
        <w:tc>
          <w:tcPr>
            <w:tcW w:w="4529" w:type="dxa"/>
          </w:tcPr>
          <w:p w14:paraId="665379DF" w14:textId="77777777" w:rsidR="00B32D99" w:rsidRPr="00B32D99" w:rsidRDefault="00B32D99" w:rsidP="00B32D99">
            <w:pPr>
              <w:spacing w:after="60" w:line="216" w:lineRule="exact"/>
              <w:rPr>
                <w:rFonts w:ascii="Verdana" w:hAnsi="Verdana" w:cs="Arial"/>
                <w:sz w:val="16"/>
                <w:szCs w:val="16"/>
                <w:lang w:val="en-US"/>
              </w:rPr>
            </w:pPr>
            <w:r w:rsidRPr="00B32D99">
              <w:rPr>
                <w:rFonts w:ascii="Verdana" w:hAnsi="Verdana"/>
                <w:sz w:val="16"/>
                <w:szCs w:val="16"/>
                <w:lang w:val="en-US"/>
              </w:rPr>
              <w:t xml:space="preserve">Mexico City on the twenty-seventh day of the month of October of two thousand twenty.- The Secretary of Environmental Promotion and Legislation of the Secretary of Environment and Natural and President  of </w:t>
            </w:r>
            <w:r w:rsidRPr="00B32D99">
              <w:rPr>
                <w:rFonts w:ascii="Verdana" w:hAnsi="Verdana" w:cs="Arial"/>
                <w:sz w:val="16"/>
                <w:szCs w:val="16"/>
                <w:lang w:val="en-US"/>
              </w:rPr>
              <w:t>National Consultative Committee for  Standardization of the Environment and Natural Resources</w:t>
            </w:r>
            <w:r w:rsidRPr="00B32D99">
              <w:rPr>
                <w:rFonts w:ascii="Verdana" w:hAnsi="Verdana"/>
                <w:sz w:val="16"/>
                <w:szCs w:val="16"/>
                <w:lang w:val="en-US"/>
              </w:rPr>
              <w:t xml:space="preserve">, </w:t>
            </w:r>
            <w:r w:rsidRPr="00B32D99">
              <w:rPr>
                <w:rFonts w:ascii="Verdana" w:hAnsi="Verdana"/>
                <w:b/>
                <w:bCs/>
                <w:sz w:val="16"/>
                <w:szCs w:val="16"/>
                <w:lang w:val="en-US"/>
              </w:rPr>
              <w:t>Tonatiuh Herrera Gutiérrez</w:t>
            </w:r>
            <w:r w:rsidRPr="00B32D99">
              <w:rPr>
                <w:rFonts w:ascii="Verdana" w:hAnsi="Verdana"/>
                <w:sz w:val="16"/>
                <w:szCs w:val="16"/>
                <w:lang w:val="en-US"/>
              </w:rPr>
              <w:t xml:space="preserve">.- Signature.  </w:t>
            </w:r>
          </w:p>
        </w:tc>
      </w:tr>
    </w:tbl>
    <w:p w14:paraId="59C289BC" w14:textId="77777777" w:rsidR="00B32D99" w:rsidRPr="00B32D99" w:rsidRDefault="00B32D99" w:rsidP="008A0760">
      <w:pPr>
        <w:pStyle w:val="Texto"/>
        <w:spacing w:line="240" w:lineRule="exact"/>
        <w:ind w:right="1008"/>
        <w:rPr>
          <w:rFonts w:ascii="Verdana" w:hAnsi="Verdana"/>
          <w:sz w:val="16"/>
          <w:szCs w:val="16"/>
          <w:lang w:val="en-US"/>
        </w:rPr>
      </w:pPr>
    </w:p>
    <w:sectPr w:rsidR="00B32D99" w:rsidRPr="00B32D99" w:rsidSect="00A5782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67AD7" w14:textId="77777777" w:rsidR="002223E7" w:rsidRDefault="002223E7">
      <w:r>
        <w:separator/>
      </w:r>
    </w:p>
  </w:endnote>
  <w:endnote w:type="continuationSeparator" w:id="0">
    <w:p w14:paraId="4C46D7B5" w14:textId="77777777" w:rsidR="002223E7" w:rsidRDefault="0022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UnAvers">
    <w:panose1 w:val="00000000000000000000"/>
    <w:charset w:val="00"/>
    <w:family w:val="swiss"/>
    <w:notTrueType/>
    <w:pitch w:val="default"/>
    <w:sig w:usb0="00000003" w:usb1="00000000" w:usb2="00000000" w:usb3="00000000" w:csb0="00000001" w:csb1="00000000"/>
  </w:font>
  <w:font w:name="CeAtury Gothic">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EUAlbertina">
    <w:altName w:val="Cambria"/>
    <w:panose1 w:val="00000000000000000000"/>
    <w:charset w:val="4D"/>
    <w:family w:val="roman"/>
    <w:notTrueType/>
    <w:pitch w:val="default"/>
    <w:sig w:usb0="00000003" w:usb1="00000000" w:usb2="00000000" w:usb3="00000000" w:csb0="00000001" w:csb1="00000000"/>
  </w:font>
  <w:font w:name="CoAic Sans MS">
    <w:panose1 w:val="00000000000000000000"/>
    <w:charset w:val="00"/>
    <w:family w:val="script"/>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HeAvetica Neu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812B1" w14:textId="77777777" w:rsidR="001C63AD" w:rsidRDefault="001C63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0F5FB" w14:textId="117B39E9" w:rsidR="00496E77" w:rsidRPr="00A57824" w:rsidRDefault="00496E77" w:rsidP="00A57824">
    <w:pPr>
      <w:pStyle w:val="Footer"/>
      <w:rPr>
        <w:rFonts w:ascii="Verdana" w:hAnsi="Verdana"/>
        <w:b/>
        <w:sz w:val="16"/>
        <w:szCs w:val="16"/>
      </w:rPr>
    </w:pPr>
    <w:r w:rsidRPr="00A57824">
      <w:rPr>
        <w:rFonts w:ascii="Verdana" w:hAnsi="Verdana"/>
        <w:b/>
        <w:sz w:val="16"/>
        <w:szCs w:val="16"/>
      </w:rPr>
      <w:t>Derechos Reservados © 2018</w:t>
    </w:r>
    <w:r w:rsidR="00B32D99">
      <w:rPr>
        <w:rFonts w:ascii="Verdana" w:hAnsi="Verdana"/>
        <w:b/>
        <w:sz w:val="16"/>
        <w:szCs w:val="16"/>
      </w:rPr>
      <w:t>, 2020</w:t>
    </w:r>
    <w:r w:rsidR="009A47A6">
      <w:rPr>
        <w:rFonts w:ascii="Verdana" w:hAnsi="Verdana"/>
        <w:b/>
        <w:sz w:val="16"/>
        <w:szCs w:val="16"/>
      </w:rPr>
      <w:t>, 2024</w:t>
    </w:r>
    <w:r w:rsidRPr="00A57824">
      <w:rPr>
        <w:rFonts w:ascii="Verdana" w:hAnsi="Verdana"/>
        <w:b/>
        <w:sz w:val="16"/>
        <w:szCs w:val="16"/>
      </w:rPr>
      <w:t xml:space="preserve"> Lic. Glenn Louis McBride</w:t>
    </w:r>
    <w:r>
      <w:rPr>
        <w:rFonts w:ascii="Verdana" w:hAnsi="Verdana"/>
        <w:b/>
        <w:sz w:val="16"/>
        <w:szCs w:val="16"/>
      </w:rPr>
      <w:t xml:space="preserve">                                             </w:t>
    </w:r>
    <w:r w:rsidRPr="00A57824">
      <w:rPr>
        <w:rFonts w:ascii="Verdana" w:hAnsi="Verdana"/>
        <w:b/>
        <w:sz w:val="16"/>
        <w:szCs w:val="16"/>
      </w:rPr>
      <w:t xml:space="preserve"> </w:t>
    </w:r>
    <w:r w:rsidRPr="00A57824">
      <w:rPr>
        <w:rFonts w:ascii="Verdana" w:hAnsi="Verdana"/>
        <w:b/>
        <w:sz w:val="16"/>
        <w:szCs w:val="16"/>
      </w:rPr>
      <w:fldChar w:fldCharType="begin"/>
    </w:r>
    <w:r w:rsidRPr="00A57824">
      <w:rPr>
        <w:rFonts w:ascii="Verdana" w:hAnsi="Verdana"/>
        <w:b/>
        <w:sz w:val="16"/>
        <w:szCs w:val="16"/>
      </w:rPr>
      <w:instrText xml:space="preserve"> PAGE   \* MERGEFORMAT </w:instrText>
    </w:r>
    <w:r w:rsidRPr="00A57824">
      <w:rPr>
        <w:rFonts w:ascii="Verdana" w:hAnsi="Verdana"/>
        <w:b/>
        <w:sz w:val="16"/>
        <w:szCs w:val="16"/>
      </w:rPr>
      <w:fldChar w:fldCharType="separate"/>
    </w:r>
    <w:r w:rsidRPr="00A57824">
      <w:rPr>
        <w:rFonts w:ascii="Verdana" w:hAnsi="Verdana"/>
        <w:b/>
        <w:noProof/>
        <w:sz w:val="16"/>
        <w:szCs w:val="16"/>
      </w:rPr>
      <w:t>1</w:t>
    </w:r>
    <w:r w:rsidRPr="00A57824">
      <w:rPr>
        <w:rFonts w:ascii="Verdana" w:hAnsi="Verdana"/>
        <w:b/>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D96EE" w14:textId="77777777" w:rsidR="001C63AD" w:rsidRDefault="001C6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796F" w14:textId="77777777" w:rsidR="002223E7" w:rsidRDefault="002223E7">
      <w:r>
        <w:separator/>
      </w:r>
    </w:p>
  </w:footnote>
  <w:footnote w:type="continuationSeparator" w:id="0">
    <w:p w14:paraId="3E80C127" w14:textId="77777777" w:rsidR="002223E7" w:rsidRDefault="00222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18640" w14:textId="77777777" w:rsidR="00496E77" w:rsidRPr="00D728B4" w:rsidRDefault="00496E77" w:rsidP="00443D53">
    <w:pPr>
      <w:pStyle w:val="Fechas"/>
      <w:rPr>
        <w:rFonts w:cs="Times New Roman"/>
      </w:rPr>
    </w:pPr>
    <w:r>
      <w:rPr>
        <w:rFonts w:cs="Times New Roman"/>
      </w:rPr>
      <w:t xml:space="preserve"> </w:t>
    </w:r>
    <w:r w:rsidRPr="00D728B4">
      <w:rPr>
        <w:rFonts w:cs="Times New Roman"/>
      </w:rPr>
      <w:t xml:space="preserve">     (Segunda Sección)</w:t>
    </w:r>
    <w:r w:rsidRPr="00D728B4">
      <w:rPr>
        <w:rFonts w:cs="Times New Roman"/>
      </w:rPr>
      <w:tab/>
      <w:t>DIARIO OFICIAL</w:t>
    </w:r>
    <w:r w:rsidRPr="00D728B4">
      <w:rPr>
        <w:rFonts w:cs="Times New Roman"/>
      </w:rPr>
      <w:tab/>
      <w:t>Lunes 19 de febrero de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56E33" w14:textId="4E2E8CBA" w:rsidR="00496E77" w:rsidRPr="00A57824" w:rsidRDefault="00496E77" w:rsidP="00A57824">
    <w:pPr>
      <w:pStyle w:val="Header"/>
      <w:spacing w:after="240"/>
      <w:rPr>
        <w:rFonts w:ascii="Verdana" w:hAnsi="Verdana"/>
        <w:bCs/>
        <w:sz w:val="16"/>
        <w:szCs w:val="16"/>
        <w:lang w:val="en-US"/>
      </w:rPr>
    </w:pPr>
    <w:r w:rsidRPr="00A57824">
      <w:rPr>
        <w:rFonts w:ascii="Verdana" w:hAnsi="Verdana"/>
        <w:b/>
        <w:bCs/>
        <w:sz w:val="16"/>
        <w:szCs w:val="16"/>
        <w:lang w:val="en-US"/>
      </w:rPr>
      <w:t>NOM-044-SEMARNAT-2017, That establishes the maximum permissible limits of emissions of carbon monoxide, nitrogen oxides, non-methane hydrocarbons, non-methane hydrocarbons plus nitrogen oxides, particulates and ammonium, originating from the exhaust of new motors that use diesel as fuel and that will be utilized for the propulsion of automotive vehicles, with gross vehicular weight greater than 3,857 kilograms, as well as the exhaust of automotive vehicles with gross vehicular weight greater than 3,857 kilograms equipped with this type of motors.</w:t>
    </w:r>
    <w:r w:rsidRPr="009E79D2">
      <w:rPr>
        <w:rFonts w:ascii="Verdana" w:hAnsi="Verdana"/>
        <w:bCs/>
        <w:sz w:val="16"/>
        <w:szCs w:val="16"/>
        <w:lang w:val="en-US"/>
      </w:rPr>
      <w:t xml:space="preserve">    </w:t>
    </w:r>
    <w:r>
      <w:rPr>
        <w:rFonts w:ascii="Verdana" w:hAnsi="Verdana"/>
        <w:bCs/>
        <w:sz w:val="16"/>
        <w:szCs w:val="16"/>
        <w:lang w:val="en-US"/>
      </w:rPr>
      <w:t>Published in the DOF on February 19, 2018</w:t>
    </w:r>
    <w:r w:rsidR="00B32D99">
      <w:rPr>
        <w:rFonts w:ascii="Verdana" w:hAnsi="Verdana"/>
        <w:bCs/>
        <w:sz w:val="16"/>
        <w:szCs w:val="16"/>
        <w:lang w:val="en-US"/>
      </w:rPr>
      <w:t xml:space="preserve"> – modification published in the Official Daily of the Federation on November 12, 2020. </w:t>
    </w:r>
    <w:r w:rsidR="001C63AD">
      <w:rPr>
        <w:rFonts w:ascii="Verdana" w:hAnsi="Verdana"/>
        <w:bCs/>
        <w:sz w:val="16"/>
        <w:szCs w:val="16"/>
        <w:lang w:val="en-US"/>
      </w:rPr>
      <w:t>Modification published April 25,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F1EE2" w14:textId="77777777" w:rsidR="001C63AD" w:rsidRDefault="001C63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7CC7"/>
    <w:multiLevelType w:val="hybridMultilevel"/>
    <w:tmpl w:val="5F4664E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15:restartNumberingAfterBreak="0">
    <w:nsid w:val="0F9210BE"/>
    <w:multiLevelType w:val="hybridMultilevel"/>
    <w:tmpl w:val="F5A6953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12C65CEB"/>
    <w:multiLevelType w:val="hybridMultilevel"/>
    <w:tmpl w:val="F61AD8EE"/>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13764167"/>
    <w:multiLevelType w:val="hybridMultilevel"/>
    <w:tmpl w:val="B75CC28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 w15:restartNumberingAfterBreak="0">
    <w:nsid w:val="15E061D1"/>
    <w:multiLevelType w:val="hybridMultilevel"/>
    <w:tmpl w:val="A6D4AD1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1B4271C1"/>
    <w:multiLevelType w:val="hybridMultilevel"/>
    <w:tmpl w:val="6FCC7C6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1F4562F5"/>
    <w:multiLevelType w:val="hybridMultilevel"/>
    <w:tmpl w:val="5686E5E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2089659F"/>
    <w:multiLevelType w:val="hybridMultilevel"/>
    <w:tmpl w:val="BAFA910E"/>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24825172"/>
    <w:multiLevelType w:val="multilevel"/>
    <w:tmpl w:val="A1CC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2F0176E0"/>
    <w:multiLevelType w:val="hybridMultilevel"/>
    <w:tmpl w:val="A4B08B94"/>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1" w15:restartNumberingAfterBreak="0">
    <w:nsid w:val="30FF6890"/>
    <w:multiLevelType w:val="hybridMultilevel"/>
    <w:tmpl w:val="3C8E96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0C3C6A"/>
    <w:multiLevelType w:val="hybridMultilevel"/>
    <w:tmpl w:val="CE843E3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4" w15:restartNumberingAfterBreak="0">
    <w:nsid w:val="33CD6FA5"/>
    <w:multiLevelType w:val="hybridMultilevel"/>
    <w:tmpl w:val="BC689B9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5" w15:restartNumberingAfterBreak="0">
    <w:nsid w:val="38FB3D0A"/>
    <w:multiLevelType w:val="hybridMultilevel"/>
    <w:tmpl w:val="B672AD9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6" w15:restartNumberingAfterBreak="0">
    <w:nsid w:val="3971664B"/>
    <w:multiLevelType w:val="hybridMultilevel"/>
    <w:tmpl w:val="34E8332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7" w15:restartNumberingAfterBreak="0">
    <w:nsid w:val="3C763273"/>
    <w:multiLevelType w:val="hybridMultilevel"/>
    <w:tmpl w:val="62EEA14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8" w15:restartNumberingAfterBreak="0">
    <w:nsid w:val="40CC2493"/>
    <w:multiLevelType w:val="hybridMultilevel"/>
    <w:tmpl w:val="B39E44D6"/>
    <w:lvl w:ilvl="0" w:tplc="2416CC9E">
      <w:numFmt w:val="bullet"/>
      <w:lvlText w:val=""/>
      <w:lvlJc w:val="left"/>
      <w:pPr>
        <w:ind w:left="996" w:hanging="420"/>
      </w:pPr>
      <w:rPr>
        <w:rFonts w:ascii="Arial" w:eastAsia="Times New Roman" w:hAnsi="Arial" w:cs="Aria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9" w15:restartNumberingAfterBreak="0">
    <w:nsid w:val="419A0214"/>
    <w:multiLevelType w:val="hybridMultilevel"/>
    <w:tmpl w:val="EB34D00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0" w15:restartNumberingAfterBreak="0">
    <w:nsid w:val="428E10FB"/>
    <w:multiLevelType w:val="hybridMultilevel"/>
    <w:tmpl w:val="6678A690"/>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1" w15:restartNumberingAfterBreak="0">
    <w:nsid w:val="458C3FDA"/>
    <w:multiLevelType w:val="multilevel"/>
    <w:tmpl w:val="828E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AF43AB"/>
    <w:multiLevelType w:val="hybridMultilevel"/>
    <w:tmpl w:val="7BB405E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3" w15:restartNumberingAfterBreak="0">
    <w:nsid w:val="51514B29"/>
    <w:multiLevelType w:val="hybridMultilevel"/>
    <w:tmpl w:val="49360BE8"/>
    <w:lvl w:ilvl="0" w:tplc="080A0005">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 w15:restartNumberingAfterBreak="0">
    <w:nsid w:val="54C96BDD"/>
    <w:multiLevelType w:val="multilevel"/>
    <w:tmpl w:val="A8F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D0240F"/>
    <w:multiLevelType w:val="hybridMultilevel"/>
    <w:tmpl w:val="6DD4D824"/>
    <w:lvl w:ilvl="0" w:tplc="78F0F1F8">
      <w:start w:val="1"/>
      <w:numFmt w:val="bullet"/>
      <w:lvlText w:val=""/>
      <w:lvlJc w:val="left"/>
      <w:pPr>
        <w:ind w:left="1008" w:hanging="360"/>
      </w:pPr>
      <w:rPr>
        <w:rFonts w:ascii="Symbol" w:hAnsi="Symbol" w:hint="default"/>
        <w:lang w:val="es-MX"/>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6" w15:restartNumberingAfterBreak="0">
    <w:nsid w:val="57C56AB4"/>
    <w:multiLevelType w:val="hybridMultilevel"/>
    <w:tmpl w:val="B798C2B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7" w15:restartNumberingAfterBreak="0">
    <w:nsid w:val="5B3842F7"/>
    <w:multiLevelType w:val="hybridMultilevel"/>
    <w:tmpl w:val="620CC8B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8" w15:restartNumberingAfterBreak="0">
    <w:nsid w:val="5B674952"/>
    <w:multiLevelType w:val="multilevel"/>
    <w:tmpl w:val="0ED0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F2266D"/>
    <w:multiLevelType w:val="hybridMultilevel"/>
    <w:tmpl w:val="A6300E4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0" w15:restartNumberingAfterBreak="0">
    <w:nsid w:val="5F905CF6"/>
    <w:multiLevelType w:val="hybridMultilevel"/>
    <w:tmpl w:val="87123D40"/>
    <w:lvl w:ilvl="0" w:tplc="EC2CF25E">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31" w15:restartNumberingAfterBreak="0">
    <w:nsid w:val="603F1646"/>
    <w:multiLevelType w:val="multilevel"/>
    <w:tmpl w:val="6F00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7709D5"/>
    <w:multiLevelType w:val="hybridMultilevel"/>
    <w:tmpl w:val="A04C27E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3" w15:restartNumberingAfterBreak="0">
    <w:nsid w:val="65052A89"/>
    <w:multiLevelType w:val="multilevel"/>
    <w:tmpl w:val="0AC4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68C534A"/>
    <w:multiLevelType w:val="multilevel"/>
    <w:tmpl w:val="29CE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B94FA7"/>
    <w:multiLevelType w:val="hybridMultilevel"/>
    <w:tmpl w:val="DE8893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DC72C54"/>
    <w:multiLevelType w:val="hybridMultilevel"/>
    <w:tmpl w:val="859C44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8" w15:restartNumberingAfterBreak="0">
    <w:nsid w:val="71547781"/>
    <w:multiLevelType w:val="hybridMultilevel"/>
    <w:tmpl w:val="1BD661B6"/>
    <w:lvl w:ilvl="0" w:tplc="5CEE9EB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36C5831"/>
    <w:multiLevelType w:val="hybridMultilevel"/>
    <w:tmpl w:val="61161146"/>
    <w:lvl w:ilvl="0" w:tplc="2416CC9E">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40" w15:restartNumberingAfterBreak="0">
    <w:nsid w:val="74BD4C86"/>
    <w:multiLevelType w:val="hybridMultilevel"/>
    <w:tmpl w:val="C570025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1" w15:restartNumberingAfterBreak="0">
    <w:nsid w:val="7E0B40B9"/>
    <w:multiLevelType w:val="multilevel"/>
    <w:tmpl w:val="8BC2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360190">
    <w:abstractNumId w:val="13"/>
  </w:num>
  <w:num w:numId="2" w16cid:durableId="1292442014">
    <w:abstractNumId w:val="37"/>
  </w:num>
  <w:num w:numId="3" w16cid:durableId="755057997">
    <w:abstractNumId w:val="9"/>
  </w:num>
  <w:num w:numId="4" w16cid:durableId="2039044026">
    <w:abstractNumId w:val="1"/>
  </w:num>
  <w:num w:numId="5" w16cid:durableId="869296055">
    <w:abstractNumId w:val="30"/>
  </w:num>
  <w:num w:numId="6" w16cid:durableId="971405863">
    <w:abstractNumId w:val="25"/>
  </w:num>
  <w:num w:numId="7" w16cid:durableId="2115200176">
    <w:abstractNumId w:val="11"/>
  </w:num>
  <w:num w:numId="8" w16cid:durableId="375084255">
    <w:abstractNumId w:val="38"/>
  </w:num>
  <w:num w:numId="9" w16cid:durableId="2073309435">
    <w:abstractNumId w:val="35"/>
  </w:num>
  <w:num w:numId="10" w16cid:durableId="1636452199">
    <w:abstractNumId w:val="36"/>
  </w:num>
  <w:num w:numId="11" w16cid:durableId="1576352514">
    <w:abstractNumId w:val="24"/>
  </w:num>
  <w:num w:numId="12" w16cid:durableId="1095203475">
    <w:abstractNumId w:val="31"/>
  </w:num>
  <w:num w:numId="13" w16cid:durableId="936718711">
    <w:abstractNumId w:val="8"/>
  </w:num>
  <w:num w:numId="14" w16cid:durableId="1606188508">
    <w:abstractNumId w:val="33"/>
  </w:num>
  <w:num w:numId="15" w16cid:durableId="1452629161">
    <w:abstractNumId w:val="21"/>
  </w:num>
  <w:num w:numId="16" w16cid:durableId="559555727">
    <w:abstractNumId w:val="34"/>
  </w:num>
  <w:num w:numId="17" w16cid:durableId="1743599985">
    <w:abstractNumId w:val="28"/>
  </w:num>
  <w:num w:numId="18" w16cid:durableId="950206768">
    <w:abstractNumId w:val="41"/>
  </w:num>
  <w:num w:numId="19" w16cid:durableId="1807313761">
    <w:abstractNumId w:val="29"/>
  </w:num>
  <w:num w:numId="20" w16cid:durableId="1552614806">
    <w:abstractNumId w:val="39"/>
  </w:num>
  <w:num w:numId="21" w16cid:durableId="1297443528">
    <w:abstractNumId w:val="18"/>
  </w:num>
  <w:num w:numId="22" w16cid:durableId="1110901734">
    <w:abstractNumId w:val="12"/>
  </w:num>
  <w:num w:numId="23" w16cid:durableId="1249189731">
    <w:abstractNumId w:val="23"/>
  </w:num>
  <w:num w:numId="24" w16cid:durableId="1882791166">
    <w:abstractNumId w:val="7"/>
  </w:num>
  <w:num w:numId="25" w16cid:durableId="1824589294">
    <w:abstractNumId w:val="10"/>
  </w:num>
  <w:num w:numId="26" w16cid:durableId="2110658489">
    <w:abstractNumId w:val="2"/>
  </w:num>
  <w:num w:numId="27" w16cid:durableId="227810936">
    <w:abstractNumId w:val="16"/>
  </w:num>
  <w:num w:numId="28" w16cid:durableId="559440878">
    <w:abstractNumId w:val="40"/>
  </w:num>
  <w:num w:numId="29" w16cid:durableId="443618653">
    <w:abstractNumId w:val="17"/>
  </w:num>
  <w:num w:numId="30" w16cid:durableId="119230915">
    <w:abstractNumId w:val="26"/>
  </w:num>
  <w:num w:numId="31" w16cid:durableId="579289966">
    <w:abstractNumId w:val="32"/>
  </w:num>
  <w:num w:numId="32" w16cid:durableId="2141798502">
    <w:abstractNumId w:val="22"/>
  </w:num>
  <w:num w:numId="33" w16cid:durableId="264728587">
    <w:abstractNumId w:val="5"/>
  </w:num>
  <w:num w:numId="34" w16cid:durableId="2013754993">
    <w:abstractNumId w:val="19"/>
  </w:num>
  <w:num w:numId="35" w16cid:durableId="1781218122">
    <w:abstractNumId w:val="3"/>
  </w:num>
  <w:num w:numId="36" w16cid:durableId="1095907160">
    <w:abstractNumId w:val="0"/>
  </w:num>
  <w:num w:numId="37" w16cid:durableId="527184832">
    <w:abstractNumId w:val="20"/>
  </w:num>
  <w:num w:numId="38" w16cid:durableId="1976450438">
    <w:abstractNumId w:val="15"/>
  </w:num>
  <w:num w:numId="39" w16cid:durableId="1393851813">
    <w:abstractNumId w:val="6"/>
  </w:num>
  <w:num w:numId="40" w16cid:durableId="1606692992">
    <w:abstractNumId w:val="27"/>
  </w:num>
  <w:num w:numId="41" w16cid:durableId="1209297271">
    <w:abstractNumId w:val="14"/>
  </w:num>
  <w:num w:numId="42" w16cid:durableId="470905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pt-BR" w:vendorID="64" w:dllVersion="6" w:nlCheck="1" w:checkStyle="0"/>
  <w:activeWritingStyle w:appName="MSWord" w:lang="en-US" w:vendorID="64" w:dllVersion="6" w:nlCheck="1" w:checkStyle="1"/>
  <w:activeWritingStyle w:appName="MSWord" w:lang="es-AR"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FE1"/>
    <w:rsid w:val="000069C5"/>
    <w:rsid w:val="000101D8"/>
    <w:rsid w:val="000153D5"/>
    <w:rsid w:val="00036FE1"/>
    <w:rsid w:val="00041807"/>
    <w:rsid w:val="0004244C"/>
    <w:rsid w:val="000657A7"/>
    <w:rsid w:val="00083B96"/>
    <w:rsid w:val="00084052"/>
    <w:rsid w:val="00085CFF"/>
    <w:rsid w:val="00090755"/>
    <w:rsid w:val="000919EC"/>
    <w:rsid w:val="000934C4"/>
    <w:rsid w:val="000A5526"/>
    <w:rsid w:val="000B42E5"/>
    <w:rsid w:val="000C0F9E"/>
    <w:rsid w:val="000C50D4"/>
    <w:rsid w:val="000D31D1"/>
    <w:rsid w:val="000E55BF"/>
    <w:rsid w:val="000F0FA3"/>
    <w:rsid w:val="000F706A"/>
    <w:rsid w:val="00104420"/>
    <w:rsid w:val="0010703B"/>
    <w:rsid w:val="001303A7"/>
    <w:rsid w:val="00140A5C"/>
    <w:rsid w:val="00141651"/>
    <w:rsid w:val="00151580"/>
    <w:rsid w:val="00155A7E"/>
    <w:rsid w:val="001574EC"/>
    <w:rsid w:val="001642EF"/>
    <w:rsid w:val="00176B02"/>
    <w:rsid w:val="00186E98"/>
    <w:rsid w:val="001B643C"/>
    <w:rsid w:val="001B6981"/>
    <w:rsid w:val="001C63AD"/>
    <w:rsid w:val="001E6CB1"/>
    <w:rsid w:val="001F59CA"/>
    <w:rsid w:val="001F6325"/>
    <w:rsid w:val="002214D8"/>
    <w:rsid w:val="002223E7"/>
    <w:rsid w:val="00241451"/>
    <w:rsid w:val="0025082C"/>
    <w:rsid w:val="00255299"/>
    <w:rsid w:val="00285BE5"/>
    <w:rsid w:val="00286668"/>
    <w:rsid w:val="00290296"/>
    <w:rsid w:val="00291CA7"/>
    <w:rsid w:val="002940B6"/>
    <w:rsid w:val="002B00EE"/>
    <w:rsid w:val="002B127D"/>
    <w:rsid w:val="002B3857"/>
    <w:rsid w:val="002C3644"/>
    <w:rsid w:val="002D78B5"/>
    <w:rsid w:val="002E0094"/>
    <w:rsid w:val="002F3ACF"/>
    <w:rsid w:val="002F6279"/>
    <w:rsid w:val="002F666A"/>
    <w:rsid w:val="0030321A"/>
    <w:rsid w:val="00322D75"/>
    <w:rsid w:val="0032314F"/>
    <w:rsid w:val="00323864"/>
    <w:rsid w:val="0032394E"/>
    <w:rsid w:val="00326B04"/>
    <w:rsid w:val="00330780"/>
    <w:rsid w:val="00331D7B"/>
    <w:rsid w:val="003340A4"/>
    <w:rsid w:val="00337D87"/>
    <w:rsid w:val="00357A6B"/>
    <w:rsid w:val="0036410B"/>
    <w:rsid w:val="003656C6"/>
    <w:rsid w:val="00373DFE"/>
    <w:rsid w:val="00380291"/>
    <w:rsid w:val="003813C3"/>
    <w:rsid w:val="0039202C"/>
    <w:rsid w:val="003C5EB9"/>
    <w:rsid w:val="003E3F0F"/>
    <w:rsid w:val="003E5783"/>
    <w:rsid w:val="003E7472"/>
    <w:rsid w:val="00410B8C"/>
    <w:rsid w:val="00412ED6"/>
    <w:rsid w:val="004142D5"/>
    <w:rsid w:val="004257B5"/>
    <w:rsid w:val="0042779F"/>
    <w:rsid w:val="004352A9"/>
    <w:rsid w:val="00440349"/>
    <w:rsid w:val="00443D53"/>
    <w:rsid w:val="00445C20"/>
    <w:rsid w:val="00446B84"/>
    <w:rsid w:val="00464085"/>
    <w:rsid w:val="004652D9"/>
    <w:rsid w:val="00465E99"/>
    <w:rsid w:val="00475F08"/>
    <w:rsid w:val="004803F8"/>
    <w:rsid w:val="00496E77"/>
    <w:rsid w:val="004A7426"/>
    <w:rsid w:val="004B2F2C"/>
    <w:rsid w:val="004C49C6"/>
    <w:rsid w:val="004C6964"/>
    <w:rsid w:val="004D4A72"/>
    <w:rsid w:val="004E1C56"/>
    <w:rsid w:val="004E6B1F"/>
    <w:rsid w:val="004E77FB"/>
    <w:rsid w:val="004E7904"/>
    <w:rsid w:val="004F3FE9"/>
    <w:rsid w:val="00505858"/>
    <w:rsid w:val="00512CDB"/>
    <w:rsid w:val="00514993"/>
    <w:rsid w:val="00516429"/>
    <w:rsid w:val="00534337"/>
    <w:rsid w:val="0053581A"/>
    <w:rsid w:val="00535845"/>
    <w:rsid w:val="005438AB"/>
    <w:rsid w:val="0054733E"/>
    <w:rsid w:val="0055349C"/>
    <w:rsid w:val="00557409"/>
    <w:rsid w:val="00557D13"/>
    <w:rsid w:val="00561977"/>
    <w:rsid w:val="005A0268"/>
    <w:rsid w:val="005A224D"/>
    <w:rsid w:val="005B5DCE"/>
    <w:rsid w:val="005C4019"/>
    <w:rsid w:val="005C75DE"/>
    <w:rsid w:val="005D7D14"/>
    <w:rsid w:val="005E5B4E"/>
    <w:rsid w:val="0060594D"/>
    <w:rsid w:val="006228F3"/>
    <w:rsid w:val="006231E1"/>
    <w:rsid w:val="00627360"/>
    <w:rsid w:val="00627D1A"/>
    <w:rsid w:val="0063203F"/>
    <w:rsid w:val="0063495E"/>
    <w:rsid w:val="00634C63"/>
    <w:rsid w:val="006355A8"/>
    <w:rsid w:val="00642E03"/>
    <w:rsid w:val="00656CFF"/>
    <w:rsid w:val="00670836"/>
    <w:rsid w:val="006711A8"/>
    <w:rsid w:val="00674139"/>
    <w:rsid w:val="00681BC5"/>
    <w:rsid w:val="00691836"/>
    <w:rsid w:val="0069357B"/>
    <w:rsid w:val="00693604"/>
    <w:rsid w:val="00697B7C"/>
    <w:rsid w:val="006B7539"/>
    <w:rsid w:val="006D2E40"/>
    <w:rsid w:val="006E2487"/>
    <w:rsid w:val="006E4EE3"/>
    <w:rsid w:val="006E66EC"/>
    <w:rsid w:val="006F56C1"/>
    <w:rsid w:val="0070415B"/>
    <w:rsid w:val="00717A6D"/>
    <w:rsid w:val="00724703"/>
    <w:rsid w:val="00735A37"/>
    <w:rsid w:val="00735E9D"/>
    <w:rsid w:val="00737435"/>
    <w:rsid w:val="00741ABD"/>
    <w:rsid w:val="00743A20"/>
    <w:rsid w:val="00746FC8"/>
    <w:rsid w:val="007578BE"/>
    <w:rsid w:val="0077297A"/>
    <w:rsid w:val="00782EE9"/>
    <w:rsid w:val="00797AB4"/>
    <w:rsid w:val="007A0956"/>
    <w:rsid w:val="007A67E5"/>
    <w:rsid w:val="007C70C8"/>
    <w:rsid w:val="007D00B8"/>
    <w:rsid w:val="007D286A"/>
    <w:rsid w:val="007D4FD0"/>
    <w:rsid w:val="008015B9"/>
    <w:rsid w:val="00827CE1"/>
    <w:rsid w:val="0083080F"/>
    <w:rsid w:val="00831230"/>
    <w:rsid w:val="00833438"/>
    <w:rsid w:val="008651ED"/>
    <w:rsid w:val="00866A97"/>
    <w:rsid w:val="008679BF"/>
    <w:rsid w:val="00875A59"/>
    <w:rsid w:val="00886BC0"/>
    <w:rsid w:val="0089558E"/>
    <w:rsid w:val="008A0760"/>
    <w:rsid w:val="008A23F3"/>
    <w:rsid w:val="008B5BD2"/>
    <w:rsid w:val="008C2B91"/>
    <w:rsid w:val="008C36CA"/>
    <w:rsid w:val="008D17A5"/>
    <w:rsid w:val="008E35DF"/>
    <w:rsid w:val="008E445B"/>
    <w:rsid w:val="008E7201"/>
    <w:rsid w:val="008F63CD"/>
    <w:rsid w:val="008F7A18"/>
    <w:rsid w:val="00913D77"/>
    <w:rsid w:val="009167A0"/>
    <w:rsid w:val="009200A2"/>
    <w:rsid w:val="00922F10"/>
    <w:rsid w:val="00926437"/>
    <w:rsid w:val="00931F51"/>
    <w:rsid w:val="009329FB"/>
    <w:rsid w:val="00945F33"/>
    <w:rsid w:val="0094683E"/>
    <w:rsid w:val="009553F2"/>
    <w:rsid w:val="00983653"/>
    <w:rsid w:val="009932CA"/>
    <w:rsid w:val="009A47A6"/>
    <w:rsid w:val="009A7654"/>
    <w:rsid w:val="009C02DA"/>
    <w:rsid w:val="009C393F"/>
    <w:rsid w:val="009E1AC6"/>
    <w:rsid w:val="009E3B35"/>
    <w:rsid w:val="009E63EA"/>
    <w:rsid w:val="009E79D2"/>
    <w:rsid w:val="009F050F"/>
    <w:rsid w:val="00A31734"/>
    <w:rsid w:val="00A31B16"/>
    <w:rsid w:val="00A31E9B"/>
    <w:rsid w:val="00A333DC"/>
    <w:rsid w:val="00A341BE"/>
    <w:rsid w:val="00A53D31"/>
    <w:rsid w:val="00A57824"/>
    <w:rsid w:val="00A66C6A"/>
    <w:rsid w:val="00A73F8A"/>
    <w:rsid w:val="00A76032"/>
    <w:rsid w:val="00A77BE2"/>
    <w:rsid w:val="00A8099D"/>
    <w:rsid w:val="00A81D62"/>
    <w:rsid w:val="00A84922"/>
    <w:rsid w:val="00A849BB"/>
    <w:rsid w:val="00A90C04"/>
    <w:rsid w:val="00AA362F"/>
    <w:rsid w:val="00AB486C"/>
    <w:rsid w:val="00AC51DC"/>
    <w:rsid w:val="00AD54E0"/>
    <w:rsid w:val="00B00632"/>
    <w:rsid w:val="00B14C29"/>
    <w:rsid w:val="00B170E8"/>
    <w:rsid w:val="00B32D99"/>
    <w:rsid w:val="00B3769E"/>
    <w:rsid w:val="00B567F8"/>
    <w:rsid w:val="00B63531"/>
    <w:rsid w:val="00B666D1"/>
    <w:rsid w:val="00B671BA"/>
    <w:rsid w:val="00B7008A"/>
    <w:rsid w:val="00B717B3"/>
    <w:rsid w:val="00BA3592"/>
    <w:rsid w:val="00BC77D0"/>
    <w:rsid w:val="00BD076C"/>
    <w:rsid w:val="00BE1219"/>
    <w:rsid w:val="00BF091C"/>
    <w:rsid w:val="00C01B5D"/>
    <w:rsid w:val="00C0700C"/>
    <w:rsid w:val="00C1266E"/>
    <w:rsid w:val="00C13F22"/>
    <w:rsid w:val="00C1781E"/>
    <w:rsid w:val="00C258E4"/>
    <w:rsid w:val="00C40062"/>
    <w:rsid w:val="00C461BF"/>
    <w:rsid w:val="00C54322"/>
    <w:rsid w:val="00C63B50"/>
    <w:rsid w:val="00C71F58"/>
    <w:rsid w:val="00C72F0B"/>
    <w:rsid w:val="00C9060E"/>
    <w:rsid w:val="00C96371"/>
    <w:rsid w:val="00CA2FDC"/>
    <w:rsid w:val="00CA3BBA"/>
    <w:rsid w:val="00CC0602"/>
    <w:rsid w:val="00CC39A6"/>
    <w:rsid w:val="00CC71C5"/>
    <w:rsid w:val="00CD4484"/>
    <w:rsid w:val="00CD6850"/>
    <w:rsid w:val="00CE67E8"/>
    <w:rsid w:val="00CF6193"/>
    <w:rsid w:val="00D04785"/>
    <w:rsid w:val="00D32C7D"/>
    <w:rsid w:val="00D34588"/>
    <w:rsid w:val="00D3478E"/>
    <w:rsid w:val="00D42FD2"/>
    <w:rsid w:val="00D54C2F"/>
    <w:rsid w:val="00D6067E"/>
    <w:rsid w:val="00D61704"/>
    <w:rsid w:val="00D64953"/>
    <w:rsid w:val="00D728B4"/>
    <w:rsid w:val="00D87572"/>
    <w:rsid w:val="00D97E21"/>
    <w:rsid w:val="00DA65EA"/>
    <w:rsid w:val="00DE4C7A"/>
    <w:rsid w:val="00DF5012"/>
    <w:rsid w:val="00DF6036"/>
    <w:rsid w:val="00DF6BC3"/>
    <w:rsid w:val="00E21F6A"/>
    <w:rsid w:val="00E30B22"/>
    <w:rsid w:val="00E34E43"/>
    <w:rsid w:val="00E3798A"/>
    <w:rsid w:val="00E44432"/>
    <w:rsid w:val="00E460F3"/>
    <w:rsid w:val="00E50177"/>
    <w:rsid w:val="00E5027B"/>
    <w:rsid w:val="00E5626A"/>
    <w:rsid w:val="00E669E4"/>
    <w:rsid w:val="00E772E5"/>
    <w:rsid w:val="00E7785C"/>
    <w:rsid w:val="00E82585"/>
    <w:rsid w:val="00E90B9F"/>
    <w:rsid w:val="00EA0609"/>
    <w:rsid w:val="00EA0ABD"/>
    <w:rsid w:val="00EA46E7"/>
    <w:rsid w:val="00EB33E4"/>
    <w:rsid w:val="00EB3C2A"/>
    <w:rsid w:val="00EB47B8"/>
    <w:rsid w:val="00EC2C40"/>
    <w:rsid w:val="00EC3E4C"/>
    <w:rsid w:val="00EE6353"/>
    <w:rsid w:val="00EF1962"/>
    <w:rsid w:val="00EF226B"/>
    <w:rsid w:val="00F00937"/>
    <w:rsid w:val="00F22399"/>
    <w:rsid w:val="00F315C9"/>
    <w:rsid w:val="00F42E31"/>
    <w:rsid w:val="00F43AC2"/>
    <w:rsid w:val="00F51E5E"/>
    <w:rsid w:val="00F53B63"/>
    <w:rsid w:val="00F64B32"/>
    <w:rsid w:val="00F664B4"/>
    <w:rsid w:val="00F70C4B"/>
    <w:rsid w:val="00F7138B"/>
    <w:rsid w:val="00F74C7D"/>
    <w:rsid w:val="00F75117"/>
    <w:rsid w:val="00F75D61"/>
    <w:rsid w:val="00F808C0"/>
    <w:rsid w:val="00F83712"/>
    <w:rsid w:val="00F85CA3"/>
    <w:rsid w:val="00FA29F4"/>
    <w:rsid w:val="00FA672D"/>
    <w:rsid w:val="00FC03A2"/>
    <w:rsid w:val="00FC5DD1"/>
    <w:rsid w:val="00FD0D2C"/>
    <w:rsid w:val="00FD44E8"/>
    <w:rsid w:val="00FD566A"/>
    <w:rsid w:val="00FD7200"/>
    <w:rsid w:val="00FE5F30"/>
    <w:rsid w:val="00FE6ABD"/>
    <w:rsid w:val="00FF4E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D1313"/>
  <w15:chartTrackingRefBased/>
  <w15:docId w15:val="{E9DA5198-3D9D-4809-A833-01DD031F6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036FE1"/>
    <w:pPr>
      <w:keepNext/>
      <w:keepLines/>
      <w:spacing w:before="200"/>
      <w:outlineLvl w:val="2"/>
    </w:pPr>
    <w:rPr>
      <w:rFonts w:ascii="CaAbria" w:hAnsi="CaAbria" w:cs="CaAbria"/>
      <w:b/>
      <w:color w:val="C0C0C0"/>
      <w:szCs w:val="20"/>
      <w:lang w:val="es-ES" w:eastAsia="es-MX"/>
    </w:rPr>
  </w:style>
  <w:style w:type="paragraph" w:styleId="Heading4">
    <w:name w:val="heading 4"/>
    <w:basedOn w:val="Normal"/>
    <w:next w:val="Normal"/>
    <w:link w:val="Heading4Char"/>
    <w:qFormat/>
    <w:rsid w:val="00036FE1"/>
    <w:pPr>
      <w:keepNext/>
      <w:spacing w:before="240" w:after="60"/>
      <w:outlineLvl w:val="3"/>
    </w:pPr>
    <w:rPr>
      <w:rFonts w:ascii="TiAes New Roman" w:hAnsi="TiAes New Roman" w:cs="TiAes New Roman"/>
      <w:b/>
      <w:sz w:val="28"/>
      <w:szCs w:val="20"/>
      <w:lang w:val="es-ES" w:eastAsia="es-MX"/>
    </w:rPr>
  </w:style>
  <w:style w:type="paragraph" w:styleId="Heading5">
    <w:name w:val="heading 5"/>
    <w:basedOn w:val="Normal"/>
    <w:next w:val="Normal"/>
    <w:link w:val="Heading5Char"/>
    <w:qFormat/>
    <w:rsid w:val="00036FE1"/>
    <w:pPr>
      <w:keepNext/>
      <w:keepLines/>
      <w:spacing w:before="200"/>
      <w:ind w:left="1008" w:hanging="1008"/>
      <w:outlineLvl w:val="4"/>
    </w:pPr>
    <w:rPr>
      <w:rFonts w:ascii="CaAbria" w:hAnsi="CaAbria" w:cs="CaAbria"/>
      <w:color w:val="000080"/>
      <w:sz w:val="20"/>
      <w:szCs w:val="20"/>
      <w:lang w:val="es-ES_tradnl" w:eastAsia="es-MX"/>
    </w:rPr>
  </w:style>
  <w:style w:type="paragraph" w:styleId="Heading6">
    <w:name w:val="heading 6"/>
    <w:basedOn w:val="Normal"/>
    <w:next w:val="Normal"/>
    <w:link w:val="Heading6Char"/>
    <w:qFormat/>
    <w:rsid w:val="00036FE1"/>
    <w:pPr>
      <w:keepNext/>
      <w:keepLines/>
      <w:spacing w:before="200"/>
      <w:ind w:left="1152" w:hanging="1152"/>
      <w:outlineLvl w:val="5"/>
    </w:pPr>
    <w:rPr>
      <w:rFonts w:ascii="CaAbria" w:hAnsi="CaAbria" w:cs="CaAbria"/>
      <w:i/>
      <w:color w:val="000080"/>
      <w:sz w:val="20"/>
      <w:szCs w:val="20"/>
      <w:lang w:val="es-ES_tradnl" w:eastAsia="es-MX"/>
    </w:rPr>
  </w:style>
  <w:style w:type="paragraph" w:styleId="Heading7">
    <w:name w:val="heading 7"/>
    <w:basedOn w:val="Normal"/>
    <w:next w:val="Normal"/>
    <w:link w:val="Heading7Char"/>
    <w:qFormat/>
    <w:rsid w:val="00036FE1"/>
    <w:pPr>
      <w:keepNext/>
      <w:ind w:firstLine="708"/>
      <w:jc w:val="both"/>
      <w:outlineLvl w:val="6"/>
    </w:pPr>
    <w:rPr>
      <w:rFonts w:ascii="ArAal" w:hAnsi="ArAal" w:cs="ArAal"/>
      <w:b/>
      <w:szCs w:val="20"/>
      <w:lang w:val="es-ES_tradnl" w:eastAsia="es-MX"/>
    </w:rPr>
  </w:style>
  <w:style w:type="paragraph" w:styleId="Heading8">
    <w:name w:val="heading 8"/>
    <w:basedOn w:val="Normal"/>
    <w:next w:val="Normal"/>
    <w:link w:val="Heading8Char"/>
    <w:qFormat/>
    <w:rsid w:val="00036FE1"/>
    <w:pPr>
      <w:spacing w:before="240" w:after="60"/>
      <w:outlineLvl w:val="7"/>
    </w:pPr>
    <w:rPr>
      <w:rFonts w:ascii="CaAibri" w:hAnsi="CaAibri" w:cs="CaAibri"/>
      <w:i/>
      <w:szCs w:val="20"/>
      <w:lang w:eastAsia="es-MX"/>
    </w:rPr>
  </w:style>
  <w:style w:type="paragraph" w:styleId="Heading9">
    <w:name w:val="heading 9"/>
    <w:basedOn w:val="Normal"/>
    <w:next w:val="Normal"/>
    <w:link w:val="Heading9Char"/>
    <w:qFormat/>
    <w:rsid w:val="00036FE1"/>
    <w:pPr>
      <w:keepNext/>
      <w:keepLines/>
      <w:spacing w:before="200"/>
      <w:outlineLvl w:val="8"/>
    </w:pPr>
    <w:rPr>
      <w:rFonts w:ascii="CaAbria" w:hAnsi="CaAbria" w:cs="CaAbria"/>
      <w:i/>
      <w:color w:val="000000"/>
      <w:sz w:val="20"/>
      <w:szCs w:val="20"/>
      <w:lang w:val="es-ES"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036FE1"/>
    <w:rPr>
      <w:rFonts w:ascii="CaAbria" w:hAnsi="CaAbria" w:cs="CaAbria"/>
      <w:b/>
      <w:color w:val="C0C0C0"/>
      <w:sz w:val="24"/>
      <w:lang w:val="es-ES"/>
    </w:rPr>
  </w:style>
  <w:style w:type="character" w:customStyle="1" w:styleId="Heading4Char">
    <w:name w:val="Heading 4 Char"/>
    <w:link w:val="Heading4"/>
    <w:rsid w:val="00036FE1"/>
    <w:rPr>
      <w:rFonts w:ascii="TiAes New Roman" w:hAnsi="TiAes New Roman" w:cs="TiAes New Roman"/>
      <w:b/>
      <w:sz w:val="28"/>
      <w:lang w:val="es-ES"/>
    </w:rPr>
  </w:style>
  <w:style w:type="character" w:customStyle="1" w:styleId="Heading5Char">
    <w:name w:val="Heading 5 Char"/>
    <w:link w:val="Heading5"/>
    <w:rsid w:val="00036FE1"/>
    <w:rPr>
      <w:rFonts w:ascii="CaAbria" w:hAnsi="CaAbria" w:cs="CaAbria"/>
      <w:color w:val="000080"/>
      <w:lang w:val="es-ES_tradnl"/>
    </w:rPr>
  </w:style>
  <w:style w:type="character" w:customStyle="1" w:styleId="Heading6Char">
    <w:name w:val="Heading 6 Char"/>
    <w:link w:val="Heading6"/>
    <w:rsid w:val="00036FE1"/>
    <w:rPr>
      <w:rFonts w:ascii="CaAbria" w:hAnsi="CaAbria" w:cs="CaAbria"/>
      <w:i/>
      <w:color w:val="000080"/>
      <w:lang w:val="es-ES_tradnl"/>
    </w:rPr>
  </w:style>
  <w:style w:type="character" w:customStyle="1" w:styleId="Heading7Char">
    <w:name w:val="Heading 7 Char"/>
    <w:link w:val="Heading7"/>
    <w:rsid w:val="00036FE1"/>
    <w:rPr>
      <w:rFonts w:ascii="ArAal" w:hAnsi="ArAal" w:cs="ArAal"/>
      <w:b/>
      <w:sz w:val="24"/>
      <w:lang w:val="es-ES_tradnl"/>
    </w:rPr>
  </w:style>
  <w:style w:type="character" w:customStyle="1" w:styleId="Heading8Char">
    <w:name w:val="Heading 8 Char"/>
    <w:link w:val="Heading8"/>
    <w:rsid w:val="00036FE1"/>
    <w:rPr>
      <w:rFonts w:ascii="CaAibri" w:hAnsi="CaAibri" w:cs="CaAibri"/>
      <w:i/>
      <w:sz w:val="24"/>
    </w:rPr>
  </w:style>
  <w:style w:type="character" w:customStyle="1" w:styleId="Heading9Char">
    <w:name w:val="Heading 9 Char"/>
    <w:link w:val="Heading9"/>
    <w:rsid w:val="00036FE1"/>
    <w:rPr>
      <w:rFonts w:ascii="CaAbria" w:hAnsi="CaAbria" w:cs="CaAbria"/>
      <w:i/>
      <w:color w:val="000000"/>
      <w:lang w:val="es-ES"/>
    </w:rPr>
  </w:style>
  <w:style w:type="paragraph" w:styleId="CommentText">
    <w:name w:val="annotation text"/>
    <w:basedOn w:val="Normal"/>
    <w:link w:val="CommentTextChar"/>
    <w:rsid w:val="00036FE1"/>
    <w:pPr>
      <w:spacing w:after="200"/>
    </w:pPr>
    <w:rPr>
      <w:rFonts w:ascii="CaAibri" w:hAnsi="CaAibri" w:cs="CaAibri"/>
      <w:sz w:val="20"/>
      <w:szCs w:val="20"/>
      <w:lang w:val="en-US" w:eastAsia="es-MX"/>
    </w:rPr>
  </w:style>
  <w:style w:type="character" w:customStyle="1" w:styleId="CommentTextChar">
    <w:name w:val="Comment Text Char"/>
    <w:link w:val="CommentText"/>
    <w:rsid w:val="00036FE1"/>
    <w:rPr>
      <w:rFonts w:ascii="CaAibri" w:hAnsi="CaAibri" w:cs="CaAibri"/>
      <w:lang w:val="en-US"/>
    </w:rPr>
  </w:style>
  <w:style w:type="paragraph" w:styleId="FootnoteText">
    <w:name w:val="footnote text"/>
    <w:basedOn w:val="Normal"/>
    <w:link w:val="FootnoteTextChar"/>
    <w:rsid w:val="00036FE1"/>
    <w:rPr>
      <w:rFonts w:ascii="TiAes New Roman" w:hAnsi="TiAes New Roman" w:cs="TiAes New Roman"/>
      <w:sz w:val="20"/>
      <w:szCs w:val="20"/>
      <w:lang w:val="es-ES" w:eastAsia="es-MX"/>
    </w:rPr>
  </w:style>
  <w:style w:type="character" w:customStyle="1" w:styleId="FootnoteTextChar">
    <w:name w:val="Footnote Text Char"/>
    <w:link w:val="FootnoteText"/>
    <w:rsid w:val="00036FE1"/>
    <w:rPr>
      <w:rFonts w:ascii="TiAes New Roman" w:hAnsi="TiAes New Roman" w:cs="TiAes New Roman"/>
      <w:lang w:val="es-ES"/>
    </w:rPr>
  </w:style>
  <w:style w:type="paragraph" w:customStyle="1" w:styleId="EstilotextoPrimeral">
    <w:name w:val="Estilo texto + Primera l"/>
    <w:basedOn w:val="Normal"/>
    <w:rsid w:val="00036FE1"/>
    <w:pPr>
      <w:spacing w:after="101" w:line="216" w:lineRule="exact"/>
      <w:jc w:val="both"/>
    </w:pPr>
    <w:rPr>
      <w:rFonts w:ascii="ArAal" w:hAnsi="ArAal" w:cs="ArAal"/>
      <w:sz w:val="18"/>
      <w:szCs w:val="20"/>
      <w:lang w:eastAsia="es-MX"/>
    </w:rPr>
  </w:style>
  <w:style w:type="paragraph" w:customStyle="1" w:styleId="Prrafodelista">
    <w:name w:val="Párrafo de lista"/>
    <w:basedOn w:val="Normal"/>
    <w:qFormat/>
    <w:rsid w:val="00036FE1"/>
    <w:pPr>
      <w:ind w:left="708"/>
    </w:pPr>
    <w:rPr>
      <w:rFonts w:ascii="TiAes New Roman" w:hAnsi="TiAes New Roman" w:cs="TiAes New Roman"/>
      <w:szCs w:val="20"/>
      <w:lang w:val="es-ES" w:eastAsia="es-MX"/>
    </w:rPr>
  </w:style>
  <w:style w:type="paragraph" w:customStyle="1" w:styleId="centrado">
    <w:name w:val="centrado"/>
    <w:basedOn w:val="Texto"/>
    <w:rsid w:val="00036FE1"/>
    <w:pPr>
      <w:spacing w:line="216" w:lineRule="atLeast"/>
      <w:ind w:firstLine="0"/>
      <w:jc w:val="center"/>
    </w:pPr>
    <w:rPr>
      <w:rFonts w:ascii="ArAal" w:hAnsi="ArAal" w:cs="ArAal"/>
      <w:lang w:val="es-ES_tradnl" w:eastAsia="es-MX"/>
    </w:rPr>
  </w:style>
  <w:style w:type="paragraph" w:customStyle="1" w:styleId="Default">
    <w:name w:val="Default"/>
    <w:rsid w:val="00036FE1"/>
    <w:rPr>
      <w:rFonts w:ascii="TiAes New Roman" w:hAnsi="TiAes New Roman" w:cs="TiAes New Roman"/>
      <w:color w:val="000000"/>
      <w:sz w:val="24"/>
      <w:lang w:val="es-MX" w:eastAsia="es-MX"/>
    </w:rPr>
  </w:style>
  <w:style w:type="paragraph" w:styleId="NormalWeb">
    <w:name w:val="Normal (Web)"/>
    <w:basedOn w:val="Normal"/>
    <w:rsid w:val="00036FE1"/>
    <w:pPr>
      <w:spacing w:before="100" w:after="100"/>
    </w:pPr>
    <w:rPr>
      <w:rFonts w:ascii="TiAes New Roman" w:hAnsi="TiAes New Roman" w:cs="TiAes New Roman"/>
      <w:szCs w:val="20"/>
      <w:lang w:eastAsia="es-MX"/>
    </w:rPr>
  </w:style>
  <w:style w:type="paragraph" w:customStyle="1" w:styleId="Asuntodelcomentario1">
    <w:name w:val="Asunto del comentario1"/>
    <w:basedOn w:val="CommentText"/>
    <w:next w:val="CommentText"/>
    <w:rsid w:val="00036FE1"/>
    <w:rPr>
      <w:b/>
    </w:rPr>
  </w:style>
  <w:style w:type="paragraph" w:customStyle="1" w:styleId="Textodeglobo1">
    <w:name w:val="Texto de globo1"/>
    <w:basedOn w:val="Normal"/>
    <w:rsid w:val="00036FE1"/>
    <w:rPr>
      <w:rFonts w:ascii="TaAoma" w:hAnsi="TaAoma" w:cs="TaAoma"/>
      <w:sz w:val="16"/>
      <w:szCs w:val="20"/>
      <w:lang w:val="en-US" w:eastAsia="es-MX"/>
    </w:rPr>
  </w:style>
  <w:style w:type="paragraph" w:customStyle="1" w:styleId="pcstexto">
    <w:name w:val="pcstexto"/>
    <w:basedOn w:val="Normal"/>
    <w:rsid w:val="00036FE1"/>
    <w:pPr>
      <w:spacing w:line="240" w:lineRule="exact"/>
      <w:ind w:firstLine="270"/>
      <w:jc w:val="both"/>
    </w:pPr>
    <w:rPr>
      <w:rFonts w:ascii="UnAvers" w:hAnsi="UnAvers" w:cs="UnAvers"/>
      <w:sz w:val="18"/>
      <w:szCs w:val="20"/>
      <w:lang w:eastAsia="es-MX"/>
    </w:rPr>
  </w:style>
  <w:style w:type="paragraph" w:customStyle="1" w:styleId="Sinespaciado">
    <w:name w:val="Sin espaciado"/>
    <w:qFormat/>
    <w:rsid w:val="00036FE1"/>
    <w:rPr>
      <w:rFonts w:ascii="CaAibri" w:hAnsi="CaAibri" w:cs="CaAibri"/>
      <w:sz w:val="22"/>
      <w:lang w:val="es-MX" w:eastAsia="es-MX"/>
    </w:rPr>
  </w:style>
  <w:style w:type="paragraph" w:customStyle="1" w:styleId="Textonormal">
    <w:name w:val="Texto normal"/>
    <w:basedOn w:val="Normal"/>
    <w:rsid w:val="00036FE1"/>
    <w:pPr>
      <w:jc w:val="both"/>
    </w:pPr>
    <w:rPr>
      <w:rFonts w:ascii="TiAes New Roman" w:hAnsi="TiAes New Roman" w:cs="TiAes New Roman"/>
      <w:szCs w:val="20"/>
      <w:lang w:val="en-US" w:eastAsia="es-MX"/>
    </w:rPr>
  </w:style>
  <w:style w:type="paragraph" w:customStyle="1" w:styleId="texto0">
    <w:name w:val="texto"/>
    <w:basedOn w:val="Normal"/>
    <w:rsid w:val="00036FE1"/>
    <w:pPr>
      <w:spacing w:after="101" w:line="216" w:lineRule="atLeast"/>
      <w:ind w:firstLine="288"/>
      <w:jc w:val="both"/>
    </w:pPr>
    <w:rPr>
      <w:rFonts w:ascii="ArAal" w:hAnsi="ArAal" w:cs="ArAal"/>
      <w:sz w:val="18"/>
      <w:szCs w:val="20"/>
      <w:lang w:val="es-ES_tradnl" w:eastAsia="es-MX"/>
    </w:rPr>
  </w:style>
  <w:style w:type="paragraph" w:customStyle="1" w:styleId="p">
    <w:name w:val="p"/>
    <w:basedOn w:val="Normal"/>
    <w:rsid w:val="00036FE1"/>
    <w:pPr>
      <w:spacing w:before="100"/>
    </w:pPr>
    <w:rPr>
      <w:rFonts w:ascii="TiAes New Roman" w:hAnsi="TiAes New Roman" w:cs="TiAes New Roman"/>
      <w:szCs w:val="20"/>
      <w:lang w:eastAsia="es-MX"/>
    </w:rPr>
  </w:style>
  <w:style w:type="paragraph" w:customStyle="1" w:styleId="q">
    <w:name w:val="q"/>
    <w:basedOn w:val="Normal"/>
    <w:rsid w:val="00036FE1"/>
    <w:pPr>
      <w:spacing w:before="100"/>
      <w:ind w:left="480"/>
    </w:pPr>
    <w:rPr>
      <w:rFonts w:ascii="TiAes New Roman" w:hAnsi="TiAes New Roman" w:cs="TiAes New Roman"/>
      <w:szCs w:val="20"/>
      <w:lang w:eastAsia="es-MX"/>
    </w:rPr>
  </w:style>
  <w:style w:type="paragraph" w:customStyle="1" w:styleId="Revisin">
    <w:name w:val="Revisión"/>
    <w:rsid w:val="00036FE1"/>
    <w:rPr>
      <w:rFonts w:ascii="CaAibri" w:hAnsi="CaAibri" w:cs="CaAibri"/>
      <w:sz w:val="22"/>
      <w:lang w:val="es-MX" w:eastAsia="es-MX"/>
    </w:rPr>
  </w:style>
  <w:style w:type="paragraph" w:customStyle="1" w:styleId="Textoindependiente21">
    <w:name w:val="Texto independiente 21"/>
    <w:basedOn w:val="Normal"/>
    <w:rsid w:val="00036FE1"/>
    <w:pPr>
      <w:ind w:left="851" w:hanging="851"/>
      <w:jc w:val="both"/>
    </w:pPr>
    <w:rPr>
      <w:rFonts w:ascii="CeAtury Gothic" w:hAnsi="CeAtury Gothic" w:cs="CeAtury Gothic"/>
      <w:szCs w:val="20"/>
      <w:lang w:eastAsia="es-MX"/>
    </w:rPr>
  </w:style>
  <w:style w:type="paragraph" w:customStyle="1" w:styleId="ttulo">
    <w:name w:val="título"/>
    <w:basedOn w:val="Normal"/>
    <w:next w:val="Normal"/>
    <w:rsid w:val="00036FE1"/>
    <w:pPr>
      <w:jc w:val="both"/>
    </w:pPr>
    <w:rPr>
      <w:rFonts w:ascii="ArAal" w:hAnsi="ArAal" w:cs="ArAal"/>
      <w:b/>
      <w:szCs w:val="20"/>
      <w:lang w:val="es-ES" w:eastAsia="es-MX"/>
    </w:rPr>
  </w:style>
  <w:style w:type="paragraph" w:customStyle="1" w:styleId="Textoindependiente31">
    <w:name w:val="Texto independiente 31"/>
    <w:basedOn w:val="Normal"/>
    <w:rsid w:val="00036FE1"/>
    <w:pPr>
      <w:spacing w:after="120"/>
      <w:jc w:val="both"/>
    </w:pPr>
    <w:rPr>
      <w:rFonts w:ascii="CeAtury Gothic" w:hAnsi="CeAtury Gothic" w:cs="CeAtury Gothic"/>
      <w:sz w:val="16"/>
      <w:szCs w:val="20"/>
      <w:lang w:val="en-US" w:eastAsia="es-MX"/>
    </w:rPr>
  </w:style>
  <w:style w:type="paragraph" w:customStyle="1" w:styleId="Mapadeldocumento1">
    <w:name w:val="Mapa del documento1"/>
    <w:basedOn w:val="Normal"/>
    <w:rsid w:val="00036FE1"/>
    <w:rPr>
      <w:rFonts w:ascii="TaAoma" w:hAnsi="TaAoma" w:cs="TaAoma"/>
      <w:sz w:val="16"/>
      <w:szCs w:val="20"/>
      <w:lang w:val="es-ES_tradnl" w:eastAsia="es-MX"/>
    </w:rPr>
  </w:style>
  <w:style w:type="paragraph" w:customStyle="1" w:styleId="BalloonText1">
    <w:name w:val="Balloon Text1"/>
    <w:basedOn w:val="Normal"/>
    <w:rsid w:val="00036FE1"/>
    <w:rPr>
      <w:rFonts w:ascii="TaAoma" w:hAnsi="TaAoma" w:cs="TaAoma"/>
      <w:sz w:val="16"/>
      <w:szCs w:val="20"/>
      <w:lang w:eastAsia="es-MX"/>
    </w:rPr>
  </w:style>
  <w:style w:type="paragraph" w:customStyle="1" w:styleId="Sumario">
    <w:name w:val="Sumario"/>
    <w:basedOn w:val="Normal"/>
    <w:rsid w:val="00036FE1"/>
    <w:pPr>
      <w:tabs>
        <w:tab w:val="right" w:leader="dot" w:pos="8107"/>
        <w:tab w:val="right" w:pos="8640"/>
      </w:tabs>
      <w:spacing w:line="260" w:lineRule="exact"/>
      <w:ind w:left="274" w:right="749"/>
      <w:jc w:val="both"/>
    </w:pPr>
    <w:rPr>
      <w:rFonts w:ascii="ArAal" w:hAnsi="ArAal" w:cs="ArAal"/>
      <w:sz w:val="18"/>
      <w:szCs w:val="20"/>
      <w:lang w:val="es-ES" w:eastAsia="es-MX"/>
    </w:rPr>
  </w:style>
  <w:style w:type="paragraph" w:customStyle="1" w:styleId="Secreta">
    <w:name w:val="Secreta"/>
    <w:basedOn w:val="Normal"/>
    <w:rsid w:val="00036FE1"/>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paragraph" w:customStyle="1" w:styleId="CommentSubject1">
    <w:name w:val="Comment Subject1"/>
    <w:basedOn w:val="CommentText"/>
    <w:next w:val="CommentText"/>
    <w:rsid w:val="00036FE1"/>
    <w:rPr>
      <w:b/>
      <w:lang w:val="es-MX"/>
    </w:rPr>
  </w:style>
  <w:style w:type="paragraph" w:customStyle="1" w:styleId="ColorfulList-Accent11">
    <w:name w:val="Colorful List - Accent 11"/>
    <w:basedOn w:val="Normal"/>
    <w:rsid w:val="00036FE1"/>
    <w:pPr>
      <w:spacing w:after="200" w:line="276" w:lineRule="atLeast"/>
      <w:ind w:left="720"/>
    </w:pPr>
    <w:rPr>
      <w:rFonts w:ascii="CaAibri" w:hAnsi="CaAibri" w:cs="CaAibri"/>
      <w:sz w:val="20"/>
      <w:szCs w:val="20"/>
      <w:lang w:eastAsia="es-MX"/>
    </w:rPr>
  </w:style>
  <w:style w:type="paragraph" w:customStyle="1" w:styleId="ColorfulShading-Accen">
    <w:name w:val="Colorful Shading - Accen"/>
    <w:rsid w:val="00036FE1"/>
    <w:rPr>
      <w:rFonts w:ascii="ArAal" w:hAnsi="ArAal" w:cs="ArAal"/>
      <w:sz w:val="18"/>
      <w:lang w:val="es-ES" w:eastAsia="es-MX"/>
    </w:rPr>
  </w:style>
  <w:style w:type="paragraph" w:customStyle="1" w:styleId="HTMLPreformatted1">
    <w:name w:val="HTML Preformatted1"/>
    <w:basedOn w:val="Normal"/>
    <w:rsid w:val="00036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Arier New" w:hAnsi="CoArier New" w:cs="CoArier New"/>
      <w:sz w:val="20"/>
      <w:szCs w:val="20"/>
      <w:lang w:val="en-US" w:eastAsia="es-MX"/>
    </w:rPr>
  </w:style>
  <w:style w:type="paragraph" w:customStyle="1" w:styleId="Date1">
    <w:name w:val="Date1"/>
    <w:basedOn w:val="Normal"/>
    <w:next w:val="Normal"/>
    <w:rsid w:val="00036FE1"/>
    <w:rPr>
      <w:rFonts w:ascii="ArAal" w:hAnsi="ArAal" w:cs="ArAal"/>
      <w:sz w:val="18"/>
      <w:szCs w:val="20"/>
      <w:lang w:eastAsia="es-MX"/>
    </w:rPr>
  </w:style>
  <w:style w:type="paragraph" w:customStyle="1" w:styleId="CM1">
    <w:name w:val="CM1"/>
    <w:basedOn w:val="Normal"/>
    <w:next w:val="Normal"/>
    <w:rsid w:val="00036FE1"/>
    <w:rPr>
      <w:rFonts w:ascii="EUAlbertina" w:hAnsi="EUAlbertina" w:cs="EUAlbertina"/>
      <w:szCs w:val="20"/>
      <w:lang w:val="en-US" w:eastAsia="es-MX"/>
    </w:rPr>
  </w:style>
  <w:style w:type="paragraph" w:customStyle="1" w:styleId="CM3">
    <w:name w:val="CM3"/>
    <w:basedOn w:val="Normal"/>
    <w:next w:val="Normal"/>
    <w:rsid w:val="00036FE1"/>
    <w:rPr>
      <w:rFonts w:ascii="EUAlbertina" w:hAnsi="EUAlbertina" w:cs="EUAlbertina"/>
      <w:szCs w:val="20"/>
      <w:lang w:val="en-US" w:eastAsia="es-MX"/>
    </w:rPr>
  </w:style>
  <w:style w:type="paragraph" w:customStyle="1" w:styleId="Descripcin1">
    <w:name w:val="Descripción1"/>
    <w:basedOn w:val="Normal"/>
    <w:next w:val="Normal"/>
    <w:rsid w:val="00036FE1"/>
    <w:pPr>
      <w:spacing w:after="200"/>
    </w:pPr>
    <w:rPr>
      <w:rFonts w:ascii="CaAibri" w:hAnsi="CaAibri" w:cs="CaAibri"/>
      <w:b/>
      <w:color w:val="C0C0C0"/>
      <w:sz w:val="18"/>
      <w:szCs w:val="20"/>
      <w:lang w:eastAsia="es-MX"/>
    </w:rPr>
  </w:style>
  <w:style w:type="paragraph" w:customStyle="1" w:styleId="Cuadrculaclara-nfas">
    <w:name w:val="Cuadrícula clara - Énfas"/>
    <w:basedOn w:val="Normal"/>
    <w:rsid w:val="00036FE1"/>
    <w:pPr>
      <w:spacing w:after="200" w:line="276" w:lineRule="atLeast"/>
      <w:ind w:left="720"/>
    </w:pPr>
    <w:rPr>
      <w:rFonts w:ascii="CaAibri" w:hAnsi="CaAibri" w:cs="CaAibri"/>
      <w:sz w:val="22"/>
      <w:szCs w:val="20"/>
      <w:lang w:eastAsia="es-MX"/>
    </w:rPr>
  </w:style>
  <w:style w:type="paragraph" w:customStyle="1" w:styleId="AnexoNivel1">
    <w:name w:val="Anexo Nivel 1"/>
    <w:basedOn w:val="Normal"/>
    <w:rsid w:val="00036FE1"/>
    <w:pPr>
      <w:tabs>
        <w:tab w:val="left" w:pos="360"/>
      </w:tabs>
      <w:jc w:val="both"/>
    </w:pPr>
    <w:rPr>
      <w:rFonts w:ascii="ArAal" w:hAnsi="ArAal" w:cs="ArAal"/>
      <w:szCs w:val="20"/>
      <w:lang w:val="es-ES" w:eastAsia="es-MX"/>
    </w:rPr>
  </w:style>
  <w:style w:type="paragraph" w:customStyle="1" w:styleId="Listadevietas3">
    <w:name w:val="Lista de viñetas 3"/>
    <w:basedOn w:val="Normal"/>
    <w:rsid w:val="00036FE1"/>
    <w:pPr>
      <w:tabs>
        <w:tab w:val="left" w:pos="360"/>
      </w:tabs>
      <w:spacing w:after="200" w:line="276" w:lineRule="atLeast"/>
      <w:ind w:left="360" w:hanging="360"/>
    </w:pPr>
    <w:rPr>
      <w:rFonts w:ascii="CaAibri" w:hAnsi="CaAibri" w:cs="CaAibri"/>
      <w:sz w:val="22"/>
      <w:szCs w:val="20"/>
      <w:lang w:eastAsia="es-MX"/>
    </w:rPr>
  </w:style>
  <w:style w:type="paragraph" w:customStyle="1" w:styleId="Listaclara-nfasis31">
    <w:name w:val="Lista clara - Énfasis 31"/>
    <w:rsid w:val="00036FE1"/>
    <w:rPr>
      <w:rFonts w:ascii="CaAibri" w:hAnsi="CaAibri" w:cs="CaAibri"/>
      <w:sz w:val="22"/>
      <w:lang w:val="es-MX" w:eastAsia="es-MX"/>
    </w:rPr>
  </w:style>
  <w:style w:type="paragraph" w:customStyle="1" w:styleId="PlainText1">
    <w:name w:val="Plain Text1"/>
    <w:basedOn w:val="Normal"/>
    <w:rsid w:val="00036FE1"/>
    <w:pPr>
      <w:jc w:val="both"/>
    </w:pPr>
    <w:rPr>
      <w:rFonts w:ascii="CoArier New" w:hAnsi="CoArier New" w:cs="CoArier New"/>
      <w:sz w:val="20"/>
      <w:szCs w:val="20"/>
      <w:lang w:val="es-ES" w:eastAsia="es-MX"/>
    </w:rPr>
  </w:style>
  <w:style w:type="paragraph" w:customStyle="1" w:styleId="Cuadrculamedia2-nf">
    <w:name w:val="Cuadrícula media 2 - Énf"/>
    <w:rsid w:val="00036FE1"/>
    <w:rPr>
      <w:rFonts w:ascii="CaAibri" w:hAnsi="CaAibri" w:cs="CaAibri"/>
      <w:sz w:val="22"/>
      <w:lang w:val="es-MX" w:eastAsia="es-MX"/>
    </w:rPr>
  </w:style>
  <w:style w:type="paragraph" w:customStyle="1" w:styleId="textodenotaalfinal">
    <w:name w:val="texto de nota al final"/>
    <w:basedOn w:val="Normal"/>
    <w:rsid w:val="00036FE1"/>
    <w:rPr>
      <w:rFonts w:ascii="CaAibri" w:hAnsi="CaAibri" w:cs="CaAibri"/>
      <w:sz w:val="20"/>
      <w:szCs w:val="20"/>
      <w:lang w:val="en-US" w:eastAsia="es-MX"/>
    </w:rPr>
  </w:style>
  <w:style w:type="paragraph" w:styleId="Subtitle">
    <w:name w:val="Subtitle"/>
    <w:basedOn w:val="Normal"/>
    <w:next w:val="Normal"/>
    <w:link w:val="SubtitleChar"/>
    <w:qFormat/>
    <w:rsid w:val="00036FE1"/>
    <w:pPr>
      <w:spacing w:after="60" w:line="276" w:lineRule="atLeast"/>
      <w:jc w:val="center"/>
    </w:pPr>
    <w:rPr>
      <w:rFonts w:ascii="CaAbria" w:hAnsi="CaAbria" w:cs="CaAbria"/>
      <w:szCs w:val="20"/>
      <w:lang w:val="en-US" w:eastAsia="es-MX"/>
    </w:rPr>
  </w:style>
  <w:style w:type="character" w:customStyle="1" w:styleId="SubtitleChar">
    <w:name w:val="Subtitle Char"/>
    <w:link w:val="Subtitle"/>
    <w:rsid w:val="00036FE1"/>
    <w:rPr>
      <w:rFonts w:ascii="CaAbria" w:hAnsi="CaAbria" w:cs="CaAbria"/>
      <w:sz w:val="24"/>
      <w:lang w:val="en-US"/>
    </w:rPr>
  </w:style>
  <w:style w:type="paragraph" w:customStyle="1" w:styleId="anotacion0">
    <w:name w:val="anotacion"/>
    <w:basedOn w:val="Normal"/>
    <w:rsid w:val="00036FE1"/>
    <w:pPr>
      <w:spacing w:before="101" w:after="101" w:line="216" w:lineRule="atLeast"/>
      <w:jc w:val="center"/>
    </w:pPr>
    <w:rPr>
      <w:rFonts w:ascii="TiAes New Roman" w:hAnsi="TiAes New Roman" w:cs="TiAes New Roman"/>
      <w:b/>
      <w:sz w:val="18"/>
      <w:szCs w:val="20"/>
      <w:lang w:eastAsia="es-MX"/>
    </w:rPr>
  </w:style>
  <w:style w:type="paragraph" w:customStyle="1" w:styleId="Cuadrculamedia1-nf">
    <w:name w:val="Cuadrícula media 1 - Énf"/>
    <w:basedOn w:val="Normal"/>
    <w:rsid w:val="00036FE1"/>
    <w:pPr>
      <w:spacing w:after="200" w:line="276" w:lineRule="atLeast"/>
      <w:ind w:left="708"/>
    </w:pPr>
    <w:rPr>
      <w:rFonts w:ascii="CaAibri" w:hAnsi="CaAibri" w:cs="CaAibri"/>
      <w:sz w:val="22"/>
      <w:szCs w:val="20"/>
      <w:lang w:eastAsia="es-MX"/>
    </w:rPr>
  </w:style>
  <w:style w:type="paragraph" w:customStyle="1" w:styleId="Listavistosa-nfasis">
    <w:name w:val="Lista vistosa - Énfasis"/>
    <w:basedOn w:val="Normal"/>
    <w:rsid w:val="00036FE1"/>
    <w:pPr>
      <w:ind w:left="708"/>
    </w:pPr>
    <w:rPr>
      <w:rFonts w:ascii="TiAes New Roman" w:hAnsi="TiAes New Roman" w:cs="TiAes New Roman"/>
      <w:szCs w:val="20"/>
      <w:lang w:val="es-ES" w:eastAsia="es-MX"/>
    </w:rPr>
  </w:style>
  <w:style w:type="paragraph" w:styleId="TOC3">
    <w:name w:val="toc 3"/>
    <w:basedOn w:val="Normal"/>
    <w:next w:val="Normal"/>
    <w:rsid w:val="004E1C56"/>
    <w:pPr>
      <w:spacing w:after="100" w:line="259" w:lineRule="atLeast"/>
      <w:ind w:left="440"/>
    </w:pPr>
    <w:rPr>
      <w:rFonts w:ascii="CaAibri" w:hAnsi="CaAibri" w:cs="CaAibri"/>
      <w:sz w:val="22"/>
      <w:szCs w:val="20"/>
      <w:lang w:eastAsia="es-MX"/>
    </w:rPr>
  </w:style>
  <w:style w:type="paragraph" w:styleId="TOC2">
    <w:name w:val="toc 2"/>
    <w:basedOn w:val="Normal"/>
    <w:next w:val="Normal"/>
    <w:rsid w:val="004E1C56"/>
    <w:pPr>
      <w:spacing w:after="100"/>
      <w:ind w:left="240"/>
    </w:pPr>
    <w:rPr>
      <w:rFonts w:ascii="TiAes New Roman" w:hAnsi="TiAes New Roman" w:cs="TiAes New Roman"/>
      <w:szCs w:val="20"/>
      <w:lang w:val="es-ES" w:eastAsia="es-MX"/>
    </w:rPr>
  </w:style>
  <w:style w:type="paragraph" w:styleId="TOC1">
    <w:name w:val="toc 1"/>
    <w:basedOn w:val="Normal"/>
    <w:next w:val="Normal"/>
    <w:rsid w:val="004E1C56"/>
    <w:pPr>
      <w:tabs>
        <w:tab w:val="left" w:pos="1134"/>
        <w:tab w:val="right" w:leader="dot" w:pos="9394"/>
      </w:tabs>
      <w:spacing w:before="120" w:after="120" w:line="288" w:lineRule="atLeast"/>
      <w:ind w:left="426" w:hanging="426"/>
      <w:jc w:val="both"/>
    </w:pPr>
    <w:rPr>
      <w:rFonts w:ascii="ArAal" w:hAnsi="ArAal" w:cs="ArAal"/>
      <w:b/>
      <w:color w:val="000000"/>
      <w:sz w:val="18"/>
      <w:szCs w:val="20"/>
      <w:lang w:val="es-ES" w:eastAsia="es-MX"/>
    </w:rPr>
  </w:style>
  <w:style w:type="paragraph" w:customStyle="1" w:styleId="Listavistosa-nfasis0">
    <w:name w:val="Lista vistosa - Énfasis"/>
    <w:basedOn w:val="Normal"/>
    <w:rsid w:val="004E1C56"/>
    <w:pPr>
      <w:ind w:left="720"/>
    </w:pPr>
    <w:rPr>
      <w:rFonts w:ascii="TiAes New Roman" w:hAnsi="TiAes New Roman" w:cs="TiAes New Roman"/>
      <w:szCs w:val="20"/>
      <w:lang w:val="es-ES" w:eastAsia="es-MX"/>
    </w:rPr>
  </w:style>
  <w:style w:type="paragraph" w:customStyle="1" w:styleId="Ttulo1">
    <w:name w:val="Título1"/>
    <w:basedOn w:val="Normal"/>
    <w:next w:val="Normal"/>
    <w:rsid w:val="004E1C56"/>
    <w:pPr>
      <w:pBdr>
        <w:bottom w:val="single" w:sz="6" w:space="4" w:color="C0C0C0"/>
      </w:pBdr>
      <w:spacing w:after="300"/>
    </w:pPr>
    <w:rPr>
      <w:rFonts w:ascii="CaAibri" w:hAnsi="CaAibri" w:cs="CaAibri"/>
      <w:color w:val="000080"/>
      <w:spacing w:val="5"/>
      <w:sz w:val="52"/>
      <w:szCs w:val="20"/>
      <w:lang w:val="es-ES" w:eastAsia="es-MX"/>
    </w:rPr>
  </w:style>
  <w:style w:type="paragraph" w:customStyle="1" w:styleId="Sangra3detindepend">
    <w:name w:val="Sangría 3 de t. independ"/>
    <w:basedOn w:val="Normal"/>
    <w:rsid w:val="004E1C56"/>
    <w:pPr>
      <w:ind w:left="1571" w:hanging="851"/>
      <w:jc w:val="both"/>
    </w:pPr>
    <w:rPr>
      <w:rFonts w:ascii="CoAic Sans MS" w:hAnsi="CoAic Sans MS" w:cs="CoAic Sans MS"/>
      <w:sz w:val="20"/>
      <w:szCs w:val="20"/>
      <w:lang w:val="es-ES_tradnl" w:eastAsia="es-MX"/>
    </w:rPr>
  </w:style>
  <w:style w:type="paragraph" w:customStyle="1" w:styleId="Sangra2detindepend">
    <w:name w:val="Sangría 2 de t. independ"/>
    <w:basedOn w:val="Normal"/>
    <w:rsid w:val="004E1C56"/>
    <w:pPr>
      <w:spacing w:after="120" w:line="480" w:lineRule="atLeast"/>
      <w:ind w:left="283"/>
    </w:pPr>
    <w:rPr>
      <w:rFonts w:ascii="TiAes New Roman" w:hAnsi="TiAes New Roman" w:cs="TiAes New Roman"/>
      <w:sz w:val="20"/>
      <w:szCs w:val="20"/>
      <w:lang w:val="es-ES" w:eastAsia="es-MX"/>
    </w:rPr>
  </w:style>
  <w:style w:type="paragraph" w:customStyle="1" w:styleId="Textoindependiente33">
    <w:name w:val="Texto independiente 33"/>
    <w:basedOn w:val="Normal"/>
    <w:rsid w:val="004E1C56"/>
    <w:pPr>
      <w:spacing w:after="240" w:line="320" w:lineRule="atLeast"/>
      <w:jc w:val="both"/>
    </w:pPr>
    <w:rPr>
      <w:rFonts w:ascii="ArAal" w:hAnsi="ArAal" w:cs="ArAal"/>
      <w:sz w:val="22"/>
      <w:szCs w:val="20"/>
      <w:lang w:val="es-ES_tradnl" w:eastAsia="es-MX"/>
    </w:rPr>
  </w:style>
  <w:style w:type="paragraph" w:customStyle="1" w:styleId="HTMLconformatoprevio1">
    <w:name w:val="HTML con formato previo1"/>
    <w:basedOn w:val="Normal"/>
    <w:rsid w:val="004E1C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Arier New" w:hAnsi="CoArier New" w:cs="CoArier New"/>
      <w:sz w:val="20"/>
      <w:szCs w:val="20"/>
      <w:lang w:eastAsia="es-MX"/>
    </w:rPr>
  </w:style>
  <w:style w:type="paragraph" w:customStyle="1" w:styleId="TableParagraph">
    <w:name w:val="Table Paragraph"/>
    <w:basedOn w:val="Normal"/>
    <w:rsid w:val="004E1C56"/>
    <w:rPr>
      <w:rFonts w:ascii="CaAibri" w:hAnsi="CaAibri" w:cs="CaAibri"/>
      <w:sz w:val="22"/>
      <w:szCs w:val="20"/>
      <w:lang w:val="en-US" w:eastAsia="es-MX"/>
    </w:rPr>
  </w:style>
  <w:style w:type="paragraph" w:customStyle="1" w:styleId="TtulodeTDC">
    <w:name w:val="Título de TDC"/>
    <w:basedOn w:val="Heading1"/>
    <w:next w:val="Normal"/>
    <w:qFormat/>
    <w:rsid w:val="004E1C56"/>
    <w:pPr>
      <w:keepNext/>
      <w:keepLines/>
      <w:pBdr>
        <w:bottom w:val="none" w:sz="0" w:space="0" w:color="auto"/>
        <w:between w:val="none" w:sz="0" w:space="0" w:color="auto"/>
      </w:pBdr>
      <w:spacing w:before="240" w:line="259" w:lineRule="atLeast"/>
      <w:jc w:val="left"/>
    </w:pPr>
    <w:rPr>
      <w:rFonts w:ascii="CaAbria" w:hAnsi="CaAbria" w:cs="CaAbria"/>
      <w:b w:val="0"/>
      <w:color w:val="00FFFF"/>
      <w:sz w:val="32"/>
      <w:szCs w:val="20"/>
      <w:lang w:eastAsia="es-MX"/>
    </w:rPr>
  </w:style>
  <w:style w:type="paragraph" w:customStyle="1" w:styleId="Cuerpo">
    <w:name w:val="Cuerpo"/>
    <w:rsid w:val="004E1C56"/>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pPr>
    <w:rPr>
      <w:rFonts w:ascii="HeAvetica" w:hAnsi="HeAvetica" w:cs="HeAvetica"/>
      <w:color w:val="000000"/>
      <w:sz w:val="22"/>
      <w:lang w:val="es-ES_tradnl" w:eastAsia="es-MX"/>
    </w:rPr>
  </w:style>
  <w:style w:type="paragraph" w:customStyle="1" w:styleId="Poromisin">
    <w:name w:val="Por omisión"/>
    <w:rsid w:val="004E1C56"/>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pPr>
    <w:rPr>
      <w:rFonts w:ascii="HeAvetica" w:hAnsi="HeAvetica" w:cs="HeAvetica"/>
      <w:color w:val="000000"/>
      <w:sz w:val="22"/>
      <w:lang w:val="es-ES_tradnl" w:eastAsia="es-MX"/>
    </w:rPr>
  </w:style>
  <w:style w:type="paragraph" w:styleId="List2">
    <w:name w:val="List 2"/>
    <w:basedOn w:val="Normal"/>
    <w:rsid w:val="004E1C56"/>
    <w:pPr>
      <w:ind w:left="283" w:hanging="283"/>
    </w:pPr>
    <w:rPr>
      <w:rFonts w:ascii="TiAes New Roman" w:hAnsi="TiAes New Roman" w:cs="TiAes New Roman"/>
      <w:szCs w:val="20"/>
      <w:lang w:val="es-ES" w:eastAsia="es-MX"/>
    </w:rPr>
  </w:style>
  <w:style w:type="paragraph" w:styleId="List4">
    <w:name w:val="List 4"/>
    <w:basedOn w:val="Normal"/>
    <w:rsid w:val="004E1C56"/>
    <w:pPr>
      <w:ind w:left="849" w:hanging="283"/>
    </w:pPr>
    <w:rPr>
      <w:rFonts w:ascii="TiAes New Roman" w:hAnsi="TiAes New Roman" w:cs="TiAes New Roman"/>
      <w:szCs w:val="20"/>
      <w:lang w:val="es-ES" w:eastAsia="es-MX"/>
    </w:rPr>
  </w:style>
  <w:style w:type="paragraph" w:customStyle="1" w:styleId="Listacontinua3">
    <w:name w:val="Lista continua 3"/>
    <w:basedOn w:val="Normal"/>
    <w:rsid w:val="004E1C56"/>
    <w:pPr>
      <w:spacing w:after="120"/>
      <w:ind w:left="283"/>
    </w:pPr>
    <w:rPr>
      <w:rFonts w:ascii="TiAes New Roman" w:hAnsi="TiAes New Roman" w:cs="TiAes New Roman"/>
      <w:szCs w:val="20"/>
      <w:lang w:val="es-ES" w:eastAsia="es-MX"/>
    </w:rPr>
  </w:style>
  <w:style w:type="paragraph" w:customStyle="1" w:styleId="BodyText21">
    <w:name w:val="Body Text 21"/>
    <w:basedOn w:val="Normal"/>
    <w:rsid w:val="004E1C56"/>
    <w:pPr>
      <w:spacing w:after="120"/>
      <w:ind w:left="283"/>
    </w:pPr>
    <w:rPr>
      <w:rFonts w:ascii="TiAes New Roman" w:hAnsi="TiAes New Roman" w:cs="TiAes New Roman"/>
      <w:szCs w:val="20"/>
      <w:lang w:val="es-ES" w:eastAsia="es-MX"/>
    </w:rPr>
  </w:style>
  <w:style w:type="paragraph" w:customStyle="1" w:styleId="BodyTextFirstIndent1">
    <w:name w:val="Body Text First Indent1"/>
    <w:basedOn w:val="Textonormal"/>
    <w:rsid w:val="004E1C56"/>
    <w:pPr>
      <w:ind w:firstLine="360"/>
      <w:jc w:val="left"/>
    </w:pPr>
    <w:rPr>
      <w:lang w:val="es-ES"/>
    </w:rPr>
  </w:style>
  <w:style w:type="paragraph" w:customStyle="1" w:styleId="BodyTextFirstIndent21">
    <w:name w:val="Body Text First Indent 21"/>
    <w:basedOn w:val="BodyText21"/>
    <w:rsid w:val="004E1C56"/>
    <w:pPr>
      <w:spacing w:after="0"/>
      <w:ind w:left="360" w:firstLine="360"/>
    </w:pPr>
  </w:style>
  <w:style w:type="paragraph" w:customStyle="1" w:styleId="NoteHeading1">
    <w:name w:val="Note Heading1"/>
    <w:basedOn w:val="Normal"/>
    <w:next w:val="Normal"/>
    <w:rsid w:val="004E1C56"/>
    <w:rPr>
      <w:rFonts w:ascii="TiAes New Roman" w:hAnsi="TiAes New Roman" w:cs="TiAes New Roman"/>
      <w:szCs w:val="20"/>
      <w:lang w:val="es-ES" w:eastAsia="es-MX"/>
    </w:rPr>
  </w:style>
  <w:style w:type="paragraph" w:customStyle="1" w:styleId="Estilodetabla2">
    <w:name w:val="Estilo de tabla 2"/>
    <w:rsid w:val="004E1C56"/>
    <w:pPr>
      <w:pBdr>
        <w:top w:val="single" w:sz="30" w:space="31" w:color="FFFFFF" w:shadow="1"/>
        <w:left w:val="single" w:sz="30" w:space="31" w:color="FFFFFF" w:shadow="1"/>
        <w:bottom w:val="single" w:sz="30" w:space="31" w:color="FFFFFF" w:shadow="1"/>
        <w:right w:val="single" w:sz="30" w:space="31" w:color="FFFFFF" w:shadow="1"/>
        <w:between w:val="single" w:sz="6" w:space="0" w:color="auto"/>
      </w:pBdr>
    </w:pPr>
    <w:rPr>
      <w:rFonts w:ascii="HeAvetica Neue" w:hAnsi="HeAvetica Neue" w:cs="HeAvetica Neue"/>
      <w:color w:val="000000"/>
      <w:lang w:val="es-MX" w:eastAsia="es-MX"/>
    </w:rPr>
  </w:style>
  <w:style w:type="paragraph" w:styleId="BalloonText">
    <w:name w:val="Balloon Text"/>
    <w:basedOn w:val="Normal"/>
    <w:link w:val="BalloonTextChar"/>
    <w:rsid w:val="004E1C56"/>
    <w:rPr>
      <w:rFonts w:ascii="Segoe UI" w:hAnsi="Segoe UI" w:cs="Segoe UI"/>
      <w:sz w:val="18"/>
      <w:szCs w:val="18"/>
    </w:rPr>
  </w:style>
  <w:style w:type="character" w:customStyle="1" w:styleId="BalloonTextChar">
    <w:name w:val="Balloon Text Char"/>
    <w:link w:val="BalloonText"/>
    <w:rsid w:val="004E1C56"/>
    <w:rPr>
      <w:rFonts w:ascii="Segoe UI" w:hAnsi="Segoe UI" w:cs="Segoe UI"/>
      <w:sz w:val="18"/>
      <w:szCs w:val="18"/>
      <w:lang w:eastAsia="es-ES"/>
    </w:rPr>
  </w:style>
  <w:style w:type="table" w:styleId="TableGrid">
    <w:name w:val="Table Grid"/>
    <w:basedOn w:val="TableNormal"/>
    <w:rsid w:val="00BA3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32D99"/>
    <w:rPr>
      <w:rFonts w:cs="CG Palacio (WN)"/>
      <w:b/>
      <w:sz w:val="18"/>
      <w:szCs w:val="24"/>
      <w:lang w:val="es-MX" w:eastAsia="es-ES"/>
    </w:rPr>
  </w:style>
  <w:style w:type="character" w:customStyle="1" w:styleId="Heading2Char">
    <w:name w:val="Heading 2 Char"/>
    <w:basedOn w:val="DefaultParagraphFont"/>
    <w:link w:val="Heading2"/>
    <w:rsid w:val="00B32D99"/>
    <w:rPr>
      <w:rFonts w:ascii="Arial" w:hAnsi="Arial" w:cs="Helv"/>
      <w:sz w:val="18"/>
      <w:lang w:val="es-ES_tradnl" w:eastAsia="es-MX"/>
    </w:rPr>
  </w:style>
  <w:style w:type="character" w:customStyle="1" w:styleId="HeaderChar">
    <w:name w:val="Header Char"/>
    <w:basedOn w:val="DefaultParagraphFont"/>
    <w:link w:val="Header"/>
    <w:rsid w:val="00B32D99"/>
    <w:rPr>
      <w:sz w:val="24"/>
      <w:szCs w:val="24"/>
      <w:lang w:val="es-MX" w:eastAsia="es-ES"/>
    </w:rPr>
  </w:style>
  <w:style w:type="character" w:customStyle="1" w:styleId="FooterChar">
    <w:name w:val="Footer Char"/>
    <w:basedOn w:val="DefaultParagraphFont"/>
    <w:link w:val="Footer"/>
    <w:rsid w:val="00B32D99"/>
    <w:rPr>
      <w:sz w:val="24"/>
      <w:szCs w:val="24"/>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1738">
      <w:bodyDiv w:val="1"/>
      <w:marLeft w:val="0"/>
      <w:marRight w:val="0"/>
      <w:marTop w:val="0"/>
      <w:marBottom w:val="0"/>
      <w:divBdr>
        <w:top w:val="none" w:sz="0" w:space="0" w:color="auto"/>
        <w:left w:val="none" w:sz="0" w:space="0" w:color="auto"/>
        <w:bottom w:val="none" w:sz="0" w:space="0" w:color="auto"/>
        <w:right w:val="none" w:sz="0" w:space="0" w:color="auto"/>
      </w:divBdr>
    </w:div>
    <w:div w:id="17388924">
      <w:bodyDiv w:val="1"/>
      <w:marLeft w:val="0"/>
      <w:marRight w:val="0"/>
      <w:marTop w:val="0"/>
      <w:marBottom w:val="0"/>
      <w:divBdr>
        <w:top w:val="none" w:sz="0" w:space="0" w:color="auto"/>
        <w:left w:val="none" w:sz="0" w:space="0" w:color="auto"/>
        <w:bottom w:val="none" w:sz="0" w:space="0" w:color="auto"/>
        <w:right w:val="none" w:sz="0" w:space="0" w:color="auto"/>
      </w:divBdr>
      <w:divsChild>
        <w:div w:id="130489302">
          <w:marLeft w:val="0"/>
          <w:marRight w:val="0"/>
          <w:marTop w:val="0"/>
          <w:marBottom w:val="0"/>
          <w:divBdr>
            <w:top w:val="none" w:sz="0" w:space="0" w:color="auto"/>
            <w:left w:val="none" w:sz="0" w:space="0" w:color="auto"/>
            <w:bottom w:val="none" w:sz="0" w:space="0" w:color="auto"/>
            <w:right w:val="none" w:sz="0" w:space="0" w:color="auto"/>
          </w:divBdr>
        </w:div>
      </w:divsChild>
    </w:div>
    <w:div w:id="66272857">
      <w:bodyDiv w:val="1"/>
      <w:marLeft w:val="0"/>
      <w:marRight w:val="0"/>
      <w:marTop w:val="0"/>
      <w:marBottom w:val="0"/>
      <w:divBdr>
        <w:top w:val="none" w:sz="0" w:space="0" w:color="auto"/>
        <w:left w:val="none" w:sz="0" w:space="0" w:color="auto"/>
        <w:bottom w:val="none" w:sz="0" w:space="0" w:color="auto"/>
        <w:right w:val="none" w:sz="0" w:space="0" w:color="auto"/>
      </w:divBdr>
      <w:divsChild>
        <w:div w:id="1164590855">
          <w:marLeft w:val="0"/>
          <w:marRight w:val="0"/>
          <w:marTop w:val="0"/>
          <w:marBottom w:val="0"/>
          <w:divBdr>
            <w:top w:val="none" w:sz="0" w:space="0" w:color="auto"/>
            <w:left w:val="none" w:sz="0" w:space="0" w:color="auto"/>
            <w:bottom w:val="none" w:sz="0" w:space="0" w:color="auto"/>
            <w:right w:val="none" w:sz="0" w:space="0" w:color="auto"/>
          </w:divBdr>
        </w:div>
      </w:divsChild>
    </w:div>
    <w:div w:id="84765887">
      <w:bodyDiv w:val="1"/>
      <w:marLeft w:val="0"/>
      <w:marRight w:val="0"/>
      <w:marTop w:val="0"/>
      <w:marBottom w:val="0"/>
      <w:divBdr>
        <w:top w:val="none" w:sz="0" w:space="0" w:color="auto"/>
        <w:left w:val="none" w:sz="0" w:space="0" w:color="auto"/>
        <w:bottom w:val="none" w:sz="0" w:space="0" w:color="auto"/>
        <w:right w:val="none" w:sz="0" w:space="0" w:color="auto"/>
      </w:divBdr>
    </w:div>
    <w:div w:id="201597157">
      <w:bodyDiv w:val="1"/>
      <w:marLeft w:val="0"/>
      <w:marRight w:val="0"/>
      <w:marTop w:val="0"/>
      <w:marBottom w:val="0"/>
      <w:divBdr>
        <w:top w:val="none" w:sz="0" w:space="0" w:color="auto"/>
        <w:left w:val="none" w:sz="0" w:space="0" w:color="auto"/>
        <w:bottom w:val="none" w:sz="0" w:space="0" w:color="auto"/>
        <w:right w:val="none" w:sz="0" w:space="0" w:color="auto"/>
      </w:divBdr>
    </w:div>
    <w:div w:id="345986729">
      <w:bodyDiv w:val="1"/>
      <w:marLeft w:val="0"/>
      <w:marRight w:val="0"/>
      <w:marTop w:val="0"/>
      <w:marBottom w:val="0"/>
      <w:divBdr>
        <w:top w:val="none" w:sz="0" w:space="0" w:color="auto"/>
        <w:left w:val="none" w:sz="0" w:space="0" w:color="auto"/>
        <w:bottom w:val="none" w:sz="0" w:space="0" w:color="auto"/>
        <w:right w:val="none" w:sz="0" w:space="0" w:color="auto"/>
      </w:divBdr>
      <w:divsChild>
        <w:div w:id="2050371334">
          <w:marLeft w:val="0"/>
          <w:marRight w:val="0"/>
          <w:marTop w:val="0"/>
          <w:marBottom w:val="0"/>
          <w:divBdr>
            <w:top w:val="none" w:sz="0" w:space="0" w:color="auto"/>
            <w:left w:val="none" w:sz="0" w:space="0" w:color="auto"/>
            <w:bottom w:val="none" w:sz="0" w:space="0" w:color="auto"/>
            <w:right w:val="none" w:sz="0" w:space="0" w:color="auto"/>
          </w:divBdr>
        </w:div>
      </w:divsChild>
    </w:div>
    <w:div w:id="393553082">
      <w:bodyDiv w:val="1"/>
      <w:marLeft w:val="0"/>
      <w:marRight w:val="0"/>
      <w:marTop w:val="0"/>
      <w:marBottom w:val="0"/>
      <w:divBdr>
        <w:top w:val="none" w:sz="0" w:space="0" w:color="auto"/>
        <w:left w:val="none" w:sz="0" w:space="0" w:color="auto"/>
        <w:bottom w:val="none" w:sz="0" w:space="0" w:color="auto"/>
        <w:right w:val="none" w:sz="0" w:space="0" w:color="auto"/>
      </w:divBdr>
      <w:divsChild>
        <w:div w:id="1117724381">
          <w:marLeft w:val="0"/>
          <w:marRight w:val="0"/>
          <w:marTop w:val="0"/>
          <w:marBottom w:val="0"/>
          <w:divBdr>
            <w:top w:val="none" w:sz="0" w:space="0" w:color="auto"/>
            <w:left w:val="none" w:sz="0" w:space="0" w:color="auto"/>
            <w:bottom w:val="none" w:sz="0" w:space="0" w:color="auto"/>
            <w:right w:val="none" w:sz="0" w:space="0" w:color="auto"/>
          </w:divBdr>
        </w:div>
      </w:divsChild>
    </w:div>
    <w:div w:id="395592584">
      <w:bodyDiv w:val="1"/>
      <w:marLeft w:val="0"/>
      <w:marRight w:val="0"/>
      <w:marTop w:val="0"/>
      <w:marBottom w:val="0"/>
      <w:divBdr>
        <w:top w:val="none" w:sz="0" w:space="0" w:color="auto"/>
        <w:left w:val="none" w:sz="0" w:space="0" w:color="auto"/>
        <w:bottom w:val="none" w:sz="0" w:space="0" w:color="auto"/>
        <w:right w:val="none" w:sz="0" w:space="0" w:color="auto"/>
      </w:divBdr>
    </w:div>
    <w:div w:id="594948326">
      <w:bodyDiv w:val="1"/>
      <w:marLeft w:val="0"/>
      <w:marRight w:val="0"/>
      <w:marTop w:val="0"/>
      <w:marBottom w:val="0"/>
      <w:divBdr>
        <w:top w:val="none" w:sz="0" w:space="0" w:color="auto"/>
        <w:left w:val="none" w:sz="0" w:space="0" w:color="auto"/>
        <w:bottom w:val="none" w:sz="0" w:space="0" w:color="auto"/>
        <w:right w:val="none" w:sz="0" w:space="0" w:color="auto"/>
      </w:divBdr>
      <w:divsChild>
        <w:div w:id="192036239">
          <w:marLeft w:val="0"/>
          <w:marRight w:val="0"/>
          <w:marTop w:val="0"/>
          <w:marBottom w:val="0"/>
          <w:divBdr>
            <w:top w:val="none" w:sz="0" w:space="0" w:color="auto"/>
            <w:left w:val="none" w:sz="0" w:space="0" w:color="auto"/>
            <w:bottom w:val="none" w:sz="0" w:space="0" w:color="auto"/>
            <w:right w:val="none" w:sz="0" w:space="0" w:color="auto"/>
          </w:divBdr>
        </w:div>
      </w:divsChild>
    </w:div>
    <w:div w:id="618729105">
      <w:bodyDiv w:val="1"/>
      <w:marLeft w:val="0"/>
      <w:marRight w:val="0"/>
      <w:marTop w:val="0"/>
      <w:marBottom w:val="0"/>
      <w:divBdr>
        <w:top w:val="none" w:sz="0" w:space="0" w:color="auto"/>
        <w:left w:val="none" w:sz="0" w:space="0" w:color="auto"/>
        <w:bottom w:val="none" w:sz="0" w:space="0" w:color="auto"/>
        <w:right w:val="none" w:sz="0" w:space="0" w:color="auto"/>
      </w:divBdr>
    </w:div>
    <w:div w:id="684405427">
      <w:bodyDiv w:val="1"/>
      <w:marLeft w:val="0"/>
      <w:marRight w:val="0"/>
      <w:marTop w:val="0"/>
      <w:marBottom w:val="0"/>
      <w:divBdr>
        <w:top w:val="none" w:sz="0" w:space="0" w:color="auto"/>
        <w:left w:val="none" w:sz="0" w:space="0" w:color="auto"/>
        <w:bottom w:val="none" w:sz="0" w:space="0" w:color="auto"/>
        <w:right w:val="none" w:sz="0" w:space="0" w:color="auto"/>
      </w:divBdr>
      <w:divsChild>
        <w:div w:id="794445400">
          <w:marLeft w:val="0"/>
          <w:marRight w:val="0"/>
          <w:marTop w:val="0"/>
          <w:marBottom w:val="0"/>
          <w:divBdr>
            <w:top w:val="none" w:sz="0" w:space="0" w:color="auto"/>
            <w:left w:val="none" w:sz="0" w:space="0" w:color="auto"/>
            <w:bottom w:val="none" w:sz="0" w:space="0" w:color="auto"/>
            <w:right w:val="none" w:sz="0" w:space="0" w:color="auto"/>
          </w:divBdr>
        </w:div>
      </w:divsChild>
    </w:div>
    <w:div w:id="687872475">
      <w:bodyDiv w:val="1"/>
      <w:marLeft w:val="0"/>
      <w:marRight w:val="0"/>
      <w:marTop w:val="0"/>
      <w:marBottom w:val="0"/>
      <w:divBdr>
        <w:top w:val="none" w:sz="0" w:space="0" w:color="auto"/>
        <w:left w:val="none" w:sz="0" w:space="0" w:color="auto"/>
        <w:bottom w:val="none" w:sz="0" w:space="0" w:color="auto"/>
        <w:right w:val="none" w:sz="0" w:space="0" w:color="auto"/>
      </w:divBdr>
      <w:divsChild>
        <w:div w:id="1714384154">
          <w:marLeft w:val="0"/>
          <w:marRight w:val="0"/>
          <w:marTop w:val="0"/>
          <w:marBottom w:val="0"/>
          <w:divBdr>
            <w:top w:val="none" w:sz="0" w:space="0" w:color="auto"/>
            <w:left w:val="none" w:sz="0" w:space="0" w:color="auto"/>
            <w:bottom w:val="none" w:sz="0" w:space="0" w:color="auto"/>
            <w:right w:val="none" w:sz="0" w:space="0" w:color="auto"/>
          </w:divBdr>
        </w:div>
      </w:divsChild>
    </w:div>
    <w:div w:id="761411355">
      <w:bodyDiv w:val="1"/>
      <w:marLeft w:val="0"/>
      <w:marRight w:val="0"/>
      <w:marTop w:val="0"/>
      <w:marBottom w:val="0"/>
      <w:divBdr>
        <w:top w:val="none" w:sz="0" w:space="0" w:color="auto"/>
        <w:left w:val="none" w:sz="0" w:space="0" w:color="auto"/>
        <w:bottom w:val="none" w:sz="0" w:space="0" w:color="auto"/>
        <w:right w:val="none" w:sz="0" w:space="0" w:color="auto"/>
      </w:divBdr>
    </w:div>
    <w:div w:id="951863170">
      <w:bodyDiv w:val="1"/>
      <w:marLeft w:val="0"/>
      <w:marRight w:val="0"/>
      <w:marTop w:val="0"/>
      <w:marBottom w:val="0"/>
      <w:divBdr>
        <w:top w:val="none" w:sz="0" w:space="0" w:color="auto"/>
        <w:left w:val="none" w:sz="0" w:space="0" w:color="auto"/>
        <w:bottom w:val="none" w:sz="0" w:space="0" w:color="auto"/>
        <w:right w:val="none" w:sz="0" w:space="0" w:color="auto"/>
      </w:divBdr>
      <w:divsChild>
        <w:div w:id="260184054">
          <w:marLeft w:val="0"/>
          <w:marRight w:val="0"/>
          <w:marTop w:val="0"/>
          <w:marBottom w:val="0"/>
          <w:divBdr>
            <w:top w:val="none" w:sz="0" w:space="0" w:color="auto"/>
            <w:left w:val="none" w:sz="0" w:space="0" w:color="auto"/>
            <w:bottom w:val="none" w:sz="0" w:space="0" w:color="auto"/>
            <w:right w:val="none" w:sz="0" w:space="0" w:color="auto"/>
          </w:divBdr>
        </w:div>
      </w:divsChild>
    </w:div>
    <w:div w:id="1097409489">
      <w:bodyDiv w:val="1"/>
      <w:marLeft w:val="0"/>
      <w:marRight w:val="0"/>
      <w:marTop w:val="0"/>
      <w:marBottom w:val="0"/>
      <w:divBdr>
        <w:top w:val="none" w:sz="0" w:space="0" w:color="auto"/>
        <w:left w:val="none" w:sz="0" w:space="0" w:color="auto"/>
        <w:bottom w:val="none" w:sz="0" w:space="0" w:color="auto"/>
        <w:right w:val="none" w:sz="0" w:space="0" w:color="auto"/>
      </w:divBdr>
      <w:divsChild>
        <w:div w:id="961955346">
          <w:marLeft w:val="0"/>
          <w:marRight w:val="0"/>
          <w:marTop w:val="0"/>
          <w:marBottom w:val="0"/>
          <w:divBdr>
            <w:top w:val="none" w:sz="0" w:space="0" w:color="auto"/>
            <w:left w:val="none" w:sz="0" w:space="0" w:color="auto"/>
            <w:bottom w:val="none" w:sz="0" w:space="0" w:color="auto"/>
            <w:right w:val="none" w:sz="0" w:space="0" w:color="auto"/>
          </w:divBdr>
        </w:div>
      </w:divsChild>
    </w:div>
    <w:div w:id="1243493424">
      <w:bodyDiv w:val="1"/>
      <w:marLeft w:val="0"/>
      <w:marRight w:val="0"/>
      <w:marTop w:val="0"/>
      <w:marBottom w:val="0"/>
      <w:divBdr>
        <w:top w:val="none" w:sz="0" w:space="0" w:color="auto"/>
        <w:left w:val="none" w:sz="0" w:space="0" w:color="auto"/>
        <w:bottom w:val="none" w:sz="0" w:space="0" w:color="auto"/>
        <w:right w:val="none" w:sz="0" w:space="0" w:color="auto"/>
      </w:divBdr>
    </w:div>
    <w:div w:id="1311864716">
      <w:bodyDiv w:val="1"/>
      <w:marLeft w:val="0"/>
      <w:marRight w:val="0"/>
      <w:marTop w:val="0"/>
      <w:marBottom w:val="0"/>
      <w:divBdr>
        <w:top w:val="none" w:sz="0" w:space="0" w:color="auto"/>
        <w:left w:val="none" w:sz="0" w:space="0" w:color="auto"/>
        <w:bottom w:val="none" w:sz="0" w:space="0" w:color="auto"/>
        <w:right w:val="none" w:sz="0" w:space="0" w:color="auto"/>
      </w:divBdr>
      <w:divsChild>
        <w:div w:id="1885169333">
          <w:marLeft w:val="0"/>
          <w:marRight w:val="0"/>
          <w:marTop w:val="0"/>
          <w:marBottom w:val="0"/>
          <w:divBdr>
            <w:top w:val="none" w:sz="0" w:space="0" w:color="auto"/>
            <w:left w:val="none" w:sz="0" w:space="0" w:color="auto"/>
            <w:bottom w:val="none" w:sz="0" w:space="0" w:color="auto"/>
            <w:right w:val="none" w:sz="0" w:space="0" w:color="auto"/>
          </w:divBdr>
        </w:div>
      </w:divsChild>
    </w:div>
    <w:div w:id="1375959410">
      <w:bodyDiv w:val="1"/>
      <w:marLeft w:val="0"/>
      <w:marRight w:val="0"/>
      <w:marTop w:val="0"/>
      <w:marBottom w:val="0"/>
      <w:divBdr>
        <w:top w:val="none" w:sz="0" w:space="0" w:color="auto"/>
        <w:left w:val="none" w:sz="0" w:space="0" w:color="auto"/>
        <w:bottom w:val="none" w:sz="0" w:space="0" w:color="auto"/>
        <w:right w:val="none" w:sz="0" w:space="0" w:color="auto"/>
      </w:divBdr>
    </w:div>
    <w:div w:id="1377387752">
      <w:bodyDiv w:val="1"/>
      <w:marLeft w:val="0"/>
      <w:marRight w:val="0"/>
      <w:marTop w:val="0"/>
      <w:marBottom w:val="0"/>
      <w:divBdr>
        <w:top w:val="none" w:sz="0" w:space="0" w:color="auto"/>
        <w:left w:val="none" w:sz="0" w:space="0" w:color="auto"/>
        <w:bottom w:val="none" w:sz="0" w:space="0" w:color="auto"/>
        <w:right w:val="none" w:sz="0" w:space="0" w:color="auto"/>
      </w:divBdr>
      <w:divsChild>
        <w:div w:id="1958678037">
          <w:marLeft w:val="0"/>
          <w:marRight w:val="0"/>
          <w:marTop w:val="0"/>
          <w:marBottom w:val="0"/>
          <w:divBdr>
            <w:top w:val="none" w:sz="0" w:space="0" w:color="auto"/>
            <w:left w:val="none" w:sz="0" w:space="0" w:color="auto"/>
            <w:bottom w:val="none" w:sz="0" w:space="0" w:color="auto"/>
            <w:right w:val="none" w:sz="0" w:space="0" w:color="auto"/>
          </w:divBdr>
        </w:div>
      </w:divsChild>
    </w:div>
    <w:div w:id="1526595773">
      <w:bodyDiv w:val="1"/>
      <w:marLeft w:val="0"/>
      <w:marRight w:val="0"/>
      <w:marTop w:val="0"/>
      <w:marBottom w:val="0"/>
      <w:divBdr>
        <w:top w:val="none" w:sz="0" w:space="0" w:color="auto"/>
        <w:left w:val="none" w:sz="0" w:space="0" w:color="auto"/>
        <w:bottom w:val="none" w:sz="0" w:space="0" w:color="auto"/>
        <w:right w:val="none" w:sz="0" w:space="0" w:color="auto"/>
      </w:divBdr>
    </w:div>
    <w:div w:id="1606883812">
      <w:bodyDiv w:val="1"/>
      <w:marLeft w:val="0"/>
      <w:marRight w:val="0"/>
      <w:marTop w:val="0"/>
      <w:marBottom w:val="0"/>
      <w:divBdr>
        <w:top w:val="none" w:sz="0" w:space="0" w:color="auto"/>
        <w:left w:val="none" w:sz="0" w:space="0" w:color="auto"/>
        <w:bottom w:val="none" w:sz="0" w:space="0" w:color="auto"/>
        <w:right w:val="none" w:sz="0" w:space="0" w:color="auto"/>
      </w:divBdr>
    </w:div>
    <w:div w:id="1792241471">
      <w:bodyDiv w:val="1"/>
      <w:marLeft w:val="0"/>
      <w:marRight w:val="0"/>
      <w:marTop w:val="0"/>
      <w:marBottom w:val="0"/>
      <w:divBdr>
        <w:top w:val="none" w:sz="0" w:space="0" w:color="auto"/>
        <w:left w:val="none" w:sz="0" w:space="0" w:color="auto"/>
        <w:bottom w:val="none" w:sz="0" w:space="0" w:color="auto"/>
        <w:right w:val="none" w:sz="0" w:space="0" w:color="auto"/>
      </w:divBdr>
      <w:divsChild>
        <w:div w:id="2016957222">
          <w:marLeft w:val="0"/>
          <w:marRight w:val="0"/>
          <w:marTop w:val="0"/>
          <w:marBottom w:val="0"/>
          <w:divBdr>
            <w:top w:val="none" w:sz="0" w:space="0" w:color="auto"/>
            <w:left w:val="none" w:sz="0" w:space="0" w:color="auto"/>
            <w:bottom w:val="none" w:sz="0" w:space="0" w:color="auto"/>
            <w:right w:val="none" w:sz="0" w:space="0" w:color="auto"/>
          </w:divBdr>
        </w:div>
      </w:divsChild>
    </w:div>
    <w:div w:id="1861629179">
      <w:bodyDiv w:val="1"/>
      <w:marLeft w:val="0"/>
      <w:marRight w:val="0"/>
      <w:marTop w:val="0"/>
      <w:marBottom w:val="0"/>
      <w:divBdr>
        <w:top w:val="none" w:sz="0" w:space="0" w:color="auto"/>
        <w:left w:val="none" w:sz="0" w:space="0" w:color="auto"/>
        <w:bottom w:val="none" w:sz="0" w:space="0" w:color="auto"/>
        <w:right w:val="none" w:sz="0" w:space="0" w:color="auto"/>
      </w:divBdr>
      <w:divsChild>
        <w:div w:id="474881299">
          <w:marLeft w:val="0"/>
          <w:marRight w:val="0"/>
          <w:marTop w:val="0"/>
          <w:marBottom w:val="0"/>
          <w:divBdr>
            <w:top w:val="none" w:sz="0" w:space="0" w:color="auto"/>
            <w:left w:val="none" w:sz="0" w:space="0" w:color="auto"/>
            <w:bottom w:val="none" w:sz="0" w:space="0" w:color="auto"/>
            <w:right w:val="none" w:sz="0" w:space="0" w:color="auto"/>
          </w:divBdr>
        </w:div>
      </w:divsChild>
    </w:div>
    <w:div w:id="2117172748">
      <w:bodyDiv w:val="1"/>
      <w:marLeft w:val="0"/>
      <w:marRight w:val="0"/>
      <w:marTop w:val="0"/>
      <w:marBottom w:val="0"/>
      <w:divBdr>
        <w:top w:val="none" w:sz="0" w:space="0" w:color="auto"/>
        <w:left w:val="none" w:sz="0" w:space="0" w:color="auto"/>
        <w:bottom w:val="none" w:sz="0" w:space="0" w:color="auto"/>
        <w:right w:val="none" w:sz="0" w:space="0" w:color="auto"/>
      </w:divBdr>
      <w:divsChild>
        <w:div w:id="1519461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8</TotalTime>
  <Pages>72</Pages>
  <Words>43851</Words>
  <Characters>236402</Characters>
  <Application>Microsoft Office Word</Application>
  <DocSecurity>0</DocSecurity>
  <Lines>5139</Lines>
  <Paragraphs>3687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276566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12</cp:revision>
  <cp:lastPrinted>2018-08-10T22:37:00Z</cp:lastPrinted>
  <dcterms:created xsi:type="dcterms:W3CDTF">2024-04-27T19:49:00Z</dcterms:created>
  <dcterms:modified xsi:type="dcterms:W3CDTF">2024-04-27T19:57:00Z</dcterms:modified>
</cp:coreProperties>
</file>